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852170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817880</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27"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7"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31"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19" w:right="339" w:bottom="1440" w:gutter="0" w:footer="0" w:header="0"/>
        </w:sectPr>
      </w:pPr>
    </w:p>
    <w:p>
      <w:pPr>
        <w:spacing w:after="0" w:line="122"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5" w:lineRule="exact"/>
        <w:rPr>
          <w:sz w:val="24"/>
          <w:szCs w:val="24"/>
          <w:color w:val="auto"/>
        </w:rPr>
      </w:pPr>
    </w:p>
    <w:p>
      <w:pPr>
        <w:sectPr>
          <w:pgSz w:w="11900" w:h="16838" w:orient="portrait"/>
          <w:cols w:equalWidth="0" w:num="2">
            <w:col w:w="7220" w:space="720"/>
            <w:col w:w="3300"/>
          </w:cols>
          <w:pgMar w:left="320" w:top="1419"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69" w:lineRule="exact"/>
        <w:rPr>
          <w:sz w:val="24"/>
          <w:szCs w:val="24"/>
          <w:color w:val="auto"/>
        </w:rPr>
      </w:pPr>
    </w:p>
    <w:p>
      <w:pPr>
        <w:sectPr>
          <w:pgSz w:w="11900" w:h="16838" w:orient="portrait"/>
          <w:cols w:equalWidth="0" w:num="2">
            <w:col w:w="6520" w:space="720"/>
            <w:col w:w="4000"/>
          </w:cols>
          <w:pgMar w:left="320" w:top="1419" w:right="339" w:bottom="1440" w:gutter="0" w:footer="0" w:header="0"/>
          <w:type w:val="continuous"/>
        </w:sectPr>
      </w:pPr>
    </w:p>
    <w:p>
      <w:pPr>
        <w:ind w:left="3560"/>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37"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2"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189"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6"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0" w:lineRule="exact"/>
        <w:rPr>
          <w:sz w:val="24"/>
          <w:szCs w:val="24"/>
          <w:color w:val="auto"/>
        </w:rPr>
      </w:pPr>
    </w:p>
    <w:p>
      <w:pPr>
        <w:ind w:right="480"/>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4" w:lineRule="exact"/>
        <w:rPr>
          <w:sz w:val="24"/>
          <w:szCs w:val="24"/>
          <w:color w:val="auto"/>
        </w:rPr>
      </w:pPr>
    </w:p>
    <w:p>
      <w:pPr>
        <w:ind w:right="80"/>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32" w:lineRule="exact"/>
        <w:rPr>
          <w:sz w:val="24"/>
          <w:szCs w:val="24"/>
          <w:color w:val="auto"/>
        </w:rPr>
      </w:pPr>
    </w:p>
    <w:p>
      <w:pPr>
        <w:jc w:val="both"/>
        <w:ind w:right="140"/>
        <w:spacing w:after="0" w:line="21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3" w:lineRule="exact"/>
        <w:rPr>
          <w:sz w:val="24"/>
          <w:szCs w:val="24"/>
          <w:color w:val="auto"/>
        </w:rPr>
      </w:pPr>
    </w:p>
    <w:p>
      <w:pPr>
        <w:spacing w:after="0" w:line="184" w:lineRule="exact"/>
        <w:tabs>
          <w:tab w:leader="none" w:pos="88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9" w:lineRule="exact"/>
        <w:rPr>
          <w:sz w:val="24"/>
          <w:szCs w:val="24"/>
          <w:color w:val="auto"/>
        </w:rPr>
      </w:pPr>
    </w:p>
    <w:p>
      <w:pPr>
        <w:ind w:right="3080"/>
        <w:spacing w:after="0" w:line="293" w:lineRule="auto"/>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24, 2023, is 223,470,324.</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785495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9/30/2023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12/31/2022</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2,539.2</w:t>
            </w: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Assets of consolidated sponsored investment products ($1,105.2 million at September 30, 2023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2"/>
        </w:trPr>
        <w:tc>
          <w:tcPr>
            <w:tcW w:w="8240" w:type="dxa"/>
            <w:vAlign w:val="bottom"/>
          </w:tcPr>
          <w:p>
            <w:pPr>
              <w:ind w:left="20"/>
              <w:spacing w:after="0"/>
              <w:rPr>
                <w:sz w:val="20"/>
                <w:szCs w:val="20"/>
                <w:color w:val="auto"/>
              </w:rPr>
            </w:pPr>
            <w:r>
              <w:rPr>
                <w:rFonts w:ascii="Arial" w:cs="Arial" w:eastAsia="Arial" w:hAnsi="Arial"/>
                <w:sz w:val="18"/>
                <w:szCs w:val="18"/>
                <w:color w:val="auto"/>
              </w:rPr>
              <w:t>$1,375.6 million at December 31, 2022, related to variable interest entities)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1,603.4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12,556.8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sponsored investment products ($35.8 million at September 30, 2023 and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2"/>
        </w:trPr>
        <w:tc>
          <w:tcPr>
            <w:tcW w:w="8240" w:type="dxa"/>
            <w:vAlign w:val="bottom"/>
          </w:tcPr>
          <w:p>
            <w:pPr>
              <w:ind w:left="140"/>
              <w:spacing w:after="0"/>
              <w:rPr>
                <w:sz w:val="20"/>
                <w:szCs w:val="20"/>
                <w:color w:val="auto"/>
              </w:rPr>
            </w:pPr>
            <w:r>
              <w:rPr>
                <w:rFonts w:ascii="Arial" w:cs="Arial" w:eastAsia="Arial" w:hAnsi="Arial"/>
                <w:sz w:val="18"/>
                <w:szCs w:val="18"/>
                <w:color w:val="auto"/>
              </w:rPr>
              <w:t>$39.1 million at December 31, 2022, related to variable interest entities)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228.0</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1,956.4</w:t>
            </w:r>
          </w:p>
        </w:tc>
      </w:tr>
      <w:tr>
        <w:trPr>
          <w:trHeight w:val="88"/>
        </w:trPr>
        <w:tc>
          <w:tcPr>
            <w:tcW w:w="8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08"/>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656.7</w:t>
            </w:r>
          </w:p>
        </w:tc>
      </w:tr>
      <w:tr>
        <w:trPr>
          <w:trHeight w:val="108"/>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Common stock, $.20 par value—authorized 750,000,000; issued 223,540,000 shares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2"/>
        </w:trPr>
        <w:tc>
          <w:tcPr>
            <w:tcW w:w="8240" w:type="dxa"/>
            <w:vAlign w:val="bottom"/>
          </w:tcPr>
          <w:p>
            <w:pPr>
              <w:ind w:left="140"/>
              <w:spacing w:after="0"/>
              <w:rPr>
                <w:sz w:val="20"/>
                <w:szCs w:val="20"/>
                <w:color w:val="auto"/>
              </w:rPr>
            </w:pPr>
            <w:r>
              <w:rPr>
                <w:rFonts w:ascii="Arial" w:cs="Arial" w:eastAsia="Arial" w:hAnsi="Arial"/>
                <w:sz w:val="18"/>
                <w:szCs w:val="18"/>
                <w:color w:val="auto"/>
              </w:rPr>
              <w:t>September 30, 2023 and 224,310,000 at December 31, 2022</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8,919.4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8,409.7</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8,839.5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9,030.2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right="5180"/>
        <w:spacing w:after="0" w:line="301"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2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520" w:type="dxa"/>
            <w:vAlign w:val="bottom"/>
            <w:gridSpan w:val="4"/>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9/30/2022</w:t>
            </w: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1,463.9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4,286.5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4,600.8</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allocation-based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4,964.2</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1,633.1</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411.8</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56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2,843.6</w:t>
            </w: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2,120.6</w:t>
            </w:r>
          </w:p>
        </w:tc>
      </w:tr>
      <w:tr>
        <w:trPr>
          <w:trHeight w:val="270"/>
        </w:trPr>
        <w:tc>
          <w:tcPr>
            <w:tcW w:w="5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(247.7)</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losses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r>
      <w:tr>
        <w:trPr>
          <w:trHeight w:val="250"/>
        </w:trPr>
        <w:tc>
          <w:tcPr>
            <w:tcW w:w="5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1,559.4</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1,160.0</w:t>
            </w:r>
          </w:p>
        </w:tc>
      </w:tr>
      <w:tr>
        <w:trPr>
          <w:trHeight w:val="176"/>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2"/>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2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right="3560"/>
        <w:spacing w:after="0" w:line="301"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4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9/30/2022</w:t>
            </w:r>
          </w:p>
        </w:tc>
      </w:tr>
      <w:tr>
        <w:trPr>
          <w:trHeight w:val="25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Consolidated T. Rowe Price investment products - variable</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5400" w:type="dxa"/>
            <w:vAlign w:val="bottom"/>
          </w:tcPr>
          <w:p>
            <w:pPr>
              <w:ind w:left="22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(gains) losses recognized in non-operating</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upon deconsolidation of certain T. Rowe Price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5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products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5400" w:type="dxa"/>
            <w:vAlign w:val="bottom"/>
          </w:tcPr>
          <w:p>
            <w:pPr>
              <w:ind w:left="220"/>
              <w:spacing w:after="0"/>
              <w:rPr>
                <w:sz w:val="20"/>
                <w:szCs w:val="20"/>
                <w:color w:val="auto"/>
              </w:rPr>
            </w:pPr>
            <w:r>
              <w:rPr>
                <w:rFonts w:ascii="Arial" w:cs="Arial" w:eastAsia="Arial" w:hAnsi="Arial"/>
                <w:sz w:val="18"/>
                <w:szCs w:val="18"/>
                <w:color w:val="auto"/>
              </w:rPr>
              <w:t>Total currency translation adjustments of consolidated T. Rowe</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56"/>
        </w:trPr>
        <w:tc>
          <w:tcPr>
            <w:tcW w:w="5400" w:type="dxa"/>
            <w:vAlign w:val="bottom"/>
          </w:tcPr>
          <w:p>
            <w:pPr>
              <w:ind w:left="220"/>
              <w:spacing w:after="0"/>
              <w:rPr>
                <w:sz w:val="20"/>
                <w:szCs w:val="20"/>
                <w:color w:val="auto"/>
              </w:rPr>
            </w:pPr>
            <w:r>
              <w:rPr>
                <w:rFonts w:ascii="Arial" w:cs="Arial" w:eastAsia="Arial" w:hAnsi="Arial"/>
                <w:sz w:val="18"/>
                <w:szCs w:val="18"/>
                <w:color w:val="auto"/>
              </w:rPr>
              <w:t>Price investment products - variable interest entities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(expense) benefits</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r>
      <w:tr>
        <w:trPr>
          <w:trHeight w:val="250"/>
        </w:trPr>
        <w:tc>
          <w:tcPr>
            <w:tcW w:w="5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1,085.4</w:t>
            </w: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comprehensive income (loss) attributable to redeemable</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6"/>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Total comprehensive income attributable to T. Rowe Price Group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1,261.9</w:t>
            </w: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ind w:right="4700"/>
        <w:spacing w:after="0" w:line="301"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9/30/2022</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1,362.1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and impairment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Fair value remeasurement of 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losses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Net redemptions in sponsored investment products used to economically hedge supplemental</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2,494.6</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sponsored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distributions to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(redemptions)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$119.1 million at December 31, 2022, and</w:t>
            </w: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$101.1 million at December 31, 2021, held by consolidated sponsored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156"/>
        </w:trPr>
        <w:tc>
          <w:tcPr>
            <w:tcW w:w="8240" w:type="dxa"/>
            <w:vAlign w:val="bottom"/>
          </w:tcPr>
          <w:p>
            <w:pPr>
              <w:ind w:left="20"/>
              <w:spacing w:after="0" w:line="157" w:lineRule="exact"/>
              <w:rPr>
                <w:sz w:val="20"/>
                <w:szCs w:val="20"/>
                <w:color w:val="auto"/>
              </w:rPr>
            </w:pPr>
            <w:r>
              <w:rPr>
                <w:rFonts w:ascii="Arial" w:cs="Arial" w:eastAsia="Arial" w:hAnsi="Arial"/>
                <w:sz w:val="18"/>
                <w:szCs w:val="18"/>
                <w:color w:val="auto"/>
              </w:rPr>
              <w:t>Cash and cash equivalents at end of period, including $91.6 million at September 30, 2023, and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2,670.3</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220"/>
        </w:trPr>
        <w:tc>
          <w:tcPr>
            <w:tcW w:w="8240" w:type="dxa"/>
            <w:vAlign w:val="bottom"/>
          </w:tcPr>
          <w:p>
            <w:pPr>
              <w:ind w:left="20"/>
              <w:spacing w:after="0"/>
              <w:rPr>
                <w:sz w:val="20"/>
                <w:szCs w:val="20"/>
                <w:color w:val="auto"/>
              </w:rPr>
            </w:pPr>
            <w:r>
              <w:rPr>
                <w:rFonts w:ascii="Arial" w:cs="Arial" w:eastAsia="Arial" w:hAnsi="Arial"/>
                <w:sz w:val="18"/>
                <w:szCs w:val="18"/>
                <w:color w:val="auto"/>
              </w:rPr>
              <w:t>$78.1 million at September 30, 2022, held by consolidated sponsored investment products</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right="3560"/>
        <w:spacing w:after="0" w:line="301"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gridSpan w:val="15"/>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Three months ended 9/30/2023</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4"/>
              </w:rPr>
              <w:t>stockholders’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left="30"/>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80" w:type="dxa"/>
            <w:vAlign w:val="bottom"/>
          </w:tcPr>
          <w:p>
            <w:pPr>
              <w:spacing w:after="0"/>
              <w:rPr>
                <w:sz w:val="11"/>
                <w:szCs w:val="11"/>
                <w:color w:val="auto"/>
              </w:rPr>
            </w:pPr>
          </w:p>
        </w:tc>
        <w:tc>
          <w:tcPr>
            <w:tcW w:w="90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5"/>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9"/>
              </w:rPr>
              <w:t>capital in</w:t>
            </w:r>
          </w:p>
        </w:tc>
        <w:tc>
          <w:tcPr>
            <w:tcW w:w="100" w:type="dxa"/>
            <w:vAlign w:val="bottom"/>
          </w:tcPr>
          <w:p>
            <w:pPr>
              <w:spacing w:after="0"/>
              <w:rPr>
                <w:sz w:val="10"/>
                <w:szCs w:val="10"/>
                <w:color w:val="auto"/>
              </w:rPr>
            </w:pPr>
          </w:p>
        </w:tc>
        <w:tc>
          <w:tcPr>
            <w:tcW w:w="640" w:type="dxa"/>
            <w:vAlign w:val="bottom"/>
            <w:gridSpan w:val="4"/>
            <w:vMerge w:val="restart"/>
          </w:tcPr>
          <w:p>
            <w:pPr>
              <w:jc w:val="right"/>
              <w:ind w:right="6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to T. Rowe</w:t>
            </w:r>
          </w:p>
        </w:tc>
        <w:tc>
          <w:tcPr>
            <w:tcW w:w="80" w:type="dxa"/>
            <w:vAlign w:val="bottom"/>
          </w:tcPr>
          <w:p>
            <w:pPr>
              <w:spacing w:after="0"/>
              <w:rPr>
                <w:sz w:val="10"/>
                <w:szCs w:val="10"/>
                <w:color w:val="auto"/>
              </w:rPr>
            </w:pPr>
          </w:p>
        </w:tc>
        <w:tc>
          <w:tcPr>
            <w:tcW w:w="90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80" w:type="dxa"/>
            <w:vAlign w:val="bottom"/>
          </w:tcPr>
          <w:p>
            <w:pPr>
              <w:spacing w:after="0"/>
              <w:rPr>
                <w:sz w:val="10"/>
                <w:szCs w:val="10"/>
                <w:color w:val="auto"/>
              </w:rPr>
            </w:pPr>
          </w:p>
        </w:tc>
        <w:tc>
          <w:tcPr>
            <w:tcW w:w="64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4"/>
              </w:rPr>
              <w:t>excess of</w:t>
            </w:r>
          </w:p>
        </w:tc>
        <w:tc>
          <w:tcPr>
            <w:tcW w:w="10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4"/>
            <w:vMerge w:val="restart"/>
          </w:tcPr>
          <w:p>
            <w:pPr>
              <w:jc w:val="right"/>
              <w:ind w:right="37"/>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0" w:type="dxa"/>
            <w:vAlign w:val="bottom"/>
          </w:tcPr>
          <w:p>
            <w:pPr>
              <w:spacing w:after="0"/>
              <w:rPr>
                <w:sz w:val="10"/>
                <w:szCs w:val="10"/>
                <w:color w:val="auto"/>
              </w:rPr>
            </w:pPr>
          </w:p>
        </w:tc>
        <w:tc>
          <w:tcPr>
            <w:tcW w:w="8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80" w:type="dxa"/>
            <w:vAlign w:val="bottom"/>
          </w:tcPr>
          <w:p>
            <w:pPr>
              <w:spacing w:after="0"/>
              <w:rPr>
                <w:sz w:val="10"/>
                <w:szCs w:val="10"/>
                <w:color w:val="auto"/>
              </w:rPr>
            </w:pPr>
          </w:p>
        </w:tc>
        <w:tc>
          <w:tcPr>
            <w:tcW w:w="90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860" w:type="dxa"/>
            <w:vAlign w:val="bottom"/>
            <w:gridSpan w:val="5"/>
          </w:tcPr>
          <w:p>
            <w:pPr>
              <w:ind w:left="2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7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30"/>
              <w:spacing w:after="0"/>
              <w:rPr>
                <w:sz w:val="20"/>
                <w:szCs w:val="20"/>
                <w:color w:val="auto"/>
              </w:rPr>
            </w:pPr>
            <w:r>
              <w:rPr>
                <w:rFonts w:ascii="Arial" w:cs="Arial" w:eastAsia="Arial" w:hAnsi="Arial"/>
                <w:sz w:val="13"/>
                <w:szCs w:val="13"/>
                <w:b w:val="1"/>
                <w:bCs w:val="1"/>
                <w:color w:val="auto"/>
                <w:w w:val="89"/>
              </w:rPr>
              <w:t>Inc.</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3"/>
                <w:szCs w:val="13"/>
                <w:b w:val="1"/>
                <w:bCs w:val="1"/>
                <w:color w:val="auto"/>
                <w:w w:val="96"/>
              </w:rPr>
              <w:t>entities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equity</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June 30, 2023</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224,281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$ 8,746.2</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9,263.8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9,465.9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985.2</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740" w:type="dxa"/>
            <w:vAlign w:val="bottom"/>
            <w:gridSpan w:val="5"/>
          </w:tcPr>
          <w:p>
            <w:pPr>
              <w:jc w:val="right"/>
              <w:ind w:right="60"/>
              <w:spacing w:after="0"/>
              <w:rPr>
                <w:sz w:val="20"/>
                <w:szCs w:val="20"/>
                <w:color w:val="auto"/>
              </w:rPr>
            </w:pPr>
            <w:r>
              <w:rPr>
                <w:rFonts w:ascii="Arial" w:cs="Arial" w:eastAsia="Arial" w:hAnsi="Arial"/>
                <w:sz w:val="14"/>
                <w:szCs w:val="14"/>
                <w:color w:val="auto"/>
              </w:rPr>
              <w:t>453.2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453.2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473.1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Dividends declared ($1.22 per share)</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740" w:type="dxa"/>
            <w:vAlign w:val="bottom"/>
            <w:gridSpan w:val="5"/>
          </w:tcPr>
          <w:p>
            <w:pPr>
              <w:jc w:val="right"/>
              <w:ind w:right="20"/>
              <w:spacing w:after="0"/>
              <w:rPr>
                <w:sz w:val="20"/>
                <w:szCs w:val="20"/>
                <w:color w:val="auto"/>
              </w:rPr>
            </w:pPr>
            <w:r>
              <w:rPr>
                <w:rFonts w:ascii="Arial" w:cs="Arial" w:eastAsia="Arial" w:hAnsi="Arial"/>
                <w:sz w:val="14"/>
                <w:szCs w:val="14"/>
                <w:color w:val="auto"/>
              </w:rPr>
              <w:t>(279.9)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(279.9)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(279.9)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2"/>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Common shares repurchased</w:t>
            </w: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(978)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(106.2)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(106.2)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368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distributions to non-controlling interests in</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2"/>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368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deconsolidations of T. Rowe Price investment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(466.1)</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680" w:type="dxa"/>
            <w:vAlign w:val="bottom"/>
            <w:gridSpan w:val="2"/>
          </w:tcPr>
          <w:p>
            <w:pPr>
              <w:ind w:left="20"/>
              <w:spacing w:after="0"/>
              <w:rPr>
                <w:sz w:val="20"/>
                <w:szCs w:val="20"/>
                <w:color w:val="auto"/>
              </w:rPr>
            </w:pPr>
            <w:r>
              <w:rPr>
                <w:rFonts w:ascii="Arial" w:cs="Arial" w:eastAsia="Arial" w:hAnsi="Arial"/>
                <w:sz w:val="14"/>
                <w:szCs w:val="14"/>
                <w:color w:val="auto"/>
              </w:rPr>
              <w:t>Balances at September 30, 2023</w:t>
            </w:r>
          </w:p>
        </w:tc>
        <w:tc>
          <w:tcPr>
            <w:tcW w:w="860" w:type="dxa"/>
            <w:vAlign w:val="bottom"/>
            <w:gridSpan w:val="5"/>
          </w:tcPr>
          <w:p>
            <w:pPr>
              <w:jc w:val="right"/>
              <w:spacing w:after="0"/>
              <w:rPr>
                <w:sz w:val="20"/>
                <w:szCs w:val="20"/>
                <w:color w:val="auto"/>
              </w:rPr>
            </w:pPr>
            <w:r>
              <w:rPr>
                <w:rFonts w:ascii="Arial" w:cs="Arial" w:eastAsia="Arial" w:hAnsi="Arial"/>
                <w:sz w:val="14"/>
                <w:szCs w:val="14"/>
                <w:color w:val="auto"/>
              </w:rPr>
              <w:t>223,540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44.7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482.0</w:t>
            </w:r>
          </w:p>
        </w:tc>
        <w:tc>
          <w:tcPr>
            <w:tcW w:w="740" w:type="dxa"/>
            <w:vAlign w:val="bottom"/>
            <w:gridSpan w:val="5"/>
          </w:tcPr>
          <w:p>
            <w:pPr>
              <w:jc w:val="right"/>
              <w:ind w:right="60"/>
              <w:spacing w:after="0"/>
              <w:rPr>
                <w:sz w:val="20"/>
                <w:szCs w:val="20"/>
                <w:color w:val="auto"/>
              </w:rPr>
            </w:pPr>
            <w:r>
              <w:rPr>
                <w:rFonts w:ascii="Arial" w:cs="Arial" w:eastAsia="Arial" w:hAnsi="Arial"/>
                <w:sz w:val="14"/>
                <w:szCs w:val="14"/>
                <w:color w:val="auto"/>
              </w:rPr>
              <w:t>$ 8,919.4</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(46.2)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9,399.9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221.5</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9,621.4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560.2</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gridSpan w:val="14"/>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 9/30/2022</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50"/>
              <w:spacing w:after="0" w:line="120"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4"/>
          </w:tcPr>
          <w:p>
            <w:pPr>
              <w:jc w:val="center"/>
              <w:spacing w:after="0" w:line="130" w:lineRule="exact"/>
              <w:rPr>
                <w:sz w:val="20"/>
                <w:szCs w:val="20"/>
                <w:color w:val="auto"/>
              </w:rPr>
            </w:pPr>
            <w:r>
              <w:rPr>
                <w:rFonts w:ascii="Arial" w:cs="Arial" w:eastAsia="Arial" w:hAnsi="Arial"/>
                <w:sz w:val="13"/>
                <w:szCs w:val="13"/>
                <w:b w:val="1"/>
                <w:bCs w:val="1"/>
                <w:color w:val="auto"/>
                <w:w w:val="96"/>
              </w:rPr>
              <w:t>stockholders’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center"/>
              <w:ind w:right="129"/>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10"/>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restart"/>
          </w:tcPr>
          <w:p>
            <w:pPr>
              <w:jc w:val="center"/>
              <w:ind w:right="20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jc w:val="center"/>
              <w:ind w:right="31"/>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capital in</w:t>
            </w:r>
          </w:p>
        </w:tc>
        <w:tc>
          <w:tcPr>
            <w:tcW w:w="80" w:type="dxa"/>
            <w:vAlign w:val="bottom"/>
          </w:tcPr>
          <w:p>
            <w:pPr>
              <w:spacing w:after="0"/>
              <w:rPr>
                <w:sz w:val="11"/>
                <w:szCs w:val="11"/>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right="50"/>
              <w:spacing w:after="0" w:line="135" w:lineRule="exact"/>
              <w:rPr>
                <w:sz w:val="20"/>
                <w:szCs w:val="20"/>
                <w:color w:val="auto"/>
              </w:rPr>
            </w:pPr>
            <w:r>
              <w:rPr>
                <w:rFonts w:ascii="Arial" w:cs="Arial" w:eastAsia="Arial" w:hAnsi="Arial"/>
                <w:sz w:val="13"/>
                <w:szCs w:val="13"/>
                <w:b w:val="1"/>
                <w:bCs w:val="1"/>
                <w:color w:val="auto"/>
                <w:w w:val="94"/>
              </w:rPr>
              <w:t>to T. Rowe</w:t>
            </w:r>
          </w:p>
        </w:tc>
        <w:tc>
          <w:tcPr>
            <w:tcW w:w="100" w:type="dxa"/>
            <w:vAlign w:val="bottom"/>
          </w:tcPr>
          <w:p>
            <w:pPr>
              <w:spacing w:after="0"/>
              <w:rPr>
                <w:sz w:val="11"/>
                <w:szCs w:val="11"/>
                <w:color w:val="auto"/>
              </w:rPr>
            </w:pPr>
          </w:p>
        </w:tc>
        <w:tc>
          <w:tcPr>
            <w:tcW w:w="80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7"/>
              </w:rPr>
              <w:t>interests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31"/>
              <w:spacing w:after="0" w:line="122"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excess of</w:t>
            </w: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4"/>
            <w:vMerge w:val="restart"/>
          </w:tcPr>
          <w:p>
            <w:pPr>
              <w:jc w:val="right"/>
              <w:ind w:right="9"/>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4"/>
          </w:tcPr>
          <w:p>
            <w:pPr>
              <w:jc w:val="center"/>
              <w:ind w:left="49"/>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6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3"/>
                <w:szCs w:val="13"/>
                <w:b w:val="1"/>
                <w:bCs w:val="1"/>
                <w:color w:val="auto"/>
                <w:w w:val="99"/>
              </w:rPr>
              <w:t>stock</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7"/>
              </w:rPr>
              <w:t>Inc.</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6"/>
              </w:rPr>
              <w:t>entities</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109"/>
              <w:spacing w:after="0"/>
              <w:rPr>
                <w:sz w:val="20"/>
                <w:szCs w:val="20"/>
                <w:color w:val="auto"/>
              </w:rPr>
            </w:pPr>
            <w:r>
              <w:rPr>
                <w:rFonts w:ascii="Arial" w:cs="Arial" w:eastAsia="Arial" w:hAnsi="Arial"/>
                <w:sz w:val="13"/>
                <w:szCs w:val="13"/>
                <w:b w:val="1"/>
                <w:bCs w:val="1"/>
                <w:color w:val="auto"/>
                <w:w w:val="99"/>
              </w:rPr>
              <w:t>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9"/>
              </w:rPr>
              <w:t>interests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225,715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45.1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654.6</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$ 8,311.9</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8,964.2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9,173.0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384.4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Dividends declared ($1.20 per share)</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(276.4)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(276.4)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62.8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Common shares repurchased</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(224.2)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distributions from non-controlling interests in</w:t>
            </w:r>
          </w:p>
        </w:tc>
        <w:tc>
          <w:tcPr>
            <w:tcW w:w="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4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Net subscriptions into T. Rowe Price investment</w:t>
            </w: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19.2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products</w:t>
            </w: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74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Net consolidations of T. Rowe Price investment</w:t>
            </w: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Balances at September 30, 2022</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223,920</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44.8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499.3</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$ 8,419.9</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(56.5)</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8,907.5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207.0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9,114.5</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580.8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6" w:name="page7"/>
    <w:bookmarkEnd w:id="6"/>
    <w:p>
      <w:pPr>
        <w:ind w:right="3560"/>
        <w:spacing w:after="0" w:line="301"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57"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37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0" w:type="dxa"/>
            <w:vAlign w:val="bottom"/>
            <w:tcBorders>
              <w:bottom w:val="single" w:sz="8" w:color="auto"/>
            </w:tcBorders>
            <w:gridSpan w:val="8"/>
            <w:shd w:val="clear" w:color="auto" w:fill="CCEEFF"/>
          </w:tcPr>
          <w:p>
            <w:pPr>
              <w:ind w:left="480"/>
              <w:spacing w:after="0"/>
              <w:rPr>
                <w:sz w:val="20"/>
                <w:szCs w:val="20"/>
                <w:color w:val="auto"/>
              </w:rPr>
            </w:pPr>
            <w:r>
              <w:rPr>
                <w:rFonts w:ascii="Arial" w:cs="Arial" w:eastAsia="Arial" w:hAnsi="Arial"/>
                <w:sz w:val="13"/>
                <w:szCs w:val="13"/>
                <w:b w:val="1"/>
                <w:bCs w:val="1"/>
                <w:color w:val="auto"/>
              </w:rPr>
              <w:t>Nine months ended 9/30/2023</w:t>
            </w: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16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9"/>
              </w:rPr>
              <w:t>equity</w:t>
            </w: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6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4"/>
              </w:rPr>
              <w:t>to T. Rowe</w:t>
            </w:r>
          </w:p>
        </w:tc>
        <w:tc>
          <w:tcPr>
            <w:tcW w:w="9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3"/>
            <w:vMerge w:val="continue"/>
          </w:tcPr>
          <w:p>
            <w:pPr>
              <w:spacing w:after="0"/>
              <w:rPr>
                <w:sz w:val="10"/>
                <w:szCs w:val="10"/>
                <w:color w:val="auto"/>
              </w:rPr>
            </w:pP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4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Price Group,</w:t>
            </w:r>
          </w:p>
        </w:tc>
        <w:tc>
          <w:tcPr>
            <w:tcW w:w="9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8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stock</w:t>
            </w:r>
          </w:p>
        </w:tc>
        <w:tc>
          <w:tcPr>
            <w:tcW w:w="7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Inc.</w:t>
            </w:r>
          </w:p>
        </w:tc>
        <w:tc>
          <w:tcPr>
            <w:tcW w:w="16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entities</w:t>
            </w:r>
          </w:p>
        </w:tc>
        <w:tc>
          <w:tcPr>
            <w:tcW w:w="16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tcPr>
          <w:p>
            <w:pPr>
              <w:spacing w:after="0"/>
              <w:rPr>
                <w:sz w:val="16"/>
                <w:szCs w:val="16"/>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2022</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224,310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437.9</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$ 8,409.7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8,839.5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656.7</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1,351.1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8"/>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Dividends declared ($3.66 per share)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(841.1)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Restricted shares issued, net of shares withheld for taxes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169.7</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(1,398)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(151.1)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7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distributions to non-controlling interests in</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345.0</w:t>
            </w:r>
          </w:p>
        </w:tc>
        <w:tc>
          <w:tcPr>
            <w:tcW w:w="0" w:type="dxa"/>
            <w:vAlign w:val="bottom"/>
          </w:tcPr>
          <w:p>
            <w:pPr>
              <w:spacing w:after="0"/>
              <w:rPr>
                <w:sz w:val="1"/>
                <w:szCs w:val="1"/>
                <w:color w:val="auto"/>
              </w:rPr>
            </w:pPr>
          </w:p>
        </w:tc>
      </w:tr>
      <w:tr>
        <w:trPr>
          <w:trHeight w:val="155"/>
        </w:trPr>
        <w:tc>
          <w:tcPr>
            <w:tcW w:w="37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deconsolidations of T. Rowe Price investment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(460.2)</w:t>
            </w:r>
          </w:p>
        </w:tc>
        <w:tc>
          <w:tcPr>
            <w:tcW w:w="0" w:type="dxa"/>
            <w:vAlign w:val="bottom"/>
          </w:tcPr>
          <w:p>
            <w:pPr>
              <w:spacing w:after="0"/>
              <w:rPr>
                <w:sz w:val="1"/>
                <w:szCs w:val="1"/>
                <w:color w:val="auto"/>
              </w:rPr>
            </w:pPr>
          </w:p>
        </w:tc>
      </w:tr>
      <w:tr>
        <w:trPr>
          <w:trHeight w:val="18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20" w:type="dxa"/>
            <w:vAlign w:val="bottom"/>
          </w:tcPr>
          <w:p>
            <w:pPr>
              <w:ind w:left="20"/>
              <w:spacing w:after="0"/>
              <w:rPr>
                <w:sz w:val="20"/>
                <w:szCs w:val="20"/>
                <w:color w:val="auto"/>
              </w:rPr>
            </w:pPr>
            <w:r>
              <w:rPr>
                <w:rFonts w:ascii="Arial" w:cs="Arial" w:eastAsia="Arial" w:hAnsi="Arial"/>
                <w:sz w:val="14"/>
                <w:szCs w:val="14"/>
                <w:color w:val="auto"/>
              </w:rPr>
              <w:t>Balances at September 30, 2023</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223,540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482.0</w:t>
            </w:r>
          </w:p>
        </w:tc>
        <w:tc>
          <w:tcPr>
            <w:tcW w:w="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$ 8,919.4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9,399.9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9,621.4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560.2</w:t>
            </w:r>
          </w:p>
        </w:tc>
        <w:tc>
          <w:tcPr>
            <w:tcW w:w="0" w:type="dxa"/>
            <w:vAlign w:val="bottom"/>
          </w:tcPr>
          <w:p>
            <w:pPr>
              <w:spacing w:after="0"/>
              <w:rPr>
                <w:sz w:val="1"/>
                <w:szCs w:val="1"/>
                <w:color w:val="auto"/>
              </w:rPr>
            </w:pPr>
          </w:p>
        </w:tc>
      </w:tr>
      <w:tr>
        <w:trPr>
          <w:trHeight w:val="46"/>
        </w:trPr>
        <w:tc>
          <w:tcPr>
            <w:tcW w:w="37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8"/>
        </w:trPr>
        <w:tc>
          <w:tcPr>
            <w:tcW w:w="37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gridSpan w:val="3"/>
          </w:tcPr>
          <w:p>
            <w:pPr>
              <w:spacing w:after="0"/>
              <w:rPr>
                <w:sz w:val="24"/>
                <w:szCs w:val="24"/>
                <w:color w:val="auto"/>
              </w:rPr>
            </w:pPr>
          </w:p>
        </w:tc>
        <w:tc>
          <w:tcPr>
            <w:tcW w:w="940" w:type="dxa"/>
            <w:vAlign w:val="bottom"/>
            <w:tcBorders>
              <w:top w:val="single" w:sz="8" w:color="CCEEFF"/>
            </w:tcBorders>
            <w:gridSpan w:val="3"/>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0" w:type="dxa"/>
            <w:vAlign w:val="bottom"/>
            <w:tcBorders>
              <w:bottom w:val="single" w:sz="8" w:color="auto"/>
            </w:tcBorders>
            <w:gridSpan w:val="8"/>
            <w:shd w:val="clear" w:color="auto" w:fill="CCEEFF"/>
          </w:tcPr>
          <w:p>
            <w:pPr>
              <w:ind w:left="480"/>
              <w:spacing w:after="0"/>
              <w:rPr>
                <w:sz w:val="20"/>
                <w:szCs w:val="20"/>
                <w:color w:val="auto"/>
              </w:rPr>
            </w:pPr>
            <w:r>
              <w:rPr>
                <w:rFonts w:ascii="Arial" w:cs="Arial" w:eastAsia="Arial" w:hAnsi="Arial"/>
                <w:sz w:val="13"/>
                <w:szCs w:val="13"/>
                <w:b w:val="1"/>
                <w:bCs w:val="1"/>
                <w:color w:val="auto"/>
              </w:rPr>
              <w:t>Nine months ended 9/30/2022</w:t>
            </w: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16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9"/>
              </w:rPr>
              <w:t>equity</w:t>
            </w: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6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capital in</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4"/>
              </w:rPr>
              <w:t>to T. Rowe</w:t>
            </w:r>
          </w:p>
        </w:tc>
        <w:tc>
          <w:tcPr>
            <w:tcW w:w="9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8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shares</w:t>
            </w:r>
          </w:p>
        </w:tc>
        <w:tc>
          <w:tcPr>
            <w:tcW w:w="720" w:type="dxa"/>
            <w:vAlign w:val="bottom"/>
            <w:gridSpan w:val="3"/>
            <w:vMerge w:val="continue"/>
          </w:tcPr>
          <w:p>
            <w:pPr>
              <w:spacing w:after="0"/>
              <w:rPr>
                <w:sz w:val="10"/>
                <w:szCs w:val="10"/>
                <w:color w:val="auto"/>
              </w:rPr>
            </w:pPr>
          </w:p>
        </w:tc>
        <w:tc>
          <w:tcPr>
            <w:tcW w:w="74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excess of</w:t>
            </w: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4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7"/>
              </w:rPr>
              <w:t>Price Group,</w:t>
            </w:r>
          </w:p>
        </w:tc>
        <w:tc>
          <w:tcPr>
            <w:tcW w:w="9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4"/>
              </w:rPr>
              <w:t>consolidated</w:t>
            </w: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8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stock</w:t>
            </w:r>
          </w:p>
        </w:tc>
        <w:tc>
          <w:tcPr>
            <w:tcW w:w="7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par value</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Inc.</w:t>
            </w:r>
          </w:p>
        </w:tc>
        <w:tc>
          <w:tcPr>
            <w:tcW w:w="16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entities</w:t>
            </w:r>
          </w:p>
        </w:tc>
        <w:tc>
          <w:tcPr>
            <w:tcW w:w="16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tcPr>
          <w:p>
            <w:pPr>
              <w:spacing w:after="0"/>
              <w:rPr>
                <w:sz w:val="16"/>
                <w:szCs w:val="16"/>
                <w:color w:val="auto"/>
              </w:rPr>
            </w:pPr>
          </w:p>
        </w:tc>
        <w:tc>
          <w:tcPr>
            <w:tcW w:w="680" w:type="dxa"/>
            <w:vAlign w:val="bottom"/>
          </w:tcPr>
          <w:p>
            <w:pPr>
              <w:jc w:val="center"/>
              <w:ind w:right="49"/>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2021</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229,175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919.8</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$ 8,083.6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9,022.7</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982.3</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1,291.9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208"/>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97"/>
        </w:trPr>
        <w:tc>
          <w:tcPr>
            <w:tcW w:w="3720" w:type="dxa"/>
            <w:vAlign w:val="bottom"/>
          </w:tcPr>
          <w:p>
            <w:pPr>
              <w:ind w:left="20"/>
              <w:spacing w:after="0"/>
              <w:rPr>
                <w:sz w:val="20"/>
                <w:szCs w:val="20"/>
                <w:color w:val="auto"/>
              </w:rPr>
            </w:pPr>
            <w:r>
              <w:rPr>
                <w:rFonts w:ascii="Arial" w:cs="Arial" w:eastAsia="Arial" w:hAnsi="Arial"/>
                <w:sz w:val="14"/>
                <w:szCs w:val="14"/>
                <w:color w:val="auto"/>
              </w:rPr>
              <w:t>Dividends declared ($3.60 per share)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(832.7)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20" w:type="dxa"/>
            <w:vAlign w:val="bottom"/>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720" w:type="dxa"/>
            <w:vAlign w:val="bottom"/>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Net distributions to non-controlling interests in</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20" w:type="dxa"/>
            <w:vAlign w:val="bottom"/>
          </w:tcPr>
          <w:p>
            <w:pPr>
              <w:ind w:left="20"/>
              <w:spacing w:after="0"/>
              <w:rPr>
                <w:sz w:val="20"/>
                <w:szCs w:val="20"/>
                <w:color w:val="auto"/>
              </w:rPr>
            </w:pPr>
            <w:r>
              <w:rPr>
                <w:rFonts w:ascii="Arial" w:cs="Arial" w:eastAsia="Arial" w:hAnsi="Arial"/>
                <w:sz w:val="14"/>
                <w:szCs w:val="14"/>
                <w:color w:val="auto"/>
              </w:rPr>
              <w:t>consolidated entities</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redemptions from T. Rowe Price investment products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48"/>
        </w:trPr>
        <w:tc>
          <w:tcPr>
            <w:tcW w:w="3720" w:type="dxa"/>
            <w:vAlign w:val="bottom"/>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86"/>
        </w:trPr>
        <w:tc>
          <w:tcPr>
            <w:tcW w:w="3720" w:type="dxa"/>
            <w:vAlign w:val="bottom"/>
          </w:tcPr>
          <w:p>
            <w:pPr>
              <w:ind w:left="20"/>
              <w:spacing w:after="0"/>
              <w:rPr>
                <w:sz w:val="20"/>
                <w:szCs w:val="20"/>
                <w:color w:val="auto"/>
              </w:rPr>
            </w:pPr>
            <w:r>
              <w:rPr>
                <w:rFonts w:ascii="Arial" w:cs="Arial" w:eastAsia="Arial" w:hAnsi="Arial"/>
                <w:sz w:val="14"/>
                <w:szCs w:val="14"/>
                <w:color w:val="auto"/>
              </w:rPr>
              <w:t>products</w:t>
            </w: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2022</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223,920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$ 8,419.9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580.8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7"/>
          <w:szCs w:val="7"/>
          <w:i w:val="1"/>
          <w:iCs w:val="1"/>
          <w:color w:val="auto"/>
        </w:rPr>
      </w:pPr>
      <w:r>
        <w:rPr>
          <w:rFonts w:ascii="Arial" w:cs="Arial" w:eastAsia="Arial" w:hAnsi="Arial"/>
          <w:sz w:val="11"/>
          <w:szCs w:val="11"/>
          <w:i w:val="1"/>
          <w:iCs w:val="1"/>
          <w:color w:val="auto"/>
        </w:rPr>
        <w:t>Accumulated other comprehensive income.</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6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 Rowe Price Group, Inc. (“T. Rowe Price”, “us”, or “we”) derives its consolidated revenues and net income primarily from investment advisory services that its subsidiaries provide to individual and institutional investors in the T. Rowe Price U.S. mutual funds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derive revenue from our interests in general partners of certain affiliated private investment funds that are entitled to a disproportionate allocation of income through capital allocation-based arrangements also known as carried interest.</w:t>
      </w:r>
    </w:p>
    <w:p>
      <w:pPr>
        <w:spacing w:after="0" w:line="22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6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1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2022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have considered all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6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revenues are derived primarily from investment advisory services provided to individual and institutional investors through the use of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w:t>
      </w:r>
    </w:p>
    <w:p>
      <w:pPr>
        <w:spacing w:after="0" w:line="2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1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Additionally, we derive revenue from our interests in general partners of certain affiliated private investment funds that are entitled to a disproportionate allocation of income through capital allocation-based arrangements also known as carried interest.</w:t>
      </w:r>
    </w:p>
    <w:p>
      <w:pPr>
        <w:spacing w:after="0" w:line="201"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We manage a broad mix of equity, fixed income, multi-asset, and alternative classes and solutions that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8" w:name="page9"/>
    <w:bookmarkEnd w:id="8"/>
    <w:p>
      <w:pPr>
        <w:ind w:right="100"/>
        <w:spacing w:after="0" w:line="263" w:lineRule="auto"/>
        <w:rPr>
          <w:sz w:val="20"/>
          <w:szCs w:val="20"/>
          <w:color w:val="auto"/>
        </w:rPr>
      </w:pPr>
      <w:r>
        <w:rPr>
          <w:rFonts w:ascii="Arial" w:cs="Arial" w:eastAsia="Arial" w:hAnsi="Arial"/>
          <w:sz w:val="18"/>
          <w:szCs w:val="18"/>
          <w:color w:val="auto"/>
        </w:rPr>
        <w:t>Net revenues earned for the three- and nine-month periods ended September 30, 2023 and 2022, are included in the table below along with details of investment advisory revenues earned from clients by their underlying asset class. We also included average assets under management by asset class, on which we earn the investment advisory revenues.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60" w:type="dxa"/>
            <w:vAlign w:val="bottom"/>
            <w:tcBorders>
              <w:right w:val="single" w:sz="8" w:color="auto"/>
            </w:tcBorders>
            <w:gridSpan w:val="5"/>
            <w:shd w:val="clear" w:color="auto" w:fill="CCEEFF"/>
          </w:tcPr>
          <w:p>
            <w:pPr>
              <w:ind w:left="34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60" w:type="dxa"/>
            <w:vAlign w:val="bottom"/>
            <w:gridSpan w:val="4"/>
            <w:shd w:val="clear" w:color="auto" w:fill="CCEEFF"/>
          </w:tcPr>
          <w:p>
            <w:pPr>
              <w:jc w:val="right"/>
              <w:ind w:right="451"/>
              <w:spacing w:after="0"/>
              <w:rPr>
                <w:sz w:val="20"/>
                <w:szCs w:val="20"/>
                <w:color w:val="auto"/>
              </w:rPr>
            </w:pPr>
            <w:r>
              <w:rPr>
                <w:rFonts w:ascii="Arial" w:cs="Arial" w:eastAsia="Arial" w:hAnsi="Arial"/>
                <w:sz w:val="13"/>
                <w:szCs w:val="13"/>
                <w:b w:val="1"/>
                <w:bCs w:val="1"/>
                <w:color w:val="auto"/>
              </w:rPr>
              <w:t>Nine months ended</w:t>
            </w:r>
          </w:p>
        </w:tc>
      </w:tr>
      <w:tr>
        <w:trPr>
          <w:trHeight w:val="195"/>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9/30/2022</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2,924.0</w:t>
            </w: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1,149.3</w:t>
            </w: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Total investment advisory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4,600.8</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allocation-based income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administrative, distribution, and servicing fees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724.9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793.0</w:t>
            </w:r>
          </w:p>
        </w:tc>
      </w:tr>
      <w:tr>
        <w:trPr>
          <w:trHeight w:val="230"/>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426.6</w:t>
            </w: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63"/>
        </w:trPr>
        <w:tc>
          <w:tcPr>
            <w:tcW w:w="6400" w:type="dxa"/>
            <w:vAlign w:val="bottom"/>
          </w:tcPr>
          <w:p>
            <w:pPr>
              <w:ind w:left="20"/>
              <w:spacing w:after="0"/>
              <w:rPr>
                <w:sz w:val="20"/>
                <w:szCs w:val="20"/>
                <w:color w:val="auto"/>
              </w:rPr>
            </w:pPr>
            <w:r>
              <w:rPr>
                <w:rFonts w:ascii="Arial" w:cs="Arial" w:eastAsia="Arial" w:hAnsi="Arial"/>
                <w:sz w:val="18"/>
                <w:szCs w:val="18"/>
                <w:color w:val="auto"/>
              </w:rPr>
              <w:t>Average AUM</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1,437.1</w:t>
            </w:r>
          </w:p>
        </w:tc>
      </w:tr>
    </w:tbl>
    <w:p>
      <w:pPr>
        <w:spacing w:after="0" w:line="3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Total net revenues earned from our sponsored products, primarily our sponsored U.S. mutual funds and collective investment trusts, aggregate $1,387.5 million and $1,311.2 million for the three months ended September 30, 2023 and 2022, respectively. For the nine months ended September 30, 2023 and 2022, total net revenues earned from our sponsored products aggregate $3,979.9 million and $4,069.7 million, respectively. Accounts receivable from our sponsored products aggregate to $488.2 million at September 30, 2023 and $492.4 million at December 31, 2022.</w:t>
      </w:r>
    </w:p>
    <w:p>
      <w:pPr>
        <w:spacing w:after="0" w:line="30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9.2%, 8.9%, and 9.1% of our assets under management at September 30, 2023, June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sponsored investment products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rPr>
              <w:t>9/30/2023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b w:val="1"/>
                <w:bCs w:val="1"/>
                <w:color w:val="auto"/>
              </w:rPr>
              <w:t>12/31/2022</w:t>
            </w:r>
          </w:p>
        </w:tc>
      </w:tr>
      <w:tr>
        <w:trPr>
          <w:trHeight w:val="209"/>
        </w:trPr>
        <w:tc>
          <w:tcPr>
            <w:tcW w:w="870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70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29"/>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230"/>
        </w:trPr>
        <w:tc>
          <w:tcPr>
            <w:tcW w:w="870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760.7</w:t>
            </w: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30"/>
        </w:trPr>
        <w:tc>
          <w:tcPr>
            <w:tcW w:w="870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158.8</w:t>
            </w: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r>
      <w:tr>
        <w:trPr>
          <w:trHeight w:val="229"/>
        </w:trPr>
        <w:tc>
          <w:tcPr>
            <w:tcW w:w="870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30"/>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 partnerships and investments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Held to maturity</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870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note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7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2,539.2</w:t>
            </w: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investment partnerships are carried at fair value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1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During the three- and nine-months ended September 30, 2023, net gains on investments included $ 46.1 million of net unrealized losses and $28.9 million of net unrealized gains, respectively, related to investments held at fair value that were still held at September 30, 2023. For the same periods of 2022, net losses on investments included $35.3 million and $258.7 million of net unrealized losses related to investments held at fair value that were still held at September 30, 2022.</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nine months ended September 30, 2023 and 2022, certain sponsored investment products in which we provided initial seed capital at the time of formation were deconsolidated, as we no longer had a controlling interest. Depending on our ownership interest, we are now reporting our residual interests in these sponsored investment products as either an equity method investment or an investment held at fair value. Additionally, during the nine months ended September 30, 2023 and 2022, certain sponsored investment products were consolidated, as we regained a controlling interest. The net impact of these changes on our unaudited condensed consolidated balance sheets and statements of income as of the dates the portfolios were deconsolidated or reconsolidated is detailed below.</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tbl>
      <w:tblPr>
        <w:tblLayout w:type="fixed"/>
        <w:tblInd w:w="40" w:type="dxa"/>
        <w:tblCellMar>
          <w:top w:w="0" w:type="dxa"/>
          <w:left w:w="0" w:type="dxa"/>
          <w:bottom w:w="0" w:type="dxa"/>
          <w:right w:w="0" w:type="dxa"/>
        </w:tblCellMar>
      </w:tblPr>
      <w:tr>
        <w:trPr>
          <w:trHeight w:val="203"/>
        </w:trPr>
        <w:tc>
          <w:tcPr>
            <w:tcW w:w="6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80" w:type="dxa"/>
            <w:vAlign w:val="bottom"/>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shd w:val="clear" w:color="auto" w:fill="CCEEFF"/>
          </w:tcPr>
          <w:p>
            <w:pPr>
              <w:spacing w:after="0"/>
              <w:rPr>
                <w:sz w:val="17"/>
                <w:szCs w:val="17"/>
                <w:color w:val="auto"/>
              </w:rPr>
            </w:pPr>
          </w:p>
        </w:tc>
        <w:tc>
          <w:tcPr>
            <w:tcW w:w="1960" w:type="dxa"/>
            <w:vAlign w:val="bottom"/>
            <w:gridSpan w:val="4"/>
            <w:shd w:val="clear" w:color="auto" w:fill="CCEEFF"/>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9/30/2022</w:t>
            </w:r>
          </w:p>
        </w:tc>
      </w:tr>
      <w:tr>
        <w:trPr>
          <w:trHeight w:val="224"/>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assets of consolidated sponsored investment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increase (decrease) in liabilities of consolidated sponsored investment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redeemable non-controlling interests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r>
      <w:tr>
        <w:trPr>
          <w:trHeight w:val="148"/>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Gains recognized upon deconsolidation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3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gains recognized upon deconsolidation were the result of reclassifying currency translation adjustments accumulated on certain sponsored investment products with non-USD functional currencies from accumulated other comprehensive income (loss) to non-operating income (loss).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There is debt associated with our long-term investments in affiliated collateralized loan obligations (“CLOs”). This debt is carried at $96.1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at September 30, 2023 and $103.0 million at December 31, 2022, and is reported in accounts payable and accrued expenses in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 The debt includes outstanding repurchase agreements of €65.7 million (equivalent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$69.5 million at September 30, 2023 and $71.3 million at December 31, 2022 at the respective EUR spot rates) that are collateralized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 investments. The debt also includes outstanding note facilities of €25.2 million (equivalent to $26.6 million at September 30, 2023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$31.7 million at December 31, 2022 at the respective EUR spot rates) that are collateralized by first priority security interests in the assets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consolidated subsidiary that is party to the notes. These note facilities bear interest at rates based on EURIBOR plus the initial margin,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equals all-in rates ranging from 1.15% to 12.52% as of September 30, 2023. The debt matures on various dates through 2035 or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 are paid back in full or cancelled, whichever is sooner.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6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Our investments at September 30, 2023 and December 31, 2022 include interests in variable interest entities that we do not consolidate as we are not deemed the primary beneficiary. Our maximum risk of loss related to our involvement with these entities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9/30/2023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12/31/2022</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989.6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762.2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unfunded capital commitments, totaling $123.9 million at September 30, 2023 and $84.7 million at December 31, 2022, relate primarily to the affiliated private investment funds and the investment partnerships in which we have an existing investment. In addition to such amounts, a percentage of prior distributions may be called under certain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FUNDS.</w:t>
      </w:r>
    </w:p>
    <w:p>
      <w:pPr>
        <w:spacing w:after="0" w:line="2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Certain of the the investments in affiliated funds represent interests in general partners of affiliated private investment funds and are entitled to a disproportionate allocation of income or carried interest. These entities are considered variable interest entities and are consolidated as T. Rowe Price was determined to be the primary beneficiary.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total assets, liabilities and non-controlling interests of these consolidated variable interest entities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9/30/2023</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12/31/2022</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190.7</w:t>
            </w:r>
          </w:p>
        </w:tc>
      </w:tr>
      <w:tr>
        <w:trPr>
          <w:trHeight w:val="21"/>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1" w:lineRule="exact"/>
        <w:rPr>
          <w:sz w:val="20"/>
          <w:szCs w:val="20"/>
          <w:color w:val="auto"/>
        </w:rPr>
      </w:pPr>
    </w:p>
    <w:p>
      <w:pPr>
        <w:ind w:left="260" w:right="2240" w:hanging="249"/>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00" w:hanging="728"/>
        <w:spacing w:after="0" w:line="25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condensed consolidated balance sheets using fair value measurements determined based on the differing levels of inputs. This table excludes investments held by the consolidated sponsored investment products which are presented separately on our unaudited condensed consolidated balance sheets and are detailed in Note 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9/30/2023</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9"/>
              </w:rPr>
              <w:t>12/31/2022</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2,080.7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1,412.0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3,233.5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2,576.3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4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$74.9 million at September 30, 2023, and $86.4 million at December 31,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was contingent</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 additional years if the defined revenue targets are not achieved.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The amount recorded as compensation expense for the three- and nine-months ended September 30, 2023 was immaterial.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2" w:name="page13"/>
    <w:bookmarkEnd w:id="12"/>
    <w:p>
      <w:pPr>
        <w:ind w:right="480"/>
        <w:spacing w:after="0" w:line="275" w:lineRule="auto"/>
        <w:rPr>
          <w:sz w:val="20"/>
          <w:szCs w:val="20"/>
          <w:color w:val="auto"/>
        </w:rPr>
      </w:pPr>
      <w:r>
        <w:rPr>
          <w:rFonts w:ascii="Arial" w:cs="Arial" w:eastAsia="Arial" w:hAnsi="Arial"/>
          <w:sz w:val="18"/>
          <w:szCs w:val="18"/>
          <w:color w:val="auto"/>
        </w:rPr>
        <w:t>The change in the contingent consideration liability measured at fair value for which we used Level 3 inputs to determine fair value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840" w:type="dxa"/>
            <w:vAlign w:val="bottom"/>
            <w:tcBorders>
              <w:bottom w:val="single" w:sz="8" w:color="auto"/>
            </w:tcBorders>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Contingent Consideration Liability</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r>
      <w:tr>
        <w:trPr>
          <w:trHeight w:val="195"/>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70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r>
      <w:tr>
        <w:trPr>
          <w:trHeight w:val="19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9/30/2023</w:t>
            </w: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9/30/2022</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29"/>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period adjustment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gains, included in earnings</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fair value of the contingent consideration is measured using the Monte Carlo simulation methodology of valuation. The most significant assumptions used relate to the discount rates and from changes pertaining to the achievement of the defined financial targets.</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in the aggregate equal to 10% of the appreciated value of the OHA business, subject to an annualized preferred return to T. Rowe Price, on the fifth anniversary of the acquisition date. This arrangement is treated as a post-combination compensation expense. This arrangement will be remeasured at fair value at each reporting date and recognized over the related service period. For the three- and nine-months ended September 30, 2023, the amounts recognized as part of compensation expense in our unaudited condensed consolidated statements of income were immaterial.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PRODUCTS.</w:t>
      </w:r>
    </w:p>
    <w:p>
      <w:pPr>
        <w:spacing w:after="0" w:line="262"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 sponsored investment products that we consolidate in our unaudited condensed consolidated financial statements are generally those products we provided initial seed capital at the time of their formation and have a controlling interest. Our U.S. mutual funds and certain other sponsored products are considered voting interest entities, while those regulated outside the U.S. are considered variable interest entities.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sponsored investment products: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1,460.8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380" w:hanging="172"/>
        <w:spacing w:after="0" w:line="235" w:lineRule="auto"/>
        <w:tabs>
          <w:tab w:leader="none" w:pos="158" w:val="left"/>
        </w:tabs>
        <w:numPr>
          <w:ilvl w:val="0"/>
          <w:numId w:val="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Cash and cash equivalents includes $14.5 million at September 30, 2023, and $2.6 million at December 31, 2022, of investments in T. Rowe Price money market mutual funds.</w:t>
      </w:r>
    </w:p>
    <w:p>
      <w:pPr>
        <w:spacing w:after="0" w:line="1" w:lineRule="exact"/>
        <w:rPr>
          <w:rFonts w:ascii="Arial" w:cs="Arial" w:eastAsia="Arial" w:hAnsi="Arial"/>
          <w:sz w:val="18"/>
          <w:szCs w:val="18"/>
          <w:i w:val="1"/>
          <w:iCs w:val="1"/>
          <w:color w:val="auto"/>
          <w:vertAlign w:val="superscript"/>
        </w:rPr>
      </w:pPr>
    </w:p>
    <w:p>
      <w:pPr>
        <w:ind w:left="140" w:hanging="132"/>
        <w:spacing w:after="0" w:line="228" w:lineRule="auto"/>
        <w:tabs>
          <w:tab w:leader="none" w:pos="140" w:val="left"/>
        </w:tabs>
        <w:numPr>
          <w:ilvl w:val="0"/>
          <w:numId w:val="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$6.2 million at September 30, 2023, and $7.6 million at December 31, 2022 of other sponsored investment products.</w:t>
      </w:r>
    </w:p>
    <w:p>
      <w:pPr>
        <w:spacing w:after="0" w:line="21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Although we can redeem our interest in these consolidated sponsored investment products at any time, we cannot directly access or sell the assets held by these products to obtain cash for general operations. Additionally, the assets of these investment products are not available to our general creditors.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3" w:name="page14"/>
    <w:bookmarkEnd w:id="13"/>
    <w:p>
      <w:pPr>
        <w:ind w:right="20"/>
        <w:spacing w:after="0" w:line="256"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sponsored investment products is limited to valuation changes associated with our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1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The operating results of the consolidated sponsored investment products for the three- and nine- months ended September 30, 2023 and 2022, are reflected in our unaudited condensed consolidated statements of income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8"/>
            <w:shd w:val="clear" w:color="auto" w:fill="CCEEFF"/>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9/30/2023</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9/30/2022</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0" w:type="dxa"/>
            <w:vAlign w:val="bottom"/>
            <w:shd w:val="clear" w:color="auto" w:fill="CCEEFF"/>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60"/>
              <w:spacing w:after="0" w:line="143" w:lineRule="exact"/>
              <w:rPr>
                <w:sz w:val="20"/>
                <w:szCs w:val="20"/>
                <w:color w:val="auto"/>
              </w:rPr>
            </w:pPr>
            <w:r>
              <w:rPr>
                <w:rFonts w:ascii="Arial" w:cs="Arial" w:eastAsia="Arial" w:hAnsi="Arial"/>
                <w:sz w:val="14"/>
                <w:szCs w:val="14"/>
                <w:b w:val="1"/>
                <w:bCs w:val="1"/>
                <w:color w:val="auto"/>
              </w:rPr>
              <w:t>Voting</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300"/>
              <w:spacing w:after="0" w:line="143" w:lineRule="exact"/>
              <w:rPr>
                <w:sz w:val="20"/>
                <w:szCs w:val="20"/>
                <w:color w:val="auto"/>
              </w:rPr>
            </w:pPr>
            <w:r>
              <w:rPr>
                <w:rFonts w:ascii="Arial" w:cs="Arial" w:eastAsia="Arial" w:hAnsi="Arial"/>
                <w:sz w:val="14"/>
                <w:szCs w:val="14"/>
                <w:b w:val="1"/>
                <w:bCs w:val="1"/>
                <w:color w:val="auto"/>
              </w:rPr>
              <w:t>Variable</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4"/>
                <w:szCs w:val="14"/>
                <w:b w:val="1"/>
                <w:bCs w:val="1"/>
                <w:color w:val="auto"/>
              </w:rPr>
              <w:t>interest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280"/>
              <w:spacing w:after="0" w:line="148" w:lineRule="exact"/>
              <w:rPr>
                <w:sz w:val="20"/>
                <w:szCs w:val="20"/>
                <w:color w:val="auto"/>
              </w:rPr>
            </w:pPr>
            <w:r>
              <w:rPr>
                <w:rFonts w:ascii="Arial" w:cs="Arial" w:eastAsia="Arial" w:hAnsi="Arial"/>
                <w:sz w:val="14"/>
                <w:szCs w:val="14"/>
                <w:b w:val="1"/>
                <w:bCs w:val="1"/>
                <w:color w:val="auto"/>
              </w:rPr>
              <w:t>interest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Total</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60"/>
              <w:spacing w:after="0" w:line="148"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300"/>
              <w:spacing w:after="0" w:line="148"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0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entities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300" w:type="dxa"/>
            <w:vAlign w:val="bottom"/>
            <w:gridSpan w:val="2"/>
          </w:tcPr>
          <w:p>
            <w:pPr>
              <w:ind w:left="20"/>
              <w:spacing w:after="0" w:line="157" w:lineRule="exact"/>
              <w:rPr>
                <w:sz w:val="20"/>
                <w:szCs w:val="20"/>
                <w:color w:val="auto"/>
              </w:rPr>
            </w:pPr>
            <w:r>
              <w:rPr>
                <w:rFonts w:ascii="Arial" w:cs="Arial" w:eastAsia="Arial" w:hAnsi="Arial"/>
                <w:sz w:val="18"/>
                <w:szCs w:val="18"/>
                <w:color w:val="auto"/>
              </w:rPr>
              <w:t>Operating expenses reflected in net operating</w:t>
            </w: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income</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center"/>
              <w:ind w:left="296"/>
              <w:spacing w:after="0"/>
              <w:rPr>
                <w:sz w:val="20"/>
                <w:szCs w:val="20"/>
                <w:color w:val="auto"/>
              </w:rPr>
            </w:pPr>
            <w:r>
              <w:rPr>
                <w:rFonts w:ascii="Arial" w:cs="Arial" w:eastAsia="Arial" w:hAnsi="Arial"/>
                <w:sz w:val="18"/>
                <w:szCs w:val="18"/>
                <w:color w:val="auto"/>
                <w:w w:val="99"/>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257"/>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257"/>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gridSpan w:val="4"/>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336"/>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257"/>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ind w:left="173"/>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257"/>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257"/>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rPr>
              <w:t>(43.6)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106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60" w:type="dxa"/>
            <w:vAlign w:val="bottom"/>
            <w:tcBorders>
              <w:bottom w:val="single" w:sz="8" w:color="auto"/>
            </w:tcBorders>
            <w:gridSpan w:val="8"/>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2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9/30/2023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9/30/2022</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4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Voting</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200"/>
              <w:spacing w:after="0" w:line="143" w:lineRule="exact"/>
              <w:rPr>
                <w:sz w:val="20"/>
                <w:szCs w:val="20"/>
                <w:color w:val="auto"/>
              </w:rPr>
            </w:pPr>
            <w:r>
              <w:rPr>
                <w:rFonts w:ascii="Arial" w:cs="Arial" w:eastAsia="Arial" w:hAnsi="Arial"/>
                <w:sz w:val="14"/>
                <w:szCs w:val="14"/>
                <w:b w:val="1"/>
                <w:bCs w:val="1"/>
                <w:color w:val="auto"/>
              </w:rPr>
              <w:t>Variable</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20"/>
              <w:spacing w:after="0" w:line="143" w:lineRule="exact"/>
              <w:rPr>
                <w:sz w:val="20"/>
                <w:szCs w:val="20"/>
                <w:color w:val="auto"/>
              </w:rPr>
            </w:pPr>
            <w:r>
              <w:rPr>
                <w:rFonts w:ascii="Arial" w:cs="Arial" w:eastAsia="Arial" w:hAnsi="Arial"/>
                <w:sz w:val="14"/>
                <w:szCs w:val="14"/>
                <w:b w:val="1"/>
                <w:bCs w:val="1"/>
                <w:color w:val="auto"/>
              </w:rPr>
              <w:t>Voting</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220"/>
              <w:spacing w:after="0" w:line="143" w:lineRule="exact"/>
              <w:rPr>
                <w:sz w:val="20"/>
                <w:szCs w:val="20"/>
                <w:color w:val="auto"/>
              </w:rPr>
            </w:pPr>
            <w:r>
              <w:rPr>
                <w:rFonts w:ascii="Arial" w:cs="Arial" w:eastAsia="Arial" w:hAnsi="Arial"/>
                <w:sz w:val="14"/>
                <w:szCs w:val="14"/>
                <w:b w:val="1"/>
                <w:bCs w:val="1"/>
                <w:color w:val="auto"/>
              </w:rPr>
              <w:t>Variable</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2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rPr>
              <w:t>interest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rPr>
              <w:t>interest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2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100"/>
              <w:spacing w:after="0"/>
              <w:rPr>
                <w:sz w:val="20"/>
                <w:szCs w:val="20"/>
                <w:color w:val="auto"/>
              </w:rPr>
            </w:pPr>
            <w:r>
              <w:rPr>
                <w:rFonts w:ascii="Arial" w:cs="Arial" w:eastAsia="Arial" w:hAnsi="Arial"/>
                <w:sz w:val="14"/>
                <w:szCs w:val="14"/>
                <w:b w:val="1"/>
                <w:bCs w:val="1"/>
                <w:color w:val="auto"/>
              </w:rPr>
              <w:t>entities</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entities</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12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entities</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4240" w:type="dxa"/>
            <w:vAlign w:val="bottom"/>
          </w:tcPr>
          <w:p>
            <w:pPr>
              <w:ind w:left="20"/>
              <w:spacing w:after="0" w:line="170" w:lineRule="exact"/>
              <w:rPr>
                <w:sz w:val="20"/>
                <w:szCs w:val="20"/>
                <w:color w:val="auto"/>
              </w:rPr>
            </w:pPr>
            <w:r>
              <w:rPr>
                <w:rFonts w:ascii="Arial" w:cs="Arial" w:eastAsia="Arial" w:hAnsi="Arial"/>
                <w:sz w:val="18"/>
                <w:szCs w:val="18"/>
                <w:color w:val="auto"/>
              </w:rPr>
              <w:t>Operating expenses reflected in net operating</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income</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376"/>
              <w:spacing w:after="0"/>
              <w:rPr>
                <w:sz w:val="20"/>
                <w:szCs w:val="20"/>
                <w:color w:val="auto"/>
              </w:rPr>
            </w:pPr>
            <w:r>
              <w:rPr>
                <w:rFonts w:ascii="Arial" w:cs="Arial" w:eastAsia="Arial" w:hAnsi="Arial"/>
                <w:sz w:val="18"/>
                <w:szCs w:val="18"/>
                <w:color w:val="auto"/>
                <w:w w:val="97"/>
              </w:rPr>
              <w:t>(0.3)</w:t>
            </w:r>
          </w:p>
        </w:tc>
        <w:tc>
          <w:tcPr>
            <w:tcW w:w="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investment income (loss) reflected in non-</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7"/>
              </w:rPr>
              <w:t>(16.5)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8"/>
              </w:rPr>
              <w:t>(231.3)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8"/>
              </w:rPr>
              <w:t>(247.8)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76"/>
              <w:spacing w:after="0"/>
              <w:rPr>
                <w:sz w:val="20"/>
                <w:szCs w:val="20"/>
                <w:color w:val="auto"/>
              </w:rPr>
            </w:pPr>
            <w:r>
              <w:rPr>
                <w:rFonts w:ascii="Arial" w:cs="Arial" w:eastAsia="Arial" w:hAnsi="Arial"/>
                <w:sz w:val="18"/>
                <w:szCs w:val="18"/>
                <w:color w:val="auto"/>
                <w:w w:val="97"/>
              </w:rPr>
              <w:t>(16.8)</w:t>
            </w:r>
          </w:p>
        </w:tc>
        <w:tc>
          <w:tcPr>
            <w:tcW w:w="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197"/>
              <w:spacing w:after="0"/>
              <w:rPr>
                <w:sz w:val="20"/>
                <w:szCs w:val="20"/>
                <w:color w:val="auto"/>
              </w:rPr>
            </w:pPr>
            <w:r>
              <w:rPr>
                <w:rFonts w:ascii="Arial" w:cs="Arial" w:eastAsia="Arial" w:hAnsi="Arial"/>
                <w:sz w:val="18"/>
                <w:szCs w:val="18"/>
                <w:color w:val="auto"/>
                <w:w w:val="98"/>
              </w:rPr>
              <w:t>(237.</w:t>
            </w:r>
            <w:r>
              <w:rPr>
                <w:rFonts w:ascii="Arial" w:cs="Arial" w:eastAsia="Arial" w:hAnsi="Arial"/>
                <w:sz w:val="18"/>
                <w:szCs w:val="18"/>
                <w:u w:val="single" w:color="auto"/>
                <w:color w:val="auto"/>
                <w:w w:val="98"/>
              </w:rPr>
              <w:t>2)</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113"/>
              <w:spacing w:after="0"/>
              <w:rPr>
                <w:sz w:val="20"/>
                <w:szCs w:val="20"/>
                <w:color w:val="auto"/>
              </w:rPr>
            </w:pPr>
            <w:r>
              <w:rPr>
                <w:rFonts w:ascii="Arial" w:cs="Arial" w:eastAsia="Arial" w:hAnsi="Arial"/>
                <w:sz w:val="18"/>
                <w:szCs w:val="18"/>
                <w:color w:val="auto"/>
                <w:w w:val="98"/>
              </w:rPr>
              <w:t>(254.</w:t>
            </w:r>
            <w:r>
              <w:rPr>
                <w:rFonts w:ascii="Arial" w:cs="Arial" w:eastAsia="Arial" w:hAnsi="Arial"/>
                <w:sz w:val="18"/>
                <w:szCs w:val="18"/>
                <w:u w:val="single" w:color="auto"/>
                <w:color w:val="auto"/>
                <w:w w:val="98"/>
              </w:rPr>
              <w:t>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w w:val="99"/>
              </w:rPr>
              <w:t>Net income (loss) attributable to T. Rowe Price Group $</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76"/>
              <w:spacing w:after="0"/>
              <w:rPr>
                <w:sz w:val="20"/>
                <w:szCs w:val="20"/>
                <w:color w:val="auto"/>
              </w:rPr>
            </w:pPr>
            <w:r>
              <w:rPr>
                <w:rFonts w:ascii="Arial" w:cs="Arial" w:eastAsia="Arial" w:hAnsi="Arial"/>
                <w:sz w:val="18"/>
                <w:szCs w:val="18"/>
                <w:color w:val="auto"/>
                <w:w w:val="97"/>
              </w:rPr>
              <w:t>(11.4)</w:t>
            </w:r>
          </w:p>
        </w:tc>
        <w:tc>
          <w:tcPr>
            <w:tcW w:w="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197"/>
              <w:spacing w:after="0"/>
              <w:rPr>
                <w:sz w:val="20"/>
                <w:szCs w:val="20"/>
                <w:color w:val="auto"/>
              </w:rPr>
            </w:pPr>
            <w:r>
              <w:rPr>
                <w:rFonts w:ascii="Arial" w:cs="Arial" w:eastAsia="Arial" w:hAnsi="Arial"/>
                <w:sz w:val="18"/>
                <w:szCs w:val="18"/>
                <w:color w:val="auto"/>
                <w:w w:val="98"/>
              </w:rPr>
              <w:t>(110.7)</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113"/>
              <w:spacing w:after="0"/>
              <w:rPr>
                <w:sz w:val="20"/>
                <w:szCs w:val="20"/>
                <w:color w:val="auto"/>
              </w:rPr>
            </w:pPr>
            <w:r>
              <w:rPr>
                <w:rFonts w:ascii="Arial" w:cs="Arial" w:eastAsia="Arial" w:hAnsi="Arial"/>
                <w:sz w:val="18"/>
                <w:szCs w:val="18"/>
                <w:color w:val="auto"/>
                <w:w w:val="98"/>
              </w:rPr>
              <w:t>(122.1)</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income (loss) attributable to redeemable non-</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376"/>
              <w:spacing w:after="0"/>
              <w:rPr>
                <w:sz w:val="20"/>
                <w:szCs w:val="20"/>
                <w:color w:val="auto"/>
              </w:rPr>
            </w:pPr>
            <w:r>
              <w:rPr>
                <w:rFonts w:ascii="Arial" w:cs="Arial" w:eastAsia="Arial" w:hAnsi="Arial"/>
                <w:sz w:val="18"/>
                <w:szCs w:val="18"/>
                <w:color w:val="auto"/>
                <w:w w:val="97"/>
              </w:rPr>
              <w:t>(5.4)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center"/>
              <w:ind w:left="197"/>
              <w:spacing w:after="0"/>
              <w:rPr>
                <w:sz w:val="20"/>
                <w:szCs w:val="20"/>
                <w:color w:val="auto"/>
              </w:rPr>
            </w:pPr>
            <w:r>
              <w:rPr>
                <w:rFonts w:ascii="Arial" w:cs="Arial" w:eastAsia="Arial" w:hAnsi="Arial"/>
                <w:sz w:val="18"/>
                <w:szCs w:val="18"/>
                <w:color w:val="auto"/>
                <w:w w:val="98"/>
              </w:rPr>
              <w:t>(126.5)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8"/>
              </w:rPr>
              <w:t>(131.9)</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276"/>
              <w:spacing w:after="0"/>
              <w:rPr>
                <w:sz w:val="20"/>
                <w:szCs w:val="20"/>
                <w:color w:val="auto"/>
              </w:rPr>
            </w:pPr>
            <w:r>
              <w:rPr>
                <w:rFonts w:ascii="Arial" w:cs="Arial" w:eastAsia="Arial" w:hAnsi="Arial"/>
                <w:sz w:val="18"/>
                <w:szCs w:val="18"/>
                <w:color w:val="auto"/>
                <w:w w:val="97"/>
              </w:rPr>
              <w:t>(16.8)</w:t>
            </w:r>
          </w:p>
        </w:tc>
        <w:tc>
          <w:tcPr>
            <w:tcW w:w="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197"/>
              <w:spacing w:after="0"/>
              <w:rPr>
                <w:sz w:val="20"/>
                <w:szCs w:val="20"/>
                <w:color w:val="auto"/>
              </w:rPr>
            </w:pPr>
            <w:r>
              <w:rPr>
                <w:rFonts w:ascii="Arial" w:cs="Arial" w:eastAsia="Arial" w:hAnsi="Arial"/>
                <w:sz w:val="18"/>
                <w:szCs w:val="18"/>
                <w:color w:val="auto"/>
                <w:w w:val="98"/>
              </w:rPr>
              <w:t>(237.</w:t>
            </w:r>
            <w:r>
              <w:rPr>
                <w:rFonts w:ascii="Arial" w:cs="Arial" w:eastAsia="Arial" w:hAnsi="Arial"/>
                <w:sz w:val="18"/>
                <w:szCs w:val="18"/>
                <w:u w:val="single" w:color="auto"/>
                <w:color w:val="auto"/>
                <w:w w:val="98"/>
              </w:rPr>
              <w:t>2)</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113"/>
              <w:spacing w:after="0"/>
              <w:rPr>
                <w:sz w:val="20"/>
                <w:szCs w:val="20"/>
                <w:color w:val="auto"/>
              </w:rPr>
            </w:pPr>
            <w:r>
              <w:rPr>
                <w:rFonts w:ascii="Arial" w:cs="Arial" w:eastAsia="Arial" w:hAnsi="Arial"/>
                <w:sz w:val="18"/>
                <w:szCs w:val="18"/>
                <w:color w:val="auto"/>
                <w:w w:val="98"/>
              </w:rPr>
              <w:t>(254.</w:t>
            </w:r>
            <w:r>
              <w:rPr>
                <w:rFonts w:ascii="Arial" w:cs="Arial" w:eastAsia="Arial" w:hAnsi="Arial"/>
                <w:sz w:val="18"/>
                <w:szCs w:val="18"/>
                <w:u w:val="single" w:color="auto"/>
                <w:color w:val="auto"/>
                <w:w w:val="98"/>
              </w:rPr>
              <w:t>0)</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condensed consolidated financial statements, we eliminated operating expenses of $0.7 million and $ 0.5 million for the three months ended September 30, 2023 and 2022, respectively, against the investment advisory and administrative fees earned from these products. Operating expenses eliminated for the nine months ended September 30, 2023 and 2022, were $1.6 million and $2.0 million, respectively. The net investment income (loss) reflected in non-operating income (loss) includes dividend and interest income as well as realized and unrealized gains and losses on the underlying securities held by the consolidated sponsored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sectPr>
      </w:pPr>
    </w:p>
    <w:bookmarkStart w:id="14" w:name="page15"/>
    <w:bookmarkEnd w:id="14"/>
    <w:p>
      <w:pPr>
        <w:ind w:right="1040"/>
        <w:spacing w:after="0" w:line="275"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nine months ended September 30, 2023 and 2022.</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Voting</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165"/>
        </w:trPr>
        <w:tc>
          <w:tcPr>
            <w:tcW w:w="432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Effect of exchange rate changes on cash and cash</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equivalents of consolidated sponsored investment products</w:t>
            </w: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net cash provided by financing activities during the nine months ended September 30, 2023 and 2022 includes $397.7 million and $22.3 million, respectively, of net subscriptions we made into the consolidated sponsored investment products, net of dividends received. These cash flows were eliminated in consolidation.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6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 determine the fair value of investments held by consolidated sponsored investment products using the following broad levels of inputs as defined by related accounting standards: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1" w:lineRule="exact"/>
        <w:rPr>
          <w:sz w:val="20"/>
          <w:szCs w:val="20"/>
          <w:color w:val="auto"/>
        </w:rPr>
      </w:pPr>
    </w:p>
    <w:p>
      <w:pPr>
        <w:ind w:left="740" w:right="24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reflecting our own assumptions based on the best information available.</w:t>
      </w:r>
    </w:p>
    <w:p>
      <w:pPr>
        <w:spacing w:after="0" w:line="24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sponsored investment products using fair value measurements determined based on the differing levels of inputs.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r>
      <w:tr>
        <w:trPr>
          <w:trHeight w:val="196"/>
        </w:trPr>
        <w:tc>
          <w:tcPr>
            <w:tcW w:w="3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4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3</w:t>
            </w:r>
          </w:p>
        </w:tc>
      </w:tr>
      <w:tr>
        <w:trPr>
          <w:trHeight w:val="210"/>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1,183.5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3"/>
        </w:trPr>
        <w:tc>
          <w:tcPr>
            <w:tcW w:w="34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1,412.6</w:t>
            </w:r>
          </w:p>
        </w:tc>
        <w:tc>
          <w:tcPr>
            <w:tcW w:w="120" w:type="dxa"/>
            <w:vAlign w:val="bottom"/>
          </w:tcPr>
          <w:p>
            <w:pPr>
              <w:spacing w:after="0"/>
              <w:rPr>
                <w:sz w:val="19"/>
                <w:szCs w:val="19"/>
                <w:color w:val="auto"/>
              </w:rPr>
            </w:pP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940" w:type="dxa"/>
            <w:vAlign w:val="bottom"/>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During the three months ended September 30, 2023, certain sponsored investment products in which we provided initial seed capital at the time of formation were deconsolidated, as we no longer had a controlling interest. The residual interest is now reported as an equity method investment, and as such, the underlying investment holdings in these products previously classified as level 3 were removed from the fair value measurements table at September 30, 2023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4"/>
                <w:szCs w:val="14"/>
                <w:b w:val="1"/>
                <w:bCs w:val="1"/>
                <w:color w:val="auto"/>
              </w:rPr>
              <w:t>9/30/2023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b w:val="1"/>
                <w:bCs w:val="1"/>
                <w:color w:val="auto"/>
              </w:rPr>
              <w:t>12/31/2022</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3,272.6</w:t>
            </w:r>
          </w:p>
        </w:tc>
      </w:tr>
      <w:tr>
        <w:trPr>
          <w:trHeight w:val="21"/>
        </w:trPr>
        <w:tc>
          <w:tcPr>
            <w:tcW w:w="6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and impairment expense for the definite-lived investment advisory agreements intangible assets was $35.0 million and</w:t>
      </w:r>
    </w:p>
    <w:p>
      <w:pPr>
        <w:spacing w:after="0" w:line="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$87.4 million for the three- and nine-months ended September 30, 2023, respectively. For the three- and nine-months ended September 30, 2022, amortization expense for the definite-lived investment advisory agreements intangible assets was $27.1 million and $81.4 millions, respectively. Estimated amortization expense for the definite-lived investment advisory agreements intangible assets for the remainder of 2023 is $26.8 million, $89.2 million for 2024, $87.8 million for 2025, $70.8 million for 2026, and $48.7 million for 2027.</w:t>
      </w:r>
    </w:p>
    <w:p>
      <w:pPr>
        <w:spacing w:after="0" w:line="21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evaluate the carrying amount of goodwill in our unaudited condensed consolidated balance sheets for possible impairment on an annual basis in the fourth quarter of each year or if triggering events occur that require us to evaluate for impairment earlier. We did not record any impairment charges for goodwill in either the three or nine months ended September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nine months ended September 30,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right="159"/>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tcPr>
          <w:p>
            <w:pPr>
              <w:jc w:val="right"/>
              <w:spacing w:after="0"/>
              <w:rPr>
                <w:sz w:val="20"/>
                <w:szCs w:val="20"/>
                <w:color w:val="auto"/>
              </w:rPr>
            </w:pPr>
            <w:r>
              <w:rPr>
                <w:rFonts w:ascii="Arial" w:cs="Arial" w:eastAsia="Arial" w:hAnsi="Arial"/>
                <w:sz w:val="18"/>
                <w:szCs w:val="18"/>
                <w:color w:val="auto"/>
              </w:rPr>
              <w:t>2,218,506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74.31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(621,808)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at September 30, 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1,596,698</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1,596,698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6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nine months ended September 30,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4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2022</w:t>
            </w:r>
          </w:p>
        </w:tc>
        <w:tc>
          <w:tcPr>
            <w:tcW w:w="1420" w:type="dxa"/>
            <w:vAlign w:val="bottom"/>
          </w:tcPr>
          <w:p>
            <w:pPr>
              <w:jc w:val="right"/>
              <w:spacing w:after="0"/>
              <w:rPr>
                <w:sz w:val="20"/>
                <w:szCs w:val="20"/>
                <w:color w:val="auto"/>
              </w:rPr>
            </w:pPr>
            <w:r>
              <w:rPr>
                <w:rFonts w:ascii="Arial" w:cs="Arial" w:eastAsia="Arial" w:hAnsi="Arial"/>
                <w:sz w:val="18"/>
                <w:szCs w:val="18"/>
                <w:color w:val="auto"/>
              </w:rPr>
              <w:t>8,715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5,901,600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142.37</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2,996</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108.48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(99,933)</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(121,871)</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2023</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5,725,108</w:t>
            </w:r>
          </w:p>
        </w:tc>
        <w:tc>
          <w:tcPr>
            <w:tcW w:w="380" w:type="dxa"/>
            <w:vAlign w:val="bottom"/>
            <w:tcBorders>
              <w:top w:val="single" w:sz="8" w:color="CCEEFF"/>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 w:name="page17"/>
    <w:bookmarkEnd w:id="16"/>
    <w:p>
      <w:pPr>
        <w:jc w:val="both"/>
        <w:ind w:right="440"/>
        <w:spacing w:after="0" w:line="275" w:lineRule="auto"/>
        <w:rPr>
          <w:sz w:val="20"/>
          <w:szCs w:val="20"/>
          <w:color w:val="auto"/>
        </w:rPr>
      </w:pPr>
      <w:r>
        <w:rPr>
          <w:rFonts w:ascii="Arial" w:cs="Arial" w:eastAsia="Arial" w:hAnsi="Arial"/>
          <w:sz w:val="18"/>
          <w:szCs w:val="18"/>
          <w:color w:val="auto"/>
        </w:rPr>
        <w:t>Nonvested at September 30, 2023, includes performance-based restricted stock units of 320,326. These nonvested performance-based restricted stock units include 105,106 units for which the performance period has lapsed, and the performance threshold has been met.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September 30, 2023. Estimated future compensation expense will change to reflect future grants of restricted stock awards and units, future option grants, changes in the probability of performance thresholds being met, and adjustments for actual forfeitures.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Fourth quarter 2023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2025 through 2029</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80" w:type="dxa"/>
            <w:vAlign w:val="bottom"/>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17"/>
                <w:szCs w:val="17"/>
                <w:color w:val="auto"/>
              </w:rPr>
            </w:pPr>
          </w:p>
        </w:tc>
        <w:tc>
          <w:tcPr>
            <w:tcW w:w="2160" w:type="dxa"/>
            <w:vAlign w:val="bottom"/>
            <w:gridSpan w:val="4"/>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9/30/2022</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16" w:lineRule="exact"/>
        <w:rPr>
          <w:sz w:val="20"/>
          <w:szCs w:val="20"/>
          <w:color w:val="auto"/>
        </w:rPr>
      </w:pPr>
    </w:p>
    <w:p>
      <w:pPr>
        <w:ind w:right="1080"/>
        <w:spacing w:after="0" w:line="275" w:lineRule="auto"/>
        <w:rPr>
          <w:sz w:val="20"/>
          <w:szCs w:val="20"/>
          <w:color w:val="auto"/>
        </w:rPr>
      </w:pPr>
      <w:r>
        <w:rPr>
          <w:rFonts w:ascii="Arial" w:cs="Arial" w:eastAsia="Arial" w:hAnsi="Arial"/>
          <w:sz w:val="18"/>
          <w:szCs w:val="18"/>
          <w:color w:val="auto"/>
        </w:rPr>
        <w:t>The changes in currency translation adjustments included in accumulated other comprehensive loss for the three months ended September 30, 2023 and 2022 are presented in the table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60" w:type="dxa"/>
            <w:vAlign w:val="bottom"/>
            <w:gridSpan w:val="8"/>
            <w:shd w:val="clear" w:color="auto" w:fill="CCEEFF"/>
          </w:tcPr>
          <w:p>
            <w:pPr>
              <w:ind w:left="780"/>
              <w:spacing w:after="0"/>
              <w:rPr>
                <w:sz w:val="20"/>
                <w:szCs w:val="20"/>
                <w:color w:val="auto"/>
              </w:rPr>
            </w:pPr>
            <w:r>
              <w:rPr>
                <w:rFonts w:ascii="Arial" w:cs="Arial" w:eastAsia="Arial" w:hAnsi="Arial"/>
                <w:sz w:val="14"/>
                <w:szCs w:val="14"/>
                <w:b w:val="1"/>
                <w:bCs w:val="1"/>
                <w:color w:val="auto"/>
              </w:rPr>
              <w:t>Three months ended 9/30/2023</w:t>
            </w:r>
          </w:p>
        </w:tc>
        <w:tc>
          <w:tcPr>
            <w:tcW w:w="120" w:type="dxa"/>
            <w:vAlign w:val="bottom"/>
            <w:shd w:val="clear" w:color="auto" w:fill="CCEEFF"/>
          </w:tcPr>
          <w:p>
            <w:pPr>
              <w:spacing w:after="0"/>
              <w:rPr>
                <w:sz w:val="17"/>
                <w:szCs w:val="17"/>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9/30/2022</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center"/>
              <w:ind w:left="642"/>
              <w:spacing w:after="0"/>
              <w:rPr>
                <w:sz w:val="20"/>
                <w:szCs w:val="20"/>
                <w:color w:val="auto"/>
              </w:rPr>
            </w:pPr>
            <w:r>
              <w:rPr>
                <w:rFonts w:ascii="Arial" w:cs="Arial" w:eastAsia="Arial" w:hAnsi="Arial"/>
                <w:sz w:val="16"/>
                <w:szCs w:val="16"/>
                <w:color w:val="auto"/>
                <w:w w:val="98"/>
              </w:rPr>
              <w:t>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145"/>
        </w:trPr>
        <w:tc>
          <w:tcPr>
            <w:tcW w:w="3220" w:type="dxa"/>
            <w:vAlign w:val="bottom"/>
          </w:tcPr>
          <w:p>
            <w:pPr>
              <w:ind w:left="20"/>
              <w:spacing w:after="0" w:line="145"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2"/>
                <w:szCs w:val="12"/>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center"/>
              <w:ind w:left="622"/>
              <w:spacing w:after="0"/>
              <w:rPr>
                <w:sz w:val="20"/>
                <w:szCs w:val="20"/>
                <w:color w:val="auto"/>
              </w:rPr>
            </w:pPr>
            <w:r>
              <w:rPr>
                <w:rFonts w:ascii="Arial" w:cs="Arial" w:eastAsia="Arial" w:hAnsi="Arial"/>
                <w:sz w:val="16"/>
                <w:szCs w:val="16"/>
                <w:color w:val="auto"/>
                <w:w w:val="97"/>
              </w:rPr>
              <w:t>(6.9)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Reclassification adjustments recognized in</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ind w:left="622"/>
              <w:spacing w:after="0"/>
              <w:rPr>
                <w:sz w:val="20"/>
                <w:szCs w:val="20"/>
                <w:color w:val="auto"/>
              </w:rPr>
            </w:pPr>
            <w:r>
              <w:rPr>
                <w:rFonts w:ascii="Arial" w:cs="Arial" w:eastAsia="Arial" w:hAnsi="Arial"/>
                <w:sz w:val="16"/>
                <w:szCs w:val="16"/>
                <w:color w:val="auto"/>
                <w:w w:val="97"/>
              </w:rPr>
              <w:t>(0.7)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left="622"/>
              <w:spacing w:after="0"/>
              <w:rPr>
                <w:sz w:val="20"/>
                <w:szCs w:val="20"/>
                <w:color w:val="auto"/>
              </w:rPr>
            </w:pPr>
            <w:r>
              <w:rPr>
                <w:rFonts w:ascii="Arial" w:cs="Arial" w:eastAsia="Arial" w:hAnsi="Arial"/>
                <w:sz w:val="16"/>
                <w:szCs w:val="16"/>
                <w:color w:val="auto"/>
                <w:w w:val="97"/>
              </w:rPr>
              <w:t>(7.6)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42"/>
              <w:spacing w:after="0"/>
              <w:rPr>
                <w:sz w:val="20"/>
                <w:szCs w:val="20"/>
                <w:color w:val="auto"/>
              </w:rPr>
            </w:pPr>
            <w:r>
              <w:rPr>
                <w:rFonts w:ascii="Arial" w:cs="Arial" w:eastAsia="Arial" w:hAnsi="Arial"/>
                <w:sz w:val="16"/>
                <w:szCs w:val="16"/>
                <w:color w:val="auto"/>
                <w:w w:val="98"/>
              </w:rPr>
              <w:t>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7"/>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622"/>
              <w:spacing w:after="0"/>
              <w:rPr>
                <w:sz w:val="20"/>
                <w:szCs w:val="20"/>
                <w:color w:val="auto"/>
              </w:rPr>
            </w:pPr>
            <w:r>
              <w:rPr>
                <w:rFonts w:ascii="Arial" w:cs="Arial" w:eastAsia="Arial" w:hAnsi="Arial"/>
                <w:sz w:val="16"/>
                <w:szCs w:val="16"/>
                <w:color w:val="auto"/>
                <w:w w:val="97"/>
              </w:rPr>
              <w:t>(5.8)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center"/>
              <w:ind w:left="622"/>
              <w:spacing w:after="0"/>
              <w:rPr>
                <w:sz w:val="20"/>
                <w:szCs w:val="20"/>
                <w:color w:val="auto"/>
              </w:rPr>
            </w:pPr>
            <w:r>
              <w:rPr>
                <w:rFonts w:ascii="Arial" w:cs="Arial" w:eastAsia="Arial" w:hAnsi="Arial"/>
                <w:sz w:val="16"/>
                <w:szCs w:val="16"/>
                <w:color w:val="auto"/>
                <w:w w:val="97"/>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other comprehensive income (loss) in the table above excludes $3.9 million and $19.1 million of other comprehensive losses related to redeemable non-controlling interests held in our consolidated products for the three months ended September 30, 2023 and 2022.</w:t>
      </w:r>
    </w:p>
    <w:p>
      <w:pPr>
        <w:spacing w:after="0" w:line="120"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changes in each component of accumulated other comprehensive loss, including reclassification adjustments for the nine months ended September 30, 2023 and 2022, are presented in the table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94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Nine months ended 9/30/2023</w:t>
            </w:r>
          </w:p>
        </w:tc>
        <w:tc>
          <w:tcPr>
            <w:tcW w:w="16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82"/>
              <w:spacing w:after="0"/>
              <w:rPr>
                <w:sz w:val="20"/>
                <w:szCs w:val="20"/>
                <w:color w:val="auto"/>
              </w:rPr>
            </w:pPr>
            <w:r>
              <w:rPr>
                <w:rFonts w:ascii="Arial" w:cs="Arial" w:eastAsia="Arial" w:hAnsi="Arial"/>
                <w:sz w:val="14"/>
                <w:szCs w:val="14"/>
                <w:b w:val="1"/>
                <w:bCs w:val="1"/>
                <w:color w:val="auto"/>
              </w:rPr>
              <w:t>Nine months ended 9/30/2022</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Consolidated T.</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Total currency</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Rowe Price</w:t>
            </w:r>
          </w:p>
        </w:tc>
        <w:tc>
          <w:tcPr>
            <w:tcW w:w="10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1320" w:type="dxa"/>
            <w:vAlign w:val="bottom"/>
            <w:gridSpan w:val="3"/>
            <w:vMerge w:val="continue"/>
          </w:tcPr>
          <w:p>
            <w:pPr>
              <w:spacing w:after="0"/>
              <w:rPr>
                <w:sz w:val="11"/>
                <w:szCs w:val="11"/>
                <w:color w:val="auto"/>
              </w:rPr>
            </w:pPr>
          </w:p>
        </w:tc>
        <w:tc>
          <w:tcPr>
            <w:tcW w:w="14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products - variable</w:t>
            </w:r>
          </w:p>
        </w:tc>
        <w:tc>
          <w:tcPr>
            <w:tcW w:w="100" w:type="dxa"/>
            <w:vAlign w:val="bottom"/>
          </w:tcPr>
          <w:p>
            <w:pPr>
              <w:spacing w:after="0"/>
              <w:rPr>
                <w:sz w:val="11"/>
                <w:szCs w:val="11"/>
                <w:color w:val="auto"/>
              </w:rPr>
            </w:pPr>
          </w:p>
        </w:tc>
        <w:tc>
          <w:tcPr>
            <w:tcW w:w="11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entities</w:t>
            </w:r>
          </w:p>
        </w:tc>
        <w:tc>
          <w:tcPr>
            <w:tcW w:w="100" w:type="dxa"/>
            <w:vAlign w:val="bottom"/>
          </w:tcPr>
          <w:p>
            <w:pPr>
              <w:spacing w:after="0"/>
              <w:rPr>
                <w:sz w:val="16"/>
                <w:szCs w:val="16"/>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45"/>
        </w:trPr>
        <w:tc>
          <w:tcPr>
            <w:tcW w:w="3080" w:type="dxa"/>
            <w:vAlign w:val="bottom"/>
          </w:tcPr>
          <w:p>
            <w:pPr>
              <w:ind w:left="20"/>
              <w:spacing w:after="0" w:line="145"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before reclassifications and income</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Reclassification adjustments recognized</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non-operating income</w:t>
            </w: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right="160"/>
        <w:spacing w:after="0" w:line="275" w:lineRule="auto"/>
        <w:rPr>
          <w:sz w:val="20"/>
          <w:szCs w:val="20"/>
          <w:color w:val="auto"/>
        </w:rPr>
      </w:pPr>
      <w:r>
        <w:rPr>
          <w:rFonts w:ascii="Arial" w:cs="Arial" w:eastAsia="Arial" w:hAnsi="Arial"/>
          <w:sz w:val="18"/>
          <w:szCs w:val="18"/>
          <w:color w:val="auto"/>
        </w:rPr>
        <w:t>The other comprehensive income (loss) in the table above excludes net gains of $7.7 million for 2023 period and net losses of $44.6 million for the 2022 period of other comprehensive income (loss) related to redeemable non-controlling interests held in our consolidated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$412 million to fund OHA products over the next four years.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2023, the related condensed consolidated statements of income, comprehensive income, and stockholders’ equity for the three-month and nine-month periods ended September 30, 2023 and 2022, the related condensed consolidated statements of cash flows for the nine-month periods ended September 30, 2023 and 2022,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2022, and the related consolidated statements of income, comprehensive income, stockholders’ equity, and cash flows for the year then ended (not presented herein); and in our report dated February 15, 2023, we expressed an unqualified opinion on those consolidated financial statements. In our opinion, the information set forth in the accompanying condensed consolidated balance sheet as of December 31, 2022, is fairly stated, in all material respects, in relation to the consolidated balance sheet from which it has been derived.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subadvised funds, separately managed accounts, collective investment trusts, and other sponsored products. The other sponsored products include: open-ended investment products offered to investors outside the U.S., products offered through variable annuity life insurance plans in the U.S., affiliated private investment funds, and collateralized loan obligations.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 Additionally, we derive revenue from our interests in general partners of certain affiliated private investment funds that are entitled to a disproportionate allocation of income through capital allocation-based arrangements also known as carried interest.</w:t>
      </w:r>
    </w:p>
    <w:p>
      <w:pPr>
        <w:spacing w:after="0" w:line="22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manage a broad mix of equity, fixed income, multi-asset, alternative and money market asset classes and solutions that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2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1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negatively impacted our new client inflows. However, over the long term we expect well-executed active management to play an important role for investors.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April 20, 2023, we completed our acquisition of Retiree, Inc., a fintech firm that offers innovative retirement income planning software.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transaction are not material.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4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U.S. stocks declined in the third quarter of 2023. Although the U.S. economy remained resilient and second-quarter corporate earnings reports were mostly favorable, the equity market was affected by higher energy costs and U.S. Treasury yields rising to multi -year highs amid concerns that elevated inflation could force the Federal Reserve to maintain a restrictive monetary policy for some time. The central bank raised the Fed Funds target rate in late July, but not at its September policy meeting. However, investors reacted negatively to policymakers’ projections in September that one more interest rate increase is likely before the end of the year, and that there could be fewer rate cuts in 2024 than previously expected.</w:t>
      </w:r>
    </w:p>
    <w:p>
      <w:pPr>
        <w:spacing w:after="0" w:line="221"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Developed non-U.S. equity markets fell in U.S. dollar terms, as the U.S dollar strengthened versus major non-U.S. currencies. In Europe, equity markets were largely negative in dollar terms. Developed Asian markets declined but generally held up better. Japanese shares fell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slightly in dollar terms but rose slightly in local currency terms, as the yen weakened and central bank officials kept interest rates very low.</w:t>
      </w:r>
    </w:p>
    <w:p>
      <w:pPr>
        <w:spacing w:after="0" w:line="22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Emerging equity markets generally declined, but outperformed equities in developed non-U.S. markets in dollar terms. In the emerging Europe, Middle East, and Africa (EMEA) region, market performance was widely mixed. Turkish stocks led the region, surging as the central bank raised interest rates to fight elevated inflation and took other steps to gradually return to more orthodox policymaking. Markets in emerging Asia and Latin America were largely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8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9/30/2023</w:t>
            </w:r>
          </w:p>
        </w:tc>
        <w:tc>
          <w:tcPr>
            <w:tcW w:w="0" w:type="dxa"/>
            <w:vAlign w:val="bottom"/>
          </w:tcPr>
          <w:p>
            <w:pPr>
              <w:spacing w:after="0"/>
              <w:rPr>
                <w:sz w:val="1"/>
                <w:szCs w:val="1"/>
                <w:color w:val="auto"/>
              </w:rPr>
            </w:pPr>
          </w:p>
        </w:tc>
      </w:tr>
      <w:tr>
        <w:trPr>
          <w:trHeight w:val="224"/>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44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7.6%</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hanging="132"/>
        <w:spacing w:after="0"/>
        <w:tabs>
          <w:tab w:leader="none" w:pos="18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2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Global bond returns were mostly negative in U.S. dollar terms in the third quarter. In the U.S., Treasury bill yields increased as the Federal Reserve lifted the Fed Funds target rate to the 5.25% to 5.50% range in late July and as investors prepared for possibly one more Fed interest rate increase by the end of the year. Intermediate- and long-term U.S. Treasury yields rose more significantly due in part to a U.S. sovereign credit rating downgrade from Fitch Ratings in August, increased Treasury Department borrowing in the third quarter, and concerns about a possible October 1 federal government shutdown, which was narrowly averted. The 10-year U.S. Treasury note yield increased from 3.81% to 4.59% during the quarter, reaching its highest levels in about 16 years.</w:t>
      </w:r>
    </w:p>
    <w:p>
      <w:pPr>
        <w:spacing w:after="0" w:line="22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 the U.S. investment-grade bond universe, sector performance was mostly negative. Mortgage-backed securities performed worst. Corporate bonds and U.S. Treasury securities also fared poorly. Asset-backed securities outperformed with a slight positive total return. Tax-free municipal bonds fared worse than the broad taxable bond market, as municipal yields generally increased more than U.S. Treasury yields. High yield corporate bonds produced slight positive total returns and strongly outperformed the investment-grade market.</w:t>
      </w:r>
    </w:p>
    <w:p>
      <w:pPr>
        <w:spacing w:after="0" w:line="215" w:lineRule="exact"/>
        <w:rPr>
          <w:sz w:val="20"/>
          <w:szCs w:val="20"/>
          <w:color w:val="auto"/>
        </w:rPr>
      </w:pPr>
    </w:p>
    <w:p>
      <w:pPr>
        <w:ind w:right="440"/>
        <w:spacing w:after="0" w:line="241" w:lineRule="auto"/>
        <w:rPr>
          <w:sz w:val="20"/>
          <w:szCs w:val="20"/>
          <w:color w:val="auto"/>
        </w:rPr>
      </w:pPr>
      <w:r>
        <w:rPr>
          <w:rFonts w:ascii="Arial" w:cs="Arial" w:eastAsia="Arial" w:hAnsi="Arial"/>
          <w:sz w:val="18"/>
          <w:szCs w:val="18"/>
          <w:color w:val="auto"/>
        </w:rPr>
        <w:t>Bonds in developed non-U.S. markets declined in U.S. dollar terms; returns to U.S. investors were hurt by rising interest rates in various countries as well as weaker non-U.S. currencies versus the greenback. In Europe, government bond yields rose in parallel with U.S.</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Treasury yields and were also pressured higher by signs that the rate of inflation, while decreasing, remains elevated. In Japan, government bond yields remained very low, as the Bank of Japan continued its highly stimulative monetary policy. However, long-term yields rose to</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levels unseen in about 10 years as policymakers expressed a willingness to conduct “with greater flexibility” their yield curve control policy. Emerging markets bonds also depreciated in U.S. dollar terms. Bonds denominated in local currencies generally fared worse than dollar-denominated issues, as most emerging markets currencies declined versus the greenback.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8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Index</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9/30/2023</w:t>
            </w:r>
          </w:p>
        </w:tc>
        <w:tc>
          <w:tcPr>
            <w:tcW w:w="0" w:type="dxa"/>
            <w:vAlign w:val="bottom"/>
          </w:tcPr>
          <w:p>
            <w:pPr>
              <w:spacing w:after="0"/>
              <w:rPr>
                <w:sz w:val="1"/>
                <w:szCs w:val="1"/>
                <w:color w:val="auto"/>
              </w:rPr>
            </w:pPr>
          </w:p>
        </w:tc>
      </w:tr>
      <w:tr>
        <w:trPr>
          <w:trHeight w:val="224"/>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U.S. Aggregate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JPMorgan Global High Yield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6.2%</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Municipal Bond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(3.2)%</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ICE Bank of America U.S. High Yield Index</w:t>
            </w:r>
          </w:p>
        </w:tc>
        <w:tc>
          <w:tcPr>
            <w:tcW w:w="1440" w:type="dxa"/>
            <w:vAlign w:val="bottom"/>
          </w:tcPr>
          <w:p>
            <w:pPr>
              <w:jc w:val="center"/>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6.0%</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Suisse Leveraged Loan Index</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p>
    <w:p>
      <w:pPr>
        <w:spacing w:after="0" w:line="20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Assets under management ended the third quarter of 2023 at $ 1,346.5 billion, a decrease of $52.9 billion from June 30, 2023 and an increase of $71.8 billion from the end of 2022. The decrease in assets under management during the third quarter of 2023 was driven by market depreciation, net of distributions not reinvested, of $35.5 billion and net cash outflows of $17.4 billion.</w:t>
      </w:r>
    </w:p>
    <w:p>
      <w:pPr>
        <w:spacing w:after="0" w:line="21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For the nine months ended September 30, 2023, the increase in assets under management was driven by market appreciation, net of distributions not reinvested, of $125.3 billion, offset by net cash outflows of $53.5 billion.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changes in our assets under management, by asset class, during the three- and nine-month periods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4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060" w:type="dxa"/>
            <w:vAlign w:val="bottom"/>
            <w:tcBorders>
              <w:bottom w:val="single" w:sz="8" w:color="auto"/>
            </w:tcBorders>
            <w:gridSpan w:val="8"/>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 9/30/2023</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020" w:type="dxa"/>
            <w:vAlign w:val="bottom"/>
            <w:tcBorders>
              <w:bottom w:val="single" w:sz="8" w:color="auto"/>
            </w:tcBorders>
            <w:gridSpan w:val="8"/>
            <w:shd w:val="clear" w:color="auto" w:fill="CCEEFF"/>
          </w:tcPr>
          <w:p>
            <w:pPr>
              <w:ind w:left="420"/>
              <w:spacing w:after="0"/>
              <w:rPr>
                <w:sz w:val="20"/>
                <w:szCs w:val="20"/>
                <w:color w:val="auto"/>
              </w:rPr>
            </w:pPr>
            <w:r>
              <w:rPr>
                <w:rFonts w:ascii="Arial" w:cs="Arial" w:eastAsia="Arial" w:hAnsi="Arial"/>
                <w:sz w:val="14"/>
                <w:szCs w:val="14"/>
                <w:b w:val="1"/>
                <w:bCs w:val="1"/>
                <w:color w:val="auto"/>
              </w:rPr>
              <w:t>Nine months ended 9/30/2023</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Fixed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including</w:t>
            </w:r>
          </w:p>
        </w:tc>
        <w:tc>
          <w:tcPr>
            <w:tcW w:w="12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Multi-</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including</w:t>
            </w: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Multi-</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160" w:type="dxa"/>
            <w:vAlign w:val="bottom"/>
          </w:tcPr>
          <w:p>
            <w:pPr>
              <w:spacing w:after="0"/>
              <w:rPr>
                <w:sz w:val="12"/>
                <w:szCs w:val="12"/>
                <w:color w:val="auto"/>
              </w:rPr>
            </w:pPr>
          </w:p>
        </w:tc>
        <w:tc>
          <w:tcPr>
            <w:tcW w:w="7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14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40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6"/>
                <w:szCs w:val="16"/>
                <w:color w:val="auto"/>
              </w:rPr>
            </w:pPr>
          </w:p>
        </w:tc>
        <w:tc>
          <w:tcPr>
            <w:tcW w:w="720" w:type="dxa"/>
            <w:vAlign w:val="bottom"/>
            <w:gridSpan w:val="2"/>
          </w:tcPr>
          <w:p>
            <w:pPr>
              <w:jc w:val="center"/>
              <w:ind w:right="200"/>
              <w:spacing w:after="0" w:line="189" w:lineRule="exact"/>
              <w:rPr>
                <w:sz w:val="20"/>
                <w:szCs w:val="20"/>
                <w:color w:val="auto"/>
              </w:rPr>
            </w:pPr>
            <w:r>
              <w:rPr>
                <w:rFonts w:ascii="Arial" w:cs="Arial" w:eastAsia="Arial" w:hAnsi="Arial"/>
                <w:sz w:val="14"/>
                <w:szCs w:val="14"/>
                <w:b w:val="1"/>
                <w:bCs w:val="1"/>
                <w:color w:val="auto"/>
                <w:w w:val="95"/>
              </w:rPr>
              <w:t>asset</w:t>
            </w:r>
            <w:r>
              <w:rPr>
                <w:rFonts w:ascii="Arial" w:cs="Arial" w:eastAsia="Arial" w:hAnsi="Arial"/>
                <w:sz w:val="18"/>
                <w:szCs w:val="18"/>
                <w:b w:val="1"/>
                <w:bCs w:val="1"/>
                <w:color w:val="auto"/>
                <w:w w:val="95"/>
                <w:vertAlign w:val="superscript"/>
              </w:rPr>
              <w:t>(2)</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40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color w:val="auto"/>
              </w:rPr>
              <w:t>Assets under</w:t>
            </w: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management at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732.2</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453.2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1,399.4</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664.2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0" w:type="dxa"/>
            <w:vAlign w:val="bottom"/>
          </w:tcPr>
          <w:p>
            <w:pPr>
              <w:ind w:left="20"/>
              <w:spacing w:after="0" w:line="196" w:lineRule="exact"/>
              <w:rPr>
                <w:sz w:val="20"/>
                <w:szCs w:val="20"/>
                <w:color w:val="auto"/>
              </w:rPr>
            </w:pPr>
            <w:r>
              <w:rPr>
                <w:rFonts w:ascii="Arial" w:cs="Arial" w:eastAsia="Arial" w:hAnsi="Arial"/>
                <w:sz w:val="14"/>
                <w:szCs w:val="14"/>
                <w:color w:val="auto"/>
              </w:rPr>
              <w:t>Net cash flows</w:t>
            </w:r>
            <w:r>
              <w:rPr>
                <w:rFonts w:ascii="Arial" w:cs="Arial" w:eastAsia="Arial" w:hAnsi="Arial"/>
                <w:sz w:val="18"/>
                <w:szCs w:val="18"/>
                <w:color w:val="auto"/>
                <w:vertAlign w:val="superscript"/>
              </w:rPr>
              <w:t>(4)</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57"/>
        </w:trPr>
        <w:tc>
          <w:tcPr>
            <w:tcW w:w="14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market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appreciation</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(depreciation) and</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400" w:type="dxa"/>
            <w:vAlign w:val="bottom"/>
            <w:shd w:val="clear" w:color="auto" w:fill="CCEEFF"/>
          </w:tcPr>
          <w:p>
            <w:pPr>
              <w:ind w:left="20"/>
              <w:spacing w:after="0" w:line="199" w:lineRule="exact"/>
              <w:rPr>
                <w:sz w:val="20"/>
                <w:szCs w:val="20"/>
                <w:color w:val="auto"/>
              </w:rPr>
            </w:pPr>
            <w:r>
              <w:rPr>
                <w:rFonts w:ascii="Arial" w:cs="Arial" w:eastAsia="Arial" w:hAnsi="Arial"/>
                <w:sz w:val="14"/>
                <w:szCs w:val="14"/>
                <w:color w:val="auto"/>
              </w:rPr>
              <w:t>gains(losses</w:t>
            </w:r>
            <w:r>
              <w:rPr>
                <w:rFonts w:ascii="Arial" w:cs="Arial" w:eastAsia="Arial" w:hAnsi="Arial"/>
                <w:sz w:val="18"/>
                <w:szCs w:val="18"/>
                <w:color w:val="auto"/>
                <w:vertAlign w:val="superscript"/>
              </w:rPr>
              <w:t>(5)</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137"/>
        </w:trPr>
        <w:tc>
          <w:tcPr>
            <w:tcW w:w="1400" w:type="dxa"/>
            <w:vAlign w:val="bottom"/>
          </w:tcPr>
          <w:p>
            <w:pPr>
              <w:ind w:left="20"/>
              <w:spacing w:after="0" w:line="137" w:lineRule="exact"/>
              <w:rPr>
                <w:sz w:val="20"/>
                <w:szCs w:val="20"/>
                <w:color w:val="auto"/>
              </w:rPr>
            </w:pPr>
            <w:r>
              <w:rPr>
                <w:rFonts w:ascii="Arial" w:cs="Arial" w:eastAsia="Arial" w:hAnsi="Arial"/>
                <w:sz w:val="14"/>
                <w:szCs w:val="14"/>
                <w:color w:val="auto"/>
              </w:rPr>
              <w:t>Change during the</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(52.9)</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25.8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81"/>
        </w:trPr>
        <w:tc>
          <w:tcPr>
            <w:tcW w:w="1400" w:type="dxa"/>
            <w:vAlign w:val="bottom"/>
          </w:tcPr>
          <w:p>
            <w:pPr>
              <w:ind w:left="20"/>
              <w:spacing w:after="0"/>
              <w:rPr>
                <w:sz w:val="20"/>
                <w:szCs w:val="20"/>
                <w:color w:val="auto"/>
              </w:rPr>
            </w:pPr>
            <w:r>
              <w:rPr>
                <w:rFonts w:ascii="Arial" w:cs="Arial" w:eastAsia="Arial" w:hAnsi="Arial"/>
                <w:sz w:val="14"/>
                <w:szCs w:val="14"/>
                <w:color w:val="auto"/>
              </w:rPr>
              <w:t>period</w:t>
            </w:r>
          </w:p>
        </w:tc>
        <w:tc>
          <w:tcPr>
            <w:tcW w:w="1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40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color w:val="auto"/>
              </w:rPr>
              <w:t>Assets under</w:t>
            </w: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management at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690.0</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440.5</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1,346.5</w:t>
            </w: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690.0</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440.5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1,346.5</w:t>
            </w:r>
          </w:p>
        </w:tc>
        <w:tc>
          <w:tcPr>
            <w:tcW w:w="0" w:type="dxa"/>
            <w:vAlign w:val="bottom"/>
          </w:tcPr>
          <w:p>
            <w:pPr>
              <w:spacing w:after="0"/>
              <w:rPr>
                <w:sz w:val="1"/>
                <w:szCs w:val="1"/>
                <w:color w:val="auto"/>
              </w:rPr>
            </w:pPr>
          </w:p>
        </w:tc>
      </w:tr>
      <w:tr>
        <w:trPr>
          <w:trHeight w:val="182"/>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30, 2023</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fee basis assets under management.</w:t>
      </w:r>
    </w:p>
    <w:p>
      <w:pPr>
        <w:ind w:left="240" w:hanging="232"/>
        <w:spacing w:after="0" w:line="198" w:lineRule="auto"/>
        <w:tabs>
          <w:tab w:leader="none" w:pos="24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3" w:lineRule="exact"/>
        <w:rPr>
          <w:rFonts w:ascii="Arial" w:cs="Arial" w:eastAsia="Arial" w:hAnsi="Arial"/>
          <w:sz w:val="16"/>
          <w:szCs w:val="16"/>
          <w:i w:val="1"/>
          <w:iCs w:val="1"/>
          <w:color w:val="auto"/>
          <w:vertAlign w:val="superscript"/>
        </w:rPr>
      </w:pPr>
    </w:p>
    <w:p>
      <w:pPr>
        <w:ind w:left="180" w:right="100" w:hanging="172"/>
        <w:spacing w:after="0" w:line="223" w:lineRule="auto"/>
        <w:tabs>
          <w:tab w:leader="none" w:pos="157"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 xml:space="preserve">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 Unfunded capital commitments as of </w:t>
      </w:r>
      <w:r>
        <w:rPr>
          <w:rFonts w:ascii="Arial" w:cs="Arial" w:eastAsia="Arial" w:hAnsi="Arial"/>
          <w:sz w:val="13"/>
          <w:szCs w:val="13"/>
          <w:color w:val="auto"/>
        </w:rPr>
        <w:t>September 30, 2023</w:t>
      </w:r>
      <w:r>
        <w:rPr>
          <w:rFonts w:ascii="Arial" w:cs="Arial" w:eastAsia="Arial" w:hAnsi="Arial"/>
          <w:sz w:val="13"/>
          <w:szCs w:val="13"/>
          <w:i w:val="1"/>
          <w:iCs w:val="1"/>
          <w:color w:val="auto"/>
        </w:rPr>
        <w:t xml:space="preserve"> were $12.3 billion and are not reflected in fee basis AUM above.</w:t>
      </w:r>
    </w:p>
    <w:p>
      <w:pPr>
        <w:spacing w:after="0" w:line="25" w:lineRule="exact"/>
        <w:rPr>
          <w:rFonts w:ascii="Arial" w:cs="Arial" w:eastAsia="Arial" w:hAnsi="Arial"/>
          <w:sz w:val="16"/>
          <w:szCs w:val="16"/>
          <w:i w:val="1"/>
          <w:iCs w:val="1"/>
          <w:color w:val="auto"/>
          <w:vertAlign w:val="superscript"/>
        </w:rPr>
      </w:pPr>
    </w:p>
    <w:p>
      <w:pPr>
        <w:ind w:left="180" w:right="20" w:hanging="172"/>
        <w:spacing w:after="0" w:line="224" w:lineRule="auto"/>
        <w:tabs>
          <w:tab w:leader="none" w:pos="258"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Alternatives net cash flows for the three- and nine-month periods ended September 30, 2023 includes $0.8 billion and $1.6 billion, respectively, in outflows that represent investment manager-driven distributions.</w:t>
      </w:r>
    </w:p>
    <w:p>
      <w:pPr>
        <w:spacing w:after="0" w:line="1" w:lineRule="exact"/>
        <w:rPr>
          <w:rFonts w:ascii="Arial" w:cs="Arial" w:eastAsia="Arial" w:hAnsi="Arial"/>
          <w:sz w:val="16"/>
          <w:szCs w:val="16"/>
          <w:i w:val="1"/>
          <w:iCs w:val="1"/>
          <w:color w:val="auto"/>
          <w:vertAlign w:val="superscript"/>
        </w:rPr>
      </w:pPr>
    </w:p>
    <w:p>
      <w:pPr>
        <w:ind w:left="240" w:hanging="232"/>
        <w:spacing w:after="0" w:line="228" w:lineRule="auto"/>
        <w:tabs>
          <w:tab w:leader="none" w:pos="24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three- and nine-month periods ended September 30, 2023 of $0.2 billion and $0.6 billion, respectively.</w:t>
      </w:r>
    </w:p>
    <w:p>
      <w:pPr>
        <w:spacing w:after="0" w:line="23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Investment advisory clients outside the United States account for 9.2% of our assets under management at September 30, 2023, 8.9% at June 30, 2023, and 9.1% at December 31, 2022.</w:t>
      </w:r>
    </w:p>
    <w:p>
      <w:pPr>
        <w:spacing w:after="0" w:line="20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Assets under management in our target date retirement products, which are included in the multi-asset totals shown above, were $371.8 billion at September 30, 2023, compared with $380.0 billion at June 30, 2023 and $334.2 billion at December 31, 2022. Net flows into these portfolios were $2.9 billion and $12.8 billion in the three- and nine-month periods ended September 30, 2023.</w:t>
      </w:r>
    </w:p>
    <w:p>
      <w:pPr>
        <w:spacing w:after="0" w:line="2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provide strategic investment advice solutions for certain portfolios. These advice solutions, which the vast majority is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September 30, 2023, total assets in these solutions were $453 billion, of which $444 billion are included in our reported assets under management in the tables above.</w:t>
      </w:r>
    </w:p>
    <w:p>
      <w:pPr>
        <w:spacing w:after="0" w:line="21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provide participant accounting and plan administration for retirement plans that invest in the firm's U.S. mutual funds, collective investment trusts and funds outside of the firm's complex. As of September 30, 2023, our assets under administration were $234 billion, of which nearly $141 billion are assets we manage.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September 30, 2023. Past performance is no guarantee of future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68%</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88%</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75%</w:t>
            </w:r>
          </w:p>
        </w:tc>
      </w:tr>
      <w:tr>
        <w:trPr>
          <w:trHeight w:val="111"/>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56%</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76%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59%</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74%</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r>
      <w:tr>
        <w:trPr>
          <w:trHeight w:val="149"/>
        </w:trPr>
        <w:tc>
          <w:tcPr>
            <w:tcW w:w="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35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4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5"/>
        </w:trPr>
        <w:tc>
          <w:tcPr>
            <w:tcW w:w="20" w:type="dxa"/>
            <w:vAlign w:val="bottom"/>
            <w:shd w:val="clear" w:color="auto" w:fill="CCEEFF"/>
          </w:tcPr>
          <w:p>
            <w:pPr>
              <w:spacing w:after="0"/>
              <w:rPr>
                <w:sz w:val="15"/>
                <w:szCs w:val="15"/>
                <w:color w:val="auto"/>
              </w:rPr>
            </w:pPr>
          </w:p>
        </w:tc>
        <w:tc>
          <w:tcPr>
            <w:tcW w:w="44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83%</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87%</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86%</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58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years</w:t>
            </w:r>
          </w:p>
        </w:tc>
      </w:tr>
      <w:tr>
        <w:trPr>
          <w:trHeight w:val="213"/>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68%</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r>
      <w:tr>
        <w:trPr>
          <w:trHeight w:val="213"/>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165"/>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right="419"/>
              <w:spacing w:after="0"/>
              <w:rPr>
                <w:sz w:val="20"/>
                <w:szCs w:val="20"/>
                <w:color w:val="auto"/>
              </w:rPr>
            </w:pPr>
            <w:r>
              <w:rPr>
                <w:rFonts w:ascii="Arial" w:cs="Arial" w:eastAsia="Arial" w:hAnsi="Arial"/>
                <w:sz w:val="16"/>
                <w:szCs w:val="16"/>
                <w:color w:val="auto"/>
              </w:rPr>
              <w:t>1 year</w:t>
            </w:r>
          </w:p>
        </w:tc>
        <w:tc>
          <w:tcPr>
            <w:tcW w:w="10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12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 years</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Equity</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34%</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52%</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r>
      <w:tr>
        <w:trPr>
          <w:trHeight w:val="210"/>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46%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4" w:name="page25"/>
    <w:bookmarkEnd w:id="24"/>
    <w:p>
      <w:pPr>
        <w:ind w:right="140"/>
        <w:spacing w:after="0" w:line="233" w:lineRule="auto"/>
        <w:rPr>
          <w:sz w:val="20"/>
          <w:szCs w:val="20"/>
          <w:color w:val="auto"/>
        </w:rPr>
      </w:pPr>
      <w:r>
        <w:rPr>
          <w:rFonts w:ascii="Arial" w:cs="Arial" w:eastAsia="Arial" w:hAnsi="Arial"/>
          <w:sz w:val="18"/>
          <w:szCs w:val="18"/>
          <w:color w:val="auto"/>
        </w:rPr>
        <w:t>As of September 30, 2023, 74 of 125 (59.2%)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73%</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September 30, 2023 with an overall rating of 4 or 5 stars.</w:t>
      </w:r>
    </w:p>
    <w:p>
      <w:pPr>
        <w:spacing w:after="0" w:line="228"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investment performance reflects that of T. Rowe Price sponsored mutual funds and composites AUM and not of OHA’s products.</w:t>
      </w:r>
    </w:p>
    <w:p>
      <w:pPr>
        <w:ind w:firstLine="8"/>
        <w:spacing w:after="0" w:line="342" w:lineRule="auto"/>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Source: © 2023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60" w:firstLine="8"/>
        <w:spacing w:after="0" w:line="231" w:lineRule="auto"/>
        <w:tabs>
          <w:tab w:leader="none" w:pos="154" w:val="left"/>
        </w:tabs>
        <w:numPr>
          <w:ilvl w:val="0"/>
          <w:numId w:val="8"/>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3-, 5-, and 10-year track record that are outperforming the Morningstar category median. The bottom chart reflects the percentage of T. Rowe Price funds AUM that has outperformed for the time periods indicated. Total AUM included for this analysis includes $303B for 1 year, $303B for 3 years, $302B for 5 years, and $300B for 10 years.</w:t>
      </w:r>
    </w:p>
    <w:p>
      <w:pPr>
        <w:spacing w:after="0" w:line="1" w:lineRule="exact"/>
        <w:rPr>
          <w:rFonts w:ascii="Arial" w:cs="Arial" w:eastAsia="Arial" w:hAnsi="Arial"/>
          <w:sz w:val="17"/>
          <w:szCs w:val="17"/>
          <w:i w:val="1"/>
          <w:iCs w:val="1"/>
          <w:color w:val="auto"/>
          <w:vertAlign w:val="superscript"/>
        </w:rPr>
      </w:pPr>
    </w:p>
    <w:p>
      <w:pPr>
        <w:ind w:right="60" w:firstLine="8"/>
        <w:spacing w:after="0" w:line="232" w:lineRule="auto"/>
        <w:tabs>
          <w:tab w:leader="none" w:pos="154" w:val="left"/>
        </w:tabs>
        <w:numPr>
          <w:ilvl w:val="0"/>
          <w:numId w:val="8"/>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3-, 5-, and 10-year track record that are outperforming the passive peer universe. The bottom chart reflects the percentage of T. Rowe Price funds AUM that has outperformed for the time periods indicated. Total AUM included for this analysis includes $289B for 1 year, $256B for 3 years, $252B for 5 years, and $240B for 10 years.</w:t>
      </w:r>
    </w:p>
    <w:p>
      <w:pPr>
        <w:spacing w:after="0" w:line="2" w:lineRule="exact"/>
        <w:rPr>
          <w:rFonts w:ascii="Arial" w:cs="Arial" w:eastAsia="Arial" w:hAnsi="Arial"/>
          <w:sz w:val="17"/>
          <w:szCs w:val="17"/>
          <w:i w:val="1"/>
          <w:iCs w:val="1"/>
          <w:color w:val="auto"/>
          <w:vertAlign w:val="superscript"/>
        </w:rPr>
      </w:pPr>
    </w:p>
    <w:p>
      <w:pPr>
        <w:ind w:right="180"/>
        <w:spacing w:after="0" w:line="211" w:lineRule="auto"/>
        <w:rPr>
          <w:rFonts w:ascii="Arial" w:cs="Arial" w:eastAsia="Arial" w:hAnsi="Arial"/>
          <w:sz w:val="17"/>
          <w:szCs w:val="17"/>
          <w:i w:val="1"/>
          <w:iCs w:val="1"/>
          <w:color w:val="auto"/>
          <w:vertAlign w:val="superscript"/>
        </w:rPr>
      </w:pPr>
      <w:r>
        <w:rPr>
          <w:rFonts w:ascii="Arial" w:cs="Arial" w:eastAsia="Arial" w:hAnsi="Arial"/>
          <w:sz w:val="18"/>
          <w:szCs w:val="18"/>
          <w:i w:val="1"/>
          <w:iCs w:val="1"/>
          <w:color w:val="auto"/>
          <w:vertAlign w:val="superscript"/>
        </w:rPr>
        <w:t>(5)</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with the official GIPS composite primary benchmark. The top chart reflects the percentage of T. Rowe Price composites with 1-, 3-, 5-, and 10-year track record that are outperforming their benchmarks. The bottom chart reflects the percentage of T. Rowe Price composite AUM that has outperformed for the time periods indicated. Total AUM included for this analysis includes $1,185B for 1 year, $1,180B for 3 years, $1,174B for 5 years, and $1,133B for 10 years.</w:t>
      </w:r>
    </w:p>
    <w:p>
      <w:pPr>
        <w:ind w:right="100" w:firstLine="8"/>
        <w:spacing w:after="0" w:line="236" w:lineRule="auto"/>
        <w:tabs>
          <w:tab w:leader="none" w:pos="154"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6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three- and nine-month periods ended September 30, 2023 and 2022 on a U.S. GAAP basis and a non-GAAP basis. The non-GAAP basis adjusts for the impact of our consolidated sponsored investment products, the impact of market movements on the supplemental savings plan liability and related economic hedges, investment income related to certain other investments, acquisition-related amortization and costs, impairment charges, and certain nonrecurring charges and gains.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Q3 2023 vs. Q3 2022</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2023 vs. YTD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gridSpan w:val="5"/>
          </w:tcPr>
          <w:p>
            <w:pPr>
              <w:spacing w:after="0"/>
              <w:rPr>
                <w:sz w:val="20"/>
                <w:szCs w:val="20"/>
                <w:color w:val="auto"/>
              </w:rPr>
            </w:pPr>
            <w:r>
              <w:rPr>
                <w:rFonts w:ascii="Arial" w:cs="Arial" w:eastAsia="Arial" w:hAnsi="Arial"/>
                <w:sz w:val="13"/>
                <w:szCs w:val="13"/>
                <w:color w:val="auto"/>
              </w:rPr>
              <w:t>(in millions, except per-share data)</w:t>
            </w:r>
          </w:p>
        </w:tc>
        <w:tc>
          <w:tcPr>
            <w:tcW w:w="10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9/30/2023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w w:val="99"/>
              </w:rPr>
              <w:t>9/30/2022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4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9/30/2023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4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U.S. GAAP basis</w:t>
            </w:r>
          </w:p>
        </w:tc>
        <w:tc>
          <w:tcPr>
            <w:tcW w:w="15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6"/>
                <w:szCs w:val="16"/>
                <w:color w:val="auto"/>
              </w:rPr>
              <w:t>Investment advisory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1,463.9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1,442.0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4,286.5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4,600.8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(314.3)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5"/>
            <w:shd w:val="clear" w:color="auto" w:fill="CCEEFF"/>
          </w:tcPr>
          <w:p>
            <w:pPr>
              <w:spacing w:after="0" w:line="219" w:lineRule="exact"/>
              <w:rPr>
                <w:sz w:val="20"/>
                <w:szCs w:val="20"/>
                <w:color w:val="auto"/>
              </w:rPr>
            </w:pPr>
            <w:r>
              <w:rPr>
                <w:rFonts w:ascii="Arial" w:cs="Arial" w:eastAsia="Arial" w:hAnsi="Arial"/>
                <w:sz w:val="16"/>
                <w:szCs w:val="16"/>
                <w:color w:val="auto"/>
              </w:rPr>
              <w:t>Capital allocation-based income</w:t>
            </w:r>
            <w:r>
              <w:rPr>
                <w:rFonts w:ascii="Arial" w:cs="Arial" w:eastAsia="Arial" w:hAnsi="Arial"/>
                <w:sz w:val="21"/>
                <w:szCs w:val="21"/>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80" w:type="dxa"/>
            <w:vAlign w:val="bottom"/>
            <w:shd w:val="clear" w:color="auto" w:fill="CCEEFF"/>
          </w:tcPr>
          <w:p>
            <w:pPr>
              <w:spacing w:after="0"/>
              <w:rPr>
                <w:sz w:val="19"/>
                <w:szCs w:val="19"/>
                <w:color w:val="auto"/>
              </w:rPr>
            </w:pPr>
          </w:p>
        </w:tc>
        <w:tc>
          <w:tcPr>
            <w:tcW w:w="1140" w:type="dxa"/>
            <w:vAlign w:val="bottom"/>
            <w:tcBorders>
              <w:right w:val="single" w:sz="8" w:color="auto"/>
            </w:tcBorders>
            <w:gridSpan w:val="2"/>
            <w:shd w:val="clear" w:color="auto" w:fill="CCEEFF"/>
          </w:tcPr>
          <w:p>
            <w:pPr>
              <w:ind w:left="74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6"/>
                <w:szCs w:val="16"/>
                <w:color w:val="auto"/>
              </w:rPr>
              <w:t>Net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1,670.7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1,588.2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82.5</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4,818.5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4,964.2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6"/>
                <w:szCs w:val="16"/>
                <w:color w:val="auto"/>
              </w:rPr>
              <w:t>Net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581.3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574.6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1,599.0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(521.6)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80" w:type="dxa"/>
            <w:vAlign w:val="bottom"/>
            <w:shd w:val="clear" w:color="auto" w:fill="CCEEFF"/>
          </w:tcPr>
          <w:p>
            <w:pPr>
              <w:spacing w:after="0"/>
              <w:rPr>
                <w:sz w:val="19"/>
                <w:szCs w:val="19"/>
                <w:color w:val="auto"/>
              </w:rPr>
            </w:pPr>
          </w:p>
        </w:tc>
        <w:tc>
          <w:tcPr>
            <w:tcW w:w="1140" w:type="dxa"/>
            <w:vAlign w:val="bottom"/>
            <w:tcBorders>
              <w:right w:val="single" w:sz="8" w:color="auto"/>
            </w:tcBorders>
            <w:gridSpan w:val="2"/>
            <w:shd w:val="clear" w:color="auto" w:fill="CCEEFF"/>
          </w:tcPr>
          <w:p>
            <w:pPr>
              <w:ind w:left="74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805.6</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gridSpan w:val="5"/>
          </w:tcPr>
          <w:p>
            <w:pPr>
              <w:spacing w:after="0" w:line="165" w:lineRule="exact"/>
              <w:rPr>
                <w:sz w:val="20"/>
                <w:szCs w:val="20"/>
                <w:color w:val="auto"/>
              </w:rPr>
            </w:pPr>
            <w:r>
              <w:rPr>
                <w:rFonts w:ascii="Arial" w:cs="Arial" w:eastAsia="Arial" w:hAnsi="Arial"/>
                <w:sz w:val="16"/>
                <w:szCs w:val="16"/>
                <w:color w:val="auto"/>
              </w:rPr>
              <w:t>Net income attributable to T. Rowe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384.4</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68.8</w:t>
            </w:r>
          </w:p>
        </w:tc>
        <w:tc>
          <w:tcPr>
            <w:tcW w:w="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17.9 %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1,351.1</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1,291.9</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59.2</w:t>
            </w: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6"/>
                <w:szCs w:val="16"/>
                <w:color w:val="auto"/>
              </w:rPr>
              <w:t>Price</w:t>
            </w:r>
          </w:p>
        </w:tc>
        <w:tc>
          <w:tcPr>
            <w:tcW w:w="1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gridSpan w:val="5"/>
          </w:tcPr>
          <w:p>
            <w:pPr>
              <w:spacing w:after="0" w:line="165" w:lineRule="exact"/>
              <w:rPr>
                <w:sz w:val="20"/>
                <w:szCs w:val="20"/>
                <w:color w:val="auto"/>
              </w:rPr>
            </w:pPr>
            <w:r>
              <w:rPr>
                <w:rFonts w:ascii="Arial" w:cs="Arial" w:eastAsia="Arial" w:hAnsi="Arial"/>
                <w:sz w:val="16"/>
                <w:szCs w:val="16"/>
                <w:color w:val="auto"/>
              </w:rPr>
              <w:t>Weighted average common shares</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226.3</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228.0</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6"/>
                <w:szCs w:val="16"/>
                <w:color w:val="auto"/>
              </w:rPr>
              <w:t>outstanding assuming dilution</w:t>
            </w: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6"/>
                <w:szCs w:val="16"/>
                <w:color w:val="auto"/>
              </w:rPr>
              <w:t>Net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573.7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1,760.5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1,991.4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(230.9)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19"/>
                <w:szCs w:val="19"/>
                <w:color w:val="auto"/>
              </w:rPr>
            </w:pPr>
          </w:p>
        </w:tc>
        <w:tc>
          <w:tcPr>
            <w:tcW w:w="1140" w:type="dxa"/>
            <w:vAlign w:val="bottom"/>
            <w:tcBorders>
              <w:right w:val="single" w:sz="8" w:color="auto"/>
            </w:tcBorders>
            <w:gridSpan w:val="2"/>
            <w:shd w:val="clear" w:color="auto" w:fill="CCEEFF"/>
          </w:tcPr>
          <w:p>
            <w:pPr>
              <w:ind w:left="74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gridSpan w:val="5"/>
          </w:tcPr>
          <w:p>
            <w:pPr>
              <w:spacing w:after="0" w:line="165" w:lineRule="exact"/>
              <w:rPr>
                <w:sz w:val="20"/>
                <w:szCs w:val="20"/>
                <w:color w:val="auto"/>
              </w:rPr>
            </w:pPr>
            <w:r>
              <w:rPr>
                <w:rFonts w:ascii="Arial" w:cs="Arial" w:eastAsia="Arial" w:hAnsi="Arial"/>
                <w:sz w:val="16"/>
                <w:szCs w:val="16"/>
                <w:color w:val="auto"/>
              </w:rPr>
              <w:t>Net income attributable to T. Rowe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499.5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430.6</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68.9</w:t>
            </w:r>
          </w:p>
        </w:tc>
        <w:tc>
          <w:tcPr>
            <w:tcW w:w="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16.0 %</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1,355.4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1,465.2</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(109.8)</w:t>
            </w: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6"/>
                <w:szCs w:val="16"/>
                <w:color w:val="auto"/>
              </w:rPr>
              <w:t>Price</w:t>
            </w:r>
          </w:p>
        </w:tc>
        <w:tc>
          <w:tcPr>
            <w:tcW w:w="1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90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6"/>
                <w:szCs w:val="16"/>
                <w:color w:val="auto"/>
              </w:rPr>
              <w:t>Average assets under management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1,393.6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1,347.5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1,437.1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Ending assets under management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5" w:lineRule="exact"/>
        <w:rPr>
          <w:rFonts w:ascii="Arial" w:cs="Arial" w:eastAsia="Arial" w:hAnsi="Arial"/>
          <w:sz w:val="9"/>
          <w:szCs w:val="9"/>
          <w:i w:val="1"/>
          <w:iCs w:val="1"/>
          <w:color w:val="auto"/>
        </w:rPr>
      </w:pPr>
    </w:p>
    <w:p>
      <w:pPr>
        <w:ind w:left="140" w:hanging="132"/>
        <w:spacing w:after="0" w:line="228"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Capital allocation-based income represents the change in accrued carried interest.</w:t>
      </w:r>
    </w:p>
    <w:p>
      <w:pPr>
        <w:spacing w:after="0" w:line="3" w:lineRule="exact"/>
        <w:rPr>
          <w:rFonts w:ascii="Arial" w:cs="Arial" w:eastAsia="Arial" w:hAnsi="Arial"/>
          <w:sz w:val="16"/>
          <w:szCs w:val="16"/>
          <w:i w:val="1"/>
          <w:iCs w:val="1"/>
          <w:color w:val="auto"/>
          <w:vertAlign w:val="superscript"/>
        </w:rPr>
      </w:pPr>
    </w:p>
    <w:p>
      <w:pPr>
        <w:ind w:left="140" w:hanging="132"/>
        <w:spacing w:after="0" w:line="224"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September 30, 2023</w:t>
      </w:r>
    </w:p>
    <w:p>
      <w:pPr>
        <w:spacing w:after="0" w:line="25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 -based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90% of our net revenues are related to investment advisory fees. Total net revenues were $1,670.7 million in the third quarter of 2023, a 5.2% increase compared with $1,588.2 million in the third quarter of 2022. The increase was primarily driven by a $65.0 million increase in accrued carried interest from investments in affiliated investment funds and a 1.5% increase in investment advisory fee revenue as higher overall markets increased average assets under management by 3.4%.</w:t>
      </w:r>
    </w:p>
    <w:p>
      <w:pPr>
        <w:spacing w:after="0" w:line="2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and share classes, price changes in existing products, and asset level changes in products with tiered-fee structures.</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the affiliated funds, assuming the funds’ underlying investments were realized as of the end of the period, regardless of whether the funds’ underlying investments have been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p>
      <w:pPr>
        <w:ind w:right="400"/>
        <w:spacing w:after="0" w:line="313" w:lineRule="auto"/>
        <w:rPr>
          <w:sz w:val="20"/>
          <w:szCs w:val="20"/>
          <w:color w:val="auto"/>
        </w:rPr>
      </w:pPr>
      <w:r>
        <w:rPr>
          <w:rFonts w:ascii="Arial" w:cs="Arial" w:eastAsia="Arial" w:hAnsi="Arial"/>
          <w:sz w:val="17"/>
          <w:szCs w:val="17"/>
          <w:i w:val="1"/>
          <w:iCs w:val="1"/>
          <w:u w:val="single" w:color="auto"/>
          <w:color w:val="auto"/>
        </w:rPr>
        <w:t>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on a U.S. GAAP basis were $1,089.4 million in the third quarter of 2023, a 7.5% increase over over the comparable</w:t>
      </w:r>
      <w:r>
        <w:rPr>
          <w:rFonts w:ascii="Arial" w:cs="Arial" w:eastAsia="Arial" w:hAnsi="Arial"/>
          <w:sz w:val="17"/>
          <w:szCs w:val="17"/>
          <w:i w:val="1"/>
          <w:iCs w:val="1"/>
          <w:color w:val="auto"/>
        </w:rPr>
        <w:t xml:space="preserve"> </w:t>
      </w:r>
      <w:r>
        <w:rPr>
          <w:rFonts w:ascii="Arial" w:cs="Arial" w:eastAsia="Arial" w:hAnsi="Arial"/>
          <w:sz w:val="17"/>
          <w:szCs w:val="17"/>
          <w:color w:val="auto"/>
        </w:rPr>
        <w:t>2022 period. On a non-GAAP basis, operating expenses were $1,061.3 million, a 3.2% increase over the comparable 2022 period.</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comparison to the third quarter of 2022, about 50% of the increase in U.S. GAAP operating expenses is driven by no change in the contingent consideration liability and a smaller decrease in supplemental savings plan liability in the third quarter of 2023, compared to a decrease in the contingent consideration liability and a more significant decline in the supplemental savings plan liability in the 2022 period.</w:t>
      </w:r>
    </w:p>
    <w:p>
      <w:pPr>
        <w:spacing w:after="0" w:line="211" w:lineRule="exact"/>
        <w:rPr>
          <w:sz w:val="20"/>
          <w:szCs w:val="20"/>
          <w:color w:val="auto"/>
        </w:rPr>
      </w:pPr>
    </w:p>
    <w:p>
      <w:pPr>
        <w:jc w:val="both"/>
        <w:ind w:right="280"/>
        <w:spacing w:after="0" w:line="258" w:lineRule="auto"/>
        <w:rPr>
          <w:sz w:val="20"/>
          <w:szCs w:val="20"/>
          <w:color w:val="auto"/>
        </w:rPr>
      </w:pPr>
      <w:r>
        <w:rPr>
          <w:rFonts w:ascii="Arial" w:cs="Arial" w:eastAsia="Arial" w:hAnsi="Arial"/>
          <w:sz w:val="18"/>
          <w:szCs w:val="18"/>
          <w:color w:val="auto"/>
        </w:rPr>
        <w:t>Also contributing to the increase in U.S. GAAP operating expenses and the primary drivers of non-GAAP operating expenses were higher salaries and related benefits, including severance related to the July work-force action, and an increase in accrued carried interest-related compensation along with higher costs associated with ongoing investments in our technology capabilities. These increases were partially offset by lower general, administrative and other costs due to a non-recurring recovery of costs that were incurred in Q3 2022.</w:t>
      </w:r>
    </w:p>
    <w:p>
      <w:pPr>
        <w:spacing w:after="0" w:line="21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2023 was 34.8% on a U.S. GAAP basis, compared to 36.2% earned in the 2022 quarter.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our U.S. GAAP operating margin for the third quarter of 2023 compared to the 2022 period was primarily driven by operating expense growth outpacing net revenue growth. The drivers of operating expense growth are further discussed above.</w:t>
      </w:r>
    </w:p>
    <w:p>
      <w:pPr>
        <w:spacing w:after="0" w:line="20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$1.97 for the third quarter of 2023 as compared to $1.66 for the third quarter of 2022.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net investment gains recognized in the third quarter of 2023 as compared to net investment losses recognized in the third quarter of 2022, as market returns in the third quarter of 2023 were stronger than those in the 2022 period. These gains were partially offset by higher tax rate.</w:t>
      </w:r>
    </w:p>
    <w:p>
      <w:pPr>
        <w:spacing w:after="0" w:line="21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On a non-GAAP basis, diluted earnings per share was $2.17 for the third quarter of 2023 as compared to $1.86 for the third quarter of 2022. The increase is largely attributable to higher adjusted operating income in the third quarter of 2023 as well as net investment gains recognized on our cash investment strategy as compared to net investment losses recognized in the third quarter of 2022. These increases were partially offset by a higher effective tax rate compared to the 2022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Year-to-Date ended September 30, 2023</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90% of our net revenues for the nine months ended September 30, 2023 are related to investment advisory fees. Total net revenues were $4,818.5 million in the nine months ended September 30, 2023, a 2.9% decrease compared with $4,964.2 million in the 2022 period. The decrease was primarily driven by a 6.8% decline in investment advisory fee revenue as average assets under management declined by 5.5%. This decrease was partially offset by a $202.5 million increase in accrued carried interest from investments in affiliated investment funds. The change in accrued carried interest in the nine months ended September 30, 2023 increased net revenues by $121.7 million compared with an $80.8 million reduction in the 2022 period.</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$3,219.5 million in the nine months ended September 30, 2023 compared with $2,843.6 million in the 2022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 a non-GAAP basis, our operating expenses for the nine months ended September 30, 2023 increased 3.2% to $3,110.0 million compared to the 2022 period.</w:t>
      </w:r>
    </w:p>
    <w:p>
      <w:pPr>
        <w:spacing w:after="0" w:line="20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comparison to the nine months ended September 30, 2022, about 60% of the increase in U.S. GAAP operating expenses was due to the increase in the supplemental savings plan liability in the nine months ended September 30, 2023, compared to a significant decrease in the supplemental savings plan liability in the 2022 period.</w:t>
      </w:r>
    </w:p>
    <w:p>
      <w:pPr>
        <w:spacing w:after="0" w:line="21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Also contributing to the increase in U.S GAAP operating expenses and the primary drivers of non-GAAP operating expenses were higher accrued carried interest-related compensation along with higher salaries and related benefits including severance and higher costs related to the ongoing investments in our technology capabilities. These increases were partially offset by lower distribution and servicing costs due to lower average assets under management, lower employee-related costs, including stock-based compensation expense and lower general, administrative and other costs.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27" w:name="page28"/>
    <w:bookmarkEnd w:id="27"/>
    <w:p>
      <w:pPr>
        <w:spacing w:after="0" w:line="266"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nine months ended September 30, 2023 was 33.2%, compared to 42.7% earned in the 2022 period.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operating margin for the nine months ended September 30, 2023 compared to the 2022 period was primarily driven by operating expense growth outpacing net revenue growth. The drivers of operating expense growth are discussed above.</w:t>
      </w:r>
    </w:p>
    <w:p>
      <w:pPr>
        <w:spacing w:after="0" w:line="20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$5.86 for the nine months ended September 30, 2023 as compared to $5.54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5.8% increase was primarily driven by net investment gains of $244.4 million recognized in the nine months ended September 30, 2023, as compared to net investment losses of $561.2 million recognized in the comparable 2022 period, as market returns in the 2023 year-to-date period were stronger than those in the 2022 period. Lower average shares outstanding also contributed to the increase. These increases were partially offset by lower operating income and a higher effective tax rate.</w:t>
      </w:r>
    </w:p>
    <w:p>
      <w:pPr>
        <w:spacing w:after="0" w:line="21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On a non-GAAP basis, adjusted diluted earnings per share was $5.88 for the nine months ended September 30, 2023 as compared to $ 6.28 for the 2022 period. The 6.4% decrease was largely attributable to lower adjusted operating income as well as a higher effective tax rate in the nine months ended September 30, 2023. These decreases were offset slightly by net investment gains recognized on our cash investment strategy compared to net losses in the 2022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4"/>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Q3 2023 vs. Q3 2022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gridSpan w:val="4"/>
            <w:shd w:val="clear" w:color="auto" w:fill="CCEEFF"/>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YTD 2023 vs. YTD 2022</w:t>
            </w:r>
          </w:p>
        </w:tc>
        <w:tc>
          <w:tcPr>
            <w:tcW w:w="0" w:type="dxa"/>
            <w:vAlign w:val="bottom"/>
          </w:tcPr>
          <w:p>
            <w:pPr>
              <w:spacing w:after="0"/>
              <w:rPr>
                <w:sz w:val="1"/>
                <w:szCs w:val="1"/>
                <w:color w:val="auto"/>
              </w:rPr>
            </w:pPr>
          </w:p>
        </w:tc>
      </w:tr>
      <w:tr>
        <w:trPr>
          <w:trHeight w:val="195"/>
        </w:trPr>
        <w:tc>
          <w:tcPr>
            <w:tcW w:w="19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900" w:type="dxa"/>
            <w:vAlign w:val="bottom"/>
          </w:tcPr>
          <w:p>
            <w:pPr>
              <w:jc w:val="right"/>
              <w:ind w:right="140"/>
              <w:spacing w:after="0"/>
              <w:rPr>
                <w:sz w:val="20"/>
                <w:szCs w:val="20"/>
                <w:color w:val="auto"/>
              </w:rPr>
            </w:pPr>
            <w:r>
              <w:rPr>
                <w:rFonts w:ascii="Arial" w:cs="Arial" w:eastAsia="Arial" w:hAnsi="Arial"/>
                <w:sz w:val="14"/>
                <w:szCs w:val="14"/>
                <w:b w:val="1"/>
                <w:bCs w:val="1"/>
                <w:color w:val="auto"/>
              </w:rPr>
              <w:t>9/30/2023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240" w:type="dxa"/>
            <w:vAlign w:val="bottom"/>
            <w:tcBorders>
              <w:right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Arial" w:cs="Arial" w:eastAsia="Arial" w:hAnsi="Arial"/>
                <w:sz w:val="14"/>
                <w:szCs w:val="14"/>
                <w:b w:val="1"/>
                <w:bCs w:val="1"/>
                <w:color w:val="auto"/>
              </w:rPr>
              <w:t>9/30/2023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12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3"/>
        </w:trPr>
        <w:tc>
          <w:tcPr>
            <w:tcW w:w="19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Investment advisory</w:t>
            </w: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fees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tcPr>
          <w:p>
            <w:pPr>
              <w:ind w:left="140"/>
              <w:spacing w:after="0"/>
              <w:rPr>
                <w:sz w:val="20"/>
                <w:szCs w:val="20"/>
                <w:color w:val="auto"/>
              </w:rPr>
            </w:pPr>
            <w:r>
              <w:rPr>
                <w:rFonts w:ascii="Arial" w:cs="Arial" w:eastAsia="Arial" w:hAnsi="Arial"/>
                <w:sz w:val="16"/>
                <w:szCs w:val="16"/>
                <w:color w:val="auto"/>
              </w:rPr>
              <w:t>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885.0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897.0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2,581.2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2,924.0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(342.8)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190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Capital allocation-</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2"/>
                <w:szCs w:val="12"/>
                <w:color w:val="auto"/>
              </w:rPr>
            </w:pPr>
          </w:p>
        </w:tc>
        <w:tc>
          <w:tcPr>
            <w:tcW w:w="1240" w:type="dxa"/>
            <w:vAlign w:val="bottom"/>
            <w:tcBorders>
              <w:right w:val="single" w:sz="8" w:color="auto"/>
            </w:tcBorders>
            <w:gridSpan w:val="2"/>
            <w:vMerge w:val="restart"/>
            <w:shd w:val="clear" w:color="auto" w:fill="CCEEFF"/>
          </w:tcPr>
          <w:p>
            <w:pPr>
              <w:ind w:left="84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based income</w:t>
            </w: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Administrative,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distribution, and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0"/>
              <w:spacing w:after="0"/>
              <w:rPr>
                <w:sz w:val="20"/>
                <w:szCs w:val="20"/>
                <w:color w:val="auto"/>
              </w:rPr>
            </w:pPr>
            <w:r>
              <w:rPr>
                <w:rFonts w:ascii="Arial" w:cs="Arial" w:eastAsia="Arial" w:hAnsi="Arial"/>
                <w:sz w:val="16"/>
                <w:szCs w:val="16"/>
                <w:b w:val="1"/>
                <w:bCs w:val="1"/>
                <w:color w:val="auto"/>
              </w:rPr>
              <w:t>servicing fees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 fees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5"/>
        </w:trPr>
        <w:tc>
          <w:tcPr>
            <w:tcW w:w="1900" w:type="dxa"/>
            <w:vAlign w:val="bottom"/>
          </w:tcPr>
          <w:p>
            <w:pPr>
              <w:ind w:left="140"/>
              <w:spacing w:after="0" w:line="165" w:lineRule="exact"/>
              <w:rPr>
                <w:sz w:val="20"/>
                <w:szCs w:val="20"/>
                <w:color w:val="auto"/>
              </w:rPr>
            </w:pPr>
            <w:r>
              <w:rPr>
                <w:rFonts w:ascii="Arial" w:cs="Arial" w:eastAsia="Arial" w:hAnsi="Arial"/>
                <w:sz w:val="16"/>
                <w:szCs w:val="16"/>
                <w:color w:val="auto"/>
              </w:rPr>
              <w:t>Distribution and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servicing fees</w:t>
            </w:r>
          </w:p>
        </w:tc>
        <w:tc>
          <w:tcPr>
            <w:tcW w:w="1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190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Average assets under</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00" w:type="dxa"/>
            <w:vAlign w:val="bottom"/>
          </w:tcPr>
          <w:p>
            <w:pPr>
              <w:ind w:left="20"/>
              <w:spacing w:after="0" w:line="171" w:lineRule="exact"/>
              <w:rPr>
                <w:sz w:val="20"/>
                <w:szCs w:val="20"/>
                <w:color w:val="auto"/>
              </w:rPr>
            </w:pPr>
            <w:r>
              <w:rPr>
                <w:rFonts w:ascii="Arial" w:cs="Arial" w:eastAsia="Arial" w:hAnsi="Arial"/>
                <w:sz w:val="16"/>
                <w:szCs w:val="16"/>
                <w:b w:val="1"/>
                <w:bCs w:val="1"/>
                <w:color w:val="auto"/>
              </w:rPr>
              <w:t>management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3"/>
        </w:trPr>
        <w:tc>
          <w:tcPr>
            <w:tcW w:w="1900" w:type="dxa"/>
            <w:vAlign w:val="bottom"/>
          </w:tcPr>
          <w:p>
            <w:pPr>
              <w:ind w:left="140"/>
              <w:spacing w:after="0"/>
              <w:rPr>
                <w:sz w:val="20"/>
                <w:szCs w:val="20"/>
                <w:color w:val="auto"/>
              </w:rPr>
            </w:pPr>
            <w:r>
              <w:rPr>
                <w:rFonts w:ascii="Arial" w:cs="Arial" w:eastAsia="Arial" w:hAnsi="Arial"/>
                <w:sz w:val="16"/>
                <w:szCs w:val="16"/>
                <w:color w:val="auto"/>
              </w:rPr>
              <w:t>Fixed income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Multi-asset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3"/>
        </w:trPr>
        <w:tc>
          <w:tcPr>
            <w:tcW w:w="1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Alternatives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145"/>
        </w:trPr>
        <w:tc>
          <w:tcPr>
            <w:tcW w:w="190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Average assets under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1,393.6</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1,347.5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1,358.2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1,437.1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management</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Investment advisory</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annualized effective fee</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rate</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 bps)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Investment advisory fees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Investment advisory revenues earned in the third quarter of 2023 increased 1.5% over the comparable 2022 quarter as average assets under management increased $46.1 billion or 3.4%, to $1,393.6 billion. For the nine months ended September 30, 2023, investment advisory revenues decreased 6.8% over the comparable 2022 period as average assets under management decreased $78.9 billion, or 5.5%, to $1,358.2 billion.</w:t>
      </w: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the nine months ended September 30, 2022, we voluntarily waived $9.3 million, or less than 1%, of our investment advisory fees. We have not waived money market investment advisory fees since second quarter of 2022.</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decline in our investment advisory average annualized effective fee rate to 41.7 bps in Q3 2023 and 42.2 bps for year-to-date 2023 was primarily driven by a mix shift in assets under management toward lower fee asset classes and vehicles as a result of net equity outflows over the last twelve months. For Q3 2023, the impact of net equity outflows was offset slightly by higher market returns during the same period.</w:t>
      </w:r>
    </w:p>
    <w:p>
      <w:pPr>
        <w:spacing w:after="0" w:line="21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2023 were $140.7 million, a decrease of $4.4 million, or 3.0%,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2022 quarter. The decrease in the third quarter of 2023 is primarily due to lower transfer agent servicing activities provided to the T. Rowe Price mutual funds.</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nine months ended September 30, 2023, these fees were $410.3 million, a decrease of $33.9 million, or 7.6%, from the 2022 period. The decrease in the nine months ended September 30, 2023 was primarily due to lower transfer agent servicing activities provided to the T. Rowe Price mutual funds and lower 12b-1 revenue as a result of lower assets under management in the related U.S. mutual fund share classes. These lower 12b-1 revenues are offset by decreases in the costs incurred with third-party intermediaries who distribute these share classes.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sponsored investment products. The corresponding expenses recognized by these products, and consolidated in our financial statements, were also eliminated from operating expenses. For the third quarter, we eliminated net revenue of $0.7 million in 2023 and $0.5 million in 2022. For the nine months ended September 30, we eliminated net revenue of $1.6 million in 2023 and $2.1 million in 2022.</w:t>
      </w:r>
    </w:p>
    <w:p>
      <w:pPr>
        <w:spacing w:after="0" w:line="21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2023 increased net revenues by $66.1 million. The third quarter of 2023 amount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an increase of $91.9 million in accrued carried interest from investments in affiliated investment funds, partially offset by $25.8 million in non-cash acquisition-related amortization and impairments. Comparatively, capital allocation-based income in the third quarter of 2022 increased net revenues by $1.1 million, which consists of market-related increases of accrued carried interest from investments in affiliated investment funds of $14.3 million offset by $13.2 million in non-cash amortization. The increase in accrued carried interest in the 2023 quarter as compared to the 2022 quarter was largely driven by stronger absolute and relative performance.</w:t>
      </w:r>
    </w:p>
    <w:p>
      <w:pPr>
        <w:spacing w:after="0" w:line="22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For the nine months ended September 30, 2023, capital allocation-based income increased net revenues by $121.7 million. This amount represents an increase of $172.1 million in accrued carried interest from investments in affiliated investment funds, partially offset by $50.4 million in non-cash acquisition-related amortization and impairments. Comparatively, capital allocation-based income reduced net revenues for the nine months ended September 30, 2022 by $80.8 million. This amount represents $41.1 million in market-related reductions of accrued carried interest from investments in affiliated investment funds plus $39.7 million in non-cash acquisition-related amortization.</w:t>
      </w:r>
    </w:p>
    <w:p>
      <w:pPr>
        <w:spacing w:after="0" w:line="203"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is recognized in compensation and related costs with the unpaid amount reported as non-controlling interest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4"/>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Q3 2023 vs. Q3 2022</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YTD 2023 vs. YTD 2022</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4"/>
                <w:szCs w:val="14"/>
                <w:b w:val="1"/>
                <w:bCs w:val="1"/>
                <w:color w:val="auto"/>
                <w:w w:val="99"/>
              </w:rPr>
              <w:t>9/30/2023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9/30/2023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auto"/>
              </w:rPr>
              <w:t>9/30/2022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6"/>
        </w:trPr>
        <w:tc>
          <w:tcPr>
            <w:tcW w:w="298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6"/>
                <w:szCs w:val="16"/>
                <w:color w:val="auto"/>
              </w:rPr>
              <w:t>Compensation, benefits and related</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617.0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595.6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1,801.3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1,781.3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Acquisition-related retention agreements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Capital allocation-based income</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4"/>
                <w:szCs w:val="14"/>
                <w:color w:val="auto"/>
              </w:rPr>
            </w:pPr>
          </w:p>
        </w:tc>
        <w:tc>
          <w:tcPr>
            <w:tcW w:w="1100" w:type="dxa"/>
            <w:vAlign w:val="bottom"/>
            <w:tcBorders>
              <w:right w:val="single" w:sz="8" w:color="auto"/>
            </w:tcBorders>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line="216" w:lineRule="exact"/>
              <w:rPr>
                <w:sz w:val="20"/>
                <w:szCs w:val="20"/>
                <w:color w:val="auto"/>
              </w:rPr>
            </w:pPr>
            <w:r>
              <w:rPr>
                <w:rFonts w:ascii="Arial" w:cs="Arial" w:eastAsia="Arial" w:hAnsi="Arial"/>
                <w:sz w:val="16"/>
                <w:szCs w:val="16"/>
                <w:color w:val="auto"/>
              </w:rPr>
              <w:t>Supplemental savings plan</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ind w:left="70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compensation and related costs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0" w:type="dxa"/>
            <w:vAlign w:val="bottom"/>
          </w:tcPr>
          <w:p>
            <w:pPr>
              <w:spacing w:after="0"/>
              <w:rPr>
                <w:sz w:val="1"/>
                <w:szCs w:val="1"/>
                <w:color w:val="auto"/>
              </w:rPr>
            </w:pPr>
          </w:p>
        </w:tc>
      </w:tr>
      <w:tr>
        <w:trPr>
          <w:trHeight w:val="207"/>
        </w:trPr>
        <w:tc>
          <w:tcPr>
            <w:tcW w:w="298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Product and recordkeeping related costs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Technology, occupancy, and facility</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68"/>
        </w:trPr>
        <w:tc>
          <w:tcPr>
            <w:tcW w:w="29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Change in fair value of contingent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consideration</w:t>
            </w: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Acquisition-related amortization</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42.1 %</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$617.0 million in the third quarter of 2023, an increase of $21.4 million, or 3.6%,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2022 quarter. The increase was primarily due to higher salaries and related benefits, including severance related to the July work-force action in the third quarter of 2023. These increases were partially offset by higher labor capitalization and lower stock-based compensation in the third quarter of 2023.</w:t>
      </w:r>
    </w:p>
    <w:p>
      <w:pPr>
        <w:spacing w:after="0" w:line="21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For the nine months ended September 30, 2023, these costs were $1,801.3 million, an increase of $20.0 million, or 1.1%, compared to the 2022 period. The increase in the nine months ended September 30, 2023 was primarily due to higher salaries and related benefits, resulting from base salary increases in July 2022 and January 2023, and severance related to the July work-force actions. These increases were offset by lower stock-based compensation expense, lower temporary personnel, and higher labor capitalization.</w:t>
      </w:r>
    </w:p>
    <w:p>
      <w:pPr>
        <w:spacing w:after="0" w:line="217"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The firm employed 7,842 associates at September 30, 2023, a decrease of 0.3% from the end of 2022, and a decrease of 1.9% from September 30, 2022.</w:t>
      </w:r>
    </w:p>
    <w:p>
      <w:pPr>
        <w:spacing w:after="0" w:line="195"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$74.9 million for the third quarter of 2023, an increase of $5.0 million, or 7.2%, from the $69.9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2022 quarter. The increase from 2022 was primarily driven by higher costs incurred to distribute certain products through certain U.S. intermediaries.</w:t>
      </w:r>
    </w:p>
    <w:p>
      <w:pPr>
        <w:spacing w:after="0" w:line="20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nine months ended September 30, 2023, these costs were $214.2 million, a decrease of $ 17.3 million, or 7.5%, compared with the 2022 period. The decrease in the nine months ended September 30, 2023 was primarily driven by lower average assets under management in certain U.S. mutual fund and SICAV share classes.</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costs in this expense category primarily include amounts paid to third-party intermediaries that source the assets of certain share classes of our U.S. mutual funds and our international products, such as our Japanese ITMs and SICAVs. These costs are offset entirely by the distribution revenue we earn and report in net revenues: 12b-1 revenue is recognized in administrative, distribution, and servicing fees for the Advisor and R share classes of the U.S. mutual funds and investment advisory fee revenue for our international products.</w:t>
      </w:r>
    </w:p>
    <w:p>
      <w:pPr>
        <w:spacing w:after="0" w:line="211"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i w:val="1"/>
          <w:iCs w:val="1"/>
          <w:u w:val="single" w:color="auto"/>
          <w:color w:val="auto"/>
        </w:rPr>
        <w:t>Advertising and promotion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$21.1 million in the third quarter of 2023, a decrease of $3.2 million, or 13.2%, compared to the $24.3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recognized in the 2022 quarter. For the nine months ended September 30, 2023, these costs were $69.8 million, an increase of $0.7 million, or 1.0%, compared with the 2022 period.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p>
      <w:pPr>
        <w:spacing w:after="0" w:line="250"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$73.1 million in the third quarter of 2023, a decrease of $2.5 million, or 3.3%,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$75.6 million in the 2022 quarter. For the nine months ended September 30, 2023, these costs were $222.9 million, a decrease of $9.4 million, or 4.0%, compared with the 2022 period. The decrease in both periods were primarily due to lower recordkeeping related costs. </w:t>
      </w: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$159.7 million in the third quarter of 2023, an increase of $ 16.1 million, or 11.2%,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$143.6 million recognized in the 2022 quarter. For the nine months ended September 30, 2023, these costs were $461.0 million, an increase of $49.2 million, or 11.9%, compared with the 2022 period. The increase for both periods was primarily related to higher costs from the firm's ongoing investment in its technology capabilities, including hosted solution licenses and depreciation. The nine months ended was also impacted by increased office facility costs, mainly related to rent expense associated with a new London office that has been recognizing throughout the year, and that we began occupying in late September.</w:t>
      </w:r>
    </w:p>
    <w:p>
      <w:pPr>
        <w:spacing w:after="0" w:line="22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$85.7 million in the third quarter of 2023, a decrease of $29.2 million, or 25.4%,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$114.9 million recognized in the 2022 quarter. For the nine months ended September 30, 2023, these costs were $ 293.2 million, a decrease of $16.9 million, or 5.4%, compared with the 2022 period. The decrease in both periods were primarily due to a non-recurring recovery of costs that were incurred in Q3 2022 that more than offset increases in professional fees and information services.</w:t>
      </w:r>
    </w:p>
    <w:p>
      <w:pPr>
        <w:spacing w:after="0" w:line="20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Change in fair value of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our contingent consideration relates to an earnout arrangement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acquisition of OHA in which additional purchase price may be due upon satisfying or exceeding certain defined revenue targets. Every reporting period, we record the potential amount due under this arrangement at fair value. For the three months ended, there was no change in the fair value of the contingent consideration liability at September 30, 2023, while in 2022 the liability was reduced by $29.9 million. During the nine months ended September 30, 2023 and 2022, we recognized reductions in the fair value of the contingent consideration liability of $72.8 million and $125.7 million, respectively. Challenging market conditions have reduced revenue expectations used in the fair value determinations.</w:t>
      </w:r>
    </w:p>
    <w:p>
      <w:pPr>
        <w:spacing w:after="0" w:line="21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purchase accounting for our acquisitions, we identified and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fair value certain intangible assets. During the third quarter of 2023 and 2022, we recognized $38.5 million and $27.1 million, respectively, in amortization related to the definite-lived intangible assets. During the nine months ended September 30, 2023 and 2022, we recognized $93.1 million and $81.4 million, respectively, in amortization. Immaterial impairment costs were recognized during Q3 2023. Should conditions that led us to recognize the impairment charges deteriorate, additional impairments may be recognized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Non-operating income for the third quarter of 2023 was $2.8 million as compared to non-operating loss of $82.8 million in the 2022 quarter. The following table details the components of non-operating income (loss) for both the three- and nine-month periods ended September 30, 2023 and 2022.</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80" w:type="dxa"/>
            <w:vAlign w:val="bottom"/>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7"/>
                <w:szCs w:val="17"/>
                <w:color w:val="auto"/>
              </w:rPr>
            </w:pPr>
          </w:p>
        </w:tc>
        <w:tc>
          <w:tcPr>
            <w:tcW w:w="2180" w:type="dxa"/>
            <w:vAlign w:val="bottom"/>
            <w:gridSpan w:val="4"/>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9/30/2022</w:t>
            </w:r>
          </w:p>
        </w:tc>
        <w:tc>
          <w:tcPr>
            <w:tcW w:w="0" w:type="dxa"/>
            <w:vAlign w:val="bottom"/>
          </w:tcPr>
          <w:p>
            <w:pPr>
              <w:spacing w:after="0"/>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Cash and discretionary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Market-related gains (losses) and equity in earnings (losses)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cash and discretionary investments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Seed capital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380" w:type="dxa"/>
            <w:vAlign w:val="bottom"/>
          </w:tcPr>
          <w:p>
            <w:pPr>
              <w:ind w:left="200"/>
              <w:spacing w:after="0"/>
              <w:rPr>
                <w:sz w:val="20"/>
                <w:szCs w:val="20"/>
                <w:color w:val="auto"/>
              </w:rPr>
            </w:pPr>
            <w:r>
              <w:rPr>
                <w:rFonts w:ascii="Arial" w:cs="Arial" w:eastAsia="Arial" w:hAnsi="Arial"/>
                <w:sz w:val="18"/>
                <w:szCs w:val="18"/>
                <w:color w:val="auto"/>
              </w:rPr>
              <w:t>Market-related gains (losses) and equity in earnings (losses)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gains recognized upon deconsolidation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155"/>
        </w:trPr>
        <w:tc>
          <w:tcPr>
            <w:tcW w:w="6380" w:type="dxa"/>
            <w:vAlign w:val="bottom"/>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Total net gains (losses) from non-consolidated T. Rowe Price investment</w:t>
            </w: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180.6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(306.2)</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w:t>
            </w: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investment income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gains (losses) on investments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(301.3)</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Net gains (losses) on consolidated sponsored investment portfolios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(losses), including foreign currency losses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Non-operating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investment portfolio recognized gains during the three- and nine-month periods ended September 30, 2023 primarily due to market activity that resulted in higher valuations at the end of the third quarter of 2023 and higher dividends earned on our cash equivalents. Our investment portfolio recognized losses in the third quarter of 2022 as the fear of inflation, the continued Russian invasion of Ukraine, and Federal Reserve interest rate increases weighed on the global economy and markets resulting in lower valuations at the end of the third quarter of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 Rowe Price investment products and not just the net investment income related to our ownership interest in the products. The table below shows the impact that the consolidated sponsored investment products had on the individual lines of our unaudited condensed consolidated statements of income and the portion attributable to our interest: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80" w:type="dxa"/>
            <w:vAlign w:val="bottom"/>
            <w:gridSpan w:val="5"/>
            <w:shd w:val="clear" w:color="auto" w:fill="CCEEFF"/>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17"/>
                <w:szCs w:val="17"/>
                <w:color w:val="auto"/>
              </w:rPr>
            </w:pPr>
          </w:p>
        </w:tc>
        <w:tc>
          <w:tcPr>
            <w:tcW w:w="2180" w:type="dxa"/>
            <w:vAlign w:val="bottom"/>
            <w:gridSpan w:val="4"/>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9/30/2022</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9/30/2023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9/30/2022</w:t>
            </w:r>
          </w:p>
        </w:tc>
      </w:tr>
      <w:tr>
        <w:trPr>
          <w:trHeight w:val="224"/>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investment income (loss) reflected in non-operating income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r>
      <w:tr>
        <w:trPr>
          <w:trHeight w:val="248"/>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6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income (loss) attributable to our interest in the consolidated T. Rowe Price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2"/>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investment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176"/>
        </w:trPr>
        <w:tc>
          <w:tcPr>
            <w:tcW w:w="6380" w:type="dxa"/>
            <w:vAlign w:val="bottom"/>
          </w:tcPr>
          <w:p>
            <w:pPr>
              <w:spacing w:after="0" w:line="176" w:lineRule="exact"/>
              <w:rPr>
                <w:sz w:val="20"/>
                <w:szCs w:val="20"/>
                <w:color w:val="auto"/>
              </w:rPr>
            </w:pPr>
            <w:r>
              <w:rPr>
                <w:rFonts w:ascii="Arial" w:cs="Arial" w:eastAsia="Arial" w:hAnsi="Arial"/>
                <w:sz w:val="18"/>
                <w:szCs w:val="18"/>
                <w:color w:val="auto"/>
              </w:rPr>
              <w:t>Net income (loss) attributable to redeemable non-controlling interests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2"/>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(unrelated third-party investors)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r>
      <w:tr>
        <w:trPr>
          <w:trHeight w:val="248"/>
        </w:trPr>
        <w:tc>
          <w:tcPr>
            <w:tcW w:w="6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62"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following table reconciles the statutory federal income tax rate to our effective tax rate on a U.S. GAAP basis for both the three- and nine-months ended September 30,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shd w:val="clear" w:color="auto" w:fill="CCEEFF"/>
          </w:tcPr>
          <w:p>
            <w:pPr>
              <w:spacing w:after="0"/>
              <w:rPr>
                <w:sz w:val="17"/>
                <w:szCs w:val="17"/>
                <w:color w:val="auto"/>
              </w:rPr>
            </w:pPr>
          </w:p>
        </w:tc>
        <w:tc>
          <w:tcPr>
            <w:tcW w:w="2660" w:type="dxa"/>
            <w:vAlign w:val="bottom"/>
            <w:gridSpan w:val="4"/>
            <w:shd w:val="clear" w:color="auto" w:fill="CCEEFF"/>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3"/>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98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9/30/2022</w:t>
            </w:r>
          </w:p>
        </w:tc>
        <w:tc>
          <w:tcPr>
            <w:tcW w:w="10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9/30/2023</w:t>
            </w:r>
          </w:p>
        </w:tc>
        <w:tc>
          <w:tcPr>
            <w:tcW w:w="12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9/30/2022</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3.5</w:t>
            </w: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(2)</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(0.5)</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 including valuation allowances</w:t>
            </w: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24.8 %</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25.6 %</w:t>
            </w:r>
          </w:p>
        </w:tc>
      </w:tr>
      <w:tr>
        <w:trPr>
          <w:trHeight w:val="21"/>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the firm despite being included in pre-tax income.</w:t>
      </w:r>
    </w:p>
    <w:p>
      <w:pPr>
        <w:spacing w:after="0" w:line="1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non-GAAP effective tax rate primarily adjusts for the impact of the consolidated investment products, including the net income attributable to the redeemable non-controlling interests. Our non-GAAP effective tax rate was 24.8% in the third quarter of 2023 compared with 24.4% in third quarter of 2022. For the nine months ended September 30, 2023, our non-GAAP effective tax rate was 26.8%, compared with 24.2% in the 2022 period.</w:t>
      </w:r>
    </w:p>
    <w:p>
      <w:pPr>
        <w:spacing w:after="0" w:line="21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2023 U.S. GAAP and non-GAAP effective tax rates were unfavorably impacted by losses in certain foreign jurisdictions in which no associated tax benefit was recognized in the income tax provision. The effective tax rate for the nine months ended September 30, 2023 was also unfavorably impacted by increases in valuation allowances recognized against certain foreign-based deferred tax assets, as it was determined in the first quarter of 2023 that these deferred tax assets were more likely not to be realized.</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We currently estimate that our effective tax rate for the full year 2023, on a U.S. GAAP basis, will be in the range of 26% to 30%. On a non-GAAP basis, the range is 26.5% to 29.5%</w:t>
      </w:r>
      <w:r>
        <w:rPr>
          <w:rFonts w:ascii="Arial" w:cs="Arial" w:eastAsia="Arial" w:hAnsi="Arial"/>
          <w:sz w:val="17"/>
          <w:szCs w:val="17"/>
          <w:color w:val="auto"/>
        </w:rPr>
        <w:t>.</w:t>
      </w:r>
    </w:p>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the timing of option exercises. The rate also experiences volatility from the remeasurement of the contingent consideration liability, as well as changes in deferred tax asset valuation allowances, primarily in foreign jurisdictions, based on the sufficiency of taxable income in future periods. Our U.S. GAAP rate will also be impacted by changes in the proportion of net income that is attributable to our redeemable non-controlling interests and non-controlling interests reflected in permanent equity.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6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3" w:name="page34"/>
    <w:bookmarkEnd w:id="33"/>
    <w:p>
      <w:pPr>
        <w:ind w:right="3200"/>
        <w:spacing w:after="0" w:line="275" w:lineRule="auto"/>
        <w:rPr>
          <w:sz w:val="20"/>
          <w:szCs w:val="20"/>
          <w:color w:val="auto"/>
        </w:rPr>
      </w:pPr>
      <w:r>
        <w:rPr>
          <w:rFonts w:ascii="Arial" w:cs="Arial" w:eastAsia="Arial" w:hAnsi="Arial"/>
          <w:sz w:val="18"/>
          <w:szCs w:val="18"/>
          <w:color w:val="auto"/>
        </w:rPr>
        <w:t>The following schedules reconcile certain U.S. GAAP financial measures for the three months ended September 30, 2023 and 2022.</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7"/>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 ended 9/30/2023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rPr>
              <w:t>Provision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rPr>
              <w:t>(benefit)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0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expenses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 Rowe Price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1,089.4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581.3</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144.9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3840" w:type="dxa"/>
            <w:vAlign w:val="bottom"/>
          </w:tcPr>
          <w:p>
            <w:pPr>
              <w:ind w:left="20"/>
              <w:spacing w:after="0" w:line="165" w:lineRule="exact"/>
              <w:rPr>
                <w:sz w:val="20"/>
                <w:szCs w:val="20"/>
                <w:color w:val="auto"/>
              </w:rPr>
            </w:pPr>
            <w:r>
              <w:rPr>
                <w:rFonts w:ascii="Arial" w:cs="Arial" w:eastAsia="Arial" w:hAnsi="Arial"/>
                <w:sz w:val="15"/>
                <w:szCs w:val="15"/>
                <w:color w:val="auto"/>
              </w:rPr>
              <w:t>Investment and NCI amortization and impairments</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6"/>
                <w:szCs w:val="16"/>
                <w:color w:val="auto"/>
              </w:rPr>
              <w:t>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left="48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8"/>
        </w:trPr>
        <w:tc>
          <w:tcPr>
            <w:tcW w:w="100" w:type="dxa"/>
            <w:vAlign w:val="bottom"/>
            <w:shd w:val="clear" w:color="auto" w:fill="CCEEFF"/>
          </w:tcPr>
          <w:p>
            <w:pPr>
              <w:spacing w:after="0"/>
              <w:rPr>
                <w:sz w:val="14"/>
                <w:szCs w:val="14"/>
                <w:color w:val="auto"/>
              </w:rPr>
            </w:pPr>
          </w:p>
        </w:tc>
        <w:tc>
          <w:tcPr>
            <w:tcW w:w="384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Acquisition-related retention arrangements</w:t>
            </w:r>
            <w:r>
              <w:rPr>
                <w:rFonts w:ascii="Arial" w:cs="Arial" w:eastAsia="Arial" w:hAnsi="Arial"/>
                <w:sz w:val="19"/>
                <w:szCs w:val="19"/>
                <w:color w:val="auto"/>
                <w:vertAlign w:val="superscript"/>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6"/>
        </w:trPr>
        <w:tc>
          <w:tcPr>
            <w:tcW w:w="100" w:type="dxa"/>
            <w:vAlign w:val="bottom"/>
            <w:tcBorders>
              <w:bottom w:val="single" w:sz="8" w:color="CCEEFF"/>
            </w:tcBorders>
          </w:tcPr>
          <w:p>
            <w:pPr>
              <w:spacing w:after="0"/>
              <w:rPr>
                <w:sz w:val="18"/>
                <w:szCs w:val="18"/>
                <w:color w:val="auto"/>
              </w:rPr>
            </w:pPr>
          </w:p>
        </w:tc>
        <w:tc>
          <w:tcPr>
            <w:tcW w:w="38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38.5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11.7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9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acquisition-related non-GAAP adjustments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45"/>
        </w:trPr>
        <w:tc>
          <w:tcPr>
            <w:tcW w:w="39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(14.2)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left="48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(5.6)</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color w:val="auto"/>
                <w:w w:val="98"/>
              </w:rPr>
              <w:t>(0.05)</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1,061.3</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635.9</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165.1</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499.5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0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8"/>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9/30/2022</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11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Provision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(benefit) for</w:t>
            </w:r>
          </w:p>
        </w:tc>
        <w:tc>
          <w:tcPr>
            <w:tcW w:w="20" w:type="dxa"/>
            <w:vAlign w:val="bottom"/>
          </w:tcPr>
          <w:p>
            <w:pPr>
              <w:spacing w:after="0"/>
              <w:rPr>
                <w:sz w:val="12"/>
                <w:szCs w:val="12"/>
                <w:color w:val="auto"/>
              </w:rPr>
            </w:pPr>
          </w:p>
        </w:tc>
        <w:tc>
          <w:tcPr>
            <w:tcW w:w="120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right"/>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 GAAP Basis (FS line item)</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1,013.6</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574.6</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384.4</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Non-GAAP adjustments:</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Acquisition-related non-GAAP adjustments: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120"/>
              <w:spacing w:after="0" w:line="162" w:lineRule="exact"/>
              <w:rPr>
                <w:sz w:val="20"/>
                <w:szCs w:val="20"/>
                <w:color w:val="auto"/>
              </w:rPr>
            </w:pPr>
            <w:r>
              <w:rPr>
                <w:rFonts w:ascii="Arial" w:cs="Arial" w:eastAsia="Arial" w:hAnsi="Arial"/>
                <w:sz w:val="16"/>
                <w:szCs w:val="16"/>
                <w:color w:val="auto"/>
              </w:rPr>
              <w:t>Investment and NCI amortization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3840" w:type="dxa"/>
            <w:vAlign w:val="bottom"/>
          </w:tcPr>
          <w:p>
            <w:pPr>
              <w:ind w:left="120"/>
              <w:spacing w:after="0" w:line="165" w:lineRule="exact"/>
              <w:rPr>
                <w:sz w:val="20"/>
                <w:szCs w:val="20"/>
                <w:color w:val="auto"/>
              </w:rPr>
            </w:pPr>
            <w:r>
              <w:rPr>
                <w:rFonts w:ascii="Arial" w:cs="Arial" w:eastAsia="Arial" w:hAnsi="Arial"/>
                <w:sz w:val="15"/>
                <w:szCs w:val="15"/>
                <w:color w:val="auto"/>
              </w:rPr>
              <w:t>impairments</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(Capital allocation-based 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6"/>
                <w:szCs w:val="16"/>
                <w:color w:val="auto"/>
              </w:rPr>
              <w:t>and Compensation 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3840" w:type="dxa"/>
            <w:vAlign w:val="bottom"/>
            <w:shd w:val="clear" w:color="auto" w:fill="CCEEFF"/>
          </w:tcPr>
          <w:p>
            <w:pPr>
              <w:ind w:left="120"/>
              <w:spacing w:after="0" w:line="168" w:lineRule="exact"/>
              <w:rPr>
                <w:sz w:val="20"/>
                <w:szCs w:val="20"/>
                <w:color w:val="auto"/>
              </w:rPr>
            </w:pPr>
            <w:r>
              <w:rPr>
                <w:rFonts w:ascii="Arial" w:cs="Arial" w:eastAsia="Arial" w:hAnsi="Arial"/>
                <w:sz w:val="15"/>
                <w:szCs w:val="15"/>
                <w:color w:val="auto"/>
              </w:rPr>
              <w:t>Acquisition-related retention arrangements</w:t>
            </w:r>
            <w:r>
              <w:rPr>
                <w:rFonts w:ascii="Arial" w:cs="Arial" w:eastAsia="Arial" w:hAnsi="Arial"/>
                <w:sz w:val="19"/>
                <w:szCs w:val="19"/>
                <w:color w:val="auto"/>
                <w:vertAlign w:val="superscript"/>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tcPr>
          <w:p>
            <w:pPr>
              <w:ind w:left="12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acquisition-related non-GAAP adjustments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3840" w:type="dxa"/>
            <w:vAlign w:val="bottom"/>
          </w:tcPr>
          <w:p>
            <w:pPr>
              <w:spacing w:after="0" w:line="145"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(Compensation</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384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Adjusted Non-GAAP Basis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1,028.2</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573.7</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430.6</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schedules reconcile certain U.S. GAAP financial measures for the nine months ended September 30, 2023 and 2022.</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9/30/2023</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98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(benefit) for</w:t>
            </w:r>
          </w:p>
        </w:tc>
        <w:tc>
          <w:tcPr>
            <w:tcW w:w="120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980" w:type="dxa"/>
            <w:vAlign w:val="bottom"/>
          </w:tcPr>
          <w:p>
            <w:pPr>
              <w:jc w:val="center"/>
              <w:ind w:right="48"/>
              <w:spacing w:after="0" w:line="148"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(6)</w:t>
            </w: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3,219.5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1,599.0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481.3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1,351.1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93"/>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ind w:left="140"/>
              <w:spacing w:after="0" w:line="165" w:lineRule="exact"/>
              <w:rPr>
                <w:sz w:val="20"/>
                <w:szCs w:val="20"/>
                <w:color w:val="auto"/>
              </w:rPr>
            </w:pPr>
            <w:r>
              <w:rPr>
                <w:rFonts w:ascii="Arial" w:cs="Arial" w:eastAsia="Arial" w:hAnsi="Arial"/>
                <w:sz w:val="15"/>
                <w:szCs w:val="15"/>
                <w:color w:val="auto"/>
              </w:rPr>
              <w:t>Investment and NCI amortization and impairments</w:t>
            </w:r>
            <w:r>
              <w:rPr>
                <w:rFonts w:ascii="Arial" w:cs="Arial" w:eastAsia="Arial" w:hAnsi="Arial"/>
                <w:sz w:val="19"/>
                <w:szCs w:val="19"/>
                <w:color w:val="auto"/>
                <w:vertAlign w:val="superscript"/>
              </w:rPr>
              <w:t>(1)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and related costs)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68"/>
        </w:trPr>
        <w:tc>
          <w:tcPr>
            <w:tcW w:w="4220" w:type="dxa"/>
            <w:vAlign w:val="bottom"/>
            <w:gridSpan w:val="2"/>
            <w:shd w:val="clear" w:color="auto" w:fill="CCEEFF"/>
          </w:tcPr>
          <w:p>
            <w:pPr>
              <w:ind w:left="140"/>
              <w:spacing w:after="0" w:line="168" w:lineRule="exact"/>
              <w:rPr>
                <w:sz w:val="20"/>
                <w:szCs w:val="20"/>
                <w:color w:val="auto"/>
              </w:rPr>
            </w:pPr>
            <w:r>
              <w:rPr>
                <w:rFonts w:ascii="Arial" w:cs="Arial" w:eastAsia="Arial" w:hAnsi="Arial"/>
                <w:sz w:val="15"/>
                <w:szCs w:val="15"/>
                <w:color w:val="auto"/>
              </w:rPr>
              <w:t>Acquisition-related retention arrangements</w:t>
            </w:r>
            <w:r>
              <w:rPr>
                <w:rFonts w:ascii="Arial" w:cs="Arial" w:eastAsia="Arial" w:hAnsi="Arial"/>
                <w:sz w:val="19"/>
                <w:szCs w:val="19"/>
                <w:color w:val="auto"/>
                <w:vertAlign w:val="superscript"/>
              </w:rPr>
              <w:t>(1)</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93"/>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Total acquisition-related non-GAAP adjustments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48"/>
        </w:trPr>
        <w:tc>
          <w:tcPr>
            <w:tcW w:w="4220" w:type="dxa"/>
            <w:vAlign w:val="bottom"/>
            <w:tcBorders>
              <w:top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7"/>
                <w:szCs w:val="17"/>
                <w:color w:val="auto"/>
                <w:vertAlign w:val="superscript"/>
              </w:rPr>
              <w:t>(3)</w:t>
            </w:r>
            <w:r>
              <w:rPr>
                <w:rFonts w:ascii="Arial" w:cs="Arial" w:eastAsia="Arial" w:hAnsi="Arial"/>
                <w:sz w:val="13"/>
                <w:szCs w:val="13"/>
                <w:color w:val="auto"/>
              </w:rPr>
              <w:t xml:space="preserve"> (Compensation and</w:t>
            </w: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96"/>
        </w:trPr>
        <w:tc>
          <w:tcPr>
            <w:tcW w:w="422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3,110.0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496.4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1,355.4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1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gridSpan w:val="7"/>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9/30/2022</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1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Net operating</w:t>
            </w:r>
          </w:p>
        </w:tc>
        <w:tc>
          <w:tcPr>
            <w:tcW w:w="11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2"/>
                <w:szCs w:val="12"/>
                <w:color w:val="auto"/>
              </w:rPr>
            </w:pPr>
          </w:p>
        </w:tc>
        <w:tc>
          <w:tcPr>
            <w:tcW w:w="98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(benefit) for</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4"/>
                <w:szCs w:val="14"/>
                <w:b w:val="1"/>
                <w:bCs w:val="1"/>
                <w:color w:val="auto"/>
                <w:w w:val="98"/>
              </w:rPr>
              <w:t>income taxes</w:t>
            </w:r>
            <w:r>
              <w:rPr>
                <w:rFonts w:ascii="Arial" w:cs="Arial" w:eastAsia="Arial" w:hAnsi="Arial"/>
                <w:sz w:val="18"/>
                <w:szCs w:val="18"/>
                <w:b w:val="1"/>
                <w:bCs w:val="1"/>
                <w:color w:val="auto"/>
                <w:w w:val="98"/>
                <w:vertAlign w:val="superscript"/>
              </w:rPr>
              <w:t>(6)</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 Rowe Price</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line="189" w:lineRule="exact"/>
              <w:rPr>
                <w:sz w:val="20"/>
                <w:szCs w:val="20"/>
                <w:color w:val="auto"/>
              </w:rPr>
            </w:pPr>
            <w:r>
              <w:rPr>
                <w:rFonts w:ascii="Arial" w:cs="Arial" w:eastAsia="Arial" w:hAnsi="Arial"/>
                <w:sz w:val="14"/>
                <w:szCs w:val="14"/>
                <w:b w:val="1"/>
                <w:bCs w:val="1"/>
                <w:color w:val="auto"/>
                <w:w w:val="96"/>
              </w:rPr>
              <w:t>share</w:t>
            </w:r>
            <w:r>
              <w:rPr>
                <w:rFonts w:ascii="Arial" w:cs="Arial" w:eastAsia="Arial" w:hAnsi="Arial"/>
                <w:sz w:val="18"/>
                <w:szCs w:val="18"/>
                <w:b w:val="1"/>
                <w:bCs w:val="1"/>
                <w:color w:val="auto"/>
                <w:w w:val="96"/>
                <w:vertAlign w:val="superscript"/>
              </w:rPr>
              <w:t>(7)</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non-GAAP adjustments: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220" w:type="dxa"/>
            <w:vAlign w:val="bottom"/>
            <w:gridSpan w:val="2"/>
          </w:tcPr>
          <w:p>
            <w:pPr>
              <w:ind w:left="140"/>
              <w:spacing w:after="0" w:line="165" w:lineRule="exact"/>
              <w:rPr>
                <w:sz w:val="20"/>
                <w:szCs w:val="20"/>
                <w:color w:val="auto"/>
              </w:rPr>
            </w:pPr>
            <w:r>
              <w:rPr>
                <w:rFonts w:ascii="Arial" w:cs="Arial" w:eastAsia="Arial" w:hAnsi="Arial"/>
                <w:sz w:val="15"/>
                <w:szCs w:val="15"/>
                <w:color w:val="auto"/>
              </w:rPr>
              <w:t>Investment and NCI amortization and impairments</w:t>
            </w:r>
            <w:r>
              <w:rPr>
                <w:rFonts w:ascii="Arial" w:cs="Arial" w:eastAsia="Arial" w:hAnsi="Arial"/>
                <w:sz w:val="19"/>
                <w:szCs w:val="19"/>
                <w:color w:val="auto"/>
                <w:vertAlign w:val="superscript"/>
              </w:rPr>
              <w:t>(1)</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and related costs)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68"/>
        </w:trPr>
        <w:tc>
          <w:tcPr>
            <w:tcW w:w="4220" w:type="dxa"/>
            <w:vAlign w:val="bottom"/>
            <w:gridSpan w:val="2"/>
            <w:shd w:val="clear" w:color="auto" w:fill="CCEEFF"/>
          </w:tcPr>
          <w:p>
            <w:pPr>
              <w:ind w:left="140"/>
              <w:spacing w:after="0" w:line="168" w:lineRule="exact"/>
              <w:rPr>
                <w:sz w:val="20"/>
                <w:szCs w:val="20"/>
                <w:color w:val="auto"/>
              </w:rPr>
            </w:pPr>
            <w:r>
              <w:rPr>
                <w:rFonts w:ascii="Arial" w:cs="Arial" w:eastAsia="Arial" w:hAnsi="Arial"/>
                <w:sz w:val="15"/>
                <w:szCs w:val="15"/>
                <w:color w:val="auto"/>
              </w:rPr>
              <w:t>Acquisition-related retention arrangements</w:t>
            </w:r>
            <w:r>
              <w:rPr>
                <w:rFonts w:ascii="Arial" w:cs="Arial" w:eastAsia="Arial" w:hAnsi="Arial"/>
                <w:sz w:val="19"/>
                <w:szCs w:val="19"/>
                <w:color w:val="auto"/>
                <w:vertAlign w:val="superscript"/>
              </w:rPr>
              <w:t>(1)</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(Compensation and related costs)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(General, admin and other)</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acquisition-related non-GAAP adjustments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5"/>
        </w:trPr>
        <w:tc>
          <w:tcPr>
            <w:tcW w:w="4200" w:type="dxa"/>
            <w:vAlign w:val="bottom"/>
          </w:tcPr>
          <w:p>
            <w:pPr>
              <w:ind w:left="20"/>
              <w:spacing w:after="0" w:line="145"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(Compensation and</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related costs)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19"/>
        </w:trPr>
        <w:tc>
          <w:tcPr>
            <w:tcW w:w="422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(4)</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340" w:hanging="332"/>
        <w:spacing w:after="0" w:line="236" w:lineRule="auto"/>
        <w:tabs>
          <w:tab w:leader="none" w:pos="341"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amortization of acquired investment and non-controlling interest basis differences and amortization of compensation-related arrangements.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5" w:name="page36"/>
    <w:bookmarkEnd w:id="35"/>
    <w:p>
      <w:pPr>
        <w:ind w:left="332" w:right="480"/>
        <w:spacing w:after="0" w:line="276" w:lineRule="auto"/>
        <w:rPr>
          <w:sz w:val="20"/>
          <w:szCs w:val="20"/>
          <w:color w:val="auto"/>
        </w:rPr>
      </w:pPr>
      <w:r>
        <w:rPr>
          <w:rFonts w:ascii="Arial" w:cs="Arial" w:eastAsia="Arial" w:hAnsi="Arial"/>
          <w:sz w:val="16"/>
          <w:szCs w:val="16"/>
          <w:color w:val="auto"/>
        </w:rPr>
        <w:t>Management believes adjusting for these charges helps the reader's ability to understand our core operating results and to increase comparability period to period.</w:t>
      </w:r>
    </w:p>
    <w:p>
      <w:pPr>
        <w:spacing w:after="0" w:line="211" w:lineRule="exact"/>
        <w:rPr>
          <w:sz w:val="20"/>
          <w:szCs w:val="20"/>
          <w:color w:val="auto"/>
        </w:rPr>
      </w:pPr>
    </w:p>
    <w:p>
      <w:pPr>
        <w:ind w:left="332" w:right="140" w:hanging="332"/>
        <w:spacing w:after="0" w:line="223" w:lineRule="auto"/>
        <w:tabs>
          <w:tab w:leader="none" w:pos="317"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acquisition-related transactions costs. Management believes adjusting for these charges helps the reader's ability to understand our core operating results and to increase comparability period to period.</w:t>
      </w:r>
    </w:p>
    <w:p>
      <w:pPr>
        <w:spacing w:after="0" w:line="239" w:lineRule="exact"/>
        <w:rPr>
          <w:rFonts w:ascii="Arial" w:cs="Arial" w:eastAsia="Arial" w:hAnsi="Arial"/>
          <w:sz w:val="21"/>
          <w:szCs w:val="21"/>
          <w:color w:val="auto"/>
          <w:vertAlign w:val="superscript"/>
        </w:rPr>
      </w:pPr>
    </w:p>
    <w:p>
      <w:pPr>
        <w:ind w:left="332" w:hanging="332"/>
        <w:spacing w:after="0" w:line="241" w:lineRule="auto"/>
        <w:tabs>
          <w:tab w:leader="none" w:pos="333"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 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239" w:lineRule="exact"/>
        <w:rPr>
          <w:rFonts w:ascii="Arial" w:cs="Arial" w:eastAsia="Arial" w:hAnsi="Arial"/>
          <w:sz w:val="22"/>
          <w:szCs w:val="22"/>
          <w:color w:val="auto"/>
          <w:vertAlign w:val="superscript"/>
        </w:rPr>
      </w:pPr>
    </w:p>
    <w:p>
      <w:pPr>
        <w:ind w:left="332" w:right="100" w:hanging="332"/>
        <w:spacing w:after="0" w:line="241" w:lineRule="auto"/>
        <w:tabs>
          <w:tab w:leader="none" w:pos="333"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our U.S. GAAP consolidated statements of income. Specifically, we add back the operating expenses and subtracts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our core operating results.</w:t>
      </w:r>
    </w:p>
    <w:p>
      <w:pPr>
        <w:spacing w:after="0" w:line="239" w:lineRule="exact"/>
        <w:rPr>
          <w:rFonts w:ascii="Arial" w:cs="Arial" w:eastAsia="Arial" w:hAnsi="Arial"/>
          <w:sz w:val="22"/>
          <w:szCs w:val="22"/>
          <w:color w:val="auto"/>
          <w:vertAlign w:val="superscript"/>
        </w:rPr>
      </w:pPr>
    </w:p>
    <w:p>
      <w:pPr>
        <w:ind w:left="332" w:right="40" w:hanging="332"/>
        <w:spacing w:after="0" w:line="244" w:lineRule="auto"/>
        <w:tabs>
          <w:tab w:leader="none" w:pos="333"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our non-consolidated investment portfolio that are not designated as economic hedges of the supplemental savings plan liability, and that are not part of the cash and discretionary investment portfolio. Management retains the investment gains recognized on the non-consolidated cash and discretionary investments as these assets and related income (loss) are considered part of 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spacing w:after="0" w:line="225" w:lineRule="exact"/>
        <w:rPr>
          <w:rFonts w:ascii="Arial" w:cs="Arial" w:eastAsia="Arial" w:hAnsi="Arial"/>
          <w:sz w:val="22"/>
          <w:szCs w:val="22"/>
          <w:color w:val="auto"/>
          <w:vertAlign w:val="superscript"/>
        </w:rPr>
      </w:pPr>
    </w:p>
    <w:p>
      <w:pPr>
        <w:ind w:left="332" w:right="160" w:hanging="332"/>
        <w:spacing w:after="0" w:line="236" w:lineRule="auto"/>
        <w:tabs>
          <w:tab w:leader="none" w:pos="333"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year-to-date non-GAAP effective tax rate of 26.8% in 2023 and 24.2% in 2022. As such, the non-GAAP effective tax rate for the three months ended September 30, 2023 and 2022 was 24.8% and 24.4%, respectively. We estimate that our effective tax rate for the full-year 2023 on a non-GAAP basis will be in the range of 26.5% to 29.5%.</w:t>
      </w:r>
    </w:p>
    <w:p>
      <w:pPr>
        <w:spacing w:after="0" w:line="226" w:lineRule="exact"/>
        <w:rPr>
          <w:rFonts w:ascii="Arial" w:cs="Arial" w:eastAsia="Arial" w:hAnsi="Arial"/>
          <w:sz w:val="22"/>
          <w:szCs w:val="22"/>
          <w:color w:val="auto"/>
          <w:vertAlign w:val="superscript"/>
        </w:rPr>
      </w:pPr>
    </w:p>
    <w:p>
      <w:pPr>
        <w:ind w:left="332" w:right="20" w:hanging="332"/>
        <w:spacing w:after="0" w:line="224" w:lineRule="auto"/>
        <w:tabs>
          <w:tab w:leader="none" w:pos="333"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77" w:lineRule="exact"/>
        <w:rPr>
          <w:sz w:val="20"/>
          <w:szCs w:val="20"/>
          <w:color w:val="auto"/>
        </w:rPr>
      </w:pPr>
    </w:p>
    <w:tbl>
      <w:tblPr>
        <w:tblLayout w:type="fixed"/>
        <w:tblInd w:w="52" w:type="dxa"/>
        <w:tblCellMar>
          <w:top w:w="0" w:type="dxa"/>
          <w:left w:w="0" w:type="dxa"/>
          <w:bottom w:w="0" w:type="dxa"/>
          <w:right w:w="0" w:type="dxa"/>
        </w:tblCellMar>
      </w:tblPr>
      <w:tr>
        <w:trPr>
          <w:trHeight w:val="203"/>
        </w:trPr>
        <w:tc>
          <w:tcPr>
            <w:tcW w:w="6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40" w:type="dxa"/>
            <w:vAlign w:val="bottom"/>
            <w:gridSpan w:val="4"/>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17"/>
                <w:szCs w:val="17"/>
                <w:color w:val="auto"/>
              </w:rPr>
            </w:pPr>
          </w:p>
        </w:tc>
        <w:tc>
          <w:tcPr>
            <w:tcW w:w="1940" w:type="dxa"/>
            <w:vAlign w:val="bottom"/>
            <w:gridSpan w:val="3"/>
            <w:shd w:val="clear" w:color="auto" w:fill="CCEEFF"/>
          </w:tcPr>
          <w:p>
            <w:pPr>
              <w:jc w:val="right"/>
              <w:ind w:right="361"/>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6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9/30/2023</w:t>
            </w: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9/30/2022</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9/30/2023</w:t>
            </w: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9/30/2022</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1,355.4</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1,465.2</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34.1</w:t>
            </w: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1,431.1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9/30/2023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12/31/2022</w:t>
            </w: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2,578.7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1,755.6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2,205.3</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Our subsidiaries outside the United States held cash and discretionary investments of $789.3 million at September 30, 2023 and $809.1 million at December 31, 2022. Given the availability of our financial resources and cash expected to be generated through future operations, we do not maintain an available external source of additional liquidity.</w:t>
      </w:r>
    </w:p>
    <w:p>
      <w:pPr>
        <w:spacing w:after="0" w:line="21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September 30, 2023.</w:t>
      </w:r>
    </w:p>
    <w:p>
      <w:pPr>
        <w:spacing w:after="0" w:line="7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center"/>
              <w:ind w:right="280"/>
              <w:spacing w:after="0" w:line="148" w:lineRule="exact"/>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Cash and cash</w:t>
            </w:r>
          </w:p>
        </w:tc>
        <w:tc>
          <w:tcPr>
            <w:tcW w:w="1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28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2,578.7</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783.9</w:t>
            </w:r>
          </w:p>
        </w:tc>
        <w:tc>
          <w:tcPr>
            <w:tcW w:w="0" w:type="dxa"/>
            <w:vAlign w:val="bottom"/>
          </w:tcPr>
          <w:p>
            <w:pPr>
              <w:spacing w:after="0"/>
              <w:rPr>
                <w:sz w:val="1"/>
                <w:szCs w:val="1"/>
                <w:color w:val="auto"/>
              </w:rPr>
            </w:pPr>
          </w:p>
        </w:tc>
      </w:tr>
      <w:tr>
        <w:trPr>
          <w:trHeight w:val="156"/>
        </w:trPr>
        <w:tc>
          <w:tcPr>
            <w:tcW w:w="56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5,016.3</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825.0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2,503.6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6,216.6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560.2</w:t>
            </w:r>
          </w:p>
        </w:tc>
        <w:tc>
          <w:tcPr>
            <w:tcW w:w="0" w:type="dxa"/>
            <w:vAlign w:val="bottom"/>
          </w:tcPr>
          <w:p>
            <w:pPr>
              <w:spacing w:after="0"/>
              <w:rPr>
                <w:sz w:val="1"/>
                <w:szCs w:val="1"/>
                <w:color w:val="auto"/>
              </w:rPr>
            </w:pPr>
          </w:p>
        </w:tc>
      </w:tr>
      <w:tr>
        <w:trPr>
          <w:trHeight w:val="156"/>
        </w:trPr>
        <w:tc>
          <w:tcPr>
            <w:tcW w:w="56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As reported on unaudited condensed consolidated balance sheet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2,578.7</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2,503.6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6,776.8</w:t>
            </w:r>
          </w:p>
        </w:tc>
        <w:tc>
          <w:tcPr>
            <w:tcW w:w="0" w:type="dxa"/>
            <w:vAlign w:val="bottom"/>
          </w:tcPr>
          <w:p>
            <w:pPr>
              <w:spacing w:after="0"/>
              <w:rPr>
                <w:sz w:val="1"/>
                <w:szCs w:val="1"/>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180" w:right="60" w:hanging="172"/>
        <w:spacing w:after="0" w:line="243" w:lineRule="auto"/>
        <w:tabs>
          <w:tab w:leader="none" w:pos="158" w:val="left"/>
        </w:tabs>
        <w:numPr>
          <w:ilvl w:val="0"/>
          <w:numId w:val="1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$1,134.3 million represents the total value at September 30, 2023 of our interest in the consolidated T. Rowe Price investment products. The total net assets of the T. Rowe Price investment products at September 30, 2023 of $1,694.5 million includes assets of $1,778.3 million, less liabilities of $83.8 million as reflected in our unaudited condensed consolidated balance sheets.</w:t>
      </w:r>
    </w:p>
    <w:p>
      <w:pPr>
        <w:ind w:left="180" w:hanging="172"/>
        <w:spacing w:after="0" w:line="221" w:lineRule="auto"/>
        <w:tabs>
          <w:tab w:leader="none" w:pos="172" w:val="left"/>
        </w:tabs>
        <w:numPr>
          <w:ilvl w:val="0"/>
          <w:numId w:val="1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$221.5 million of non-controlling interests in consolidated entities and represents the portion of these investments, held by third parties, that we cannot sell in order to obtain cash for general operations.</w:t>
      </w:r>
    </w:p>
    <w:p>
      <w:pPr>
        <w:spacing w:after="0" w:line="23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sponsored investment products we consolidate, as well as redeemable non-controlling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7" w:name="page38"/>
    <w:bookmarkEnd w:id="37"/>
    <w:p>
      <w:pPr>
        <w:ind w:right="40"/>
        <w:spacing w:after="0" w:line="255" w:lineRule="auto"/>
        <w:rPr>
          <w:sz w:val="20"/>
          <w:szCs w:val="20"/>
          <w:color w:val="auto"/>
        </w:rPr>
      </w:pPr>
      <w:r>
        <w:rPr>
          <w:rFonts w:ascii="Arial" w:cs="Arial" w:eastAsia="Arial" w:hAnsi="Arial"/>
          <w:sz w:val="18"/>
          <w:szCs w:val="18"/>
          <w:color w:val="auto"/>
        </w:rPr>
        <w:t>interests for the portion of these sponsored investment products that are held by unrelated third-party investors. Although we can redeem our net interest in these sponsored investment products at any time, we cannot directly access or sell the assets held by the products to obtain cash for general operations. Additionally, the assets of these sponsored investment products are not available to our general creditors. Our interest in these sponsored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increased our quarterly recurring dividend per common share in February 2023 by 1.7% to $1.22 per common share from $1.20 per common share. Further, we expended $151.4 million in the first nine months of 2023 to repurchase 1,398 thousand shares of our outstanding common stock, at an average price of $107.78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Since the end of 2020, we have returned nearly $5.8 billion to stockholders through stock repurchases, regular quarterly dividends, and a special dividend,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42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Special dividend</w:t>
            </w:r>
          </w:p>
        </w:tc>
        <w:tc>
          <w:tcPr>
            <w:tcW w:w="15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9"/>
        </w:trPr>
        <w:tc>
          <w:tcPr>
            <w:tcW w:w="528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42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1,003.7</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Nine months ended 9/30/2023</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4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2023 to be about $332 million of which approximately 60%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6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The following table summarizes the cash flows for the nine months ended September 30, 2023 and 2022, that are attributable to T. Rowe Price, our consolidated sponsored investment products, and the related eliminations required in preparing the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9/30/2023</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9/30/2022</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b w:val="1"/>
                <w:bCs w:val="1"/>
                <w:color w:val="auto"/>
              </w:rPr>
              <w:t>Cash flow</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3" w:lineRule="exact"/>
              <w:rPr>
                <w:sz w:val="20"/>
                <w:szCs w:val="20"/>
                <w:color w:val="auto"/>
              </w:rPr>
            </w:pPr>
            <w:r>
              <w:rPr>
                <w:rFonts w:ascii="Arial" w:cs="Arial" w:eastAsia="Arial" w:hAnsi="Arial"/>
                <w:sz w:val="14"/>
                <w:szCs w:val="14"/>
                <w:b w:val="1"/>
                <w:bCs w:val="1"/>
                <w:color w:val="auto"/>
              </w:rPr>
              <w:t>Cash flow</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center"/>
              <w:ind w:right="6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80"/>
              <w:spacing w:after="0" w:line="148" w:lineRule="exact"/>
              <w:rPr>
                <w:sz w:val="20"/>
                <w:szCs w:val="20"/>
                <w:color w:val="auto"/>
              </w:rPr>
            </w:pPr>
            <w:r>
              <w:rPr>
                <w:rFonts w:ascii="Arial" w:cs="Arial" w:eastAsia="Arial" w:hAnsi="Arial"/>
                <w:sz w:val="14"/>
                <w:szCs w:val="14"/>
                <w:b w:val="1"/>
                <w:bCs w:val="1"/>
                <w:color w:val="auto"/>
              </w:rPr>
              <w:t>consolidated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80"/>
              <w:spacing w:after="0" w:line="148" w:lineRule="exact"/>
              <w:rPr>
                <w:sz w:val="20"/>
                <w:szCs w:val="20"/>
                <w:color w:val="auto"/>
              </w:rPr>
            </w:pPr>
            <w:r>
              <w:rPr>
                <w:rFonts w:ascii="Arial" w:cs="Arial" w:eastAsia="Arial" w:hAnsi="Arial"/>
                <w:sz w:val="14"/>
                <w:szCs w:val="14"/>
                <w:b w:val="1"/>
                <w:bCs w:val="1"/>
                <w:color w:val="auto"/>
              </w:rPr>
              <w:t>consolidated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4"/>
                <w:szCs w:val="14"/>
                <w:b w:val="1"/>
                <w:bCs w:val="1"/>
                <w:color w:val="auto"/>
              </w:rPr>
              <w:t>sponsored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As</w:t>
            </w:r>
          </w:p>
        </w:tc>
        <w:tc>
          <w:tcPr>
            <w:tcW w:w="98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4"/>
                <w:szCs w:val="14"/>
                <w:b w:val="1"/>
                <w:bCs w:val="1"/>
                <w:color w:val="auto"/>
              </w:rPr>
              <w:t>sponsored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3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8"/>
        </w:trPr>
        <w:tc>
          <w:tcPr>
            <w:tcW w:w="37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80"/>
              <w:spacing w:after="0" w:line="148" w:lineRule="exact"/>
              <w:rPr>
                <w:sz w:val="20"/>
                <w:szCs w:val="20"/>
                <w:color w:val="auto"/>
              </w:rPr>
            </w:pPr>
            <w:r>
              <w:rPr>
                <w:rFonts w:ascii="Arial" w:cs="Arial" w:eastAsia="Arial" w:hAnsi="Arial"/>
                <w:sz w:val="14"/>
                <w:szCs w:val="14"/>
                <w:b w:val="1"/>
                <w:bCs w:val="1"/>
                <w:color w:val="auto"/>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8" w:lineRule="exact"/>
              <w:rPr>
                <w:sz w:val="20"/>
                <w:szCs w:val="20"/>
                <w:color w:val="auto"/>
              </w:rPr>
            </w:pPr>
            <w:r>
              <w:rPr>
                <w:rFonts w:ascii="Arial" w:cs="Arial" w:eastAsia="Arial" w:hAnsi="Arial"/>
                <w:sz w:val="14"/>
                <w:szCs w:val="14"/>
                <w:b w:val="1"/>
                <w:bCs w:val="1"/>
                <w:color w:val="auto"/>
              </w:rPr>
              <w:t>investment</w:t>
            </w:r>
          </w:p>
        </w:tc>
        <w:tc>
          <w:tcPr>
            <w:tcW w:w="7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Elims</w:t>
            </w:r>
          </w:p>
        </w:tc>
        <w:tc>
          <w:tcPr>
            <w:tcW w:w="980" w:type="dxa"/>
            <w:vAlign w:val="bottom"/>
            <w:gridSpan w:val="2"/>
            <w:vMerge w:val="continue"/>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48"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8" w:lineRule="exact"/>
              <w:rPr>
                <w:sz w:val="20"/>
                <w:szCs w:val="20"/>
                <w:color w:val="auto"/>
              </w:rPr>
            </w:pPr>
            <w:r>
              <w:rPr>
                <w:rFonts w:ascii="Arial" w:cs="Arial" w:eastAsia="Arial" w:hAnsi="Arial"/>
                <w:sz w:val="14"/>
                <w:szCs w:val="14"/>
                <w:b w:val="1"/>
                <w:bCs w:val="1"/>
                <w:color w:val="auto"/>
              </w:rPr>
              <w:t>investment</w:t>
            </w:r>
          </w:p>
        </w:tc>
        <w:tc>
          <w:tcPr>
            <w:tcW w:w="7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Elims</w:t>
            </w: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740" w:type="dxa"/>
            <w:vAlign w:val="bottom"/>
            <w:gridSpan w:val="2"/>
            <w:vMerge w:val="continue"/>
            <w:shd w:val="clear" w:color="auto" w:fill="CCEEFF"/>
          </w:tcPr>
          <w:p>
            <w:pPr>
              <w:spacing w:after="0"/>
              <w:rPr>
                <w:sz w:val="16"/>
                <w:szCs w:val="16"/>
                <w:color w:val="auto"/>
              </w:rPr>
            </w:pPr>
          </w:p>
        </w:tc>
        <w:tc>
          <w:tcPr>
            <w:tcW w:w="9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rPr>
              <w:t>reported</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Price</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74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(25.6)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190"/>
        </w:trPr>
        <w:tc>
          <w:tcPr>
            <w:tcW w:w="3780" w:type="dxa"/>
            <w:vAlign w:val="bottom"/>
          </w:tcPr>
          <w:p>
            <w:pPr>
              <w:ind w:left="140"/>
              <w:spacing w:after="0" w:line="189" w:lineRule="exact"/>
              <w:rPr>
                <w:sz w:val="20"/>
                <w:szCs w:val="20"/>
                <w:color w:val="auto"/>
              </w:rPr>
            </w:pPr>
            <w:r>
              <w:rPr>
                <w:rFonts w:ascii="Arial" w:cs="Arial" w:eastAsia="Arial" w:hAnsi="Arial"/>
                <w:sz w:val="18"/>
                <w:szCs w:val="18"/>
                <w:color w:val="auto"/>
              </w:rPr>
              <w:t>Adjustments to reconcile net income (loss) to</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40"/>
              <w:spacing w:after="0" w:line="176" w:lineRule="exact"/>
              <w:rPr>
                <w:sz w:val="20"/>
                <w:szCs w:val="20"/>
                <w:color w:val="auto"/>
              </w:rPr>
            </w:pPr>
            <w:r>
              <w:rPr>
                <w:rFonts w:ascii="Arial" w:cs="Arial" w:eastAsia="Arial" w:hAnsi="Arial"/>
                <w:sz w:val="18"/>
                <w:szCs w:val="18"/>
                <w:color w:val="auto"/>
              </w:rPr>
              <w:t>net cash provided by (used in) operating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Depreciation, amortization and impairments</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property, equipment and software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line="189" w:lineRule="exact"/>
              <w:rPr>
                <w:sz w:val="20"/>
                <w:szCs w:val="20"/>
                <w:color w:val="auto"/>
              </w:rPr>
            </w:pPr>
            <w:r>
              <w:rPr>
                <w:rFonts w:ascii="Arial" w:cs="Arial" w:eastAsia="Arial" w:hAnsi="Arial"/>
                <w:sz w:val="18"/>
                <w:szCs w:val="18"/>
                <w:color w:val="auto"/>
              </w:rPr>
              <w:t>Amortization and impairment of acquisition-</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related assets and retention agreements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Fair value remeasurement of contingent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(gains) losses recognized on</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190"/>
        </w:trPr>
        <w:tc>
          <w:tcPr>
            <w:tcW w:w="3780" w:type="dxa"/>
            <w:vAlign w:val="bottom"/>
          </w:tcPr>
          <w:p>
            <w:pPr>
              <w:ind w:left="220"/>
              <w:spacing w:after="0" w:line="189" w:lineRule="exact"/>
              <w:rPr>
                <w:sz w:val="20"/>
                <w:szCs w:val="20"/>
                <w:color w:val="auto"/>
              </w:rPr>
            </w:pPr>
            <w:r>
              <w:rPr>
                <w:rFonts w:ascii="Arial" w:cs="Arial" w:eastAsia="Arial" w:hAnsi="Arial"/>
                <w:sz w:val="18"/>
                <w:szCs w:val="18"/>
                <w:color w:val="auto"/>
              </w:rPr>
              <w:t>Net redemptions in sponsored investment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20"/>
              <w:spacing w:after="0" w:line="176" w:lineRule="exact"/>
              <w:rPr>
                <w:sz w:val="20"/>
                <w:szCs w:val="20"/>
                <w:color w:val="auto"/>
              </w:rPr>
            </w:pPr>
            <w:r>
              <w:rPr>
                <w:rFonts w:ascii="Arial" w:cs="Arial" w:eastAsia="Arial" w:hAnsi="Arial"/>
                <w:sz w:val="18"/>
                <w:szCs w:val="18"/>
                <w:color w:val="auto"/>
              </w:rPr>
              <w:t>products used to economically hedge</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supplemental savings plan liability</w:t>
            </w: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Net change in trading securities held by</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consolidated sponsored investment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products</w:t>
            </w:r>
          </w:p>
        </w:tc>
        <w:tc>
          <w:tcPr>
            <w:tcW w:w="1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170"/>
        </w:trPr>
        <w:tc>
          <w:tcPr>
            <w:tcW w:w="37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Net cash provided by (used in) operating</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2,494.6</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Net cash provided by (used in) investing</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Net cash provided by (used in) financing</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(1,616.7)</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Effect of exchange rate changes on cash and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cash equivalents of consolidated sponsored</w:t>
            </w:r>
          </w:p>
        </w:tc>
        <w:tc>
          <w:tcPr>
            <w:tcW w:w="18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5"/>
                <w:szCs w:val="15"/>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7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190"/>
        </w:trPr>
        <w:tc>
          <w:tcPr>
            <w:tcW w:w="3780" w:type="dxa"/>
            <w:vAlign w:val="bottom"/>
          </w:tcPr>
          <w:p>
            <w:pPr>
              <w:ind w:left="20"/>
              <w:spacing w:after="0" w:line="189" w:lineRule="exact"/>
              <w:rPr>
                <w:sz w:val="20"/>
                <w:szCs w:val="20"/>
                <w:color w:val="auto"/>
              </w:rPr>
            </w:pPr>
            <w:r>
              <w:rPr>
                <w:rFonts w:ascii="Arial" w:cs="Arial" w:eastAsia="Arial" w:hAnsi="Arial"/>
                <w:sz w:val="18"/>
                <w:szCs w:val="18"/>
                <w:color w:val="auto"/>
              </w:rPr>
              <w:t>Cash and cash equivalents at beginning of</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2,670.3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 attributable to T. Rowe Price during the first nine months of 2023 provided cash flows of $2,117.3 million, a decrease of</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$335.5 million from the $ 2,452.8 million provided during the comparable 2022 period. The decrease is primarily attributable to lower non-cash adjustments as the 2023 period included net investment gains of $326.0 million compared with net investment losses of $506.6 million in the 2022 period. The reduction in non -cash adjustments was offset in part by timing differences related to the cash settlement of our assets and liabilities, which increased our net cash flow provided by operating activities by $310.7 million. Additionally, in 2023, we had net proceeds of $101.3 million from certain investment products that economically hedge our supplemental savings plan liability compared to net proceeds of $33.8 million in the same period of 2022. The remaining change in reported cash flows from operating activities was primarily attributable to the net change in trading securities held in our consolidated investment products’ underlying portfolios, and to change in fair value of the contingent consideration liability.</w:t>
      </w:r>
    </w:p>
    <w:p>
      <w:pPr>
        <w:spacing w:after="0" w:line="22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interim operating cash flows do not include the cash impact of variable compensation that is accrued throughout the year before being substantially paid out in December. Our non-cash adjustments include unrealized investment gain/losses, depreciation and amortization, fair value remeasurement of the contingent consideration liability remeasurement, and other non-cash items.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cash used in investing activities that are attributable to T. Rowe Price totaled $333.3 million in the first nine months of 2023, an increase of $278.6 million from the the 2022 period. During the 2023 period, we reinvested the majority of $370.7 million in net proceeds from the sale of certain of our discretionary investments along with additional operating cash to make $442.8 million into new investments in order to rebalance the asset allocation of our discretionary investment portfolio. This resulted in net new investment activity in the 2023 period of $72.1 million compared with $119.2 million in proceeds from net dispositions in the comparable 2022 period. The majority of the net new investments were seed capital provided to sponsored investment products that we consolidate. We eliminate our our investments in those sponsored investment products we consolidate in preparing our unaudited condensed consolidated statements of cash flows.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increased our property, equipment and software expenditures by $48.8 million and had higher other investing activities of</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$38.5 million. The remaining $26.9 million change in reported cash flows from investing activities is related to the net cash removed from our balance sheet from consolidating and deconsolidating investment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Net cash used in financing activities attributable to T. Rowe Price were $960.9 million in the first nine months of 2023 compared with $1,554.9 million in the 2022 period. During the first nine months of 2023, we repurchased 1.4 million shares for $151.4 million compared to 5.7 million shares for $744.0 million in the comparable 2022 period. The remaining decrease in reported cash flows used from financing activities is primarily attributable to $343.7 million in net subscriptions received from redeemable non-controlling interest holders of our consolidated investment products during the first nine months of 2023 as compared to $61.8 million in net redemptions in the comparable 2022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operations, revenues, liquidity, net income, and earnings per share of common stock; changes in the amount and composition of our assets under management; our expenses; our tax rate; legal or regulatory developments; geopolitical instability; interest rates and currency fluctuations; and our expectations regarding financial markets, future transactions, strategic initiatives,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2022.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2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subadvised funds, separately managed accounts, collective investment trusts, and other investment products, performance fees, capital allocation-based income, fluctuations in global financial markets that result in appreciation or depreciation of the assets under our management, our introduction of new mutual funds and investment products, changes in retirement savings trends relative to participant-directed investments and defined contribution plans, and the impact of the coronavirus outbreak. 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including our establishment of T. Rowe Price Investment Management as a separate registered investment adviser;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including the integration of OHA with and into our business;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2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1" w:name="page42"/>
    <w:bookmarkEnd w:id="41"/>
    <w:p>
      <w:pPr>
        <w:ind w:right="240"/>
        <w:spacing w:after="0" w:line="275" w:lineRule="auto"/>
        <w:rPr>
          <w:sz w:val="20"/>
          <w:szCs w:val="20"/>
          <w:color w:val="auto"/>
        </w:rPr>
      </w:pPr>
      <w:r>
        <w:rPr>
          <w:rFonts w:ascii="Arial" w:cs="Arial" w:eastAsia="Arial" w:hAnsi="Arial"/>
          <w:sz w:val="18"/>
          <w:szCs w:val="18"/>
          <w:color w:val="auto"/>
        </w:rPr>
        <w:t>limited to, effects on costs that we incur and effects on investor interest in T. Rowe Price investment products and investing in general or in particular classes of mutual funds or other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2023. Based on that evaluation, our principal executive and principal financial officers have concluded that our disclosure controls and procedures as of September 30, 2023,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2023, and has concluded that there was no change during the third quarter of 2023 that has materially affected, or is reasonably likely to materially affect, our internal control over financial reporting.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6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2023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3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6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00" w:type="dxa"/>
            <w:vAlign w:val="bottom"/>
            <w:vMerge w:val="restart"/>
            <w:shd w:val="clear" w:color="auto" w:fill="CCEEFF"/>
          </w:tcPr>
          <w:p>
            <w:pPr>
              <w:spacing w:after="0"/>
              <w:rPr>
                <w:sz w:val="12"/>
                <w:szCs w:val="12"/>
                <w:color w:val="auto"/>
              </w:rPr>
            </w:pP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July</w:t>
            </w:r>
          </w:p>
        </w:tc>
        <w:tc>
          <w:tcPr>
            <w:tcW w:w="1760" w:type="dxa"/>
            <w:vAlign w:val="bottom"/>
          </w:tcPr>
          <w:p>
            <w:pPr>
              <w:jc w:val="right"/>
              <w:spacing w:after="0"/>
              <w:rPr>
                <w:sz w:val="20"/>
                <w:szCs w:val="20"/>
                <w:color w:val="auto"/>
              </w:rPr>
            </w:pPr>
            <w:r>
              <w:rPr>
                <w:rFonts w:ascii="Arial" w:cs="Arial" w:eastAsia="Arial" w:hAnsi="Arial"/>
                <w:sz w:val="18"/>
                <w:szCs w:val="18"/>
                <w:color w:val="auto"/>
              </w:rPr>
              <w:t>24,840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
              <w:spacing w:after="0"/>
              <w:rPr>
                <w:sz w:val="20"/>
                <w:szCs w:val="20"/>
                <w:color w:val="auto"/>
              </w:rPr>
            </w:pPr>
            <w:r>
              <w:rPr>
                <w:rFonts w:ascii="Arial" w:cs="Arial" w:eastAsia="Arial" w:hAnsi="Arial"/>
                <w:sz w:val="18"/>
                <w:szCs w:val="18"/>
                <w:color w:val="auto"/>
              </w:rPr>
              <w:t>8,354,638</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August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304,011</w:t>
            </w:r>
          </w:p>
        </w:tc>
        <w:tc>
          <w:tcPr>
            <w:tcW w:w="1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8,050,627</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September</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673,247</w:t>
            </w:r>
          </w:p>
        </w:tc>
        <w:tc>
          <w:tcPr>
            <w:tcW w:w="18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7,377,380</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977,258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2023, 49,593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5420" w:type="dxa"/>
            <w:vAlign w:val="bottom"/>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00" w:type="dxa"/>
            <w:vAlign w:val="bottom"/>
            <w:vMerge w:val="restart"/>
            <w:shd w:val="clear" w:color="auto" w:fill="CCEEFF"/>
          </w:tcPr>
          <w:p>
            <w:pPr>
              <w:spacing w:after="0"/>
              <w:rPr>
                <w:sz w:val="12"/>
                <w:szCs w:val="12"/>
                <w:color w:val="auto"/>
              </w:rPr>
            </w:pPr>
          </w:p>
        </w:tc>
        <w:tc>
          <w:tcPr>
            <w:tcW w:w="1780" w:type="dxa"/>
            <w:vAlign w:val="bottom"/>
            <w:vMerge w:val="restart"/>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7/1/2023</w:t>
            </w:r>
          </w:p>
        </w:tc>
        <w:tc>
          <w:tcPr>
            <w:tcW w:w="100" w:type="dxa"/>
            <w:vAlign w:val="bottom"/>
            <w:shd w:val="clear" w:color="auto" w:fill="CCEEFF"/>
          </w:tcPr>
          <w:p>
            <w:pPr>
              <w:spacing w:after="0"/>
              <w:rPr>
                <w:sz w:val="12"/>
                <w:szCs w:val="12"/>
                <w:color w:val="auto"/>
              </w:rPr>
            </w:pP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9/30/2023</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March 2020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8,354,638</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(977,258)</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7,377,380</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3(i)</w:t>
            </w:r>
          </w:p>
        </w:tc>
        <w:tc>
          <w:tcPr>
            <w:tcW w:w="8560" w:type="dxa"/>
            <w:vAlign w:val="bottom"/>
          </w:tcPr>
          <w:p>
            <w:pPr>
              <w:ind w:left="360"/>
              <w:spacing w:after="0"/>
              <w:rPr>
                <w:rFonts w:ascii="Arial" w:cs="Arial" w:eastAsia="Arial" w:hAnsi="Arial"/>
                <w:sz w:val="18"/>
                <w:szCs w:val="18"/>
                <w:color w:val="auto"/>
              </w:rPr>
            </w:pPr>
            <w:hyperlink r:id="rId54">
              <w:r>
                <w:rPr>
                  <w:rFonts w:ascii="Arial" w:cs="Arial" w:eastAsia="Arial" w:hAnsi="Arial"/>
                  <w:sz w:val="18"/>
                  <w:szCs w:val="18"/>
                  <w:color w:val="auto"/>
                </w:rPr>
                <w:t>Charter of T. Rowe Price Group, Inc., as reflected by Articles of Restatement dated June 20, 2018.</w:t>
              </w:r>
            </w:hyperlink>
          </w:p>
        </w:tc>
      </w:tr>
      <w:tr>
        <w:trPr>
          <w:trHeight w:val="229"/>
        </w:trPr>
        <w:tc>
          <w:tcPr>
            <w:tcW w:w="840" w:type="dxa"/>
            <w:vAlign w:val="bottom"/>
          </w:tcPr>
          <w:p>
            <w:pPr>
              <w:spacing w:after="0"/>
              <w:rPr>
                <w:sz w:val="19"/>
                <w:szCs w:val="19"/>
                <w:color w:val="auto"/>
              </w:rPr>
            </w:pPr>
          </w:p>
        </w:tc>
        <w:tc>
          <w:tcPr>
            <w:tcW w:w="8560" w:type="dxa"/>
            <w:vAlign w:val="bottom"/>
          </w:tcPr>
          <w:p>
            <w:pPr>
              <w:ind w:left="360"/>
              <w:spacing w:after="0"/>
              <w:rPr>
                <w:rFonts w:ascii="Arial" w:cs="Arial" w:eastAsia="Arial" w:hAnsi="Arial"/>
                <w:sz w:val="18"/>
                <w:szCs w:val="18"/>
                <w:color w:val="auto"/>
              </w:rPr>
            </w:pPr>
            <w:hyperlink r:id="rId54">
              <w:r>
                <w:rPr>
                  <w:rFonts w:ascii="Arial" w:cs="Arial" w:eastAsia="Arial" w:hAnsi="Arial"/>
                  <w:sz w:val="18"/>
                  <w:szCs w:val="18"/>
                  <w:color w:val="auto"/>
                </w:rPr>
                <w:t>(Incorporated by reference from Form 10-Q Quarterly Report filed on July 25, 2018.)</w:t>
              </w:r>
            </w:hyperlink>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3(ii)</w:t>
            </w:r>
          </w:p>
        </w:tc>
        <w:tc>
          <w:tcPr>
            <w:tcW w:w="8560" w:type="dxa"/>
            <w:vAlign w:val="bottom"/>
          </w:tcPr>
          <w:p>
            <w:pPr>
              <w:ind w:left="360"/>
              <w:spacing w:after="0"/>
              <w:rPr>
                <w:rFonts w:ascii="Arial" w:cs="Arial" w:eastAsia="Arial" w:hAnsi="Arial"/>
                <w:sz w:val="18"/>
                <w:szCs w:val="18"/>
                <w:color w:val="auto"/>
                <w:w w:val="99"/>
              </w:rPr>
            </w:pPr>
            <w:hyperlink r:id="rId55">
              <w:r>
                <w:rPr>
                  <w:rFonts w:ascii="Arial" w:cs="Arial" w:eastAsia="Arial" w:hAnsi="Arial"/>
                  <w:sz w:val="18"/>
                  <w:szCs w:val="18"/>
                  <w:color w:val="auto"/>
                  <w:w w:val="99"/>
                </w:rPr>
                <w:t>Amended and Restated By-Laws of T. Rowe Price Group, Inc. as of February 9, 2021. (Incorporated by</w:t>
              </w:r>
            </w:hyperlink>
          </w:p>
        </w:tc>
      </w:tr>
      <w:tr>
        <w:trPr>
          <w:trHeight w:val="229"/>
        </w:trPr>
        <w:tc>
          <w:tcPr>
            <w:tcW w:w="840" w:type="dxa"/>
            <w:vAlign w:val="bottom"/>
          </w:tcPr>
          <w:p>
            <w:pPr>
              <w:spacing w:after="0"/>
              <w:rPr>
                <w:sz w:val="19"/>
                <w:szCs w:val="19"/>
                <w:color w:val="auto"/>
              </w:rPr>
            </w:pPr>
          </w:p>
        </w:tc>
        <w:tc>
          <w:tcPr>
            <w:tcW w:w="8560" w:type="dxa"/>
            <w:vAlign w:val="bottom"/>
          </w:tcPr>
          <w:p>
            <w:pPr>
              <w:ind w:left="360"/>
              <w:spacing w:after="0"/>
              <w:rPr>
                <w:rFonts w:ascii="Arial" w:cs="Arial" w:eastAsia="Arial" w:hAnsi="Arial"/>
                <w:sz w:val="18"/>
                <w:szCs w:val="18"/>
                <w:color w:val="auto"/>
              </w:rPr>
            </w:pPr>
            <w:hyperlink r:id="rId55">
              <w:r>
                <w:rPr>
                  <w:rFonts w:ascii="Arial" w:cs="Arial" w:eastAsia="Arial" w:hAnsi="Arial"/>
                  <w:sz w:val="18"/>
                  <w:szCs w:val="18"/>
                  <w:color w:val="auto"/>
                </w:rPr>
                <w:t>reference from Form 10-K Annual Report filed on February 11, 2021.)</w:t>
              </w:r>
            </w:hyperlink>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10.01</w:t>
            </w:r>
          </w:p>
        </w:tc>
        <w:tc>
          <w:tcPr>
            <w:tcW w:w="8560" w:type="dxa"/>
            <w:vAlign w:val="bottom"/>
          </w:tcPr>
          <w:p>
            <w:pPr>
              <w:ind w:left="360"/>
              <w:spacing w:after="0"/>
              <w:rPr>
                <w:rFonts w:ascii="Arial" w:cs="Arial" w:eastAsia="Arial" w:hAnsi="Arial"/>
                <w:sz w:val="18"/>
                <w:szCs w:val="18"/>
                <w:color w:val="auto"/>
              </w:rPr>
            </w:pPr>
            <w:hyperlink r:id="rId56">
              <w:r>
                <w:rPr>
                  <w:rFonts w:ascii="Arial" w:cs="Arial" w:eastAsia="Arial" w:hAnsi="Arial"/>
                  <w:sz w:val="18"/>
                  <w:szCs w:val="18"/>
                  <w:color w:val="auto"/>
                </w:rPr>
                <w:t>T. Rowe Price, Inc. 1986 Employee Stock Purchase Plan, Restated as of April 26, 2017, as amended.</w:t>
              </w:r>
            </w:hyperlink>
          </w:p>
        </w:tc>
      </w:tr>
      <w:tr>
        <w:trPr>
          <w:trHeight w:val="229"/>
        </w:trPr>
        <w:tc>
          <w:tcPr>
            <w:tcW w:w="840" w:type="dxa"/>
            <w:vAlign w:val="bottom"/>
          </w:tcPr>
          <w:p>
            <w:pPr>
              <w:spacing w:after="0"/>
              <w:rPr>
                <w:sz w:val="19"/>
                <w:szCs w:val="19"/>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(Incorporated by reference from Form S-8 registration statement filed on August 2, 2023.)</w:t>
            </w: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10.02</w:t>
            </w:r>
          </w:p>
        </w:tc>
        <w:tc>
          <w:tcPr>
            <w:tcW w:w="8560" w:type="dxa"/>
            <w:vAlign w:val="bottom"/>
          </w:tcPr>
          <w:p>
            <w:pPr>
              <w:ind w:left="360"/>
              <w:spacing w:after="0"/>
              <w:rPr>
                <w:rFonts w:ascii="Arial" w:cs="Arial" w:eastAsia="Arial" w:hAnsi="Arial"/>
                <w:sz w:val="18"/>
                <w:szCs w:val="18"/>
                <w:color w:val="auto"/>
              </w:rPr>
            </w:pPr>
            <w:hyperlink r:id="rId57">
              <w:r>
                <w:rPr>
                  <w:rFonts w:ascii="Arial" w:cs="Arial" w:eastAsia="Arial" w:hAnsi="Arial"/>
                  <w:sz w:val="18"/>
                  <w:szCs w:val="18"/>
                  <w:color w:val="auto"/>
                </w:rPr>
                <w:t>Supplemental Savings Plan (Incorporated by reference from Form S-8 registration statement filed on</w:t>
              </w:r>
            </w:hyperlink>
          </w:p>
        </w:tc>
      </w:tr>
      <w:tr>
        <w:trPr>
          <w:trHeight w:val="229"/>
        </w:trPr>
        <w:tc>
          <w:tcPr>
            <w:tcW w:w="840" w:type="dxa"/>
            <w:vAlign w:val="bottom"/>
          </w:tcPr>
          <w:p>
            <w:pPr>
              <w:spacing w:after="0"/>
              <w:rPr>
                <w:sz w:val="19"/>
                <w:szCs w:val="19"/>
                <w:color w:val="auto"/>
              </w:rPr>
            </w:pPr>
          </w:p>
        </w:tc>
        <w:tc>
          <w:tcPr>
            <w:tcW w:w="8560" w:type="dxa"/>
            <w:vAlign w:val="bottom"/>
          </w:tcPr>
          <w:p>
            <w:pPr>
              <w:ind w:left="360"/>
              <w:spacing w:after="0"/>
              <w:rPr>
                <w:rFonts w:ascii="Arial" w:cs="Arial" w:eastAsia="Arial" w:hAnsi="Arial"/>
                <w:sz w:val="18"/>
                <w:szCs w:val="18"/>
                <w:color w:val="auto"/>
              </w:rPr>
            </w:pPr>
            <w:hyperlink r:id="rId57">
              <w:r>
                <w:rPr>
                  <w:rFonts w:ascii="Arial" w:cs="Arial" w:eastAsia="Arial" w:hAnsi="Arial"/>
                  <w:sz w:val="18"/>
                  <w:szCs w:val="18"/>
                  <w:color w:val="auto"/>
                </w:rPr>
                <w:t>August 2, 2023.)</w:t>
              </w:r>
            </w:hyperlink>
          </w:p>
        </w:tc>
      </w:tr>
    </w:tbl>
    <w:p>
      <w:pPr>
        <w:spacing w:after="0" w:line="68" w:lineRule="exact"/>
        <w:rPr>
          <w:sz w:val="20"/>
          <w:szCs w:val="20"/>
          <w:color w:val="auto"/>
        </w:rPr>
      </w:pPr>
    </w:p>
    <w:p>
      <w:pPr>
        <w:ind w:left="1220" w:right="1960" w:hanging="1194"/>
        <w:spacing w:after="0" w:line="275"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31(i).1</w:t>
            </w:r>
          </w:p>
        </w:tc>
        <w:tc>
          <w:tcPr>
            <w:tcW w:w="8760" w:type="dxa"/>
            <w:vAlign w:val="bottom"/>
          </w:tcPr>
          <w:p>
            <w:pPr>
              <w:ind w:left="34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31(i).2</w:t>
            </w:r>
          </w:p>
        </w:tc>
        <w:tc>
          <w:tcPr>
            <w:tcW w:w="8760" w:type="dxa"/>
            <w:vAlign w:val="bottom"/>
          </w:tcPr>
          <w:p>
            <w:pPr>
              <w:ind w:left="34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8760" w:type="dxa"/>
            <w:vAlign w:val="bottom"/>
          </w:tcPr>
          <w:p>
            <w:pPr>
              <w:ind w:left="340"/>
              <w:spacing w:after="0"/>
              <w:rPr>
                <w:sz w:val="20"/>
                <w:szCs w:val="20"/>
                <w:color w:val="auto"/>
              </w:rPr>
            </w:pPr>
            <w:r>
              <w:rPr>
                <w:rFonts w:ascii="Arial" w:cs="Arial" w:eastAsia="Arial" w:hAnsi="Arial"/>
                <w:sz w:val="18"/>
                <w:szCs w:val="18"/>
                <w:color w:val="auto"/>
              </w:rPr>
              <w:t>Section 1350 Certifications.</w:t>
            </w: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8760" w:type="dxa"/>
            <w:vAlign w:val="bottom"/>
          </w:tcPr>
          <w:p>
            <w:pPr>
              <w:ind w:left="340"/>
              <w:spacing w:after="0"/>
              <w:rPr>
                <w:sz w:val="20"/>
                <w:szCs w:val="20"/>
                <w:color w:val="auto"/>
              </w:rPr>
            </w:pPr>
            <w:r>
              <w:rPr>
                <w:rFonts w:ascii="Arial" w:cs="Arial" w:eastAsia="Arial" w:hAnsi="Arial"/>
                <w:sz w:val="18"/>
                <w:szCs w:val="18"/>
                <w:color w:val="auto"/>
                <w:w w:val="99"/>
              </w:rPr>
              <w:t>The following series of unaudited XBRL-formatted documents are collectively included herewith as Exhibit</w:t>
            </w:r>
          </w:p>
        </w:tc>
      </w:tr>
    </w:tbl>
    <w:p>
      <w:pPr>
        <w:spacing w:after="0" w:line="1" w:lineRule="exact"/>
        <w:rPr>
          <w:sz w:val="20"/>
          <w:szCs w:val="20"/>
          <w:color w:val="auto"/>
        </w:rPr>
      </w:pPr>
    </w:p>
    <w:p>
      <w:pPr>
        <w:sectPr>
          <w:pgSz w:w="11900" w:h="16838" w:orient="portrait"/>
          <w:cols w:equalWidth="0" w:num="1">
            <w:col w:w="11200"/>
          </w:cols>
          <w:pgMar w:left="320" w:top="896" w:right="3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ind w:right="1560" w:firstLine="7"/>
        <w:spacing w:after="0" w:line="261" w:lineRule="auto"/>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information is extracted from T. Rowe Price Group’s unaudited condensed consolidated interim financial statements and notes that are included in this Form 10-Q Report.</w:t>
      </w:r>
    </w:p>
    <w:p>
      <w:pPr>
        <w:spacing w:after="0" w:line="78" w:lineRule="exact"/>
        <w:rPr>
          <w:sz w:val="20"/>
          <w:szCs w:val="20"/>
          <w:color w:val="auto"/>
        </w:rPr>
      </w:pPr>
    </w:p>
    <w:p>
      <w:pPr>
        <w:ind w:right="1480"/>
        <w:spacing w:after="0" w:line="275"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760" w:space="460"/>
            <w:col w:w="9980"/>
          </w:cols>
          <w:pgMar w:left="320" w:top="896"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type w:val="continuous"/>
        </w:sectPr>
      </w:pPr>
    </w:p>
    <w:bookmarkStart w:id="43" w:name="page44"/>
    <w:bookmarkEnd w:id="4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27,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120"/>
          </w:cols>
          <w:pgMar w:left="320" w:top="886" w:right="459" w:bottom="1440" w:gutter="0" w:footer="0" w:header="0"/>
        </w:sectPr>
      </w:pPr>
    </w:p>
    <w:bookmarkStart w:id="44" w:name="page45"/>
    <w:bookmarkEnd w:id="44"/>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75"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896" w:right="3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8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and No. 333-238319.</w:t>
      </w:r>
    </w:p>
    <w:p>
      <w:pPr>
        <w:spacing w:after="0" w:line="20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27, 2023 related to our review of interim financial information.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6" w:right="339" w:bottom="1440" w:gutter="0" w:footer="0" w:header="0"/>
          <w:type w:val="continuous"/>
        </w:sectPr>
      </w:pPr>
    </w:p>
    <w:bookmarkStart w:id="45" w:name="page46"/>
    <w:bookmarkEnd w:id="45"/>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2023 of T. Rowe Price Group, Inc.;</w:t>
      </w:r>
    </w:p>
    <w:p>
      <w:pPr>
        <w:spacing w:after="0" w:line="90" w:lineRule="exact"/>
        <w:rPr>
          <w:sz w:val="20"/>
          <w:szCs w:val="20"/>
          <w:color w:val="auto"/>
        </w:rPr>
      </w:pPr>
    </w:p>
    <w:p>
      <w:pPr>
        <w:ind w:left="180" w:right="220" w:hanging="161"/>
        <w:spacing w:after="0" w:line="263"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ind w:left="180" w:right="300" w:hanging="161"/>
        <w:spacing w:after="0" w:line="306"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sz w:val="20"/>
          <w:szCs w:val="20"/>
          <w:color w:val="auto"/>
        </w:rPr>
      </w:pPr>
    </w:p>
    <w:p>
      <w:pPr>
        <w:ind w:left="180" w:right="280" w:hanging="161"/>
        <w:spacing w:after="0" w:line="272"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8" w:lineRule="exact"/>
        <w:rPr>
          <w:sz w:val="20"/>
          <w:szCs w:val="20"/>
          <w:color w:val="auto"/>
        </w:rPr>
      </w:pPr>
    </w:p>
    <w:p>
      <w:pPr>
        <w:ind w:left="180" w:right="280" w:firstLine="71"/>
        <w:spacing w:after="0" w:line="263"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80" w:right="140" w:firstLine="71"/>
        <w:spacing w:after="0" w:line="263"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80" w:right="200" w:firstLine="71"/>
        <w:spacing w:after="0" w:line="263" w:lineRule="auto"/>
        <w:tabs>
          <w:tab w:leader="none" w:pos="5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left="180" w:right="40" w:firstLine="71"/>
        <w:spacing w:after="0" w:line="263"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left="180" w:hanging="161"/>
        <w:spacing w:after="0" w:line="306"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380" w:firstLine="71"/>
        <w:spacing w:after="0" w:line="275"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180" w:right="620" w:firstLine="71"/>
        <w:spacing w:after="0" w:line="275"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91" w:right="359" w:bottom="1440" w:gutter="0" w:footer="0" w:header="0"/>
        </w:sectPr>
      </w:pPr>
    </w:p>
    <w:bookmarkStart w:id="46" w:name="page47"/>
    <w:bookmarkEnd w:id="46"/>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September 30, 2023 of T. Rowe Price Group, Inc.;</w:t>
      </w:r>
    </w:p>
    <w:p>
      <w:pPr>
        <w:spacing w:after="0" w:line="90" w:lineRule="exact"/>
        <w:rPr>
          <w:sz w:val="20"/>
          <w:szCs w:val="20"/>
          <w:color w:val="auto"/>
        </w:rPr>
      </w:pPr>
    </w:p>
    <w:p>
      <w:pPr>
        <w:ind w:left="180" w:right="220" w:hanging="161"/>
        <w:spacing w:after="0" w:line="263"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ind w:left="180" w:right="300" w:hanging="161"/>
        <w:spacing w:after="0" w:line="306"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sz w:val="20"/>
          <w:szCs w:val="20"/>
          <w:color w:val="auto"/>
        </w:rPr>
      </w:pPr>
    </w:p>
    <w:p>
      <w:pPr>
        <w:ind w:left="180" w:right="280" w:hanging="161"/>
        <w:spacing w:after="0" w:line="272"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8" w:lineRule="exact"/>
        <w:rPr>
          <w:sz w:val="20"/>
          <w:szCs w:val="20"/>
          <w:color w:val="auto"/>
        </w:rPr>
      </w:pPr>
    </w:p>
    <w:p>
      <w:pPr>
        <w:ind w:left="180" w:right="280" w:firstLine="71"/>
        <w:spacing w:after="0" w:line="263"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80" w:right="140" w:firstLine="71"/>
        <w:spacing w:after="0" w:line="263"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80" w:right="200" w:firstLine="71"/>
        <w:spacing w:after="0" w:line="263" w:lineRule="auto"/>
        <w:tabs>
          <w:tab w:leader="none" w:pos="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left="180" w:right="40" w:firstLine="71"/>
        <w:spacing w:after="0" w:line="263"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left="180" w:hanging="161"/>
        <w:spacing w:after="0" w:line="306"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180" w:right="380" w:firstLine="71"/>
        <w:spacing w:after="0" w:line="275"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180" w:right="620" w:firstLine="71"/>
        <w:spacing w:after="0" w:line="275"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91" w:right="359" w:bottom="1440" w:gutter="0" w:footer="0" w:header="0"/>
        </w:sectPr>
      </w:pPr>
    </w:p>
    <w:bookmarkStart w:id="47" w:name="page48"/>
    <w:bookmarkEnd w:id="47"/>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of T. Rowe Price Group, Inc., that:</w:t>
      </w:r>
    </w:p>
    <w:p>
      <w:pPr>
        <w:spacing w:after="0" w:line="92" w:lineRule="exact"/>
        <w:rPr>
          <w:sz w:val="20"/>
          <w:szCs w:val="20"/>
          <w:color w:val="auto"/>
        </w:rPr>
      </w:pPr>
    </w:p>
    <w:p>
      <w:pPr>
        <w:ind w:right="620" w:firstLine="8"/>
        <w:spacing w:after="0" w:line="275"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38" w:lineRule="exact"/>
        <w:rPr>
          <w:rFonts w:ascii="Arial" w:cs="Arial" w:eastAsia="Arial" w:hAnsi="Arial"/>
          <w:sz w:val="18"/>
          <w:szCs w:val="18"/>
          <w:color w:val="auto"/>
        </w:rPr>
      </w:pPr>
    </w:p>
    <w:p>
      <w:pPr>
        <w:ind w:firstLine="8"/>
        <w:spacing w:after="0" w:line="275"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October 27, 2023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9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6"/>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5"/>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54" Type="http://schemas.openxmlformats.org/officeDocument/2006/relationships/hyperlink" Target="http://www.sec.gov/Archives/edgar/data/1113169/000111316918000018/articlesofrestatementfin.htm" TargetMode="External"/><Relationship Id="rId55" Type="http://schemas.openxmlformats.org/officeDocument/2006/relationships/hyperlink" Target="https://www.sec.gov/Archives/edgar/data/1113169/000111316921000006/exhibit3-1trpgamendedandre.htm" TargetMode="External"/><Relationship Id="rId56" Type="http://schemas.openxmlformats.org/officeDocument/2006/relationships/hyperlink" Target="https://www.sec.gov/ix?doc=/Archives/edgar/data/0001113169/000110465923034918/tm233213d1_def14a.htm" TargetMode="External"/><Relationship Id="rId57" Type="http://schemas.openxmlformats.org/officeDocument/2006/relationships/hyperlink" Target="https://www.sec.gov/Archives/edgar/data/1113169/000111316923000032/trow-formsx8_august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2023-10-27T12:08:51Z</dcterms:created>
  <dcterms:modified xsi:type="dcterms:W3CDTF">2023-10-27T12:08:51Z</dcterms:modified>
</cp:coreProperties>
</file>