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spacing w:after="0" w:line="1"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UNITED STATES</w:t>
      </w:r>
    </w:p>
    <w:p>
      <w:pPr>
        <w:spacing w:after="0" w:line="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Washington, DC 20549</w:t>
      </w:r>
    </w:p>
    <w:p>
      <w:pPr>
        <w:spacing w:after="0" w:line="368" w:lineRule="exact"/>
        <w:rPr>
          <w:sz w:val="24"/>
          <w:szCs w:val="24"/>
          <w:color w:val="auto"/>
        </w:rPr>
      </w:pPr>
    </w:p>
    <w:p>
      <w:pPr>
        <w:ind w:right="3039"/>
        <w:spacing w:after="0" w:line="237" w:lineRule="auto"/>
        <w:rPr>
          <w:sz w:val="20"/>
          <w:szCs w:val="20"/>
          <w:color w:val="auto"/>
        </w:rPr>
      </w:pPr>
      <w:r>
        <w:rPr>
          <w:rFonts w:ascii="Courier New" w:cs="Courier New" w:eastAsia="Courier New" w:hAnsi="Courier New"/>
          <w:sz w:val="16"/>
          <w:szCs w:val="16"/>
          <w:color w:val="auto"/>
        </w:rPr>
        <w:t>FORM 10-Q QUARTERLY REPORT PURSUANT TO SECTION 13 OR 15(d) OF THE SECURITIES EXCHANGE ACT OF 1934.</w:t>
      </w:r>
    </w:p>
    <w:p>
      <w:pPr>
        <w:spacing w:after="0" w:line="18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quarterly period ended: JUNE 30, 2001.</w:t>
      </w:r>
    </w:p>
    <w:p>
      <w:pPr>
        <w:spacing w:after="0" w:line="183" w:lineRule="exact"/>
        <w:rPr>
          <w:sz w:val="24"/>
          <w:szCs w:val="24"/>
          <w:color w:val="auto"/>
        </w:rPr>
      </w:pPr>
    </w:p>
    <w:p>
      <w:pPr>
        <w:spacing w:after="0"/>
        <w:tabs>
          <w:tab w:leader="none" w:pos="2340" w:val="left"/>
        </w:tabs>
        <w:rPr>
          <w:sz w:val="20"/>
          <w:szCs w:val="20"/>
          <w:color w:val="auto"/>
        </w:rPr>
      </w:pPr>
      <w:r>
        <w:rPr>
          <w:rFonts w:ascii="Courier New" w:cs="Courier New" w:eastAsia="Courier New" w:hAnsi="Courier New"/>
          <w:sz w:val="16"/>
          <w:szCs w:val="16"/>
          <w:color w:val="auto"/>
        </w:rPr>
        <w:t>Commission file number:</w:t>
      </w:r>
      <w:r>
        <w:rPr>
          <w:sz w:val="20"/>
          <w:szCs w:val="20"/>
          <w:color w:val="auto"/>
        </w:rPr>
        <w:tab/>
      </w:r>
      <w:r>
        <w:rPr>
          <w:rFonts w:ascii="Courier New" w:cs="Courier New" w:eastAsia="Courier New" w:hAnsi="Courier New"/>
          <w:sz w:val="15"/>
          <w:szCs w:val="15"/>
          <w:color w:val="auto"/>
        </w:rPr>
        <w:t>000-32191.</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 ROWE PRICE GROUP, INC.</w:t>
      </w:r>
    </w:p>
    <w:p>
      <w:pPr>
        <w:spacing w:after="0" w:line="183" w:lineRule="exact"/>
        <w:rPr>
          <w:sz w:val="24"/>
          <w:szCs w:val="24"/>
          <w:color w:val="auto"/>
        </w:rPr>
      </w:pPr>
    </w:p>
    <w:p>
      <w:pPr>
        <w:spacing w:after="0"/>
        <w:tabs>
          <w:tab w:leader="none" w:pos="2340" w:val="left"/>
        </w:tabs>
        <w:rPr>
          <w:sz w:val="20"/>
          <w:szCs w:val="20"/>
          <w:color w:val="auto"/>
        </w:rPr>
      </w:pPr>
      <w:r>
        <w:rPr>
          <w:rFonts w:ascii="Courier New" w:cs="Courier New" w:eastAsia="Courier New" w:hAnsi="Courier New"/>
          <w:sz w:val="16"/>
          <w:szCs w:val="16"/>
          <w:color w:val="auto"/>
        </w:rPr>
        <w:t>State of incorporation:</w:t>
      </w:r>
      <w:r>
        <w:rPr>
          <w:sz w:val="20"/>
          <w:szCs w:val="20"/>
          <w:color w:val="auto"/>
        </w:rPr>
        <w:tab/>
      </w:r>
      <w:r>
        <w:rPr>
          <w:rFonts w:ascii="Courier New" w:cs="Courier New" w:eastAsia="Courier New" w:hAnsi="Courier New"/>
          <w:sz w:val="15"/>
          <w:szCs w:val="15"/>
          <w:color w:val="auto"/>
        </w:rPr>
        <w:t>MARYLAND.</w:t>
      </w:r>
    </w:p>
    <w:p>
      <w:pPr>
        <w:spacing w:after="0" w:line="183" w:lineRule="exact"/>
        <w:rPr>
          <w:sz w:val="24"/>
          <w:szCs w:val="24"/>
          <w:color w:val="auto"/>
        </w:rPr>
      </w:pPr>
    </w:p>
    <w:p>
      <w:pPr>
        <w:spacing w:after="0"/>
        <w:tabs>
          <w:tab w:leader="none" w:pos="3480" w:val="left"/>
        </w:tabs>
        <w:rPr>
          <w:sz w:val="20"/>
          <w:szCs w:val="20"/>
          <w:color w:val="auto"/>
        </w:rPr>
      </w:pPr>
      <w:r>
        <w:rPr>
          <w:rFonts w:ascii="Courier New" w:cs="Courier New" w:eastAsia="Courier New" w:hAnsi="Courier New"/>
          <w:sz w:val="16"/>
          <w:szCs w:val="16"/>
          <w:color w:val="auto"/>
        </w:rPr>
        <w:t>I.R.S. Employer Identification No.:</w:t>
      </w:r>
      <w:r>
        <w:rPr>
          <w:sz w:val="20"/>
          <w:szCs w:val="20"/>
          <w:color w:val="auto"/>
        </w:rPr>
        <w:tab/>
      </w:r>
      <w:r>
        <w:rPr>
          <w:rFonts w:ascii="Courier New" w:cs="Courier New" w:eastAsia="Courier New" w:hAnsi="Courier New"/>
          <w:sz w:val="15"/>
          <w:szCs w:val="15"/>
          <w:color w:val="auto"/>
        </w:rPr>
        <w:t>52-2264646.</w:t>
      </w:r>
    </w:p>
    <w:p>
      <w:pPr>
        <w:spacing w:after="0" w:line="186" w:lineRule="exact"/>
        <w:rPr>
          <w:sz w:val="24"/>
          <w:szCs w:val="24"/>
          <w:color w:val="auto"/>
        </w:rPr>
      </w:pPr>
    </w:p>
    <w:p>
      <w:pPr>
        <w:ind w:right="3039"/>
        <w:spacing w:after="0" w:line="237" w:lineRule="auto"/>
        <w:rPr>
          <w:sz w:val="20"/>
          <w:szCs w:val="20"/>
          <w:color w:val="auto"/>
        </w:rPr>
      </w:pPr>
      <w:r>
        <w:rPr>
          <w:rFonts w:ascii="Courier New" w:cs="Courier New" w:eastAsia="Courier New" w:hAnsi="Courier New"/>
          <w:sz w:val="16"/>
          <w:szCs w:val="16"/>
          <w:color w:val="auto"/>
        </w:rPr>
        <w:t>Address and Zip Code of principal executive offices: 100 EAST PRATT STREET, BALTIMORE, MARYLAND 21202.</w:t>
      </w:r>
    </w:p>
    <w:p>
      <w:pPr>
        <w:spacing w:after="0" w:line="184" w:lineRule="exact"/>
        <w:rPr>
          <w:sz w:val="24"/>
          <w:szCs w:val="24"/>
          <w:color w:val="auto"/>
        </w:rPr>
      </w:pPr>
    </w:p>
    <w:p>
      <w:pPr>
        <w:spacing w:after="0"/>
        <w:tabs>
          <w:tab w:leader="none" w:pos="4980" w:val="left"/>
        </w:tabs>
        <w:rPr>
          <w:sz w:val="20"/>
          <w:szCs w:val="20"/>
          <w:color w:val="auto"/>
        </w:rPr>
      </w:pPr>
      <w:r>
        <w:rPr>
          <w:rFonts w:ascii="Courier New" w:cs="Courier New" w:eastAsia="Courier New" w:hAnsi="Courier New"/>
          <w:sz w:val="16"/>
          <w:szCs w:val="16"/>
          <w:color w:val="auto"/>
        </w:rPr>
        <w:t>Registrant's telephone number, including area code:</w:t>
      </w:r>
      <w:r>
        <w:rPr>
          <w:sz w:val="20"/>
          <w:szCs w:val="20"/>
          <w:color w:val="auto"/>
        </w:rPr>
        <w:tab/>
      </w:r>
      <w:r>
        <w:rPr>
          <w:rFonts w:ascii="Courier New" w:cs="Courier New" w:eastAsia="Courier New" w:hAnsi="Courier New"/>
          <w:sz w:val="15"/>
          <w:szCs w:val="15"/>
          <w:color w:val="auto"/>
        </w:rPr>
        <w:t>(410) 345-2000.</w:t>
      </w:r>
    </w:p>
    <w:p>
      <w:pPr>
        <w:spacing w:after="0" w:line="186" w:lineRule="exact"/>
        <w:rPr>
          <w:sz w:val="24"/>
          <w:szCs w:val="24"/>
          <w:color w:val="auto"/>
        </w:rPr>
      </w:pPr>
    </w:p>
    <w:p>
      <w:pPr>
        <w:ind w:right="2939"/>
        <w:spacing w:after="0" w:line="239"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and (2) has been subject to such filing requirements for the past 90 days. Yes [X]. No [ ].</w:t>
      </w:r>
    </w:p>
    <w:p>
      <w:pPr>
        <w:spacing w:after="0" w:line="187" w:lineRule="exact"/>
        <w:rPr>
          <w:sz w:val="24"/>
          <w:szCs w:val="24"/>
          <w:color w:val="auto"/>
        </w:rPr>
      </w:pPr>
    </w:p>
    <w:p>
      <w:pPr>
        <w:ind w:right="2659"/>
        <w:spacing w:after="0" w:line="267" w:lineRule="auto"/>
        <w:rPr>
          <w:sz w:val="20"/>
          <w:szCs w:val="20"/>
          <w:color w:val="auto"/>
        </w:rPr>
      </w:pPr>
      <w:r>
        <w:rPr>
          <w:rFonts w:ascii="Courier New" w:cs="Courier New" w:eastAsia="Courier New" w:hAnsi="Courier New"/>
          <w:sz w:val="15"/>
          <w:szCs w:val="15"/>
          <w:color w:val="auto"/>
        </w:rPr>
        <w:t>Indicate the number of shares outstanding of the issuer's common stock ($.20 par value), as of the latest practicable date. 123,144,342 SHARES AT JULY 23, 2001.</w:t>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 index is at Item 6(a) on pages 14-15.</w:t>
      </w:r>
    </w:p>
    <w:p>
      <w:pPr>
        <w:sectPr>
          <w:pgSz w:w="11900" w:h="16838" w:orient="portrait"/>
          <w:cols w:equalWidth="0" w:num="1">
            <w:col w:w="10219"/>
          </w:cols>
          <w:pgMar w:left="240" w:top="235"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36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UNAUDITED CONDENSED CONSOLIDATED BALANCE SHEETS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(in thousands, except share data)</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12/31/00</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06/30/01</w:t>
            </w:r>
          </w:p>
        </w:tc>
      </w:tr>
      <w:tr>
        <w:trPr>
          <w:trHeight w:val="182"/>
        </w:trPr>
        <w:tc>
          <w:tcPr>
            <w:tcW w:w="5240" w:type="dxa"/>
            <w:vAlign w:val="bottom"/>
          </w:tcPr>
          <w:p>
            <w:pPr>
              <w:spacing w:after="0"/>
              <w:rPr>
                <w:sz w:val="15"/>
                <w:szCs w:val="15"/>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2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2"/>
        </w:trPr>
        <w:tc>
          <w:tcPr>
            <w:tcW w:w="524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80,526</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125,537</w:t>
            </w:r>
          </w:p>
        </w:tc>
      </w:tr>
      <w:tr>
        <w:trPr>
          <w:trHeight w:val="182"/>
        </w:trPr>
        <w:tc>
          <w:tcPr>
            <w:tcW w:w="5240" w:type="dxa"/>
            <w:vAlign w:val="bottom"/>
          </w:tcPr>
          <w:p>
            <w:pPr>
              <w:spacing w:after="0"/>
              <w:rPr>
                <w:sz w:val="20"/>
                <w:szCs w:val="20"/>
                <w:color w:val="auto"/>
              </w:rPr>
            </w:pPr>
            <w:r>
              <w:rPr>
                <w:rFonts w:ascii="Courier New" w:cs="Courier New" w:eastAsia="Courier New" w:hAnsi="Courier New"/>
                <w:sz w:val="16"/>
                <w:szCs w:val="16"/>
                <w:color w:val="auto"/>
              </w:rPr>
              <w:t>Accounts receivable</w:t>
            </w:r>
          </w:p>
        </w:tc>
        <w:tc>
          <w:tcPr>
            <w:tcW w:w="4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131,041</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115,886</w:t>
            </w:r>
          </w:p>
        </w:tc>
      </w:tr>
      <w:tr>
        <w:trPr>
          <w:trHeight w:val="182"/>
        </w:trPr>
        <w:tc>
          <w:tcPr>
            <w:tcW w:w="5240" w:type="dxa"/>
            <w:vAlign w:val="bottom"/>
          </w:tcPr>
          <w:p>
            <w:pPr>
              <w:spacing w:after="0"/>
              <w:rPr>
                <w:sz w:val="20"/>
                <w:szCs w:val="20"/>
                <w:color w:val="auto"/>
              </w:rPr>
            </w:pPr>
            <w:r>
              <w:rPr>
                <w:rFonts w:ascii="Courier New" w:cs="Courier New" w:eastAsia="Courier New" w:hAnsi="Courier New"/>
                <w:sz w:val="16"/>
                <w:szCs w:val="16"/>
                <w:color w:val="auto"/>
              </w:rPr>
              <w:t>Investments in sponsored mutual funds</w:t>
            </w:r>
          </w:p>
        </w:tc>
        <w:tc>
          <w:tcPr>
            <w:tcW w:w="4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190,406</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130,019</w:t>
            </w:r>
          </w:p>
        </w:tc>
      </w:tr>
      <w:tr>
        <w:trPr>
          <w:trHeight w:val="182"/>
        </w:trPr>
        <w:tc>
          <w:tcPr>
            <w:tcW w:w="5240" w:type="dxa"/>
            <w:vAlign w:val="bottom"/>
          </w:tcPr>
          <w:p>
            <w:pPr>
              <w:spacing w:after="0"/>
              <w:rPr>
                <w:sz w:val="20"/>
                <w:szCs w:val="20"/>
                <w:color w:val="auto"/>
              </w:rPr>
            </w:pPr>
            <w:r>
              <w:rPr>
                <w:rFonts w:ascii="Courier New" w:cs="Courier New" w:eastAsia="Courier New" w:hAnsi="Courier New"/>
                <w:sz w:val="16"/>
                <w:szCs w:val="16"/>
                <w:color w:val="auto"/>
              </w:rPr>
              <w:t>Other investments</w:t>
            </w:r>
          </w:p>
        </w:tc>
        <w:tc>
          <w:tcPr>
            <w:tcW w:w="4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59,801</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87,860</w:t>
            </w:r>
          </w:p>
        </w:tc>
      </w:tr>
      <w:tr>
        <w:trPr>
          <w:trHeight w:val="182"/>
        </w:trPr>
        <w:tc>
          <w:tcPr>
            <w:tcW w:w="5240" w:type="dxa"/>
            <w:vAlign w:val="bottom"/>
          </w:tcPr>
          <w:p>
            <w:pPr>
              <w:spacing w:after="0"/>
              <w:rPr>
                <w:sz w:val="20"/>
                <w:szCs w:val="20"/>
                <w:color w:val="auto"/>
              </w:rPr>
            </w:pPr>
            <w:r>
              <w:rPr>
                <w:rFonts w:ascii="Courier New" w:cs="Courier New" w:eastAsia="Courier New" w:hAnsi="Courier New"/>
                <w:sz w:val="16"/>
                <w:szCs w:val="16"/>
                <w:color w:val="auto"/>
              </w:rPr>
              <w:t>Property and equipment</w:t>
            </w:r>
          </w:p>
        </w:tc>
        <w:tc>
          <w:tcPr>
            <w:tcW w:w="4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255,660</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258,258</w:t>
            </w:r>
          </w:p>
        </w:tc>
      </w:tr>
      <w:tr>
        <w:trPr>
          <w:trHeight w:val="182"/>
        </w:trPr>
        <w:tc>
          <w:tcPr>
            <w:tcW w:w="5240" w:type="dxa"/>
            <w:vAlign w:val="bottom"/>
          </w:tcPr>
          <w:p>
            <w:pPr>
              <w:spacing w:after="0"/>
              <w:rPr>
                <w:sz w:val="20"/>
                <w:szCs w:val="20"/>
                <w:color w:val="auto"/>
              </w:rPr>
            </w:pPr>
            <w:r>
              <w:rPr>
                <w:rFonts w:ascii="Courier New" w:cs="Courier New" w:eastAsia="Courier New" w:hAnsi="Courier New"/>
                <w:sz w:val="16"/>
                <w:szCs w:val="16"/>
                <w:color w:val="auto"/>
              </w:rPr>
              <w:t>Goodwill</w:t>
            </w:r>
          </w:p>
        </w:tc>
        <w:tc>
          <w:tcPr>
            <w:tcW w:w="4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694,985</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680,224</w:t>
            </w:r>
          </w:p>
        </w:tc>
      </w:tr>
      <w:tr>
        <w:trPr>
          <w:trHeight w:val="182"/>
        </w:trPr>
        <w:tc>
          <w:tcPr>
            <w:tcW w:w="524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4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57,040</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19,953</w:t>
            </w:r>
          </w:p>
        </w:tc>
      </w:tr>
      <w:tr>
        <w:trPr>
          <w:trHeight w:val="182"/>
        </w:trPr>
        <w:tc>
          <w:tcPr>
            <w:tcW w:w="5240" w:type="dxa"/>
            <w:vAlign w:val="bottom"/>
          </w:tcPr>
          <w:p>
            <w:pPr>
              <w:spacing w:after="0"/>
              <w:rPr>
                <w:sz w:val="15"/>
                <w:szCs w:val="15"/>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240" w:type="dxa"/>
            <w:vAlign w:val="bottom"/>
          </w:tcPr>
          <w:p>
            <w:pPr>
              <w:spacing w:after="0"/>
              <w:rPr>
                <w:sz w:val="15"/>
                <w:szCs w:val="15"/>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$1,469,459</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$1,417,737</w:t>
            </w:r>
          </w:p>
        </w:tc>
      </w:tr>
      <w:tr>
        <w:trPr>
          <w:trHeight w:val="182"/>
        </w:trPr>
        <w:tc>
          <w:tcPr>
            <w:tcW w:w="5240" w:type="dxa"/>
            <w:vAlign w:val="bottom"/>
          </w:tcPr>
          <w:p>
            <w:pPr>
              <w:spacing w:after="0"/>
              <w:rPr>
                <w:sz w:val="15"/>
                <w:szCs w:val="15"/>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524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2"/>
        </w:trPr>
        <w:tc>
          <w:tcPr>
            <w:tcW w:w="5240" w:type="dxa"/>
            <w:vAlign w:val="bottom"/>
          </w:tcPr>
          <w:p>
            <w:pPr>
              <w:spacing w:after="0"/>
              <w:rPr>
                <w:sz w:val="20"/>
                <w:szCs w:val="20"/>
                <w:color w:val="auto"/>
              </w:rPr>
            </w:pPr>
            <w:r>
              <w:rPr>
                <w:rFonts w:ascii="Courier New" w:cs="Courier New" w:eastAsia="Courier New" w:hAnsi="Courier New"/>
                <w:sz w:val="16"/>
                <w:szCs w:val="16"/>
                <w:color w:val="auto"/>
              </w:rPr>
              <w:t>Liabilities</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 and accrued expenses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56,877</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40,436</w:t>
            </w:r>
          </w:p>
        </w:tc>
      </w:tr>
      <w:tr>
        <w:trPr>
          <w:trHeight w:val="182"/>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Accrued compensation and related costs</w:t>
            </w:r>
          </w:p>
        </w:tc>
        <w:tc>
          <w:tcPr>
            <w:tcW w:w="4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66,356</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65,590</w:t>
            </w:r>
          </w:p>
        </w:tc>
      </w:tr>
      <w:tr>
        <w:trPr>
          <w:trHeight w:val="182"/>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Income taxes payable</w:t>
            </w:r>
          </w:p>
        </w:tc>
        <w:tc>
          <w:tcPr>
            <w:tcW w:w="4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13,220</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16,514</w:t>
            </w:r>
          </w:p>
        </w:tc>
      </w:tr>
      <w:tr>
        <w:trPr>
          <w:trHeight w:val="182"/>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Dividends payable</w:t>
            </w:r>
          </w:p>
        </w:tc>
        <w:tc>
          <w:tcPr>
            <w:tcW w:w="4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18,366</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18,471</w:t>
            </w:r>
          </w:p>
        </w:tc>
      </w:tr>
      <w:tr>
        <w:trPr>
          <w:trHeight w:val="182"/>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Customer deposits at savings bank subsidiary</w:t>
            </w:r>
          </w:p>
        </w:tc>
        <w:tc>
          <w:tcPr>
            <w:tcW w:w="4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10,932</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19,458</w:t>
            </w:r>
          </w:p>
        </w:tc>
      </w:tr>
      <w:tr>
        <w:trPr>
          <w:trHeight w:val="182"/>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Debt and accrued interest</w:t>
            </w:r>
          </w:p>
        </w:tc>
        <w:tc>
          <w:tcPr>
            <w:tcW w:w="4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312,277</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215,107</w:t>
            </w:r>
          </w:p>
        </w:tc>
      </w:tr>
      <w:tr>
        <w:trPr>
          <w:trHeight w:val="182"/>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Minority interests in consolidated subsidiaries</w:t>
            </w:r>
          </w:p>
        </w:tc>
        <w:tc>
          <w:tcPr>
            <w:tcW w:w="4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366</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240" w:type="dxa"/>
            <w:vAlign w:val="bottom"/>
          </w:tcPr>
          <w:p>
            <w:pPr>
              <w:spacing w:after="0"/>
              <w:rPr>
                <w:sz w:val="15"/>
                <w:szCs w:val="15"/>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240" w:type="dxa"/>
            <w:vAlign w:val="bottom"/>
          </w:tcPr>
          <w:p>
            <w:pPr>
              <w:ind w:left="660"/>
              <w:spacing w:after="0"/>
              <w:rPr>
                <w:sz w:val="20"/>
                <w:szCs w:val="20"/>
                <w:color w:val="auto"/>
              </w:rPr>
            </w:pPr>
            <w:r>
              <w:rPr>
                <w:rFonts w:ascii="Courier New" w:cs="Courier New" w:eastAsia="Courier New" w:hAnsi="Courier New"/>
                <w:sz w:val="16"/>
                <w:szCs w:val="16"/>
                <w:color w:val="auto"/>
              </w:rPr>
              <w:t>Total liabilities</w:t>
            </w:r>
          </w:p>
        </w:tc>
        <w:tc>
          <w:tcPr>
            <w:tcW w:w="4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478,394</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375,576</w:t>
            </w:r>
          </w:p>
        </w:tc>
      </w:tr>
      <w:tr>
        <w:trPr>
          <w:trHeight w:val="182"/>
        </w:trPr>
        <w:tc>
          <w:tcPr>
            <w:tcW w:w="5240" w:type="dxa"/>
            <w:vAlign w:val="bottom"/>
          </w:tcPr>
          <w:p>
            <w:pPr>
              <w:spacing w:after="0"/>
              <w:rPr>
                <w:sz w:val="15"/>
                <w:szCs w:val="15"/>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240" w:type="dxa"/>
            <w:vAlign w:val="bottom"/>
          </w:tcPr>
          <w:p>
            <w:pPr>
              <w:spacing w:after="0"/>
              <w:rPr>
                <w:sz w:val="20"/>
                <w:szCs w:val="20"/>
                <w:color w:val="auto"/>
              </w:rPr>
            </w:pPr>
            <w:r>
              <w:rPr>
                <w:rFonts w:ascii="Courier New" w:cs="Courier New" w:eastAsia="Courier New" w:hAnsi="Courier New"/>
                <w:sz w:val="16"/>
                <w:szCs w:val="16"/>
                <w:color w:val="auto"/>
              </w:rPr>
              <w:t>Commitments and contingent liabilities</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4"/>
        </w:trPr>
        <w:tc>
          <w:tcPr>
            <w:tcW w:w="524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2"/>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Preferred stock, undesignated, $.20 par value -</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5240" w:type="dxa"/>
            <w:vAlign w:val="bottom"/>
          </w:tcPr>
          <w:p>
            <w:pPr>
              <w:ind w:left="380"/>
              <w:spacing w:after="0"/>
              <w:rPr>
                <w:sz w:val="20"/>
                <w:szCs w:val="20"/>
                <w:color w:val="auto"/>
              </w:rPr>
            </w:pPr>
            <w:r>
              <w:rPr>
                <w:rFonts w:ascii="Courier New" w:cs="Courier New" w:eastAsia="Courier New" w:hAnsi="Courier New"/>
                <w:sz w:val="16"/>
                <w:szCs w:val="16"/>
                <w:color w:val="auto"/>
              </w:rPr>
              <w:t>authorized and unissued 20,000,000 shares</w:t>
            </w:r>
          </w:p>
        </w:tc>
        <w:tc>
          <w:tcPr>
            <w:tcW w:w="4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Common stock, $.20 par value - authorized</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5240" w:type="dxa"/>
            <w:vAlign w:val="bottom"/>
          </w:tcPr>
          <w:p>
            <w:pPr>
              <w:ind w:left="380"/>
              <w:spacing w:after="0"/>
              <w:rPr>
                <w:sz w:val="20"/>
                <w:szCs w:val="20"/>
                <w:color w:val="auto"/>
              </w:rPr>
            </w:pPr>
            <w:r>
              <w:rPr>
                <w:rFonts w:ascii="Courier New" w:cs="Courier New" w:eastAsia="Courier New" w:hAnsi="Courier New"/>
                <w:sz w:val="16"/>
                <w:szCs w:val="16"/>
                <w:color w:val="auto"/>
              </w:rPr>
              <w:t>500,000,000 shares; issued 122,439,232 shares in</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2000 and 123,143,054 shares in 2001</w:t>
            </w:r>
          </w:p>
        </w:tc>
        <w:tc>
          <w:tcPr>
            <w:tcW w:w="4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24,488</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24,629</w:t>
            </w:r>
          </w:p>
        </w:tc>
      </w:tr>
      <w:tr>
        <w:trPr>
          <w:trHeight w:val="182"/>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Capital in excess of par value</w:t>
            </w:r>
          </w:p>
        </w:tc>
        <w:tc>
          <w:tcPr>
            <w:tcW w:w="4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80,855</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84,275</w:t>
            </w:r>
          </w:p>
        </w:tc>
      </w:tr>
      <w:tr>
        <w:trPr>
          <w:trHeight w:val="182"/>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Retained earnings</w:t>
            </w:r>
          </w:p>
        </w:tc>
        <w:tc>
          <w:tcPr>
            <w:tcW w:w="4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852,775</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916,316</w:t>
            </w:r>
          </w:p>
        </w:tc>
      </w:tr>
      <w:tr>
        <w:trPr>
          <w:trHeight w:val="182"/>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Accumulated other comprehensive income</w:t>
            </w:r>
          </w:p>
        </w:tc>
        <w:tc>
          <w:tcPr>
            <w:tcW w:w="4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32,947</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16,941</w:t>
            </w:r>
          </w:p>
        </w:tc>
      </w:tr>
      <w:tr>
        <w:trPr>
          <w:trHeight w:val="364"/>
        </w:trPr>
        <w:tc>
          <w:tcPr>
            <w:tcW w:w="5240" w:type="dxa"/>
            <w:vAlign w:val="bottom"/>
          </w:tcPr>
          <w:p>
            <w:pPr>
              <w:spacing w:after="0"/>
              <w:rPr>
                <w:sz w:val="24"/>
                <w:szCs w:val="24"/>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240" w:type="dxa"/>
            <w:vAlign w:val="bottom"/>
          </w:tcPr>
          <w:p>
            <w:pPr>
              <w:ind w:left="660"/>
              <w:spacing w:after="0"/>
              <w:rPr>
                <w:sz w:val="20"/>
                <w:szCs w:val="20"/>
                <w:color w:val="auto"/>
              </w:rPr>
            </w:pPr>
            <w:r>
              <w:rPr>
                <w:rFonts w:ascii="Courier New" w:cs="Courier New" w:eastAsia="Courier New" w:hAnsi="Courier New"/>
                <w:sz w:val="16"/>
                <w:szCs w:val="16"/>
                <w:color w:val="auto"/>
              </w:rPr>
              <w:t>Total stockholders' equity</w:t>
            </w:r>
          </w:p>
        </w:tc>
        <w:tc>
          <w:tcPr>
            <w:tcW w:w="4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991,065</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1,042,161</w:t>
            </w:r>
          </w:p>
        </w:tc>
      </w:tr>
      <w:tr>
        <w:trPr>
          <w:trHeight w:val="182"/>
        </w:trPr>
        <w:tc>
          <w:tcPr>
            <w:tcW w:w="5240" w:type="dxa"/>
            <w:vAlign w:val="bottom"/>
          </w:tcPr>
          <w:p>
            <w:pPr>
              <w:spacing w:after="0"/>
              <w:rPr>
                <w:sz w:val="15"/>
                <w:szCs w:val="15"/>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240" w:type="dxa"/>
            <w:vAlign w:val="bottom"/>
          </w:tcPr>
          <w:p>
            <w:pPr>
              <w:spacing w:after="0"/>
              <w:rPr>
                <w:sz w:val="15"/>
                <w:szCs w:val="15"/>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$1,469,459</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$1,417,737</w:t>
            </w:r>
          </w:p>
        </w:tc>
      </w:tr>
      <w:tr>
        <w:trPr>
          <w:trHeight w:val="182"/>
        </w:trPr>
        <w:tc>
          <w:tcPr>
            <w:tcW w:w="5240" w:type="dxa"/>
            <w:vAlign w:val="bottom"/>
          </w:tcPr>
          <w:p>
            <w:pPr>
              <w:spacing w:after="0"/>
              <w:rPr>
                <w:sz w:val="15"/>
                <w:szCs w:val="15"/>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the accompanying notes to the condensed consolidated financial statements.</w:t>
      </w:r>
    </w:p>
    <w:p>
      <w:pPr>
        <w:sectPr>
          <w:pgSz w:w="11900" w:h="16838" w:orient="portrait"/>
          <w:cols w:equalWidth="0" w:num="1">
            <w:col w:w="10219"/>
          </w:cols>
          <w:pgMar w:left="240" w:top="295"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364"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UNAUDITED CONDENSED CONSOLIDATED STATEMENTS OF INCOME</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(in thousands, except per-share amounts)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40" w:type="dxa"/>
            <w:vAlign w:val="bottom"/>
            <w:gridSpan w:val="3"/>
          </w:tcPr>
          <w:p>
            <w:pPr>
              <w:jc w:val="right"/>
              <w:ind w:right="861"/>
              <w:spacing w:after="0"/>
              <w:rPr>
                <w:sz w:val="20"/>
                <w:szCs w:val="20"/>
                <w:color w:val="auto"/>
              </w:rPr>
            </w:pPr>
            <w:r>
              <w:rPr>
                <w:rFonts w:ascii="Courier New" w:cs="Courier New" w:eastAsia="Courier New" w:hAnsi="Courier New"/>
                <w:sz w:val="16"/>
                <w:szCs w:val="16"/>
                <w:color w:val="auto"/>
              </w:rPr>
              <w:t>Three months</w:t>
            </w:r>
          </w:p>
        </w:tc>
        <w:tc>
          <w:tcPr>
            <w:tcW w:w="440" w:type="dxa"/>
            <w:vAlign w:val="bottom"/>
          </w:tcPr>
          <w:p>
            <w:pPr>
              <w:spacing w:after="0"/>
              <w:rPr>
                <w:sz w:val="15"/>
                <w:szCs w:val="15"/>
                <w:color w:val="auto"/>
              </w:rPr>
            </w:pPr>
          </w:p>
        </w:tc>
        <w:tc>
          <w:tcPr>
            <w:tcW w:w="1500" w:type="dxa"/>
            <w:vAlign w:val="bottom"/>
            <w:gridSpan w:val="2"/>
          </w:tcPr>
          <w:p>
            <w:pPr>
              <w:ind w:left="520"/>
              <w:spacing w:after="0"/>
              <w:rPr>
                <w:sz w:val="20"/>
                <w:szCs w:val="20"/>
                <w:color w:val="auto"/>
              </w:rPr>
            </w:pPr>
            <w:r>
              <w:rPr>
                <w:rFonts w:ascii="Courier New" w:cs="Courier New" w:eastAsia="Courier New" w:hAnsi="Courier New"/>
                <w:sz w:val="16"/>
                <w:szCs w:val="16"/>
                <w:color w:val="auto"/>
                <w:w w:val="99"/>
              </w:rPr>
              <w:t>Six months</w:t>
            </w:r>
          </w:p>
        </w:tc>
        <w:tc>
          <w:tcPr>
            <w:tcW w:w="800" w:type="dxa"/>
            <w:vAlign w:val="bottom"/>
          </w:tcPr>
          <w:p>
            <w:pPr>
              <w:spacing w:after="0"/>
              <w:rPr>
                <w:sz w:val="15"/>
                <w:szCs w:val="15"/>
                <w:color w:val="auto"/>
              </w:rPr>
            </w:pPr>
          </w:p>
        </w:tc>
      </w:tr>
      <w:tr>
        <w:trPr>
          <w:trHeight w:val="182"/>
        </w:trPr>
        <w:tc>
          <w:tcPr>
            <w:tcW w:w="3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ended</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ended</w:t>
            </w:r>
          </w:p>
        </w:tc>
        <w:tc>
          <w:tcPr>
            <w:tcW w:w="800" w:type="dxa"/>
            <w:vAlign w:val="bottom"/>
          </w:tcPr>
          <w:p>
            <w:pPr>
              <w:spacing w:after="0"/>
              <w:rPr>
                <w:sz w:val="15"/>
                <w:szCs w:val="15"/>
                <w:color w:val="auto"/>
              </w:rPr>
            </w:pPr>
          </w:p>
        </w:tc>
      </w:tr>
      <w:tr>
        <w:trPr>
          <w:trHeight w:val="182"/>
        </w:trPr>
        <w:tc>
          <w:tcPr>
            <w:tcW w:w="3740" w:type="dxa"/>
            <w:vAlign w:val="bottom"/>
          </w:tcPr>
          <w:p>
            <w:pPr>
              <w:spacing w:after="0"/>
              <w:rPr>
                <w:sz w:val="15"/>
                <w:szCs w:val="15"/>
                <w:color w:val="auto"/>
              </w:rPr>
            </w:pPr>
          </w:p>
        </w:tc>
        <w:tc>
          <w:tcPr>
            <w:tcW w:w="3060" w:type="dxa"/>
            <w:vAlign w:val="bottom"/>
            <w:gridSpan w:val="4"/>
          </w:tcPr>
          <w:p>
            <w:pPr>
              <w:ind w:left="320"/>
              <w:spacing w:after="0"/>
              <w:rPr>
                <w:sz w:val="20"/>
                <w:szCs w:val="20"/>
                <w:color w:val="auto"/>
              </w:rPr>
            </w:pPr>
            <w:r>
              <w:rPr>
                <w:rFonts w:ascii="Courier New" w:cs="Courier New" w:eastAsia="Courier New" w:hAnsi="Courier New"/>
                <w:sz w:val="16"/>
                <w:szCs w:val="16"/>
                <w:color w:val="auto"/>
              </w:rPr>
              <w:t>--------------------------</w:t>
            </w:r>
          </w:p>
        </w:tc>
        <w:tc>
          <w:tcPr>
            <w:tcW w:w="2740" w:type="dxa"/>
            <w:vAlign w:val="bottom"/>
            <w:gridSpan w:val="4"/>
          </w:tcPr>
          <w:p>
            <w:pPr>
              <w:ind w:left="300"/>
              <w:spacing w:after="0"/>
              <w:rPr>
                <w:sz w:val="20"/>
                <w:szCs w:val="20"/>
                <w:color w:val="auto"/>
              </w:rPr>
            </w:pPr>
            <w:r>
              <w:rPr>
                <w:rFonts w:ascii="Courier New" w:cs="Courier New" w:eastAsia="Courier New" w:hAnsi="Courier New"/>
                <w:sz w:val="16"/>
                <w:szCs w:val="16"/>
                <w:color w:val="auto"/>
              </w:rPr>
              <w:t>------------------------</w:t>
            </w:r>
          </w:p>
        </w:tc>
      </w:tr>
      <w:tr>
        <w:trPr>
          <w:trHeight w:val="182"/>
        </w:trPr>
        <w:tc>
          <w:tcPr>
            <w:tcW w:w="3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6"/>
              </w:rPr>
              <w:t>06/30/00</w:t>
            </w:r>
          </w:p>
        </w:tc>
        <w:tc>
          <w:tcPr>
            <w:tcW w:w="680" w:type="dxa"/>
            <w:vAlign w:val="bottom"/>
          </w:tcPr>
          <w:p>
            <w:pPr>
              <w:spacing w:after="0"/>
              <w:rPr>
                <w:sz w:val="15"/>
                <w:szCs w:val="15"/>
                <w:color w:val="auto"/>
              </w:rPr>
            </w:pP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06/30/01</w:t>
            </w:r>
          </w:p>
        </w:tc>
        <w:tc>
          <w:tcPr>
            <w:tcW w:w="1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06/30/00</w:t>
            </w:r>
          </w:p>
        </w:tc>
        <w:tc>
          <w:tcPr>
            <w:tcW w:w="15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06/30/01</w:t>
            </w:r>
          </w:p>
        </w:tc>
      </w:tr>
      <w:tr>
        <w:trPr>
          <w:trHeight w:val="182"/>
        </w:trPr>
        <w:tc>
          <w:tcPr>
            <w:tcW w:w="3740" w:type="dxa"/>
            <w:vAlign w:val="bottom"/>
          </w:tcPr>
          <w:p>
            <w:pPr>
              <w:spacing w:after="0"/>
              <w:rPr>
                <w:sz w:val="15"/>
                <w:szCs w:val="15"/>
                <w:color w:val="auto"/>
              </w:rPr>
            </w:pP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37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rPr>
              <w:t>Investment advisory fees</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$ 226,373</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$ 198,149</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$ 460,534</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$ 398,976</w:t>
            </w:r>
          </w:p>
        </w:tc>
      </w:tr>
      <w:tr>
        <w:trPr>
          <w:trHeight w:val="182"/>
        </w:trPr>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rPr>
              <w:t>Administrative fees</w:t>
            </w:r>
          </w:p>
        </w:tc>
        <w:tc>
          <w:tcPr>
            <w:tcW w:w="42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57,178</w:t>
            </w:r>
          </w:p>
        </w:tc>
        <w:tc>
          <w:tcPr>
            <w:tcW w:w="680" w:type="dxa"/>
            <w:vAlign w:val="bottom"/>
          </w:tcPr>
          <w:p>
            <w:pPr>
              <w:spacing w:after="0"/>
              <w:rPr>
                <w:sz w:val="15"/>
                <w:szCs w:val="15"/>
                <w:color w:val="auto"/>
              </w:rPr>
            </w:pP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53,575</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118,025</w:t>
            </w:r>
          </w:p>
        </w:tc>
        <w:tc>
          <w:tcPr>
            <w:tcW w:w="76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115,838</w:t>
            </w:r>
          </w:p>
        </w:tc>
      </w:tr>
      <w:tr>
        <w:trPr>
          <w:trHeight w:val="182"/>
        </w:trPr>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rPr>
              <w:t>Investment and other income</w:t>
            </w:r>
          </w:p>
        </w:tc>
        <w:tc>
          <w:tcPr>
            <w:tcW w:w="42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17,131</w:t>
            </w:r>
          </w:p>
        </w:tc>
        <w:tc>
          <w:tcPr>
            <w:tcW w:w="680" w:type="dxa"/>
            <w:vAlign w:val="bottom"/>
          </w:tcPr>
          <w:p>
            <w:pPr>
              <w:spacing w:after="0"/>
              <w:rPr>
                <w:sz w:val="15"/>
                <w:szCs w:val="15"/>
                <w:color w:val="auto"/>
              </w:rPr>
            </w:pP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10,406</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38,454</w:t>
            </w:r>
          </w:p>
        </w:tc>
        <w:tc>
          <w:tcPr>
            <w:tcW w:w="76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27,798</w:t>
            </w:r>
          </w:p>
        </w:tc>
      </w:tr>
      <w:tr>
        <w:trPr>
          <w:trHeight w:val="182"/>
        </w:trPr>
        <w:tc>
          <w:tcPr>
            <w:tcW w:w="3740" w:type="dxa"/>
            <w:vAlign w:val="bottom"/>
          </w:tcPr>
          <w:p>
            <w:pPr>
              <w:spacing w:after="0"/>
              <w:rPr>
                <w:sz w:val="15"/>
                <w:szCs w:val="15"/>
                <w:color w:val="auto"/>
              </w:rPr>
            </w:pP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300,682</w:t>
            </w:r>
          </w:p>
        </w:tc>
        <w:tc>
          <w:tcPr>
            <w:tcW w:w="680" w:type="dxa"/>
            <w:vAlign w:val="bottom"/>
          </w:tcPr>
          <w:p>
            <w:pPr>
              <w:spacing w:after="0"/>
              <w:rPr>
                <w:sz w:val="15"/>
                <w:szCs w:val="15"/>
                <w:color w:val="auto"/>
              </w:rPr>
            </w:pP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262,130</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617,013</w:t>
            </w:r>
          </w:p>
        </w:tc>
        <w:tc>
          <w:tcPr>
            <w:tcW w:w="76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542,612</w:t>
            </w:r>
          </w:p>
        </w:tc>
      </w:tr>
      <w:tr>
        <w:trPr>
          <w:trHeight w:val="182"/>
        </w:trPr>
        <w:tc>
          <w:tcPr>
            <w:tcW w:w="3740" w:type="dxa"/>
            <w:vAlign w:val="bottom"/>
          </w:tcPr>
          <w:p>
            <w:pPr>
              <w:spacing w:after="0"/>
              <w:rPr>
                <w:sz w:val="15"/>
                <w:szCs w:val="15"/>
                <w:color w:val="auto"/>
              </w:rPr>
            </w:pP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374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rPr>
              <w:t>Compensation and related costs</w:t>
            </w:r>
          </w:p>
        </w:tc>
        <w:tc>
          <w:tcPr>
            <w:tcW w:w="42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92,665</w:t>
            </w:r>
          </w:p>
        </w:tc>
        <w:tc>
          <w:tcPr>
            <w:tcW w:w="680" w:type="dxa"/>
            <w:vAlign w:val="bottom"/>
          </w:tcPr>
          <w:p>
            <w:pPr>
              <w:spacing w:after="0"/>
              <w:rPr>
                <w:sz w:val="15"/>
                <w:szCs w:val="15"/>
                <w:color w:val="auto"/>
              </w:rPr>
            </w:pP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96,214</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185,632</w:t>
            </w:r>
          </w:p>
        </w:tc>
        <w:tc>
          <w:tcPr>
            <w:tcW w:w="76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200,857</w:t>
            </w:r>
          </w:p>
        </w:tc>
      </w:tr>
      <w:tr>
        <w:trPr>
          <w:trHeight w:val="182"/>
        </w:trPr>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rPr>
              <w:t>Advertising and promotion</w:t>
            </w:r>
          </w:p>
        </w:tc>
        <w:tc>
          <w:tcPr>
            <w:tcW w:w="42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21,071</w:t>
            </w:r>
          </w:p>
        </w:tc>
        <w:tc>
          <w:tcPr>
            <w:tcW w:w="680" w:type="dxa"/>
            <w:vAlign w:val="bottom"/>
          </w:tcPr>
          <w:p>
            <w:pPr>
              <w:spacing w:after="0"/>
              <w:rPr>
                <w:sz w:val="15"/>
                <w:szCs w:val="15"/>
                <w:color w:val="auto"/>
              </w:rPr>
            </w:pP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15,595</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46,181</w:t>
            </w:r>
          </w:p>
        </w:tc>
        <w:tc>
          <w:tcPr>
            <w:tcW w:w="76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37,122</w:t>
            </w:r>
          </w:p>
        </w:tc>
      </w:tr>
      <w:tr>
        <w:trPr>
          <w:trHeight w:val="182"/>
        </w:trPr>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rPr>
              <w:t>Occupancy and equipment</w:t>
            </w:r>
          </w:p>
        </w:tc>
        <w:tc>
          <w:tcPr>
            <w:tcW w:w="42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27,440</w:t>
            </w:r>
          </w:p>
        </w:tc>
        <w:tc>
          <w:tcPr>
            <w:tcW w:w="680" w:type="dxa"/>
            <w:vAlign w:val="bottom"/>
          </w:tcPr>
          <w:p>
            <w:pPr>
              <w:spacing w:after="0"/>
              <w:rPr>
                <w:sz w:val="15"/>
                <w:szCs w:val="15"/>
                <w:color w:val="auto"/>
              </w:rPr>
            </w:pP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30,709</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53,346</w:t>
            </w:r>
          </w:p>
        </w:tc>
        <w:tc>
          <w:tcPr>
            <w:tcW w:w="76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61,467</w:t>
            </w:r>
          </w:p>
        </w:tc>
      </w:tr>
      <w:tr>
        <w:trPr>
          <w:trHeight w:val="182"/>
        </w:trPr>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rPr>
              <w:t>International investment</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740" w:type="dxa"/>
            <w:vAlign w:val="bottom"/>
          </w:tcPr>
          <w:p>
            <w:pPr>
              <w:ind w:left="280"/>
              <w:spacing w:after="0"/>
              <w:rPr>
                <w:sz w:val="20"/>
                <w:szCs w:val="20"/>
                <w:color w:val="auto"/>
              </w:rPr>
            </w:pPr>
            <w:r>
              <w:rPr>
                <w:rFonts w:ascii="Courier New" w:cs="Courier New" w:eastAsia="Courier New" w:hAnsi="Courier New"/>
                <w:sz w:val="16"/>
                <w:szCs w:val="16"/>
                <w:color w:val="auto"/>
              </w:rPr>
              <w:t>research fees</w:t>
            </w:r>
          </w:p>
        </w:tc>
        <w:tc>
          <w:tcPr>
            <w:tcW w:w="42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14,690</w:t>
            </w:r>
          </w:p>
        </w:tc>
        <w:tc>
          <w:tcPr>
            <w:tcW w:w="680" w:type="dxa"/>
            <w:vAlign w:val="bottom"/>
          </w:tcPr>
          <w:p>
            <w:pPr>
              <w:spacing w:after="0"/>
              <w:rPr>
                <w:sz w:val="15"/>
                <w:szCs w:val="15"/>
                <w:color w:val="auto"/>
              </w:rPr>
            </w:pP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30,704</w:t>
            </w:r>
          </w:p>
        </w:tc>
        <w:tc>
          <w:tcPr>
            <w:tcW w:w="76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rPr>
              <w:t>Goodwill amortization</w:t>
            </w:r>
          </w:p>
        </w:tc>
        <w:tc>
          <w:tcPr>
            <w:tcW w:w="42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187</w:t>
            </w:r>
          </w:p>
        </w:tc>
        <w:tc>
          <w:tcPr>
            <w:tcW w:w="680" w:type="dxa"/>
            <w:vAlign w:val="bottom"/>
          </w:tcPr>
          <w:p>
            <w:pPr>
              <w:spacing w:after="0"/>
              <w:rPr>
                <w:sz w:val="15"/>
                <w:szCs w:val="15"/>
                <w:color w:val="auto"/>
              </w:rPr>
            </w:pP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7,230</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373</w:t>
            </w:r>
          </w:p>
        </w:tc>
        <w:tc>
          <w:tcPr>
            <w:tcW w:w="76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14,460</w:t>
            </w:r>
          </w:p>
        </w:tc>
      </w:tr>
      <w:tr>
        <w:trPr>
          <w:trHeight w:val="182"/>
        </w:trPr>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rPr>
              <w:t>Interest expense</w:t>
            </w:r>
          </w:p>
        </w:tc>
        <w:tc>
          <w:tcPr>
            <w:tcW w:w="42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61</w:t>
            </w:r>
          </w:p>
        </w:tc>
        <w:tc>
          <w:tcPr>
            <w:tcW w:w="680" w:type="dxa"/>
            <w:vAlign w:val="bottom"/>
          </w:tcPr>
          <w:p>
            <w:pPr>
              <w:spacing w:after="0"/>
              <w:rPr>
                <w:sz w:val="15"/>
                <w:szCs w:val="15"/>
                <w:color w:val="auto"/>
              </w:rPr>
            </w:pP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3,896</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122</w:t>
            </w:r>
          </w:p>
        </w:tc>
        <w:tc>
          <w:tcPr>
            <w:tcW w:w="76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8,818</w:t>
            </w:r>
          </w:p>
        </w:tc>
      </w:tr>
      <w:tr>
        <w:trPr>
          <w:trHeight w:val="182"/>
        </w:trPr>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rPr>
              <w:t>Other operating expenses</w:t>
            </w:r>
          </w:p>
        </w:tc>
        <w:tc>
          <w:tcPr>
            <w:tcW w:w="42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24,070</w:t>
            </w:r>
          </w:p>
        </w:tc>
        <w:tc>
          <w:tcPr>
            <w:tcW w:w="680" w:type="dxa"/>
            <w:vAlign w:val="bottom"/>
          </w:tcPr>
          <w:p>
            <w:pPr>
              <w:spacing w:after="0"/>
              <w:rPr>
                <w:sz w:val="15"/>
                <w:szCs w:val="15"/>
                <w:color w:val="auto"/>
              </w:rPr>
            </w:pP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21,648</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49,366</w:t>
            </w:r>
          </w:p>
        </w:tc>
        <w:tc>
          <w:tcPr>
            <w:tcW w:w="76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50,602</w:t>
            </w:r>
          </w:p>
        </w:tc>
      </w:tr>
      <w:tr>
        <w:trPr>
          <w:trHeight w:val="182"/>
        </w:trPr>
        <w:tc>
          <w:tcPr>
            <w:tcW w:w="3740" w:type="dxa"/>
            <w:vAlign w:val="bottom"/>
          </w:tcPr>
          <w:p>
            <w:pPr>
              <w:spacing w:after="0"/>
              <w:rPr>
                <w:sz w:val="15"/>
                <w:szCs w:val="15"/>
                <w:color w:val="auto"/>
              </w:rPr>
            </w:pP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180,184</w:t>
            </w:r>
          </w:p>
        </w:tc>
        <w:tc>
          <w:tcPr>
            <w:tcW w:w="680" w:type="dxa"/>
            <w:vAlign w:val="bottom"/>
          </w:tcPr>
          <w:p>
            <w:pPr>
              <w:spacing w:after="0"/>
              <w:rPr>
                <w:sz w:val="15"/>
                <w:szCs w:val="15"/>
                <w:color w:val="auto"/>
              </w:rPr>
            </w:pP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175,292</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365,724</w:t>
            </w:r>
          </w:p>
        </w:tc>
        <w:tc>
          <w:tcPr>
            <w:tcW w:w="76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373,326</w:t>
            </w:r>
          </w:p>
        </w:tc>
      </w:tr>
      <w:tr>
        <w:trPr>
          <w:trHeight w:val="182"/>
        </w:trPr>
        <w:tc>
          <w:tcPr>
            <w:tcW w:w="3740" w:type="dxa"/>
            <w:vAlign w:val="bottom"/>
          </w:tcPr>
          <w:p>
            <w:pPr>
              <w:spacing w:after="0"/>
              <w:rPr>
                <w:sz w:val="15"/>
                <w:szCs w:val="15"/>
                <w:color w:val="auto"/>
              </w:rPr>
            </w:pP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3740" w:type="dxa"/>
            <w:vAlign w:val="bottom"/>
          </w:tcPr>
          <w:p>
            <w:pPr>
              <w:spacing w:after="0"/>
              <w:rPr>
                <w:sz w:val="20"/>
                <w:szCs w:val="20"/>
                <w:color w:val="auto"/>
              </w:rPr>
            </w:pPr>
            <w:r>
              <w:rPr>
                <w:rFonts w:ascii="Courier New" w:cs="Courier New" w:eastAsia="Courier New" w:hAnsi="Courier New"/>
                <w:sz w:val="16"/>
                <w:szCs w:val="16"/>
                <w:color w:val="auto"/>
              </w:rPr>
              <w:t>Income before income taxes and</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3740" w:type="dxa"/>
            <w:vAlign w:val="bottom"/>
          </w:tcPr>
          <w:p>
            <w:pPr>
              <w:ind w:left="100"/>
              <w:spacing w:after="0"/>
              <w:rPr>
                <w:sz w:val="20"/>
                <w:szCs w:val="20"/>
                <w:color w:val="auto"/>
              </w:rPr>
            </w:pPr>
            <w:r>
              <w:rPr>
                <w:rFonts w:ascii="Courier New" w:cs="Courier New" w:eastAsia="Courier New" w:hAnsi="Courier New"/>
                <w:sz w:val="16"/>
                <w:szCs w:val="16"/>
                <w:color w:val="auto"/>
              </w:rPr>
              <w:t>minority interests</w:t>
            </w:r>
          </w:p>
        </w:tc>
        <w:tc>
          <w:tcPr>
            <w:tcW w:w="42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120,498</w:t>
            </w:r>
          </w:p>
        </w:tc>
        <w:tc>
          <w:tcPr>
            <w:tcW w:w="680" w:type="dxa"/>
            <w:vAlign w:val="bottom"/>
          </w:tcPr>
          <w:p>
            <w:pPr>
              <w:spacing w:after="0"/>
              <w:rPr>
                <w:sz w:val="15"/>
                <w:szCs w:val="15"/>
                <w:color w:val="auto"/>
              </w:rPr>
            </w:pP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86,838</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251,289</w:t>
            </w:r>
          </w:p>
        </w:tc>
        <w:tc>
          <w:tcPr>
            <w:tcW w:w="76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169,286</w:t>
            </w:r>
          </w:p>
        </w:tc>
      </w:tr>
      <w:tr>
        <w:trPr>
          <w:trHeight w:val="182"/>
        </w:trPr>
        <w:tc>
          <w:tcPr>
            <w:tcW w:w="374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42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45,591</w:t>
            </w:r>
          </w:p>
        </w:tc>
        <w:tc>
          <w:tcPr>
            <w:tcW w:w="680" w:type="dxa"/>
            <w:vAlign w:val="bottom"/>
          </w:tcPr>
          <w:p>
            <w:pPr>
              <w:spacing w:after="0"/>
              <w:rPr>
                <w:sz w:val="15"/>
                <w:szCs w:val="15"/>
                <w:color w:val="auto"/>
              </w:rPr>
            </w:pP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35,682</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94,795</w:t>
            </w:r>
          </w:p>
        </w:tc>
        <w:tc>
          <w:tcPr>
            <w:tcW w:w="76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69,179</w:t>
            </w:r>
          </w:p>
        </w:tc>
      </w:tr>
      <w:tr>
        <w:trPr>
          <w:trHeight w:val="182"/>
        </w:trPr>
        <w:tc>
          <w:tcPr>
            <w:tcW w:w="3740" w:type="dxa"/>
            <w:vAlign w:val="bottom"/>
          </w:tcPr>
          <w:p>
            <w:pPr>
              <w:spacing w:after="0"/>
              <w:rPr>
                <w:sz w:val="15"/>
                <w:szCs w:val="15"/>
                <w:color w:val="auto"/>
              </w:rPr>
            </w:pP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740" w:type="dxa"/>
            <w:vAlign w:val="bottom"/>
          </w:tcPr>
          <w:p>
            <w:pPr>
              <w:spacing w:after="0"/>
              <w:rPr>
                <w:sz w:val="20"/>
                <w:szCs w:val="20"/>
                <w:color w:val="auto"/>
              </w:rPr>
            </w:pPr>
            <w:r>
              <w:rPr>
                <w:rFonts w:ascii="Courier New" w:cs="Courier New" w:eastAsia="Courier New" w:hAnsi="Courier New"/>
                <w:sz w:val="16"/>
                <w:szCs w:val="16"/>
                <w:color w:val="auto"/>
              </w:rPr>
              <w:t>Income from consolidated companies</w:t>
            </w:r>
          </w:p>
        </w:tc>
        <w:tc>
          <w:tcPr>
            <w:tcW w:w="42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74,907</w:t>
            </w:r>
          </w:p>
        </w:tc>
        <w:tc>
          <w:tcPr>
            <w:tcW w:w="680" w:type="dxa"/>
            <w:vAlign w:val="bottom"/>
          </w:tcPr>
          <w:p>
            <w:pPr>
              <w:spacing w:after="0"/>
              <w:rPr>
                <w:sz w:val="15"/>
                <w:szCs w:val="15"/>
                <w:color w:val="auto"/>
              </w:rPr>
            </w:pP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51,156</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156,494</w:t>
            </w:r>
          </w:p>
        </w:tc>
        <w:tc>
          <w:tcPr>
            <w:tcW w:w="76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100,107</w:t>
            </w:r>
          </w:p>
        </w:tc>
      </w:tr>
      <w:tr>
        <w:trPr>
          <w:trHeight w:val="182"/>
        </w:trPr>
        <w:tc>
          <w:tcPr>
            <w:tcW w:w="3740" w:type="dxa"/>
            <w:vAlign w:val="bottom"/>
          </w:tcPr>
          <w:p>
            <w:pPr>
              <w:spacing w:after="0"/>
              <w:rPr>
                <w:sz w:val="20"/>
                <w:szCs w:val="20"/>
                <w:color w:val="auto"/>
              </w:rPr>
            </w:pPr>
            <w:r>
              <w:rPr>
                <w:rFonts w:ascii="Courier New" w:cs="Courier New" w:eastAsia="Courier New" w:hAnsi="Courier New"/>
                <w:sz w:val="16"/>
                <w:szCs w:val="16"/>
                <w:color w:val="auto"/>
              </w:rPr>
              <w:t>Minority interests in consolidated</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740" w:type="dxa"/>
            <w:vAlign w:val="bottom"/>
          </w:tcPr>
          <w:p>
            <w:pPr>
              <w:ind w:left="100"/>
              <w:spacing w:after="0"/>
              <w:rPr>
                <w:sz w:val="20"/>
                <w:szCs w:val="20"/>
                <w:color w:val="auto"/>
              </w:rPr>
            </w:pPr>
            <w:r>
              <w:rPr>
                <w:rFonts w:ascii="Courier New" w:cs="Courier New" w:eastAsia="Courier New" w:hAnsi="Courier New"/>
                <w:sz w:val="16"/>
                <w:szCs w:val="16"/>
                <w:color w:val="auto"/>
              </w:rPr>
              <w:t>subsidiaries</w:t>
            </w:r>
          </w:p>
        </w:tc>
        <w:tc>
          <w:tcPr>
            <w:tcW w:w="42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5,568</w:t>
            </w:r>
          </w:p>
        </w:tc>
        <w:tc>
          <w:tcPr>
            <w:tcW w:w="680" w:type="dxa"/>
            <w:vAlign w:val="bottom"/>
          </w:tcPr>
          <w:p>
            <w:pPr>
              <w:spacing w:after="0"/>
              <w:rPr>
                <w:sz w:val="15"/>
                <w:szCs w:val="15"/>
                <w:color w:val="auto"/>
              </w:rPr>
            </w:pP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12,121</w:t>
            </w:r>
          </w:p>
        </w:tc>
        <w:tc>
          <w:tcPr>
            <w:tcW w:w="7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(357)</w:t>
            </w:r>
          </w:p>
        </w:tc>
      </w:tr>
      <w:tr>
        <w:trPr>
          <w:trHeight w:val="182"/>
        </w:trPr>
        <w:tc>
          <w:tcPr>
            <w:tcW w:w="3740" w:type="dxa"/>
            <w:vAlign w:val="bottom"/>
          </w:tcPr>
          <w:p>
            <w:pPr>
              <w:spacing w:after="0"/>
              <w:rPr>
                <w:sz w:val="15"/>
                <w:szCs w:val="15"/>
                <w:color w:val="auto"/>
              </w:rPr>
            </w:pP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7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420" w:type="dxa"/>
            <w:vAlign w:val="bottom"/>
          </w:tcPr>
          <w:p>
            <w:pPr>
              <w:ind w:left="32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69,339</w:t>
            </w:r>
          </w:p>
        </w:tc>
        <w:tc>
          <w:tcPr>
            <w:tcW w:w="680" w:type="dxa"/>
            <w:vAlign w:val="bottom"/>
          </w:tcPr>
          <w:p>
            <w:pPr>
              <w:ind w:left="58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51,156</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$ 144,373</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$ 100,464</w:t>
            </w:r>
          </w:p>
        </w:tc>
      </w:tr>
      <w:tr>
        <w:trPr>
          <w:trHeight w:val="182"/>
        </w:trPr>
        <w:tc>
          <w:tcPr>
            <w:tcW w:w="3740" w:type="dxa"/>
            <w:vAlign w:val="bottom"/>
          </w:tcPr>
          <w:p>
            <w:pPr>
              <w:spacing w:after="0"/>
              <w:rPr>
                <w:sz w:val="15"/>
                <w:szCs w:val="15"/>
                <w:color w:val="auto"/>
              </w:rPr>
            </w:pP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374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420" w:type="dxa"/>
            <w:vAlign w:val="bottom"/>
          </w:tcPr>
          <w:p>
            <w:pPr>
              <w:ind w:left="32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.57</w:t>
            </w:r>
          </w:p>
        </w:tc>
        <w:tc>
          <w:tcPr>
            <w:tcW w:w="680" w:type="dxa"/>
            <w:vAlign w:val="bottom"/>
          </w:tcPr>
          <w:p>
            <w:pPr>
              <w:ind w:left="58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.42</w:t>
            </w:r>
          </w:p>
        </w:tc>
        <w:tc>
          <w:tcPr>
            <w:tcW w:w="4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1.20</w:t>
            </w:r>
          </w:p>
        </w:tc>
        <w:tc>
          <w:tcPr>
            <w:tcW w:w="76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.82</w:t>
            </w:r>
          </w:p>
        </w:tc>
      </w:tr>
      <w:tr>
        <w:trPr>
          <w:trHeight w:val="182"/>
        </w:trPr>
        <w:tc>
          <w:tcPr>
            <w:tcW w:w="3740" w:type="dxa"/>
            <w:vAlign w:val="bottom"/>
          </w:tcPr>
          <w:p>
            <w:pPr>
              <w:spacing w:after="0"/>
              <w:rPr>
                <w:sz w:val="15"/>
                <w:szCs w:val="15"/>
                <w:color w:val="auto"/>
              </w:rPr>
            </w:pP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74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420" w:type="dxa"/>
            <w:vAlign w:val="bottom"/>
          </w:tcPr>
          <w:p>
            <w:pPr>
              <w:ind w:left="32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.54</w:t>
            </w:r>
          </w:p>
        </w:tc>
        <w:tc>
          <w:tcPr>
            <w:tcW w:w="680" w:type="dxa"/>
            <w:vAlign w:val="bottom"/>
          </w:tcPr>
          <w:p>
            <w:pPr>
              <w:ind w:left="58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.40</w:t>
            </w:r>
          </w:p>
        </w:tc>
        <w:tc>
          <w:tcPr>
            <w:tcW w:w="4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1.12</w:t>
            </w:r>
          </w:p>
        </w:tc>
        <w:tc>
          <w:tcPr>
            <w:tcW w:w="76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.78</w:t>
            </w:r>
          </w:p>
        </w:tc>
      </w:tr>
      <w:tr>
        <w:trPr>
          <w:trHeight w:val="182"/>
        </w:trPr>
        <w:tc>
          <w:tcPr>
            <w:tcW w:w="3740" w:type="dxa"/>
            <w:vAlign w:val="bottom"/>
          </w:tcPr>
          <w:p>
            <w:pPr>
              <w:spacing w:after="0"/>
              <w:rPr>
                <w:sz w:val="15"/>
                <w:szCs w:val="15"/>
                <w:color w:val="auto"/>
              </w:rPr>
            </w:pP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3740" w:type="dxa"/>
            <w:vAlign w:val="bottom"/>
          </w:tcPr>
          <w:p>
            <w:pPr>
              <w:spacing w:after="0"/>
              <w:rPr>
                <w:sz w:val="20"/>
                <w:szCs w:val="20"/>
                <w:color w:val="auto"/>
              </w:rPr>
            </w:pPr>
            <w:r>
              <w:rPr>
                <w:rFonts w:ascii="Courier New" w:cs="Courier New" w:eastAsia="Courier New" w:hAnsi="Courier New"/>
                <w:sz w:val="16"/>
                <w:szCs w:val="16"/>
                <w:color w:val="auto"/>
              </w:rPr>
              <w:t>Dividends declared per share</w:t>
            </w:r>
          </w:p>
        </w:tc>
        <w:tc>
          <w:tcPr>
            <w:tcW w:w="420" w:type="dxa"/>
            <w:vAlign w:val="bottom"/>
          </w:tcPr>
          <w:p>
            <w:pPr>
              <w:ind w:left="32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w:t>
            </w:r>
          </w:p>
        </w:tc>
        <w:tc>
          <w:tcPr>
            <w:tcW w:w="680" w:type="dxa"/>
            <w:vAlign w:val="bottom"/>
          </w:tcPr>
          <w:p>
            <w:pPr>
              <w:ind w:left="58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w:t>
            </w:r>
          </w:p>
        </w:tc>
        <w:tc>
          <w:tcPr>
            <w:tcW w:w="4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c>
          <w:tcPr>
            <w:tcW w:w="76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.30</w:t>
            </w:r>
          </w:p>
        </w:tc>
      </w:tr>
      <w:tr>
        <w:trPr>
          <w:trHeight w:val="182"/>
        </w:trPr>
        <w:tc>
          <w:tcPr>
            <w:tcW w:w="3740" w:type="dxa"/>
            <w:vAlign w:val="bottom"/>
          </w:tcPr>
          <w:p>
            <w:pPr>
              <w:spacing w:after="0"/>
              <w:rPr>
                <w:sz w:val="15"/>
                <w:szCs w:val="15"/>
                <w:color w:val="auto"/>
              </w:rPr>
            </w:pP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374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w:t>
            </w:r>
          </w:p>
        </w:tc>
        <w:tc>
          <w:tcPr>
            <w:tcW w:w="42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120,930</w:t>
            </w:r>
          </w:p>
        </w:tc>
        <w:tc>
          <w:tcPr>
            <w:tcW w:w="680" w:type="dxa"/>
            <w:vAlign w:val="bottom"/>
          </w:tcPr>
          <w:p>
            <w:pPr>
              <w:spacing w:after="0"/>
              <w:rPr>
                <w:sz w:val="24"/>
                <w:szCs w:val="24"/>
                <w:color w:val="auto"/>
              </w:rPr>
            </w:pP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123,082</w:t>
            </w:r>
          </w:p>
        </w:tc>
        <w:tc>
          <w:tcPr>
            <w:tcW w:w="4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120,674</w:t>
            </w:r>
          </w:p>
        </w:tc>
        <w:tc>
          <w:tcPr>
            <w:tcW w:w="76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122,918</w:t>
            </w:r>
          </w:p>
        </w:tc>
      </w:tr>
      <w:tr>
        <w:trPr>
          <w:trHeight w:val="182"/>
        </w:trPr>
        <w:tc>
          <w:tcPr>
            <w:tcW w:w="3740" w:type="dxa"/>
            <w:vAlign w:val="bottom"/>
          </w:tcPr>
          <w:p>
            <w:pPr>
              <w:spacing w:after="0"/>
              <w:rPr>
                <w:sz w:val="15"/>
                <w:szCs w:val="15"/>
                <w:color w:val="auto"/>
              </w:rPr>
            </w:pP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74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740" w:type="dxa"/>
            <w:vAlign w:val="bottom"/>
          </w:tcPr>
          <w:p>
            <w:pPr>
              <w:ind w:left="100"/>
              <w:spacing w:after="0"/>
              <w:rPr>
                <w:sz w:val="20"/>
                <w:szCs w:val="20"/>
                <w:color w:val="auto"/>
              </w:rPr>
            </w:pPr>
            <w:r>
              <w:rPr>
                <w:rFonts w:ascii="Courier New" w:cs="Courier New" w:eastAsia="Courier New" w:hAnsi="Courier New"/>
                <w:sz w:val="16"/>
                <w:szCs w:val="16"/>
                <w:color w:val="auto"/>
              </w:rPr>
              <w:t>assuming dilution</w:t>
            </w:r>
          </w:p>
        </w:tc>
        <w:tc>
          <w:tcPr>
            <w:tcW w:w="42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129,335</w:t>
            </w:r>
          </w:p>
        </w:tc>
        <w:tc>
          <w:tcPr>
            <w:tcW w:w="680" w:type="dxa"/>
            <w:vAlign w:val="bottom"/>
          </w:tcPr>
          <w:p>
            <w:pPr>
              <w:spacing w:after="0"/>
              <w:rPr>
                <w:sz w:val="15"/>
                <w:szCs w:val="15"/>
                <w:color w:val="auto"/>
              </w:rPr>
            </w:pP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129,058</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128,867</w:t>
            </w:r>
          </w:p>
        </w:tc>
        <w:tc>
          <w:tcPr>
            <w:tcW w:w="76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129,266</w:t>
            </w:r>
          </w:p>
        </w:tc>
      </w:tr>
      <w:tr>
        <w:trPr>
          <w:trHeight w:val="182"/>
        </w:trPr>
        <w:tc>
          <w:tcPr>
            <w:tcW w:w="3740" w:type="dxa"/>
            <w:vAlign w:val="bottom"/>
          </w:tcPr>
          <w:p>
            <w:pPr>
              <w:spacing w:after="0"/>
              <w:rPr>
                <w:sz w:val="15"/>
                <w:szCs w:val="15"/>
                <w:color w:val="auto"/>
              </w:rPr>
            </w:pP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the accompanying notes to the condensed consolidated financial statements.</w:t>
      </w:r>
    </w:p>
    <w:p>
      <w:pPr>
        <w:sectPr>
          <w:pgSz w:w="11900" w:h="16838" w:orient="portrait"/>
          <w:cols w:equalWidth="0" w:num="1">
            <w:col w:w="10219"/>
          </w:cols>
          <w:pgMar w:left="240" w:top="295"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36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UNAUDITED CONDENSED CONSOLIDATED STATEMENTS OF CASH FLOWS</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40" w:type="dxa"/>
            <w:vAlign w:val="bottom"/>
          </w:tcPr>
          <w:p>
            <w:pPr>
              <w:spacing w:after="0"/>
              <w:rPr>
                <w:sz w:val="15"/>
                <w:szCs w:val="15"/>
                <w:color w:val="auto"/>
              </w:rPr>
            </w:pPr>
          </w:p>
        </w:tc>
        <w:tc>
          <w:tcPr>
            <w:tcW w:w="288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Six months ended</w:t>
            </w:r>
          </w:p>
        </w:tc>
      </w:tr>
      <w:tr>
        <w:trPr>
          <w:trHeight w:val="182"/>
        </w:trPr>
        <w:tc>
          <w:tcPr>
            <w:tcW w:w="5340" w:type="dxa"/>
            <w:vAlign w:val="bottom"/>
          </w:tcPr>
          <w:p>
            <w:pPr>
              <w:spacing w:after="0"/>
              <w:rPr>
                <w:sz w:val="15"/>
                <w:szCs w:val="15"/>
                <w:color w:val="auto"/>
              </w:rPr>
            </w:pPr>
          </w:p>
        </w:tc>
        <w:tc>
          <w:tcPr>
            <w:tcW w:w="28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5340" w:type="dxa"/>
            <w:vAlign w:val="bottom"/>
          </w:tcPr>
          <w:p>
            <w:pPr>
              <w:spacing w:after="0"/>
              <w:rPr>
                <w:sz w:val="15"/>
                <w:szCs w:val="15"/>
                <w:color w:val="auto"/>
              </w:rPr>
            </w:pPr>
          </w:p>
        </w:tc>
        <w:tc>
          <w:tcPr>
            <w:tcW w:w="15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06/30/00</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06/30/01</w:t>
            </w:r>
          </w:p>
        </w:tc>
      </w:tr>
      <w:tr>
        <w:trPr>
          <w:trHeight w:val="182"/>
        </w:trPr>
        <w:tc>
          <w:tcPr>
            <w:tcW w:w="5340" w:type="dxa"/>
            <w:vAlign w:val="bottom"/>
          </w:tcPr>
          <w:p>
            <w:pPr>
              <w:spacing w:after="0"/>
              <w:rPr>
                <w:sz w:val="15"/>
                <w:szCs w:val="15"/>
                <w:color w:val="auto"/>
              </w:rPr>
            </w:pPr>
          </w:p>
        </w:tc>
        <w:tc>
          <w:tcPr>
            <w:tcW w:w="15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4"/>
        </w:trPr>
        <w:tc>
          <w:tcPr>
            <w:tcW w:w="534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2"/>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$ 144,373</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$ 100,464</w:t>
            </w:r>
          </w:p>
        </w:tc>
      </w:tr>
      <w:tr>
        <w:trPr>
          <w:trHeight w:val="182"/>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Adjustments to reconcile net income to net cash</w:t>
            </w:r>
          </w:p>
        </w:tc>
        <w:tc>
          <w:tcPr>
            <w:tcW w:w="15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2"/>
        </w:trPr>
        <w:tc>
          <w:tcPr>
            <w:tcW w:w="5340" w:type="dxa"/>
            <w:vAlign w:val="bottom"/>
          </w:tcPr>
          <w:p>
            <w:pPr>
              <w:ind w:left="380"/>
              <w:spacing w:after="0"/>
              <w:rPr>
                <w:sz w:val="20"/>
                <w:szCs w:val="20"/>
                <w:color w:val="auto"/>
              </w:rPr>
            </w:pPr>
            <w:r>
              <w:rPr>
                <w:rFonts w:ascii="Courier New" w:cs="Courier New" w:eastAsia="Courier New" w:hAnsi="Courier New"/>
                <w:sz w:val="16"/>
                <w:szCs w:val="16"/>
                <w:color w:val="auto"/>
              </w:rPr>
              <w:t>provided by operating activities</w:t>
            </w:r>
          </w:p>
        </w:tc>
        <w:tc>
          <w:tcPr>
            <w:tcW w:w="15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2"/>
        </w:trPr>
        <w:tc>
          <w:tcPr>
            <w:tcW w:w="5340" w:type="dxa"/>
            <w:vAlign w:val="bottom"/>
          </w:tcPr>
          <w:p>
            <w:pPr>
              <w:ind w:left="380"/>
              <w:spacing w:after="0"/>
              <w:rPr>
                <w:sz w:val="20"/>
                <w:szCs w:val="20"/>
                <w:color w:val="auto"/>
              </w:rPr>
            </w:pPr>
            <w:r>
              <w:rPr>
                <w:rFonts w:ascii="Courier New" w:cs="Courier New" w:eastAsia="Courier New" w:hAnsi="Courier New"/>
                <w:sz w:val="16"/>
                <w:szCs w:val="16"/>
                <w:color w:val="auto"/>
              </w:rPr>
              <w:t>Depreciation and amortization of property</w:t>
            </w:r>
          </w:p>
        </w:tc>
        <w:tc>
          <w:tcPr>
            <w:tcW w:w="15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2"/>
        </w:trPr>
        <w:tc>
          <w:tcPr>
            <w:tcW w:w="5340" w:type="dxa"/>
            <w:vAlign w:val="bottom"/>
          </w:tcPr>
          <w:p>
            <w:pPr>
              <w:ind w:left="660"/>
              <w:spacing w:after="0"/>
              <w:rPr>
                <w:sz w:val="20"/>
                <w:szCs w:val="20"/>
                <w:color w:val="auto"/>
              </w:rPr>
            </w:pPr>
            <w:r>
              <w:rPr>
                <w:rFonts w:ascii="Courier New" w:cs="Courier New" w:eastAsia="Courier New" w:hAnsi="Courier New"/>
                <w:sz w:val="16"/>
                <w:szCs w:val="16"/>
                <w:color w:val="auto"/>
              </w:rPr>
              <w:t>and equipment</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19,651</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25,450</w:t>
            </w:r>
          </w:p>
        </w:tc>
      </w:tr>
      <w:tr>
        <w:trPr>
          <w:trHeight w:val="182"/>
        </w:trPr>
        <w:tc>
          <w:tcPr>
            <w:tcW w:w="5340" w:type="dxa"/>
            <w:vAlign w:val="bottom"/>
          </w:tcPr>
          <w:p>
            <w:pPr>
              <w:ind w:left="380"/>
              <w:spacing w:after="0"/>
              <w:rPr>
                <w:sz w:val="20"/>
                <w:szCs w:val="20"/>
                <w:color w:val="auto"/>
              </w:rPr>
            </w:pPr>
            <w:r>
              <w:rPr>
                <w:rFonts w:ascii="Courier New" w:cs="Courier New" w:eastAsia="Courier New" w:hAnsi="Courier New"/>
                <w:sz w:val="16"/>
                <w:szCs w:val="16"/>
                <w:color w:val="auto"/>
              </w:rPr>
              <w:t>Minority interests in consolidated subsidiaries</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12,121</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(357)</w:t>
            </w:r>
          </w:p>
        </w:tc>
      </w:tr>
      <w:tr>
        <w:trPr>
          <w:trHeight w:val="182"/>
        </w:trPr>
        <w:tc>
          <w:tcPr>
            <w:tcW w:w="5340" w:type="dxa"/>
            <w:vAlign w:val="bottom"/>
          </w:tcPr>
          <w:p>
            <w:pPr>
              <w:ind w:left="380"/>
              <w:spacing w:after="0"/>
              <w:rPr>
                <w:sz w:val="20"/>
                <w:szCs w:val="20"/>
                <w:color w:val="auto"/>
              </w:rPr>
            </w:pPr>
            <w:r>
              <w:rPr>
                <w:rFonts w:ascii="Courier New" w:cs="Courier New" w:eastAsia="Courier New" w:hAnsi="Courier New"/>
                <w:sz w:val="16"/>
                <w:szCs w:val="16"/>
                <w:color w:val="auto"/>
              </w:rPr>
              <w:t>Amortization of goodwill</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373</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14,460</w:t>
            </w:r>
          </w:p>
        </w:tc>
      </w:tr>
      <w:tr>
        <w:trPr>
          <w:trHeight w:val="182"/>
        </w:trPr>
        <w:tc>
          <w:tcPr>
            <w:tcW w:w="5340" w:type="dxa"/>
            <w:vAlign w:val="bottom"/>
          </w:tcPr>
          <w:p>
            <w:pPr>
              <w:ind w:left="380"/>
              <w:spacing w:after="0"/>
              <w:rPr>
                <w:sz w:val="20"/>
                <w:szCs w:val="20"/>
                <w:color w:val="auto"/>
              </w:rPr>
            </w:pPr>
            <w:r>
              <w:rPr>
                <w:rFonts w:ascii="Courier New" w:cs="Courier New" w:eastAsia="Courier New" w:hAnsi="Courier New"/>
                <w:sz w:val="16"/>
                <w:szCs w:val="16"/>
                <w:color w:val="auto"/>
              </w:rPr>
              <w:t>Other changes in assets and liabilities</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(9,874)</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38,774</w:t>
            </w:r>
          </w:p>
        </w:tc>
      </w:tr>
      <w:tr>
        <w:trPr>
          <w:trHeight w:val="182"/>
        </w:trPr>
        <w:tc>
          <w:tcPr>
            <w:tcW w:w="5340" w:type="dxa"/>
            <w:vAlign w:val="bottom"/>
          </w:tcPr>
          <w:p>
            <w:pPr>
              <w:spacing w:after="0"/>
              <w:rPr>
                <w:sz w:val="15"/>
                <w:szCs w:val="15"/>
                <w:color w:val="auto"/>
              </w:rPr>
            </w:pP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166,644</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178,791</w:t>
            </w:r>
          </w:p>
        </w:tc>
      </w:tr>
      <w:tr>
        <w:trPr>
          <w:trHeight w:val="182"/>
        </w:trPr>
        <w:tc>
          <w:tcPr>
            <w:tcW w:w="5340" w:type="dxa"/>
            <w:vAlign w:val="bottom"/>
          </w:tcPr>
          <w:p>
            <w:pPr>
              <w:spacing w:after="0"/>
              <w:rPr>
                <w:sz w:val="15"/>
                <w:szCs w:val="15"/>
                <w:color w:val="auto"/>
              </w:rPr>
            </w:pP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534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2"/>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Investments in sponsored mutual funds</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(4,894)</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(2,562)</w:t>
            </w:r>
          </w:p>
        </w:tc>
      </w:tr>
      <w:tr>
        <w:trPr>
          <w:trHeight w:val="182"/>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Dispositions of sponsored mutual funds</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56,750</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52,585</w:t>
            </w:r>
          </w:p>
        </w:tc>
      </w:tr>
      <w:tr>
        <w:trPr>
          <w:trHeight w:val="182"/>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Other investments</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(6,053)</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(34,968)</w:t>
            </w:r>
          </w:p>
        </w:tc>
      </w:tr>
      <w:tr>
        <w:trPr>
          <w:trHeight w:val="182"/>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Dispositions of other investments</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227</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6,694</w:t>
            </w:r>
          </w:p>
        </w:tc>
      </w:tr>
      <w:tr>
        <w:trPr>
          <w:trHeight w:val="182"/>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Additions to property and equipment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(40,678)</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(32,558)</w:t>
            </w:r>
          </w:p>
        </w:tc>
      </w:tr>
      <w:tr>
        <w:trPr>
          <w:trHeight w:val="182"/>
        </w:trPr>
        <w:tc>
          <w:tcPr>
            <w:tcW w:w="5340" w:type="dxa"/>
            <w:vAlign w:val="bottom"/>
          </w:tcPr>
          <w:p>
            <w:pPr>
              <w:spacing w:after="0"/>
              <w:rPr>
                <w:sz w:val="15"/>
                <w:szCs w:val="15"/>
                <w:color w:val="auto"/>
              </w:rPr>
            </w:pP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Net cash provided by (used in) investing activities</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5,352</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(10,809)</w:t>
            </w:r>
          </w:p>
        </w:tc>
      </w:tr>
      <w:tr>
        <w:trPr>
          <w:trHeight w:val="182"/>
        </w:trPr>
        <w:tc>
          <w:tcPr>
            <w:tcW w:w="5340" w:type="dxa"/>
            <w:vAlign w:val="bottom"/>
          </w:tcPr>
          <w:p>
            <w:pPr>
              <w:spacing w:after="0"/>
              <w:rPr>
                <w:sz w:val="15"/>
                <w:szCs w:val="15"/>
                <w:color w:val="auto"/>
              </w:rPr>
            </w:pP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534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2"/>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Purchases of stock</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(6,221)</w:t>
            </w:r>
          </w:p>
        </w:tc>
      </w:tr>
      <w:tr>
        <w:trPr>
          <w:trHeight w:val="182"/>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Receipts relating to stock issuances</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8,796</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6,542</w:t>
            </w:r>
          </w:p>
        </w:tc>
      </w:tr>
      <w:tr>
        <w:trPr>
          <w:trHeight w:val="182"/>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Debt principal repayments</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(95,000)</w:t>
            </w:r>
          </w:p>
        </w:tc>
      </w:tr>
      <w:tr>
        <w:trPr>
          <w:trHeight w:val="182"/>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Dividends paid to stockholders</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(31,300)</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(36,818)</w:t>
            </w:r>
          </w:p>
        </w:tc>
      </w:tr>
      <w:tr>
        <w:trPr>
          <w:trHeight w:val="182"/>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Savings bank subsidiary deposits</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8,526</w:t>
            </w:r>
          </w:p>
        </w:tc>
      </w:tr>
      <w:tr>
        <w:trPr>
          <w:trHeight w:val="182"/>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Other activities</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(2,072)</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340" w:type="dxa"/>
            <w:vAlign w:val="bottom"/>
          </w:tcPr>
          <w:p>
            <w:pPr>
              <w:spacing w:after="0"/>
              <w:rPr>
                <w:sz w:val="15"/>
                <w:szCs w:val="15"/>
                <w:color w:val="auto"/>
              </w:rPr>
            </w:pP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Net cash used in financing activities</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(24,576)</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(122,971)</w:t>
            </w:r>
          </w:p>
        </w:tc>
      </w:tr>
      <w:tr>
        <w:trPr>
          <w:trHeight w:val="182"/>
        </w:trPr>
        <w:tc>
          <w:tcPr>
            <w:tcW w:w="5340" w:type="dxa"/>
            <w:vAlign w:val="bottom"/>
          </w:tcPr>
          <w:p>
            <w:pPr>
              <w:spacing w:after="0"/>
              <w:rPr>
                <w:sz w:val="15"/>
                <w:szCs w:val="15"/>
                <w:color w:val="auto"/>
              </w:rPr>
            </w:pP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534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2"/>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Net increase during period</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147,420</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45,011</w:t>
            </w:r>
          </w:p>
        </w:tc>
      </w:tr>
      <w:tr>
        <w:trPr>
          <w:trHeight w:val="182"/>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At beginning of year</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358,472</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80,526</w:t>
            </w:r>
          </w:p>
        </w:tc>
      </w:tr>
      <w:tr>
        <w:trPr>
          <w:trHeight w:val="182"/>
        </w:trPr>
        <w:tc>
          <w:tcPr>
            <w:tcW w:w="5340" w:type="dxa"/>
            <w:vAlign w:val="bottom"/>
          </w:tcPr>
          <w:p>
            <w:pPr>
              <w:spacing w:after="0"/>
              <w:rPr>
                <w:sz w:val="15"/>
                <w:szCs w:val="15"/>
                <w:color w:val="auto"/>
              </w:rPr>
            </w:pP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At end of period</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$ 505,892</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$ 125,537</w:t>
            </w:r>
          </w:p>
        </w:tc>
      </w:tr>
      <w:tr>
        <w:trPr>
          <w:trHeight w:val="182"/>
        </w:trPr>
        <w:tc>
          <w:tcPr>
            <w:tcW w:w="5340" w:type="dxa"/>
            <w:vAlign w:val="bottom"/>
          </w:tcPr>
          <w:p>
            <w:pPr>
              <w:spacing w:after="0"/>
              <w:rPr>
                <w:sz w:val="15"/>
                <w:szCs w:val="15"/>
                <w:color w:val="auto"/>
              </w:rPr>
            </w:pP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the accompanying notes to the condensed consolidated financial statements.</w:t>
      </w:r>
    </w:p>
    <w:p>
      <w:pPr>
        <w:sectPr>
          <w:pgSz w:w="11900" w:h="16838" w:orient="portrait"/>
          <w:cols w:equalWidth="0" w:num="1">
            <w:col w:w="10219"/>
          </w:cols>
          <w:pgMar w:left="240" w:top="295"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364"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6"/>
          <w:szCs w:val="16"/>
          <w:color w:val="auto"/>
        </w:rPr>
        <w:t>UNAUDITED CONDENSED CONSOLIDATED STATEMENT OF STOCKHOLDERS' EQUITY</w:t>
      </w:r>
    </w:p>
    <w:p>
      <w:pPr>
        <w:spacing w:after="0" w:line="1"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6"/>
          <w:szCs w:val="16"/>
          <w:color w:val="auto"/>
        </w:rPr>
        <w:t>(dollars in thousands)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Accumu-</w:t>
            </w:r>
          </w:p>
        </w:tc>
        <w:tc>
          <w:tcPr>
            <w:tcW w:w="1460" w:type="dxa"/>
            <w:vAlign w:val="bottom"/>
          </w:tcPr>
          <w:p>
            <w:pPr>
              <w:spacing w:after="0"/>
              <w:rPr>
                <w:sz w:val="15"/>
                <w:szCs w:val="15"/>
                <w:color w:val="auto"/>
              </w:rPr>
            </w:pPr>
          </w:p>
        </w:tc>
      </w:tr>
      <w:tr>
        <w:trPr>
          <w:trHeight w:val="182"/>
        </w:trPr>
        <w:tc>
          <w:tcPr>
            <w:tcW w:w="2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Capital</w:t>
            </w: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lated</w:t>
            </w:r>
          </w:p>
        </w:tc>
        <w:tc>
          <w:tcPr>
            <w:tcW w:w="1460" w:type="dxa"/>
            <w:vAlign w:val="bottom"/>
          </w:tcPr>
          <w:p>
            <w:pPr>
              <w:spacing w:after="0"/>
              <w:rPr>
                <w:sz w:val="15"/>
                <w:szCs w:val="15"/>
                <w:color w:val="auto"/>
              </w:rPr>
            </w:pPr>
          </w:p>
        </w:tc>
      </w:tr>
      <w:tr>
        <w:trPr>
          <w:trHeight w:val="182"/>
        </w:trPr>
        <w:tc>
          <w:tcPr>
            <w:tcW w:w="2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Common</w:t>
            </w:r>
          </w:p>
        </w:tc>
        <w:tc>
          <w:tcPr>
            <w:tcW w:w="5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in</w:t>
            </w: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other</w:t>
            </w: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Total</w:t>
            </w:r>
          </w:p>
        </w:tc>
      </w:tr>
      <w:tr>
        <w:trPr>
          <w:trHeight w:val="182"/>
        </w:trPr>
        <w:tc>
          <w:tcPr>
            <w:tcW w:w="2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stock</w:t>
            </w:r>
          </w:p>
        </w:tc>
        <w:tc>
          <w:tcPr>
            <w:tcW w:w="5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excess</w:t>
            </w: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compre-</w:t>
            </w: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stock-</w:t>
            </w:r>
          </w:p>
        </w:tc>
      </w:tr>
      <w:tr>
        <w:trPr>
          <w:trHeight w:val="182"/>
        </w:trPr>
        <w:tc>
          <w:tcPr>
            <w:tcW w:w="2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par</w:t>
            </w:r>
          </w:p>
        </w:tc>
        <w:tc>
          <w:tcPr>
            <w:tcW w:w="5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of par</w:t>
            </w:r>
          </w:p>
        </w:tc>
        <w:tc>
          <w:tcPr>
            <w:tcW w:w="520" w:type="dxa"/>
            <w:vAlign w:val="bottom"/>
          </w:tcPr>
          <w:p>
            <w:pPr>
              <w:spacing w:after="0"/>
              <w:rPr>
                <w:sz w:val="15"/>
                <w:szCs w:val="15"/>
                <w:color w:val="auto"/>
              </w:rPr>
            </w:pPr>
          </w:p>
        </w:tc>
        <w:tc>
          <w:tcPr>
            <w:tcW w:w="12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Retained</w:t>
            </w:r>
          </w:p>
        </w:tc>
        <w:tc>
          <w:tcPr>
            <w:tcW w:w="560" w:type="dxa"/>
            <w:vAlign w:val="bottom"/>
          </w:tcPr>
          <w:p>
            <w:pPr>
              <w:spacing w:after="0"/>
              <w:rPr>
                <w:sz w:val="15"/>
                <w:szCs w:val="15"/>
                <w:color w:val="auto"/>
              </w:rPr>
            </w:pP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hensive</w:t>
            </w: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holders'</w:t>
            </w:r>
          </w:p>
        </w:tc>
      </w:tr>
      <w:tr>
        <w:trPr>
          <w:trHeight w:val="182"/>
        </w:trPr>
        <w:tc>
          <w:tcPr>
            <w:tcW w:w="2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value</w:t>
            </w:r>
          </w:p>
        </w:tc>
        <w:tc>
          <w:tcPr>
            <w:tcW w:w="5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value</w:t>
            </w:r>
          </w:p>
        </w:tc>
        <w:tc>
          <w:tcPr>
            <w:tcW w:w="520" w:type="dxa"/>
            <w:vAlign w:val="bottom"/>
          </w:tcPr>
          <w:p>
            <w:pPr>
              <w:spacing w:after="0"/>
              <w:rPr>
                <w:sz w:val="15"/>
                <w:szCs w:val="15"/>
                <w:color w:val="auto"/>
              </w:rPr>
            </w:pPr>
          </w:p>
        </w:tc>
        <w:tc>
          <w:tcPr>
            <w:tcW w:w="12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earnings</w:t>
            </w:r>
          </w:p>
        </w:tc>
        <w:tc>
          <w:tcPr>
            <w:tcW w:w="560" w:type="dxa"/>
            <w:vAlign w:val="bottom"/>
          </w:tcPr>
          <w:p>
            <w:pPr>
              <w:spacing w:after="0"/>
              <w:rPr>
                <w:sz w:val="15"/>
                <w:szCs w:val="15"/>
                <w:color w:val="auto"/>
              </w:rPr>
            </w:pP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income</w:t>
            </w: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equity</w:t>
            </w:r>
          </w:p>
        </w:tc>
      </w:tr>
      <w:tr>
        <w:trPr>
          <w:trHeight w:val="182"/>
        </w:trPr>
        <w:tc>
          <w:tcPr>
            <w:tcW w:w="2880" w:type="dxa"/>
            <w:vAlign w:val="bottom"/>
          </w:tcPr>
          <w:p>
            <w:pPr>
              <w:spacing w:after="0"/>
              <w:rPr>
                <w:sz w:val="15"/>
                <w:szCs w:val="15"/>
                <w:color w:val="auto"/>
              </w:rPr>
            </w:pPr>
          </w:p>
        </w:tc>
        <w:tc>
          <w:tcPr>
            <w:tcW w:w="180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2880" w:type="dxa"/>
            <w:vAlign w:val="bottom"/>
          </w:tcPr>
          <w:p>
            <w:pPr>
              <w:spacing w:after="0"/>
              <w:rPr>
                <w:sz w:val="20"/>
                <w:szCs w:val="20"/>
                <w:color w:val="auto"/>
              </w:rPr>
            </w:pPr>
            <w:r>
              <w:rPr>
                <w:rFonts w:ascii="Courier New" w:cs="Courier New" w:eastAsia="Courier New" w:hAnsi="Courier New"/>
                <w:sz w:val="16"/>
                <w:szCs w:val="16"/>
                <w:color w:val="auto"/>
              </w:rPr>
              <w:t>Balance at end of 2000,</w:t>
            </w: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2"/>
        </w:trPr>
        <w:tc>
          <w:tcPr>
            <w:tcW w:w="2880" w:type="dxa"/>
            <w:vAlign w:val="bottom"/>
          </w:tcPr>
          <w:p>
            <w:pPr>
              <w:ind w:left="100"/>
              <w:spacing w:after="0"/>
              <w:rPr>
                <w:sz w:val="20"/>
                <w:szCs w:val="20"/>
                <w:color w:val="auto"/>
              </w:rPr>
            </w:pPr>
            <w:r>
              <w:rPr>
                <w:rFonts w:ascii="Courier New" w:cs="Courier New" w:eastAsia="Courier New" w:hAnsi="Courier New"/>
                <w:sz w:val="16"/>
                <w:szCs w:val="16"/>
                <w:color w:val="auto"/>
              </w:rPr>
              <w:t>122,439,232 common shares</w:t>
            </w:r>
          </w:p>
        </w:tc>
        <w:tc>
          <w:tcPr>
            <w:tcW w:w="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24,488</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80,855</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852,775</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32,947</w:t>
            </w: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   991,065</w:t>
            </w: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rPr>
              <w:t>Comprehensive income</w:t>
            </w: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2"/>
        </w:trPr>
        <w:tc>
          <w:tcPr>
            <w:tcW w:w="2880" w:type="dxa"/>
            <w:vAlign w:val="bottom"/>
          </w:tcPr>
          <w:p>
            <w:pPr>
              <w:ind w:left="100"/>
              <w:spacing w:after="0"/>
              <w:rPr>
                <w:sz w:val="20"/>
                <w:szCs w:val="20"/>
                <w:color w:val="auto"/>
              </w:rPr>
            </w:pPr>
            <w:r>
              <w:rPr>
                <w:rFonts w:ascii="Courier New" w:cs="Courier New" w:eastAsia="Courier New" w:hAnsi="Courier New"/>
                <w:sz w:val="16"/>
                <w:szCs w:val="16"/>
                <w:color w:val="auto"/>
              </w:rPr>
              <w:t>Net income</w:t>
            </w: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100,464</w:t>
            </w:r>
          </w:p>
        </w:tc>
        <w:tc>
          <w:tcPr>
            <w:tcW w:w="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2"/>
        </w:trPr>
        <w:tc>
          <w:tcPr>
            <w:tcW w:w="2880" w:type="dxa"/>
            <w:vAlign w:val="bottom"/>
          </w:tcPr>
          <w:p>
            <w:pPr>
              <w:ind w:left="100"/>
              <w:spacing w:after="0"/>
              <w:rPr>
                <w:sz w:val="20"/>
                <w:szCs w:val="20"/>
                <w:color w:val="auto"/>
              </w:rPr>
            </w:pPr>
            <w:r>
              <w:rPr>
                <w:rFonts w:ascii="Courier New" w:cs="Courier New" w:eastAsia="Courier New" w:hAnsi="Courier New"/>
                <w:sz w:val="16"/>
                <w:szCs w:val="16"/>
                <w:color w:val="auto"/>
              </w:rPr>
              <w:t>Change in unrealized</w:t>
            </w: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2"/>
        </w:trPr>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rPr>
              <w:t>security holding gains</w:t>
            </w: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(16,006)</w:t>
            </w:r>
          </w:p>
        </w:tc>
        <w:tc>
          <w:tcPr>
            <w:tcW w:w="1460" w:type="dxa"/>
            <w:vAlign w:val="bottom"/>
          </w:tcPr>
          <w:p>
            <w:pPr>
              <w:spacing w:after="0"/>
              <w:rPr>
                <w:sz w:val="15"/>
                <w:szCs w:val="15"/>
                <w:color w:val="auto"/>
              </w:rPr>
            </w:pPr>
          </w:p>
        </w:tc>
      </w:tr>
      <w:tr>
        <w:trPr>
          <w:trHeight w:val="182"/>
        </w:trPr>
        <w:tc>
          <w:tcPr>
            <w:tcW w:w="2880" w:type="dxa"/>
            <w:vAlign w:val="bottom"/>
          </w:tcPr>
          <w:p>
            <w:pPr>
              <w:ind w:left="100"/>
              <w:spacing w:after="0"/>
              <w:rPr>
                <w:sz w:val="20"/>
                <w:szCs w:val="20"/>
                <w:color w:val="auto"/>
              </w:rPr>
            </w:pPr>
            <w:r>
              <w:rPr>
                <w:rFonts w:ascii="Courier New" w:cs="Courier New" w:eastAsia="Courier New" w:hAnsi="Courier New"/>
                <w:sz w:val="16"/>
                <w:szCs w:val="16"/>
                <w:color w:val="auto"/>
              </w:rPr>
              <w:t>Total comprehensive income</w:t>
            </w: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84,458</w:t>
            </w: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rPr>
              <w:t>891,322 common shares</w:t>
            </w: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2"/>
        </w:trPr>
        <w:tc>
          <w:tcPr>
            <w:tcW w:w="2880" w:type="dxa"/>
            <w:vAlign w:val="bottom"/>
          </w:tcPr>
          <w:p>
            <w:pPr>
              <w:ind w:left="100"/>
              <w:spacing w:after="0"/>
              <w:rPr>
                <w:sz w:val="20"/>
                <w:szCs w:val="20"/>
                <w:color w:val="auto"/>
              </w:rPr>
            </w:pPr>
            <w:r>
              <w:rPr>
                <w:rFonts w:ascii="Courier New" w:cs="Courier New" w:eastAsia="Courier New" w:hAnsi="Courier New"/>
                <w:sz w:val="16"/>
                <w:szCs w:val="16"/>
                <w:color w:val="auto"/>
              </w:rPr>
              <w:t>issued under stock-based</w:t>
            </w: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2"/>
        </w:trPr>
        <w:tc>
          <w:tcPr>
            <w:tcW w:w="2880" w:type="dxa"/>
            <w:vAlign w:val="bottom"/>
          </w:tcPr>
          <w:p>
            <w:pPr>
              <w:ind w:left="100"/>
              <w:spacing w:after="0"/>
              <w:rPr>
                <w:sz w:val="20"/>
                <w:szCs w:val="20"/>
                <w:color w:val="auto"/>
              </w:rPr>
            </w:pPr>
            <w:r>
              <w:rPr>
                <w:rFonts w:ascii="Courier New" w:cs="Courier New" w:eastAsia="Courier New" w:hAnsi="Courier New"/>
                <w:sz w:val="16"/>
                <w:szCs w:val="16"/>
                <w:color w:val="auto"/>
              </w:rPr>
              <w:t>compensation plans</w:t>
            </w:r>
          </w:p>
        </w:tc>
        <w:tc>
          <w:tcPr>
            <w:tcW w:w="62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178</w:t>
            </w:r>
          </w:p>
        </w:tc>
        <w:tc>
          <w:tcPr>
            <w:tcW w:w="5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9,604</w:t>
            </w: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9,782</w:t>
            </w: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rPr>
              <w:t>187,500 common shares</w:t>
            </w: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2"/>
        </w:trPr>
        <w:tc>
          <w:tcPr>
            <w:tcW w:w="2880" w:type="dxa"/>
            <w:vAlign w:val="bottom"/>
          </w:tcPr>
          <w:p>
            <w:pPr>
              <w:ind w:left="100"/>
              <w:spacing w:after="0"/>
              <w:rPr>
                <w:sz w:val="20"/>
                <w:szCs w:val="20"/>
                <w:color w:val="auto"/>
              </w:rPr>
            </w:pPr>
            <w:r>
              <w:rPr>
                <w:rFonts w:ascii="Courier New" w:cs="Courier New" w:eastAsia="Courier New" w:hAnsi="Courier New"/>
                <w:sz w:val="16"/>
                <w:szCs w:val="16"/>
                <w:color w:val="auto"/>
              </w:rPr>
              <w:t>repurchased</w:t>
            </w:r>
          </w:p>
        </w:tc>
        <w:tc>
          <w:tcPr>
            <w:tcW w:w="62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(37)</w:t>
            </w:r>
          </w:p>
        </w:tc>
        <w:tc>
          <w:tcPr>
            <w:tcW w:w="56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(6,184)</w:t>
            </w: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(6,221)</w:t>
            </w: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rPr>
              <w:t>Dividends declared</w:t>
            </w: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(36,923)</w:t>
            </w:r>
          </w:p>
        </w:tc>
        <w:tc>
          <w:tcPr>
            <w:tcW w:w="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(36,923)</w:t>
            </w:r>
          </w:p>
        </w:tc>
      </w:tr>
      <w:tr>
        <w:trPr>
          <w:trHeight w:val="182"/>
        </w:trPr>
        <w:tc>
          <w:tcPr>
            <w:tcW w:w="2880" w:type="dxa"/>
            <w:vAlign w:val="bottom"/>
          </w:tcPr>
          <w:p>
            <w:pPr>
              <w:spacing w:after="0"/>
              <w:rPr>
                <w:sz w:val="15"/>
                <w:szCs w:val="15"/>
                <w:color w:val="auto"/>
              </w:rPr>
            </w:pPr>
          </w:p>
        </w:tc>
        <w:tc>
          <w:tcPr>
            <w:tcW w:w="180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rPr>
              <w:t>Balance at June 30, 2001,</w:t>
            </w: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2"/>
        </w:trPr>
        <w:tc>
          <w:tcPr>
            <w:tcW w:w="2880" w:type="dxa"/>
            <w:vAlign w:val="bottom"/>
          </w:tcPr>
          <w:p>
            <w:pPr>
              <w:ind w:left="100"/>
              <w:spacing w:after="0"/>
              <w:rPr>
                <w:sz w:val="20"/>
                <w:szCs w:val="20"/>
                <w:color w:val="auto"/>
              </w:rPr>
            </w:pPr>
            <w:r>
              <w:rPr>
                <w:rFonts w:ascii="Courier New" w:cs="Courier New" w:eastAsia="Courier New" w:hAnsi="Courier New"/>
                <w:sz w:val="16"/>
                <w:szCs w:val="16"/>
                <w:color w:val="auto"/>
              </w:rPr>
              <w:t>123,143,054 common shares</w:t>
            </w:r>
          </w:p>
        </w:tc>
        <w:tc>
          <w:tcPr>
            <w:tcW w:w="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24,629</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84,275</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916,316</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16,941</w:t>
            </w: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$ 1,042,161</w:t>
            </w:r>
          </w:p>
        </w:tc>
      </w:tr>
      <w:tr>
        <w:trPr>
          <w:trHeight w:val="182"/>
        </w:trPr>
        <w:tc>
          <w:tcPr>
            <w:tcW w:w="2880" w:type="dxa"/>
            <w:vAlign w:val="bottom"/>
          </w:tcPr>
          <w:p>
            <w:pPr>
              <w:spacing w:after="0"/>
              <w:rPr>
                <w:sz w:val="15"/>
                <w:szCs w:val="15"/>
                <w:color w:val="auto"/>
              </w:rPr>
            </w:pPr>
          </w:p>
        </w:tc>
        <w:tc>
          <w:tcPr>
            <w:tcW w:w="180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the accompanying notes to the condensed consolidated financial statements.</w:t>
      </w:r>
    </w:p>
    <w:p>
      <w:pPr>
        <w:sectPr>
          <w:pgSz w:w="11900" w:h="16838" w:orient="portrait"/>
          <w:cols w:equalWidth="0" w:num="1">
            <w:col w:w="11520"/>
          </w:cols>
          <w:pgMar w:left="240" w:top="295" w:right="139"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36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NOTES TO UNAUDITED CONDENSED CONSOLIDATED FINANCIAL STATEMENTS</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 THE COMPANY AND BASIS OF PREPARATION.</w:t>
      </w:r>
    </w:p>
    <w:p>
      <w:pPr>
        <w:spacing w:after="0" w:line="186" w:lineRule="exact"/>
        <w:rPr>
          <w:sz w:val="20"/>
          <w:szCs w:val="20"/>
          <w:color w:val="auto"/>
        </w:rPr>
      </w:pPr>
    </w:p>
    <w:p>
      <w:pPr>
        <w:ind w:right="2839"/>
        <w:spacing w:after="0"/>
        <w:rPr>
          <w:sz w:val="20"/>
          <w:szCs w:val="20"/>
          <w:color w:val="auto"/>
        </w:rPr>
      </w:pPr>
      <w:r>
        <w:rPr>
          <w:rFonts w:ascii="Courier New" w:cs="Courier New" w:eastAsia="Courier New" w:hAnsi="Courier New"/>
          <w:sz w:val="16"/>
          <w:szCs w:val="16"/>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mutual fund transfer agent, accounting and shareholder services; participant recordkeeping and transfer agent services for defined contribution retirement plans; discount brokerage; and trust services. The investors that we serve are primarily domiciled in the United States.</w:t>
      </w:r>
    </w:p>
    <w:p>
      <w:pPr>
        <w:spacing w:after="0" w:line="188"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87"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These unaudited condensed consolidated financial statements reflect all adjustments which are, in the opinion of management, necessary to a fair statement of our results for the interim periods presented. All such adjustments are of a normal recurring nature.</w:t>
      </w:r>
    </w:p>
    <w:p>
      <w:pPr>
        <w:spacing w:after="0" w:line="187" w:lineRule="exact"/>
        <w:rPr>
          <w:sz w:val="20"/>
          <w:szCs w:val="20"/>
          <w:color w:val="auto"/>
        </w:rPr>
      </w:pPr>
    </w:p>
    <w:p>
      <w:pPr>
        <w:ind w:right="2839"/>
        <w:spacing w:after="0" w:line="260" w:lineRule="auto"/>
        <w:rPr>
          <w:sz w:val="20"/>
          <w:szCs w:val="20"/>
          <w:color w:val="auto"/>
        </w:rPr>
      </w:pPr>
      <w:r>
        <w:rPr>
          <w:rFonts w:ascii="Courier New" w:cs="Courier New" w:eastAsia="Courier New" w:hAnsi="Courier New"/>
          <w:sz w:val="15"/>
          <w:szCs w:val="15"/>
          <w:color w:val="auto"/>
        </w:rPr>
        <w:t>The unaudited interim financial information contained in these condensed consolidated financial statements should be read in conjunction with the consolidated financial statements contained in our 2000 Annual Report. Certain 2000 amounts have been reclassified to conform to the 2001 presentation.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 INFORMATION ABOUT REVENUES AND SERVICES.</w:t>
      </w:r>
    </w:p>
    <w:p>
      <w:pPr>
        <w:spacing w:after="0" w:line="186"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6"/>
          <w:szCs w:val="16"/>
          <w:color w:val="auto"/>
        </w:rPr>
        <w:t>Our revenues (in thousands) from advisory services provided under agreements with our sponsored mutual funds and other investment clients for the six months ended June 30 were:</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20" w:type="dxa"/>
            <w:vAlign w:val="bottom"/>
          </w:tcPr>
          <w:p>
            <w:pPr>
              <w:spacing w:after="0"/>
              <w:rPr>
                <w:sz w:val="15"/>
                <w:szCs w:val="15"/>
                <w:color w:val="auto"/>
              </w:rPr>
            </w:pPr>
          </w:p>
        </w:tc>
        <w:tc>
          <w:tcPr>
            <w:tcW w:w="2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2000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2001</w:t>
            </w:r>
          </w:p>
        </w:tc>
      </w:tr>
      <w:tr>
        <w:trPr>
          <w:trHeight w:val="182"/>
        </w:trPr>
        <w:tc>
          <w:tcPr>
            <w:tcW w:w="3920" w:type="dxa"/>
            <w:vAlign w:val="bottom"/>
          </w:tcPr>
          <w:p>
            <w:pPr>
              <w:spacing w:after="0"/>
              <w:rPr>
                <w:sz w:val="15"/>
                <w:szCs w:val="15"/>
                <w:color w:val="auto"/>
              </w:rPr>
            </w:pPr>
          </w:p>
        </w:tc>
        <w:tc>
          <w:tcPr>
            <w:tcW w:w="2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920" w:type="dxa"/>
            <w:vAlign w:val="bottom"/>
          </w:tcPr>
          <w:p>
            <w:pPr>
              <w:spacing w:after="0"/>
              <w:rPr>
                <w:sz w:val="20"/>
                <w:szCs w:val="20"/>
                <w:color w:val="auto"/>
              </w:rPr>
            </w:pPr>
            <w:r>
              <w:rPr>
                <w:rFonts w:ascii="Courier New" w:cs="Courier New" w:eastAsia="Courier New" w:hAnsi="Courier New"/>
                <w:sz w:val="16"/>
                <w:szCs w:val="16"/>
                <w:color w:val="auto"/>
              </w:rPr>
              <w:t>Sponsored mutual funds</w:t>
            </w:r>
          </w:p>
        </w:tc>
        <w:tc>
          <w:tcPr>
            <w:tcW w:w="2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2"/>
        </w:trPr>
        <w:tc>
          <w:tcPr>
            <w:tcW w:w="3920" w:type="dxa"/>
            <w:vAlign w:val="bottom"/>
          </w:tcPr>
          <w:p>
            <w:pPr>
              <w:ind w:left="100"/>
              <w:spacing w:after="0"/>
              <w:rPr>
                <w:sz w:val="20"/>
                <w:szCs w:val="20"/>
                <w:color w:val="auto"/>
              </w:rPr>
            </w:pPr>
            <w:r>
              <w:rPr>
                <w:rFonts w:ascii="Courier New" w:cs="Courier New" w:eastAsia="Courier New" w:hAnsi="Courier New"/>
                <w:sz w:val="16"/>
                <w:szCs w:val="16"/>
                <w:color w:val="auto"/>
              </w:rPr>
              <w:t>Stock and blended</w:t>
            </w:r>
          </w:p>
        </w:tc>
        <w:tc>
          <w:tcPr>
            <w:tcW w:w="2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3920" w:type="dxa"/>
            <w:vAlign w:val="bottom"/>
          </w:tcPr>
          <w:p>
            <w:pPr>
              <w:ind w:left="180"/>
              <w:spacing w:after="0"/>
              <w:rPr>
                <w:sz w:val="20"/>
                <w:szCs w:val="20"/>
                <w:color w:val="auto"/>
              </w:rPr>
            </w:pPr>
            <w:r>
              <w:rPr>
                <w:rFonts w:ascii="Courier New" w:cs="Courier New" w:eastAsia="Courier New" w:hAnsi="Courier New"/>
                <w:sz w:val="16"/>
                <w:szCs w:val="16"/>
                <w:color w:val="auto"/>
              </w:rPr>
              <w:t>Domestic</w:t>
            </w:r>
          </w:p>
        </w:tc>
        <w:tc>
          <w:tcPr>
            <w:tcW w:w="2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$209,092</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$189,588</w:t>
            </w:r>
          </w:p>
        </w:tc>
      </w:tr>
      <w:tr>
        <w:trPr>
          <w:trHeight w:val="182"/>
        </w:trPr>
        <w:tc>
          <w:tcPr>
            <w:tcW w:w="3920" w:type="dxa"/>
            <w:vAlign w:val="bottom"/>
          </w:tcPr>
          <w:p>
            <w:pPr>
              <w:ind w:left="180"/>
              <w:spacing w:after="0"/>
              <w:rPr>
                <w:sz w:val="20"/>
                <w:szCs w:val="20"/>
                <w:color w:val="auto"/>
              </w:rPr>
            </w:pPr>
            <w:r>
              <w:rPr>
                <w:rFonts w:ascii="Courier New" w:cs="Courier New" w:eastAsia="Courier New" w:hAnsi="Courier New"/>
                <w:sz w:val="16"/>
                <w:szCs w:val="16"/>
                <w:color w:val="auto"/>
              </w:rPr>
              <w:t>International</w:t>
            </w:r>
          </w:p>
        </w:tc>
        <w:tc>
          <w:tcPr>
            <w:tcW w:w="2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75,696</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52,948</w:t>
            </w:r>
          </w:p>
        </w:tc>
      </w:tr>
      <w:tr>
        <w:trPr>
          <w:trHeight w:val="182"/>
        </w:trPr>
        <w:tc>
          <w:tcPr>
            <w:tcW w:w="3920" w:type="dxa"/>
            <w:vAlign w:val="bottom"/>
          </w:tcPr>
          <w:p>
            <w:pPr>
              <w:ind w:left="100"/>
              <w:spacing w:after="0"/>
              <w:rPr>
                <w:sz w:val="20"/>
                <w:szCs w:val="20"/>
                <w:color w:val="auto"/>
              </w:rPr>
            </w:pPr>
            <w:r>
              <w:rPr>
                <w:rFonts w:ascii="Courier New" w:cs="Courier New" w:eastAsia="Courier New" w:hAnsi="Courier New"/>
                <w:sz w:val="16"/>
                <w:szCs w:val="16"/>
                <w:color w:val="auto"/>
              </w:rPr>
              <w:t>Bond and money market</w:t>
            </w:r>
          </w:p>
        </w:tc>
        <w:tc>
          <w:tcPr>
            <w:tcW w:w="2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46,390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47,586</w:t>
            </w:r>
          </w:p>
        </w:tc>
      </w:tr>
      <w:tr>
        <w:trPr>
          <w:trHeight w:val="182"/>
        </w:trPr>
        <w:tc>
          <w:tcPr>
            <w:tcW w:w="3920" w:type="dxa"/>
            <w:vAlign w:val="bottom"/>
          </w:tcPr>
          <w:p>
            <w:pPr>
              <w:spacing w:after="0"/>
              <w:rPr>
                <w:sz w:val="15"/>
                <w:szCs w:val="15"/>
                <w:color w:val="auto"/>
              </w:rPr>
            </w:pPr>
          </w:p>
        </w:tc>
        <w:tc>
          <w:tcPr>
            <w:tcW w:w="2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3920" w:type="dxa"/>
            <w:vAlign w:val="bottom"/>
          </w:tcPr>
          <w:p>
            <w:pPr>
              <w:spacing w:after="0"/>
              <w:rPr>
                <w:sz w:val="15"/>
                <w:szCs w:val="15"/>
                <w:color w:val="auto"/>
              </w:rPr>
            </w:pPr>
          </w:p>
        </w:tc>
        <w:tc>
          <w:tcPr>
            <w:tcW w:w="2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331,178</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290,122</w:t>
            </w:r>
          </w:p>
        </w:tc>
      </w:tr>
      <w:tr>
        <w:trPr>
          <w:trHeight w:val="182"/>
        </w:trPr>
        <w:tc>
          <w:tcPr>
            <w:tcW w:w="3920" w:type="dxa"/>
            <w:vAlign w:val="bottom"/>
          </w:tcPr>
          <w:p>
            <w:pPr>
              <w:spacing w:after="0"/>
              <w:rPr>
                <w:sz w:val="20"/>
                <w:szCs w:val="20"/>
                <w:color w:val="auto"/>
              </w:rPr>
            </w:pPr>
            <w:r>
              <w:rPr>
                <w:rFonts w:ascii="Courier New" w:cs="Courier New" w:eastAsia="Courier New" w:hAnsi="Courier New"/>
                <w:sz w:val="16"/>
                <w:szCs w:val="16"/>
                <w:color w:val="auto"/>
              </w:rPr>
              <w:t>Other portfolios</w:t>
            </w:r>
          </w:p>
        </w:tc>
        <w:tc>
          <w:tcPr>
            <w:tcW w:w="2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129,356</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108,854</w:t>
            </w:r>
          </w:p>
        </w:tc>
      </w:tr>
      <w:tr>
        <w:trPr>
          <w:trHeight w:val="182"/>
        </w:trPr>
        <w:tc>
          <w:tcPr>
            <w:tcW w:w="3920" w:type="dxa"/>
            <w:vAlign w:val="bottom"/>
          </w:tcPr>
          <w:p>
            <w:pPr>
              <w:spacing w:after="0"/>
              <w:rPr>
                <w:sz w:val="15"/>
                <w:szCs w:val="15"/>
                <w:color w:val="auto"/>
              </w:rPr>
            </w:pPr>
          </w:p>
        </w:tc>
        <w:tc>
          <w:tcPr>
            <w:tcW w:w="2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3920" w:type="dxa"/>
            <w:vAlign w:val="bottom"/>
          </w:tcPr>
          <w:p>
            <w:pPr>
              <w:spacing w:after="0"/>
              <w:rPr>
                <w:sz w:val="20"/>
                <w:szCs w:val="20"/>
                <w:color w:val="auto"/>
              </w:rPr>
            </w:pPr>
            <w:r>
              <w:rPr>
                <w:rFonts w:ascii="Courier New" w:cs="Courier New" w:eastAsia="Courier New" w:hAnsi="Courier New"/>
                <w:sz w:val="16"/>
                <w:szCs w:val="16"/>
                <w:color w:val="auto"/>
              </w:rPr>
              <w:t>Total investment advisory fees</w:t>
            </w:r>
          </w:p>
        </w:tc>
        <w:tc>
          <w:tcPr>
            <w:tcW w:w="2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$460,534</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$398,976</w:t>
            </w:r>
          </w:p>
        </w:tc>
      </w:tr>
      <w:tr>
        <w:trPr>
          <w:trHeight w:val="182"/>
        </w:trPr>
        <w:tc>
          <w:tcPr>
            <w:tcW w:w="3920" w:type="dxa"/>
            <w:vAlign w:val="bottom"/>
          </w:tcPr>
          <w:p>
            <w:pPr>
              <w:spacing w:after="0"/>
              <w:rPr>
                <w:sz w:val="15"/>
                <w:szCs w:val="15"/>
                <w:color w:val="auto"/>
              </w:rPr>
            </w:pPr>
          </w:p>
        </w:tc>
        <w:tc>
          <w:tcPr>
            <w:tcW w:w="2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295"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368" w:lineRule="exact"/>
        <w:rPr>
          <w:sz w:val="20"/>
          <w:szCs w:val="20"/>
          <w:color w:val="auto"/>
        </w:rPr>
      </w:pPr>
    </w:p>
    <w:p>
      <w:pPr>
        <w:ind w:right="3119"/>
        <w:spacing w:after="0" w:line="237" w:lineRule="auto"/>
        <w:rPr>
          <w:sz w:val="20"/>
          <w:szCs w:val="20"/>
          <w:color w:val="auto"/>
        </w:rPr>
      </w:pPr>
      <w:r>
        <w:rPr>
          <w:rFonts w:ascii="Courier New" w:cs="Courier New" w:eastAsia="Courier New" w:hAnsi="Courier New"/>
          <w:sz w:val="16"/>
          <w:szCs w:val="16"/>
          <w:color w:val="auto"/>
        </w:rPr>
        <w:t>The following table summarizes the various investment portfolios and assets under management (in billions) on which we earn advisory fees.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Average during</w:t>
            </w: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2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first 6 months</w:t>
            </w: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2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20" w:type="dxa"/>
            <w:vAlign w:val="bottom"/>
            <w:gridSpan w:val="3"/>
          </w:tcPr>
          <w:p>
            <w:pPr>
              <w:jc w:val="right"/>
              <w:ind w:right="541"/>
              <w:spacing w:after="0"/>
              <w:rPr>
                <w:sz w:val="20"/>
                <w:szCs w:val="20"/>
                <w:color w:val="auto"/>
              </w:rPr>
            </w:pPr>
            <w:r>
              <w:rPr>
                <w:rFonts w:ascii="Courier New" w:cs="Courier New" w:eastAsia="Courier New" w:hAnsi="Courier New"/>
                <w:sz w:val="16"/>
                <w:szCs w:val="16"/>
                <w:color w:val="auto"/>
                <w:w w:val="97"/>
              </w:rPr>
              <w:t>-------------------</w:t>
            </w: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2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2000</w:t>
            </w:r>
          </w:p>
        </w:tc>
        <w:tc>
          <w:tcPr>
            <w:tcW w:w="520" w:type="dxa"/>
            <w:vAlign w:val="bottom"/>
          </w:tcPr>
          <w:p>
            <w:pPr>
              <w:spacing w:after="0"/>
              <w:rPr>
                <w:sz w:val="15"/>
                <w:szCs w:val="15"/>
                <w:color w:val="auto"/>
              </w:rPr>
            </w:pPr>
          </w:p>
        </w:tc>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2001</w:t>
            </w: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12/31/00</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06/30/01</w:t>
            </w:r>
          </w:p>
        </w:tc>
      </w:tr>
      <w:tr>
        <w:trPr>
          <w:trHeight w:val="182"/>
        </w:trPr>
        <w:tc>
          <w:tcPr>
            <w:tcW w:w="2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5"/>
              </w:rPr>
              <w:t>-------</w:t>
            </w:r>
          </w:p>
        </w:tc>
        <w:tc>
          <w:tcPr>
            <w:tcW w:w="14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2500" w:type="dxa"/>
            <w:vAlign w:val="bottom"/>
          </w:tcPr>
          <w:p>
            <w:pPr>
              <w:spacing w:after="0"/>
              <w:rPr>
                <w:sz w:val="20"/>
                <w:szCs w:val="20"/>
                <w:color w:val="auto"/>
              </w:rPr>
            </w:pPr>
            <w:r>
              <w:rPr>
                <w:rFonts w:ascii="Courier New" w:cs="Courier New" w:eastAsia="Courier New" w:hAnsi="Courier New"/>
                <w:sz w:val="16"/>
                <w:szCs w:val="16"/>
                <w:color w:val="auto"/>
              </w:rPr>
              <w:t>Sponsored mutual funds</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Stock and blended</w:t>
            </w: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2500" w:type="dxa"/>
            <w:vAlign w:val="bottom"/>
          </w:tcPr>
          <w:p>
            <w:pPr>
              <w:ind w:left="180"/>
              <w:spacing w:after="0"/>
              <w:rPr>
                <w:sz w:val="20"/>
                <w:szCs w:val="20"/>
                <w:color w:val="auto"/>
              </w:rPr>
            </w:pPr>
            <w:r>
              <w:rPr>
                <w:rFonts w:ascii="Courier New" w:cs="Courier New" w:eastAsia="Courier New" w:hAnsi="Courier New"/>
                <w:sz w:val="16"/>
                <w:szCs w:val="16"/>
                <w:color w:val="auto"/>
              </w:rPr>
              <w:t>Domestic</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71.7</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65.0</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68.0</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65.2</w:t>
            </w:r>
          </w:p>
        </w:tc>
      </w:tr>
      <w:tr>
        <w:trPr>
          <w:trHeight w:val="182"/>
        </w:trPr>
        <w:tc>
          <w:tcPr>
            <w:tcW w:w="2500" w:type="dxa"/>
            <w:vAlign w:val="bottom"/>
          </w:tcPr>
          <w:p>
            <w:pPr>
              <w:ind w:left="180"/>
              <w:spacing w:after="0"/>
              <w:rPr>
                <w:sz w:val="20"/>
                <w:szCs w:val="20"/>
                <w:color w:val="auto"/>
              </w:rPr>
            </w:pPr>
            <w:r>
              <w:rPr>
                <w:rFonts w:ascii="Courier New" w:cs="Courier New" w:eastAsia="Courier New" w:hAnsi="Courier New"/>
                <w:sz w:val="16"/>
                <w:szCs w:val="16"/>
                <w:color w:val="auto"/>
              </w:rPr>
              <w:t>International</w:t>
            </w:r>
          </w:p>
        </w:tc>
        <w:tc>
          <w:tcPr>
            <w:tcW w:w="52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21.0</w:t>
            </w:r>
          </w:p>
        </w:tc>
        <w:tc>
          <w:tcPr>
            <w:tcW w:w="52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14.8</w:t>
            </w:r>
          </w:p>
        </w:tc>
        <w:tc>
          <w:tcPr>
            <w:tcW w:w="52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16.3</w:t>
            </w:r>
          </w:p>
        </w:tc>
        <w:tc>
          <w:tcPr>
            <w:tcW w:w="5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13.2</w:t>
            </w:r>
          </w:p>
        </w:tc>
      </w:tr>
      <w:tr>
        <w:trPr>
          <w:trHeight w:val="182"/>
        </w:trPr>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Bond and money market</w:t>
            </w:r>
          </w:p>
        </w:tc>
        <w:tc>
          <w:tcPr>
            <w:tcW w:w="52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21.7</w:t>
            </w:r>
          </w:p>
        </w:tc>
        <w:tc>
          <w:tcPr>
            <w:tcW w:w="52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22.5</w:t>
            </w:r>
          </w:p>
        </w:tc>
        <w:tc>
          <w:tcPr>
            <w:tcW w:w="52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22.0</w:t>
            </w:r>
          </w:p>
        </w:tc>
        <w:tc>
          <w:tcPr>
            <w:tcW w:w="5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22.6</w:t>
            </w:r>
          </w:p>
        </w:tc>
      </w:tr>
      <w:tr>
        <w:trPr>
          <w:trHeight w:val="182"/>
        </w:trPr>
        <w:tc>
          <w:tcPr>
            <w:tcW w:w="2500" w:type="dxa"/>
            <w:vAlign w:val="bottom"/>
          </w:tcPr>
          <w:p>
            <w:pPr>
              <w:spacing w:after="0"/>
              <w:rPr>
                <w:sz w:val="15"/>
                <w:szCs w:val="15"/>
                <w:color w:val="auto"/>
              </w:rPr>
            </w:pP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114.4</w:t>
            </w:r>
          </w:p>
        </w:tc>
        <w:tc>
          <w:tcPr>
            <w:tcW w:w="52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102.3</w:t>
            </w:r>
          </w:p>
        </w:tc>
        <w:tc>
          <w:tcPr>
            <w:tcW w:w="52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106.3</w:t>
            </w:r>
          </w:p>
        </w:tc>
        <w:tc>
          <w:tcPr>
            <w:tcW w:w="5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101.0</w:t>
            </w: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rPr>
              <w:t>Other portfolios</w:t>
            </w:r>
          </w:p>
        </w:tc>
        <w:tc>
          <w:tcPr>
            <w:tcW w:w="52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64.6</w:t>
            </w:r>
          </w:p>
        </w:tc>
        <w:tc>
          <w:tcPr>
            <w:tcW w:w="52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57.3</w:t>
            </w:r>
          </w:p>
        </w:tc>
        <w:tc>
          <w:tcPr>
            <w:tcW w:w="52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60.4</w:t>
            </w:r>
          </w:p>
        </w:tc>
        <w:tc>
          <w:tcPr>
            <w:tcW w:w="5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57.6</w:t>
            </w:r>
          </w:p>
        </w:tc>
      </w:tr>
      <w:tr>
        <w:trPr>
          <w:trHeight w:val="182"/>
        </w:trPr>
        <w:tc>
          <w:tcPr>
            <w:tcW w:w="2500" w:type="dxa"/>
            <w:vAlign w:val="bottom"/>
          </w:tcPr>
          <w:p>
            <w:pPr>
              <w:spacing w:after="0"/>
              <w:rPr>
                <w:sz w:val="15"/>
                <w:szCs w:val="15"/>
                <w:color w:val="auto"/>
              </w:rPr>
            </w:pP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5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179.0</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159.6</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166.7</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158.6</w:t>
            </w:r>
          </w:p>
        </w:tc>
      </w:tr>
      <w:tr>
        <w:trPr>
          <w:trHeight w:val="182"/>
        </w:trPr>
        <w:tc>
          <w:tcPr>
            <w:tcW w:w="2500" w:type="dxa"/>
            <w:vAlign w:val="bottom"/>
          </w:tcPr>
          <w:p>
            <w:pPr>
              <w:spacing w:after="0"/>
              <w:rPr>
                <w:sz w:val="15"/>
                <w:szCs w:val="15"/>
                <w:color w:val="auto"/>
              </w:rPr>
            </w:pP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Fees for advisory-related administrative services provided to the funds were $87,530,000 and $91,032,000 for the first six months of 2000 and 2001, respectively. Accounts receivable from the funds totaled $70,537,000 at December 31, 2000 and $59,320,000 at June 30, 2001.</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 DEBT.</w:t>
      </w:r>
    </w:p>
    <w:p>
      <w:pPr>
        <w:spacing w:after="0" w:line="186"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6"/>
          <w:szCs w:val="16"/>
          <w:color w:val="auto"/>
        </w:rPr>
        <w:t>On April 2, 2001, the interest rate on our yen-denominated debt was reduced to 1.09% for the next twelve months.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During the first half of 2001, we reduced our dollar-denominated debt by</w:t>
      </w:r>
    </w:p>
    <w:p>
      <w:pPr>
        <w:spacing w:after="0" w:line="5"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$95,000,000. On July 9, 2001, we further reduced this debt by $10,000,000 and the weighted average interest rate on the balance of $190,000,000 was lowered to 4.18% for the next 60 days.</w:t>
      </w:r>
    </w:p>
    <w:p>
      <w:pPr>
        <w:sectPr>
          <w:pgSz w:w="11900" w:h="16838" w:orient="portrait"/>
          <w:cols w:equalWidth="0" w:num="1">
            <w:col w:w="10219"/>
          </w:cols>
          <w:pgMar w:left="240" w:top="295"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364"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and Board of Directors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Group, Inc.</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We have reviewed the accompanying condensed consolidated balance sheet of T. Rowe Price Group, Inc. and its subsidiaries as of June 30, 2001, and the related condensed consolidated statements of income for the three-month and six-month periods ended June 30, 2000 and 2001, the related condensed consolidated statements of cash flows for the six-month periods ended June 30, 2000 and 2001, and the related condensed consolidated statement of stockholders' equity for the six-month period ended June 30, 2001. These financial statements are the responsibility of the company's management.</w:t>
      </w:r>
    </w:p>
    <w:p>
      <w:pPr>
        <w:spacing w:after="0" w:line="187" w:lineRule="exact"/>
        <w:rPr>
          <w:sz w:val="20"/>
          <w:szCs w:val="20"/>
          <w:color w:val="auto"/>
        </w:rPr>
      </w:pPr>
    </w:p>
    <w:p>
      <w:pPr>
        <w:ind w:right="2659"/>
        <w:spacing w:after="0" w:line="258" w:lineRule="auto"/>
        <w:rPr>
          <w:sz w:val="20"/>
          <w:szCs w:val="20"/>
          <w:color w:val="auto"/>
        </w:rPr>
      </w:pPr>
      <w:r>
        <w:rPr>
          <w:rFonts w:ascii="Courier New" w:cs="Courier New" w:eastAsia="Courier New" w:hAnsi="Courier New"/>
          <w:sz w:val="15"/>
          <w:szCs w:val="15"/>
          <w:color w:val="auto"/>
        </w:rPr>
        <w:t>We conducted our review in accordance with standards established by the American Institute of Certified Public Accountants. A review of interim financial information consists principally of applying analytical procedures to financial data and making inquiries of persons responsible for financial and accounting matters. It is substantially less in scope than an audit conducted in accordance with auditing standards generally accepted in the United States of America, the objective of which is the expression of an opinion regarding the financial statements taken as a whole. Accordingly, we do not express such an opinion.</w:t>
      </w:r>
    </w:p>
    <w:p>
      <w:pPr>
        <w:spacing w:after="0" w:line="17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Based on our review, we are not aware of any material modifications that should be made to the accompanying condensed consolidated interim financial statements for them to be in conformity with accounting principles generally accepted in the United States of America.</w:t>
      </w:r>
    </w:p>
    <w:p>
      <w:pPr>
        <w:spacing w:after="0" w:line="187"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We have previously audited, in accordance with auditing standards generally accepted in the United States of America, the consolidated balance sheet as of December 31, 2000, and the related consolidated statements of income, cash flows, and stockholders' equity for the year then ended (not presented herein), and in our report dated January 23, 2001, we expressed an unqualified opinion on those consolidated financial statements. In our opinion, the information set forth in the accompanying condensed consolidated balance sheet as of December 31, 2000, is fairly stated, in all material respects, in relation to the consolidated balance sheet from which it has been derived.</w:t>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PricewaterhouseCoopers LLP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Baltimore, Maryland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19, 2001</w:t>
      </w:r>
    </w:p>
    <w:p>
      <w:pPr>
        <w:spacing w:after="0" w:line="200" w:lineRule="exact"/>
        <w:rPr>
          <w:sz w:val="20"/>
          <w:szCs w:val="20"/>
          <w:color w:val="auto"/>
        </w:rPr>
      </w:pPr>
    </w:p>
    <w:p>
      <w:pPr>
        <w:spacing w:after="0" w:line="350"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THE ABOVE REPORT IS NOT A "REPORT" WITHIN THE MEANING OF SECTIONS 7 AND 11 OF THE SECURITIES ACT OF 1933 AND THE INDEPENDENT ACCOUNTANTS' LIABILITY PROVISIONS OF SECTION 11 OF THE ACT DO NOT APPLY.</w:t>
      </w:r>
    </w:p>
    <w:p>
      <w:pPr>
        <w:sectPr>
          <w:pgSz w:w="11900" w:h="16838" w:orient="portrait"/>
          <w:cols w:equalWidth="0" w:num="1">
            <w:col w:w="10219"/>
          </w:cols>
          <w:pgMar w:left="240" w:top="295"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368" w:lineRule="exact"/>
        <w:rPr>
          <w:sz w:val="20"/>
          <w:szCs w:val="20"/>
          <w:color w:val="auto"/>
        </w:rPr>
      </w:pPr>
    </w:p>
    <w:p>
      <w:pPr>
        <w:ind w:right="3419"/>
        <w:spacing w:after="0" w:line="237"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w:t>
      </w:r>
    </w:p>
    <w:p>
      <w:pPr>
        <w:spacing w:after="0" w:line="188"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6"/>
          <w:szCs w:val="16"/>
          <w:color w:val="auto"/>
        </w:rPr>
        <w:t>Our revenues and net income are derived primarily from investment advisory services provided to U.S. individual and institutional investors in our sponsored mutual funds and other investment portfolios.</w:t>
      </w:r>
    </w:p>
    <w:p>
      <w:pPr>
        <w:spacing w:after="0" w:line="18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We manage a broad range of domestic and international stock, bond, and money market mutual funds and other investment portfolios that meet the varied needs and objectives of individual and institutional investors. Investment advisory revenues depend largely on the total value and composition of assets under management. Accordingly, fluctuations in financial markets and in the composition of assets under management impact our revenues and results of operations. Total assets under our management of $158.6 billion at June 30, 2001 are up $9.9 billion from March 31, 2001, but are down $8.1 billion from the beginning of 2001. Assets at June 30, 2001 include $91.5 billion in domestic stock portfolios and $26.7 billion in international stock portfolios.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 - THREE MONTHS ENDED JUNE 30, 2001 VERSUS 2000.</w:t>
      </w:r>
    </w:p>
    <w:p>
      <w:pPr>
        <w:spacing w:after="0" w:line="186"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6"/>
          <w:szCs w:val="16"/>
          <w:color w:val="auto"/>
        </w:rPr>
        <w:t>Net income decreased $18.2 million, or 26%, to $51.2 million and diluted earnings per share fell $.14 to $.40. Total revenues declined 13% from $301 million to $262 million.</w:t>
      </w:r>
    </w:p>
    <w:p>
      <w:pPr>
        <w:spacing w:after="0" w:line="188" w:lineRule="exact"/>
        <w:rPr>
          <w:sz w:val="20"/>
          <w:szCs w:val="20"/>
          <w:color w:val="auto"/>
        </w:rPr>
      </w:pPr>
    </w:p>
    <w:p>
      <w:pPr>
        <w:ind w:right="2759"/>
        <w:spacing w:after="0" w:line="257" w:lineRule="auto"/>
        <w:rPr>
          <w:sz w:val="20"/>
          <w:szCs w:val="20"/>
          <w:color w:val="auto"/>
        </w:rPr>
      </w:pPr>
      <w:r>
        <w:rPr>
          <w:rFonts w:ascii="Courier New" w:cs="Courier New" w:eastAsia="Courier New" w:hAnsi="Courier New"/>
          <w:sz w:val="15"/>
          <w:szCs w:val="15"/>
          <w:color w:val="auto"/>
        </w:rPr>
        <w:t>Investment advisory revenues earned from the T. Rowe Price mutual funds decreased $20.6 million as average fund assets under management were $101.2 billion during the 2001 quarter, $12.6 billion less than in the 2000 period. While lower financial market valuations reduced fund assets from the prior year period, increases in financial market valuations during the second quarter of 2001 increased fund assets $6.2 billion from March 31, 2001. Net subscriptions by fund investors added $144 million during the 2001 quarter. Domestic stock funds had net investor subscriptions of $797 million, including $556 million to the Blue Chip Growth Fund. Money market and bond fund investors withdrew $390 million and international stock funds had net outflows of $263 million. Mutual fund assets totaled $101.0 billion at June 30, 2001.</w:t>
      </w:r>
    </w:p>
    <w:p>
      <w:pPr>
        <w:spacing w:after="0" w:line="181" w:lineRule="exact"/>
        <w:rPr>
          <w:sz w:val="20"/>
          <w:szCs w:val="20"/>
          <w:color w:val="auto"/>
        </w:rPr>
      </w:pPr>
    </w:p>
    <w:p>
      <w:pPr>
        <w:ind w:right="2839"/>
        <w:spacing w:after="0"/>
        <w:rPr>
          <w:sz w:val="20"/>
          <w:szCs w:val="20"/>
          <w:color w:val="auto"/>
        </w:rPr>
      </w:pPr>
      <w:r>
        <w:rPr>
          <w:rFonts w:ascii="Courier New" w:cs="Courier New" w:eastAsia="Courier New" w:hAnsi="Courier New"/>
          <w:sz w:val="16"/>
          <w:szCs w:val="16"/>
          <w:color w:val="auto"/>
        </w:rPr>
        <w:t>Assets in the other investment portfolios that we manage rose $3.7 billion during the 2001 quarter due primarily to improving market valuations. However, assets were still lower than during the prior year's quarter; as a result, advisory fees were down $5.8 million from the 2000 period. In addition, performance-related fees were $1.8 million lower than in the 2000 quarter. We earn performance fees primarily on venture capital investments that we manage and, though recurring, these fees will vary significantly as market conditions and investment portfolios change. Assets in the other managed portfolios were $57.6 billion at June 30, 2001.</w:t>
      </w:r>
    </w:p>
    <w:p>
      <w:pPr>
        <w:spacing w:after="0" w:line="188"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Administrative revenues from discount brokerage commissions fell $2.1 million versus the 2000 period due to lower transaction volume and lower average commission rates arising from the shift to Internet trading. Revenues from other services that we provide to the T. Rowe Price funds and their</w:t>
      </w:r>
    </w:p>
    <w:p>
      <w:pPr>
        <w:sectPr>
          <w:pgSz w:w="11900" w:h="16838" w:orient="portrait"/>
          <w:cols w:equalWidth="0" w:num="1">
            <w:col w:w="10219"/>
          </w:cols>
          <w:pgMar w:left="240" w:top="295"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186"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6"/>
          <w:szCs w:val="16"/>
          <w:color w:val="auto"/>
        </w:rPr>
        <w:t>shareholders declined $1.5 million and were mostly offset by a similar reduction of the costs that we incur in providing the services.</w:t>
      </w:r>
    </w:p>
    <w:p>
      <w:pPr>
        <w:spacing w:after="0" w:line="18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Investment and other income declined $10.0 million from the 2000 period, primarily due to higher interest income earned from larger cash positions held prior to the T. Rowe Price International acquisition in August 2000 and significant venture capital returns in the 2000 period. Offsetting these declines were higher gains of $3.3 million in the second quarter of 2001 that we realized on dispositions of our available-for-sale mutual fund holdings. We expect that investment income in future periods will generally be lower than that in comparable 2000 periods.</w:t>
      </w:r>
    </w:p>
    <w:p>
      <w:pPr>
        <w:spacing w:after="0" w:line="187"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Operating expenses declined $4.9 million, or nearly 3%, from last year's second quarter to $175.3 million; more importantly, expenses were down $22.7 million from the first quarter of 2001. Greater compensation and related costs, which were up $3.5 million over the comparable 2000 quarter, were attributable to increases in our rates of compensation and staff size over the past twelve months to support our technology and servicing operations. As of June 30, 2001, we employed just under 3,900 associates, down more than 100 than from the end of 2000. Advertising and promotion expenses decreased $5.5 million from the 2000 second quarter and nearly $5.9 million from the 2001 first quarter to $15.6 million. Financial market declines have made investors more cautious and, as a result, we have reduced our spending. We expect our advertising and promotion expenditures for the balance of the year to be lower than last year. Occupancy and equipment expenses rose 12% from $27.4 million to $30.7 million. These costs are similar to that of the first quarter in 2001 and reflect our movement to new and larger facilities internationally and to our new campus in Colorado Springs late last year.</w:t>
      </w:r>
    </w:p>
    <w:p>
      <w:pPr>
        <w:spacing w:after="0" w:line="192"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The build out of our international infrastructure to support operations in seven foreign countries is substantially complete. The T. Rowe Price International acquisition in August 2000 has resulted in the realignment of our operating costs to include greater compensation and facility costs and has added $3.6 million of interest expense on the acquisition indebtedness. However, the international investment research fees that were $14.7 million in the 2000 period have been eliminated. The 2001 results also include a quarterly charge of $7 million, or about $.05 per share, for the amortization of goodwill arising from the acquisition. As a result of the issuance of Statement of Financial Accounting Standards No. 142 on July 20, 2001, this recurring quarterly charge will end after this year.</w:t>
      </w:r>
    </w:p>
    <w:p>
      <w:pPr>
        <w:spacing w:after="0" w:line="189" w:lineRule="exact"/>
        <w:rPr>
          <w:sz w:val="20"/>
          <w:szCs w:val="20"/>
          <w:color w:val="auto"/>
        </w:rPr>
      </w:pPr>
    </w:p>
    <w:p>
      <w:pPr>
        <w:ind w:right="2659"/>
        <w:spacing w:after="0" w:line="260" w:lineRule="auto"/>
        <w:rPr>
          <w:sz w:val="20"/>
          <w:szCs w:val="20"/>
          <w:color w:val="auto"/>
        </w:rPr>
      </w:pPr>
      <w:r>
        <w:rPr>
          <w:rFonts w:ascii="Courier New" w:cs="Courier New" w:eastAsia="Courier New" w:hAnsi="Courier New"/>
          <w:sz w:val="15"/>
          <w:szCs w:val="15"/>
          <w:color w:val="auto"/>
        </w:rPr>
        <w:t>Other operating expenses decreased $2.4 million from the first quarter of 2000 and $7.3 million from the first quarter of 2001. As the international transition and several technology projects have been brought to a close, we have reduced the total quarterly operating expenses below the spending level of 2000.</w:t>
      </w:r>
    </w:p>
    <w:p>
      <w:pPr>
        <w:spacing w:after="0" w:line="173"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6"/>
          <w:szCs w:val="16"/>
          <w:color w:val="auto"/>
        </w:rPr>
        <w:t>The 2001 provision for income taxes as a percentage of pretax income is higher due to the amortization of goodwill that is not deductible in determining our income tax expense.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Minority interests in the net income of T. Rowe Price International were also</w:t>
      </w:r>
    </w:p>
    <w:p>
      <w:pPr>
        <w:sectPr>
          <w:pgSz w:w="11900" w:h="16838" w:orient="portrait"/>
          <w:cols w:equalWidth="0" w:num="1">
            <w:col w:w="10219"/>
          </w:cols>
          <w:pgMar w:left="240" w:top="295"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eliminated at the time of the acquisition of Robert Fleming's 50% interest.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 - SIX MONTHS ENDED JUNE 30, 2001 VERSUS 2000.</w:t>
      </w:r>
    </w:p>
    <w:p>
      <w:pPr>
        <w:spacing w:after="0" w:line="186"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6"/>
          <w:szCs w:val="16"/>
          <w:color w:val="auto"/>
        </w:rPr>
        <w:t>Net income decreased $43.9 million, or 30%, to $100.5 million and diluted earnings per share fell from $1.12 to $.78. Total revenues declined 12% from $617 million to $543 million.</w:t>
      </w:r>
    </w:p>
    <w:p>
      <w:pPr>
        <w:spacing w:after="0" w:line="188" w:lineRule="exact"/>
        <w:rPr>
          <w:sz w:val="20"/>
          <w:szCs w:val="20"/>
          <w:color w:val="auto"/>
        </w:rPr>
      </w:pPr>
    </w:p>
    <w:p>
      <w:pPr>
        <w:ind w:right="2759"/>
        <w:spacing w:after="0" w:line="258" w:lineRule="auto"/>
        <w:rPr>
          <w:sz w:val="20"/>
          <w:szCs w:val="20"/>
          <w:color w:val="auto"/>
        </w:rPr>
      </w:pPr>
      <w:r>
        <w:rPr>
          <w:rFonts w:ascii="Courier New" w:cs="Courier New" w:eastAsia="Courier New" w:hAnsi="Courier New"/>
          <w:sz w:val="15"/>
          <w:szCs w:val="15"/>
          <w:color w:val="auto"/>
        </w:rPr>
        <w:t>Investment advisory revenues earned from the T. Rowe Price mutual funds decreased $41.1 million as average fund assets under management were $102.3 billion during the 2001 period, $12.1 billion less than in the 2000 period. Declines in financial market valuations reduced fund assets $5.7 billion during the first half of 2001. Net subscriptions by fund investors were $539 million for the first six months of 2001. Domestic stock funds had net investor subscriptions of $1.1 billion while money market and bond fund investors added $132 million. International stock funds had net outflows of $697 million.</w:t>
      </w:r>
    </w:p>
    <w:p>
      <w:pPr>
        <w:spacing w:after="0" w:line="176" w:lineRule="exact"/>
        <w:rPr>
          <w:sz w:val="20"/>
          <w:szCs w:val="20"/>
          <w:color w:val="auto"/>
        </w:rPr>
      </w:pPr>
    </w:p>
    <w:p>
      <w:pPr>
        <w:ind w:right="2939"/>
        <w:spacing w:after="0" w:line="239" w:lineRule="auto"/>
        <w:rPr>
          <w:sz w:val="20"/>
          <w:szCs w:val="20"/>
          <w:color w:val="auto"/>
        </w:rPr>
      </w:pPr>
      <w:r>
        <w:rPr>
          <w:rFonts w:ascii="Courier New" w:cs="Courier New" w:eastAsia="Courier New" w:hAnsi="Courier New"/>
          <w:sz w:val="16"/>
          <w:szCs w:val="16"/>
          <w:color w:val="auto"/>
        </w:rPr>
        <w:t>Assets in the other investment portfolios that we manage fell $2.8 billion during the 2001 first half, and our advisory fees thereon were down $13.3 million. In addition, performance-related fees were $7.2 million lower in the 2001 period.</w:t>
      </w:r>
    </w:p>
    <w:p>
      <w:pPr>
        <w:spacing w:after="0" w:line="187" w:lineRule="exact"/>
        <w:rPr>
          <w:sz w:val="20"/>
          <w:szCs w:val="20"/>
          <w:color w:val="auto"/>
        </w:rPr>
      </w:pPr>
    </w:p>
    <w:p>
      <w:pPr>
        <w:ind w:right="2659"/>
        <w:spacing w:after="0" w:line="259" w:lineRule="auto"/>
        <w:rPr>
          <w:sz w:val="20"/>
          <w:szCs w:val="20"/>
          <w:color w:val="auto"/>
        </w:rPr>
      </w:pPr>
      <w:r>
        <w:rPr>
          <w:rFonts w:ascii="Courier New" w:cs="Courier New" w:eastAsia="Courier New" w:hAnsi="Courier New"/>
          <w:sz w:val="15"/>
          <w:szCs w:val="15"/>
          <w:color w:val="auto"/>
        </w:rPr>
        <w:t>Administrative revenues from discount brokerage commissions fell $6.7 million due to lower transaction volume and commission rates arising from the shift to transactions being originated over the Internet. Revenues from other services that we provide to the T. Rowe Price funds and their shareholders increased $4.5 million and were mostly offset by additional costs to provide these services.</w:t>
      </w:r>
    </w:p>
    <w:p>
      <w:pPr>
        <w:spacing w:after="0" w:line="174"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Investment and other income declined $10.6 million to $27.8 million. Larger cash and bond fund holdings and gains from our venture capital investments in the prior year period that did not recur in the first half of 2001 resulted in lower investment income in the 2001 period. Partially offsetting these declines were $10.2 million of higher gains that we realized on dispositions of our available-for-sale mutual fund holdings.</w:t>
      </w:r>
    </w:p>
    <w:p>
      <w:pPr>
        <w:spacing w:after="0" w:line="190"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6"/>
          <w:szCs w:val="16"/>
          <w:color w:val="auto"/>
        </w:rPr>
        <w:t>Operating expenses rose only 2% from $366 million in last year's first half to $373 million.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RESOURCES AND LIQUIDITY.</w:t>
      </w:r>
    </w:p>
    <w:p>
      <w:pPr>
        <w:spacing w:after="0" w:line="186" w:lineRule="exact"/>
        <w:rPr>
          <w:sz w:val="20"/>
          <w:szCs w:val="20"/>
          <w:color w:val="auto"/>
        </w:rPr>
      </w:pPr>
    </w:p>
    <w:p>
      <w:pPr>
        <w:ind w:right="2839"/>
        <w:spacing w:after="0" w:line="258" w:lineRule="auto"/>
        <w:rPr>
          <w:sz w:val="20"/>
          <w:szCs w:val="20"/>
          <w:color w:val="auto"/>
        </w:rPr>
      </w:pPr>
      <w:r>
        <w:rPr>
          <w:rFonts w:ascii="Courier New" w:cs="Courier New" w:eastAsia="Courier New" w:hAnsi="Courier New"/>
          <w:sz w:val="15"/>
          <w:szCs w:val="15"/>
          <w:color w:val="auto"/>
        </w:rPr>
        <w:t>During the first half of 2001, we generated positive cash flows from operating activities of $179 million. We used this cash to reduce outstanding borrowings by $95 million during the first half of 2001, and by an additional $10 million in July 2001. We expect that available cash resources and those generated from operating activities later this year will be used to further reduce borrowings before year end. During the 2001 first half, we used $37 million to pay dividends on our common stock and $11 million on net investing activities.</w:t>
      </w:r>
    </w:p>
    <w:p>
      <w:pPr>
        <w:sectPr>
          <w:pgSz w:w="11900" w:h="16838" w:orient="portrait"/>
          <w:cols w:equalWidth="0" w:num="1">
            <w:col w:w="10219"/>
          </w:cols>
          <w:pgMar w:left="240" w:top="295"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INFORMATION.</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From time-to-time, information or statements provided by or on behalf of T. Rowe Price, including those within this Quarterly Report on Form 10-Q, may contain certain "forward-looking information," including information relating to anticipated growth in our revenues or earnings, anticipated changes in the amount and composition of assets under management, our anticipated expense levels, and our expectations regarding financial markets and other conditions. Readers are cautioned that any forward-looking information provided by or on behalf of T. Rowe Price is not a guarantee of future performance. Actual results may differ materially from those in forward-looking information as a result of various factors, including but not limited to those discussed below.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91"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Our future revenues will fluctuate due to many factors, including: the total value and composition of assets under our management; cash inflows and outflows in the T. Rowe Price mutual funds and other managed investment portfolios; fluctuations in worldwide financial markets, including those in emerging countries, resulting in appreciation or depreciation of assets under our management; the relative investment performance of the Price mutual funds and other managed investment portfolios as compared to competing offerings and market indices; the extent to which we earn performance-based investment advisory fees; the expense ratios of the Price mutual funds; investor sentiment and investor confidence; the ability to maintain our investment management and administrative fees at appropriate levels; competitive conditions in the mutual fund, asset management, and broader financial services sectors; our introduction of new mutual funds and investment portfolios; our ability to contract with the Price mutual funds for payment for investment advisory-related administrative services provided to the funds and their shareholders; the continuation of trends in the retirement plan marketplace favoring defined contribution plans and participant-directed investments; the amount and timing of income recognized on our venture capital and other investments; and our success in implementing our strategy to significantly expand our international business. Our revenues are substantially dependent on fees earned under contracts with the Price funds and could be adversely affected if the independent directors of one or more of the Price funds determined to terminate or significantly alter the terms of the investment management or related administrative services agreements.</w:t>
      </w:r>
    </w:p>
    <w:p>
      <w:pPr>
        <w:spacing w:after="0" w:line="180"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Our future operating results are also dependent upon the level of our operating expenses, which are subject to fluctuation for the following or other reasons: changes in the level of advertising expenses in response to market conditions, expansion of marketing efforts both within the U.S. and internationally, or other factors; variations in the level of compensation expense due to, among other things, performance-based bonuses, changes in our employee count and mix, and competitive factors; changes in our operating expenses resulting from our acquisition of the minority interests in T. Rowe Price International, including goodwill charges, interest expense, and other</w:t>
      </w:r>
    </w:p>
    <w:p>
      <w:pPr>
        <w:sectPr>
          <w:pgSz w:w="11900" w:h="16838" w:orient="portrait"/>
          <w:cols w:equalWidth="0" w:num="1">
            <w:col w:w="10219"/>
          </w:cols>
          <w:pgMar w:left="240" w:top="295"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costs of providing our international investment advisory services;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including Internet capabilities; unanticipated costs that may be incurred to protect investor accounts and the goodwill of our clients; and disruptions of services, including those provided by third parties such as communications, power, and the mutual fund transfer agent system.</w:t>
      </w:r>
    </w:p>
    <w:p>
      <w:pPr>
        <w:spacing w:after="0" w:line="188"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8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QUANTITATIVE AND QUALITATIVE DISCLOSURES ABOUT MARKET RISK.</w:t>
      </w:r>
    </w:p>
    <w:p>
      <w:pPr>
        <w:spacing w:after="0" w:line="186"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6"/>
          <w:szCs w:val="16"/>
          <w:color w:val="auto"/>
        </w:rPr>
        <w:t>Since December 31, 2000, there has been no material change in the information provided in Item 7A of the 2000 Form 10-K Annual Report.</w:t>
      </w:r>
    </w:p>
    <w:p>
      <w:pPr>
        <w:spacing w:after="0" w:line="366"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5"/>
          <w:szCs w:val="15"/>
          <w:color w:val="auto"/>
        </w:rPr>
        <w:t>OTHER INFORMATION.</w:t>
      </w:r>
    </w:p>
    <w:p>
      <w:pPr>
        <w:spacing w:after="0" w:line="18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186"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On July 6, 1998, T. Rowe Price International (formerly Rowe Price-Fleming International), the T. Rowe Price International Stock Fund and the fund's five directors were named as defendants in Migdal v. Rowe Price-Fleming International, Inc., et al., filed in the United States District Court for the District of Maryland. The Complaint sought to invalidate the advisory agreement between Rowe Price-Fleming and the International Stock Fund, and sought recovery of an unspecified amount of advisory fees paid by the International Stock Fund to Rowe Price-Fleming. Plaintiffs alleged that the International Stock Fund does not have a sufficient number of independent directors, as required by the Investment Company Act of 1940, as amended, because its independent directors serve on multiple boards of directors within the T. Rowe Price mutual fund complex and receive substantial compensation in the form of director fees. On October 12, 1998, the plaintiffs filed an Amended Complaint adding as a plaintiff Linda B. Rohrbaugh, a shareholder in the T. Rowe Price Growth Stock Fund. The Amended Complaint also added as defendants the T. Rowe Price Growth Stock Fund, T. Rowe Price Associates and certain of its subsidiaries which provide services to the funds, as well as five directors of the T. Rowe Price Growth Stock Fund. On January 21, 1999, the Amended Complaint was dismissed with leave for plaintiffs to re-file. On February 16, 1999, the plaintiffs filed a Second Amended Complaint, but the fund directors were excluded as defendants. The Second Amended Complaint alleged a claim under Section 36(b) of the Investment Company Act of 1940. The Complaint sought to invalidate the advisory and service agreements negotiated between the corporate defendants and certain T. Rowe Price funds based on a claim that (i) the fees paid to</w:t>
      </w:r>
    </w:p>
    <w:p>
      <w:pPr>
        <w:sectPr>
          <w:pgSz w:w="11900" w:h="16838" w:orient="portrait"/>
          <w:cols w:equalWidth="0" w:num="1">
            <w:col w:w="10219"/>
          </w:cols>
          <w:pgMar w:left="240" w:top="295" w:right="1440" w:bottom="1440" w:gutter="0" w:footer="0" w:header="0"/>
        </w:sectPr>
      </w:pPr>
    </w:p>
    <w:bookmarkStart w:id="13" w:name="page14"/>
    <w:bookmarkEnd w:id="13"/>
    <w:p>
      <w:pPr>
        <w:ind w:left="283"/>
        <w:spacing w:after="0"/>
        <w:rPr>
          <w:sz w:val="20"/>
          <w:szCs w:val="20"/>
          <w:color w:val="auto"/>
        </w:rPr>
      </w:pPr>
      <w:r>
        <w:rPr>
          <w:rFonts w:ascii="Courier New" w:cs="Courier New" w:eastAsia="Courier New" w:hAnsi="Courier New"/>
          <w:sz w:val="16"/>
          <w:szCs w:val="16"/>
          <w:color w:val="auto"/>
        </w:rPr>
        <w:t>14</w:t>
      </w:r>
    </w:p>
    <w:p>
      <w:pPr>
        <w:spacing w:after="0" w:line="186" w:lineRule="exact"/>
        <w:rPr>
          <w:sz w:val="20"/>
          <w:szCs w:val="20"/>
          <w:color w:val="auto"/>
        </w:rPr>
      </w:pPr>
    </w:p>
    <w:p>
      <w:pPr>
        <w:ind w:left="3" w:right="2759"/>
        <w:spacing w:after="0"/>
        <w:rPr>
          <w:sz w:val="20"/>
          <w:szCs w:val="20"/>
          <w:color w:val="auto"/>
        </w:rPr>
      </w:pPr>
      <w:r>
        <w:rPr>
          <w:rFonts w:ascii="Courier New" w:cs="Courier New" w:eastAsia="Courier New" w:hAnsi="Courier New"/>
          <w:sz w:val="16"/>
          <w:szCs w:val="16"/>
          <w:color w:val="auto"/>
        </w:rPr>
        <w:t>the corporate defendants were excessive and (ii) the advisory agreements were not negotiated at arm's length because each of the boards of directors of the Price funds is not independent as required under the Investment Company Act of 1940. On March 19, 1999, we and the other defendants filed a Motion to Dismiss the Second Amended Complaint. In an order dated March 20, 2000, our motion was granted and the case dismissed with prejudice. On April 6, 2000, the plaintiffs filed a Notice of Appeal of the Dismissal of the case. On May 1, 2001, the United States Court of Appeals (Fourth Circuit) affirmed the District Court's judgment.</w:t>
      </w:r>
    </w:p>
    <w:p>
      <w:pPr>
        <w:spacing w:after="0" w:line="188" w:lineRule="exact"/>
        <w:rPr>
          <w:sz w:val="20"/>
          <w:szCs w:val="20"/>
          <w:color w:val="auto"/>
        </w:rPr>
      </w:pPr>
    </w:p>
    <w:p>
      <w:pPr>
        <w:ind w:left="3" w:right="2839"/>
        <w:spacing w:after="0" w:line="239" w:lineRule="auto"/>
        <w:rPr>
          <w:sz w:val="20"/>
          <w:szCs w:val="20"/>
          <w:color w:val="auto"/>
        </w:rPr>
      </w:pPr>
      <w:r>
        <w:rPr>
          <w:rFonts w:ascii="Courier New" w:cs="Courier New" w:eastAsia="Courier New" w:hAnsi="Courier New"/>
          <w:sz w:val="16"/>
          <w:szCs w:val="16"/>
          <w:color w:val="auto"/>
        </w:rPr>
        <w:t>From time to time, claims arise in the ordinary course of our business, including employment-related claims. After consulting with counsel, we believe it unlikely that any adverse determination in one or more pending claims would have a material adverse effect on our financial condition or results of operations.</w:t>
      </w:r>
    </w:p>
    <w:p>
      <w:pPr>
        <w:spacing w:after="0" w:line="185" w:lineRule="exact"/>
        <w:rPr>
          <w:sz w:val="20"/>
          <w:szCs w:val="20"/>
          <w:color w:val="auto"/>
        </w:rPr>
      </w:pPr>
    </w:p>
    <w:p>
      <w:pPr>
        <w:ind w:left="3"/>
        <w:spacing w:after="0"/>
        <w:tabs>
          <w:tab w:leader="none" w:pos="823"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6" w:lineRule="exact"/>
        <w:rPr>
          <w:sz w:val="20"/>
          <w:szCs w:val="20"/>
          <w:color w:val="auto"/>
        </w:rPr>
      </w:pPr>
    </w:p>
    <w:p>
      <w:pPr>
        <w:ind w:left="463" w:right="2839" w:hanging="463"/>
        <w:spacing w:after="0" w:line="238" w:lineRule="auto"/>
        <w:tabs>
          <w:tab w:leader="none" w:pos="4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exhibits required to be filed by Item 601 of Regulation S-K are filed herewith and incorporated by reference herein. Exhibits 10.06 through 10.12 are compensatory plan arrangements.</w:t>
      </w:r>
    </w:p>
    <w:p>
      <w:pPr>
        <w:spacing w:after="0" w:line="188" w:lineRule="exact"/>
        <w:rPr>
          <w:sz w:val="20"/>
          <w:szCs w:val="20"/>
          <w:color w:val="auto"/>
        </w:rPr>
      </w:pPr>
    </w:p>
    <w:p>
      <w:pPr>
        <w:jc w:val="both"/>
        <w:ind w:left="1883" w:right="2659" w:hanging="939"/>
        <w:spacing w:after="0" w:line="238" w:lineRule="auto"/>
        <w:tabs>
          <w:tab w:leader="none" w:pos="1863" w:val="left"/>
        </w:tabs>
        <w:rPr>
          <w:sz w:val="20"/>
          <w:szCs w:val="20"/>
          <w:color w:val="auto"/>
        </w:rPr>
      </w:pPr>
      <w:r>
        <w:rPr>
          <w:rFonts w:ascii="Courier New" w:cs="Courier New" w:eastAsia="Courier New" w:hAnsi="Courier New"/>
          <w:sz w:val="16"/>
          <w:szCs w:val="16"/>
          <w:color w:val="auto"/>
        </w:rPr>
        <w:t>3(i)</w:t>
      </w:r>
      <w:r>
        <w:rPr>
          <w:sz w:val="20"/>
          <w:szCs w:val="20"/>
          <w:color w:val="auto"/>
        </w:rPr>
        <w:tab/>
      </w:r>
      <w:r>
        <w:rPr>
          <w:rFonts w:ascii="Courier New" w:cs="Courier New" w:eastAsia="Courier New" w:hAnsi="Courier New"/>
          <w:sz w:val="16"/>
          <w:szCs w:val="16"/>
          <w:color w:val="auto"/>
        </w:rPr>
        <w:t>Amended and Restated Charter of T. Rowe Price Group, Inc. as of March 9, 2001. (Incorporated by reference from Form 10-K for 2000; Accession No. 0001113169-01-000003.)</w:t>
      </w:r>
    </w:p>
    <w:p>
      <w:pPr>
        <w:spacing w:after="0" w:line="184" w:lineRule="exact"/>
        <w:rPr>
          <w:sz w:val="20"/>
          <w:szCs w:val="20"/>
          <w:color w:val="auto"/>
        </w:rPr>
      </w:pPr>
    </w:p>
    <w:tbl>
      <w:tblPr>
        <w:tblLayout w:type="fixed"/>
        <w:tblInd w:w="943" w:type="dxa"/>
        <w:tblCellMar>
          <w:top w:w="0" w:type="dxa"/>
          <w:left w:w="0" w:type="dxa"/>
          <w:bottom w:w="0" w:type="dxa"/>
          <w:right w:w="0" w:type="dxa"/>
        </w:tblCellMar>
      </w:tblPr>
      <w:tr>
        <w:trPr>
          <w:trHeight w:val="181"/>
        </w:trPr>
        <w:tc>
          <w:tcPr>
            <w:tcW w:w="720" w:type="dxa"/>
            <w:vAlign w:val="bottom"/>
          </w:tcPr>
          <w:p>
            <w:pPr>
              <w:spacing w:after="0"/>
              <w:rPr>
                <w:sz w:val="20"/>
                <w:szCs w:val="20"/>
                <w:color w:val="auto"/>
              </w:rPr>
            </w:pPr>
            <w:r>
              <w:rPr>
                <w:rFonts w:ascii="Courier New" w:cs="Courier New" w:eastAsia="Courier New" w:hAnsi="Courier New"/>
                <w:sz w:val="16"/>
                <w:szCs w:val="16"/>
                <w:color w:val="auto"/>
              </w:rPr>
              <w:t>3(ii)</w:t>
            </w:r>
          </w:p>
        </w:tc>
        <w:tc>
          <w:tcPr>
            <w:tcW w:w="3200" w:type="dxa"/>
            <w:vAlign w:val="bottom"/>
          </w:tcPr>
          <w:p>
            <w:pPr>
              <w:ind w:left="220"/>
              <w:spacing w:after="0"/>
              <w:rPr>
                <w:sz w:val="20"/>
                <w:szCs w:val="20"/>
                <w:color w:val="auto"/>
              </w:rPr>
            </w:pPr>
            <w:r>
              <w:rPr>
                <w:rFonts w:ascii="Courier New" w:cs="Courier New" w:eastAsia="Courier New" w:hAnsi="Courier New"/>
                <w:sz w:val="16"/>
                <w:szCs w:val="16"/>
                <w:color w:val="auto"/>
                <w:w w:val="99"/>
              </w:rPr>
              <w:t>By-Laws of T. Rowe Price Group,</w:t>
            </w: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Inc. as</w:t>
            </w:r>
          </w:p>
        </w:tc>
        <w:tc>
          <w:tcPr>
            <w:tcW w:w="1840" w:type="dxa"/>
            <w:vAlign w:val="bottom"/>
          </w:tcPr>
          <w:p>
            <w:pPr>
              <w:ind w:left="60"/>
              <w:spacing w:after="0"/>
              <w:rPr>
                <w:sz w:val="20"/>
                <w:szCs w:val="20"/>
                <w:color w:val="auto"/>
              </w:rPr>
            </w:pPr>
            <w:r>
              <w:rPr>
                <w:rFonts w:ascii="Courier New" w:cs="Courier New" w:eastAsia="Courier New" w:hAnsi="Courier New"/>
                <w:sz w:val="16"/>
                <w:szCs w:val="16"/>
                <w:color w:val="auto"/>
              </w:rPr>
              <w:t>of June 30, 2000.</w:t>
            </w:r>
          </w:p>
        </w:tc>
      </w:tr>
      <w:tr>
        <w:trPr>
          <w:trHeight w:val="182"/>
        </w:trPr>
        <w:tc>
          <w:tcPr>
            <w:tcW w:w="720" w:type="dxa"/>
            <w:vAlign w:val="bottom"/>
          </w:tcPr>
          <w:p>
            <w:pPr>
              <w:spacing w:after="0"/>
              <w:rPr>
                <w:sz w:val="15"/>
                <w:szCs w:val="15"/>
                <w:color w:val="auto"/>
              </w:rPr>
            </w:pPr>
          </w:p>
        </w:tc>
        <w:tc>
          <w:tcPr>
            <w:tcW w:w="3200" w:type="dxa"/>
            <w:vAlign w:val="bottom"/>
          </w:tcPr>
          <w:p>
            <w:pPr>
              <w:ind w:left="220"/>
              <w:spacing w:after="0"/>
              <w:rPr>
                <w:sz w:val="20"/>
                <w:szCs w:val="20"/>
                <w:color w:val="auto"/>
              </w:rPr>
            </w:pPr>
            <w:r>
              <w:rPr>
                <w:rFonts w:ascii="Courier New" w:cs="Courier New" w:eastAsia="Courier New" w:hAnsi="Courier New"/>
                <w:sz w:val="16"/>
                <w:szCs w:val="16"/>
                <w:color w:val="auto"/>
                <w:w w:val="99"/>
              </w:rPr>
              <w:t>(Incorporated by reference from</w:t>
            </w:r>
          </w:p>
        </w:tc>
        <w:tc>
          <w:tcPr>
            <w:tcW w:w="2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Form 424B3; Accession No.</w:t>
            </w:r>
          </w:p>
        </w:tc>
      </w:tr>
      <w:tr>
        <w:trPr>
          <w:trHeight w:val="182"/>
        </w:trPr>
        <w:tc>
          <w:tcPr>
            <w:tcW w:w="720" w:type="dxa"/>
            <w:vAlign w:val="bottom"/>
          </w:tcPr>
          <w:p>
            <w:pPr>
              <w:spacing w:after="0"/>
              <w:rPr>
                <w:sz w:val="15"/>
                <w:szCs w:val="15"/>
                <w:color w:val="auto"/>
              </w:rPr>
            </w:pPr>
          </w:p>
        </w:tc>
        <w:tc>
          <w:tcPr>
            <w:tcW w:w="3200" w:type="dxa"/>
            <w:vAlign w:val="bottom"/>
          </w:tcPr>
          <w:p>
            <w:pPr>
              <w:ind w:left="220"/>
              <w:spacing w:after="0"/>
              <w:rPr>
                <w:sz w:val="20"/>
                <w:szCs w:val="20"/>
                <w:color w:val="auto"/>
              </w:rPr>
            </w:pPr>
            <w:r>
              <w:rPr>
                <w:rFonts w:ascii="Courier New" w:cs="Courier New" w:eastAsia="Courier New" w:hAnsi="Courier New"/>
                <w:sz w:val="16"/>
                <w:szCs w:val="16"/>
                <w:color w:val="auto"/>
              </w:rPr>
              <w:t>0001113169-00-000003.)</w:t>
            </w:r>
          </w:p>
        </w:tc>
        <w:tc>
          <w:tcPr>
            <w:tcW w:w="76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364"/>
        </w:trPr>
        <w:tc>
          <w:tcPr>
            <w:tcW w:w="720" w:type="dxa"/>
            <w:vAlign w:val="bottom"/>
          </w:tcPr>
          <w:p>
            <w:pPr>
              <w:spacing w:after="0"/>
              <w:rPr>
                <w:sz w:val="20"/>
                <w:szCs w:val="20"/>
                <w:color w:val="auto"/>
              </w:rPr>
            </w:pPr>
            <w:r>
              <w:rPr>
                <w:rFonts w:ascii="Courier New" w:cs="Courier New" w:eastAsia="Courier New" w:hAnsi="Courier New"/>
                <w:sz w:val="16"/>
                <w:szCs w:val="16"/>
                <w:color w:val="auto"/>
              </w:rPr>
              <w:t>4.01</w:t>
            </w:r>
          </w:p>
        </w:tc>
        <w:tc>
          <w:tcPr>
            <w:tcW w:w="3960" w:type="dxa"/>
            <w:vAlign w:val="bottom"/>
            <w:gridSpan w:val="2"/>
          </w:tcPr>
          <w:p>
            <w:pPr>
              <w:ind w:left="220"/>
              <w:spacing w:after="0"/>
              <w:rPr>
                <w:sz w:val="20"/>
                <w:szCs w:val="20"/>
                <w:color w:val="auto"/>
              </w:rPr>
            </w:pPr>
            <w:r>
              <w:rPr>
                <w:rFonts w:ascii="Courier New" w:cs="Courier New" w:eastAsia="Courier New" w:hAnsi="Courier New"/>
                <w:sz w:val="16"/>
                <w:szCs w:val="16"/>
                <w:color w:val="auto"/>
                <w:w w:val="99"/>
              </w:rPr>
              <w:t>$500,000,000 Five-Year Credit Agreement</w:t>
            </w:r>
          </w:p>
        </w:tc>
        <w:tc>
          <w:tcPr>
            <w:tcW w:w="1840" w:type="dxa"/>
            <w:vAlign w:val="bottom"/>
          </w:tcPr>
          <w:p>
            <w:pPr>
              <w:ind w:left="60"/>
              <w:spacing w:after="0"/>
              <w:rPr>
                <w:sz w:val="20"/>
                <w:szCs w:val="20"/>
                <w:color w:val="auto"/>
              </w:rPr>
            </w:pPr>
            <w:r>
              <w:rPr>
                <w:rFonts w:ascii="Courier New" w:cs="Courier New" w:eastAsia="Courier New" w:hAnsi="Courier New"/>
                <w:sz w:val="16"/>
                <w:szCs w:val="16"/>
                <w:color w:val="auto"/>
                <w:w w:val="96"/>
              </w:rPr>
              <w:t>among T. Rowe Price</w:t>
            </w:r>
          </w:p>
        </w:tc>
      </w:tr>
      <w:tr>
        <w:trPr>
          <w:trHeight w:val="182"/>
        </w:trPr>
        <w:tc>
          <w:tcPr>
            <w:tcW w:w="720" w:type="dxa"/>
            <w:vAlign w:val="bottom"/>
          </w:tcPr>
          <w:p>
            <w:pPr>
              <w:spacing w:after="0"/>
              <w:rPr>
                <w:sz w:val="15"/>
                <w:szCs w:val="15"/>
                <w:color w:val="auto"/>
              </w:rPr>
            </w:pPr>
          </w:p>
        </w:tc>
        <w:tc>
          <w:tcPr>
            <w:tcW w:w="5800" w:type="dxa"/>
            <w:vAlign w:val="bottom"/>
            <w:gridSpan w:val="3"/>
          </w:tcPr>
          <w:p>
            <w:pPr>
              <w:ind w:left="220"/>
              <w:spacing w:after="0"/>
              <w:rPr>
                <w:sz w:val="20"/>
                <w:szCs w:val="20"/>
                <w:color w:val="auto"/>
              </w:rPr>
            </w:pPr>
            <w:r>
              <w:rPr>
                <w:rFonts w:ascii="Courier New" w:cs="Courier New" w:eastAsia="Courier New" w:hAnsi="Courier New"/>
                <w:sz w:val="16"/>
                <w:szCs w:val="16"/>
                <w:color w:val="auto"/>
              </w:rPr>
              <w:t>Associates, Inc., the several lenders, and The Chase</w:t>
            </w:r>
          </w:p>
        </w:tc>
      </w:tr>
      <w:tr>
        <w:trPr>
          <w:trHeight w:val="182"/>
        </w:trPr>
        <w:tc>
          <w:tcPr>
            <w:tcW w:w="720" w:type="dxa"/>
            <w:vAlign w:val="bottom"/>
          </w:tcPr>
          <w:p>
            <w:pPr>
              <w:spacing w:after="0"/>
              <w:rPr>
                <w:sz w:val="15"/>
                <w:szCs w:val="15"/>
                <w:color w:val="auto"/>
              </w:rPr>
            </w:pPr>
          </w:p>
        </w:tc>
        <w:tc>
          <w:tcPr>
            <w:tcW w:w="5800" w:type="dxa"/>
            <w:vAlign w:val="bottom"/>
            <w:gridSpan w:val="3"/>
          </w:tcPr>
          <w:p>
            <w:pPr>
              <w:ind w:left="220"/>
              <w:spacing w:after="0"/>
              <w:rPr>
                <w:sz w:val="20"/>
                <w:szCs w:val="20"/>
                <w:color w:val="auto"/>
              </w:rPr>
            </w:pPr>
            <w:r>
              <w:rPr>
                <w:rFonts w:ascii="Courier New" w:cs="Courier New" w:eastAsia="Courier New" w:hAnsi="Courier New"/>
                <w:sz w:val="16"/>
                <w:szCs w:val="16"/>
                <w:color w:val="auto"/>
              </w:rPr>
              <w:t>Manhattan Bank, as administrative agent. (Incorporated by</w:t>
            </w:r>
          </w:p>
        </w:tc>
      </w:tr>
      <w:tr>
        <w:trPr>
          <w:trHeight w:val="182"/>
        </w:trPr>
        <w:tc>
          <w:tcPr>
            <w:tcW w:w="720" w:type="dxa"/>
            <w:vAlign w:val="bottom"/>
          </w:tcPr>
          <w:p>
            <w:pPr>
              <w:spacing w:after="0"/>
              <w:rPr>
                <w:sz w:val="15"/>
                <w:szCs w:val="15"/>
                <w:color w:val="auto"/>
              </w:rPr>
            </w:pPr>
          </w:p>
        </w:tc>
        <w:tc>
          <w:tcPr>
            <w:tcW w:w="3200" w:type="dxa"/>
            <w:vAlign w:val="bottom"/>
          </w:tcPr>
          <w:p>
            <w:pPr>
              <w:ind w:left="220"/>
              <w:spacing w:after="0"/>
              <w:rPr>
                <w:sz w:val="20"/>
                <w:szCs w:val="20"/>
                <w:color w:val="auto"/>
              </w:rPr>
            </w:pPr>
            <w:r>
              <w:rPr>
                <w:rFonts w:ascii="Courier New" w:cs="Courier New" w:eastAsia="Courier New" w:hAnsi="Courier New"/>
                <w:sz w:val="16"/>
                <w:szCs w:val="16"/>
                <w:color w:val="auto"/>
                <w:w w:val="99"/>
              </w:rPr>
              <w:t>reference from Form 10-Q Report</w:t>
            </w: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for the</w:t>
            </w:r>
          </w:p>
        </w:tc>
        <w:tc>
          <w:tcPr>
            <w:tcW w:w="1840" w:type="dxa"/>
            <w:vAlign w:val="bottom"/>
          </w:tcPr>
          <w:p>
            <w:pPr>
              <w:ind w:left="60"/>
              <w:spacing w:after="0"/>
              <w:rPr>
                <w:sz w:val="20"/>
                <w:szCs w:val="20"/>
                <w:color w:val="auto"/>
              </w:rPr>
            </w:pPr>
            <w:r>
              <w:rPr>
                <w:rFonts w:ascii="Courier New" w:cs="Courier New" w:eastAsia="Courier New" w:hAnsi="Courier New"/>
                <w:sz w:val="16"/>
                <w:szCs w:val="16"/>
                <w:color w:val="auto"/>
              </w:rPr>
              <w:t>quarterly period</w:t>
            </w:r>
          </w:p>
        </w:tc>
      </w:tr>
      <w:tr>
        <w:trPr>
          <w:trHeight w:val="182"/>
        </w:trPr>
        <w:tc>
          <w:tcPr>
            <w:tcW w:w="720" w:type="dxa"/>
            <w:vAlign w:val="bottom"/>
          </w:tcPr>
          <w:p>
            <w:pPr>
              <w:spacing w:after="0"/>
              <w:rPr>
                <w:sz w:val="15"/>
                <w:szCs w:val="15"/>
                <w:color w:val="auto"/>
              </w:rPr>
            </w:pPr>
          </w:p>
        </w:tc>
        <w:tc>
          <w:tcPr>
            <w:tcW w:w="5800" w:type="dxa"/>
            <w:vAlign w:val="bottom"/>
            <w:gridSpan w:val="3"/>
          </w:tcPr>
          <w:p>
            <w:pPr>
              <w:ind w:left="220"/>
              <w:spacing w:after="0"/>
              <w:rPr>
                <w:sz w:val="20"/>
                <w:szCs w:val="20"/>
                <w:color w:val="auto"/>
              </w:rPr>
            </w:pPr>
            <w:r>
              <w:rPr>
                <w:rFonts w:ascii="Courier New" w:cs="Courier New" w:eastAsia="Courier New" w:hAnsi="Courier New"/>
                <w:sz w:val="16"/>
                <w:szCs w:val="16"/>
                <w:color w:val="auto"/>
              </w:rPr>
              <w:t>ended June 30, 2000; Accession No. 0000080255-00-000425.)</w:t>
            </w:r>
          </w:p>
        </w:tc>
      </w:tr>
    </w:tbl>
    <w:p>
      <w:pPr>
        <w:spacing w:after="0" w:line="186" w:lineRule="exact"/>
        <w:rPr>
          <w:sz w:val="20"/>
          <w:szCs w:val="20"/>
          <w:color w:val="auto"/>
        </w:rPr>
      </w:pPr>
    </w:p>
    <w:p>
      <w:pPr>
        <w:ind w:left="1883" w:right="2759" w:hanging="945"/>
        <w:spacing w:after="0" w:line="262" w:lineRule="auto"/>
        <w:tabs>
          <w:tab w:leader="none" w:pos="1863" w:val="left"/>
        </w:tabs>
        <w:rPr>
          <w:sz w:val="20"/>
          <w:szCs w:val="20"/>
          <w:color w:val="auto"/>
        </w:rPr>
      </w:pPr>
      <w:r>
        <w:rPr>
          <w:rFonts w:ascii="Courier New" w:cs="Courier New" w:eastAsia="Courier New" w:hAnsi="Courier New"/>
          <w:sz w:val="16"/>
          <w:szCs w:val="16"/>
          <w:color w:val="auto"/>
        </w:rPr>
        <w:t>10.01</w:t>
      </w:r>
      <w:r>
        <w:rPr>
          <w:sz w:val="20"/>
          <w:szCs w:val="20"/>
          <w:color w:val="auto"/>
        </w:rPr>
        <w:tab/>
      </w:r>
      <w:r>
        <w:rPr>
          <w:rFonts w:ascii="Courier New" w:cs="Courier New" w:eastAsia="Courier New" w:hAnsi="Courier New"/>
          <w:sz w:val="15"/>
          <w:szCs w:val="15"/>
          <w:color w:val="auto"/>
        </w:rPr>
        <w:t>Representative Investment Management Agreement with each of the T. Rowe Price mutual funds. (Incorporated by reference from Form N-1A/A; Accession No. 0001046404-97-000008.)</w:t>
      </w:r>
    </w:p>
    <w:p>
      <w:pPr>
        <w:spacing w:after="0" w:line="171" w:lineRule="exact"/>
        <w:rPr>
          <w:sz w:val="20"/>
          <w:szCs w:val="20"/>
          <w:color w:val="auto"/>
        </w:rPr>
      </w:pPr>
    </w:p>
    <w:p>
      <w:pPr>
        <w:ind w:left="1883" w:right="2759" w:hanging="945"/>
        <w:spacing w:after="0" w:line="239" w:lineRule="auto"/>
        <w:tabs>
          <w:tab w:leader="none" w:pos="1863" w:val="left"/>
        </w:tabs>
        <w:rPr>
          <w:sz w:val="20"/>
          <w:szCs w:val="20"/>
          <w:color w:val="auto"/>
        </w:rPr>
      </w:pPr>
      <w:r>
        <w:rPr>
          <w:rFonts w:ascii="Courier New" w:cs="Courier New" w:eastAsia="Courier New" w:hAnsi="Courier New"/>
          <w:sz w:val="16"/>
          <w:szCs w:val="16"/>
          <w:color w:val="auto"/>
        </w:rPr>
        <w:t>10.02</w:t>
      </w:r>
      <w:r>
        <w:rPr>
          <w:sz w:val="20"/>
          <w:szCs w:val="20"/>
          <w:color w:val="auto"/>
        </w:rPr>
        <w:tab/>
      </w:r>
      <w:r>
        <w:rPr>
          <w:rFonts w:ascii="Courier New" w:cs="Courier New" w:eastAsia="Courier New" w:hAnsi="Courier New"/>
          <w:sz w:val="16"/>
          <w:szCs w:val="16"/>
          <w:color w:val="auto"/>
        </w:rPr>
        <w:t>Transfer Agency and Service Agreement dated as of January 1,2001 between T. Rowe Price Services, Inc. and each of the T. Rowe Price Funds. (Incorporated by reference from Form 485BPOS; Accession No. 0000775688-01-500030.)</w:t>
      </w:r>
    </w:p>
    <w:p>
      <w:pPr>
        <w:spacing w:after="0" w:line="187" w:lineRule="exact"/>
        <w:rPr>
          <w:sz w:val="20"/>
          <w:szCs w:val="20"/>
          <w:color w:val="auto"/>
        </w:rPr>
      </w:pPr>
    </w:p>
    <w:p>
      <w:pPr>
        <w:ind w:left="1883" w:right="2839" w:hanging="945"/>
        <w:spacing w:after="0" w:line="239" w:lineRule="auto"/>
        <w:tabs>
          <w:tab w:leader="none" w:pos="1863" w:val="left"/>
        </w:tabs>
        <w:rPr>
          <w:sz w:val="20"/>
          <w:szCs w:val="20"/>
          <w:color w:val="auto"/>
        </w:rPr>
      </w:pPr>
      <w:r>
        <w:rPr>
          <w:rFonts w:ascii="Courier New" w:cs="Courier New" w:eastAsia="Courier New" w:hAnsi="Courier New"/>
          <w:sz w:val="16"/>
          <w:szCs w:val="16"/>
          <w:color w:val="auto"/>
        </w:rPr>
        <w:t>10.03</w:t>
      </w:r>
      <w:r>
        <w:rPr>
          <w:sz w:val="20"/>
          <w:szCs w:val="20"/>
          <w:color w:val="auto"/>
        </w:rPr>
        <w:tab/>
      </w:r>
      <w:r>
        <w:rPr>
          <w:rFonts w:ascii="Courier New" w:cs="Courier New" w:eastAsia="Courier New" w:hAnsi="Courier New"/>
          <w:sz w:val="16"/>
          <w:szCs w:val="16"/>
          <w:color w:val="auto"/>
        </w:rPr>
        <w:t>Agreement dated January 1, 2001 between T. Rowe Price Retirement Plan Services, Inc. and certain of the T. Rowe Price Funds. (Incorporated by reference from Form 485BPOS; Accession No. 0000775688-01-500030.)</w:t>
      </w:r>
    </w:p>
    <w:p>
      <w:pPr>
        <w:spacing w:after="0" w:line="183" w:lineRule="exact"/>
        <w:rPr>
          <w:sz w:val="20"/>
          <w:szCs w:val="20"/>
          <w:color w:val="auto"/>
        </w:rPr>
      </w:pPr>
    </w:p>
    <w:p>
      <w:pPr>
        <w:ind w:left="943"/>
        <w:spacing w:after="0"/>
        <w:tabs>
          <w:tab w:leader="none" w:pos="1863" w:val="left"/>
        </w:tabs>
        <w:rPr>
          <w:sz w:val="20"/>
          <w:szCs w:val="20"/>
          <w:color w:val="auto"/>
        </w:rPr>
      </w:pPr>
      <w:r>
        <w:rPr>
          <w:rFonts w:ascii="Courier New" w:cs="Courier New" w:eastAsia="Courier New" w:hAnsi="Courier New"/>
          <w:sz w:val="16"/>
          <w:szCs w:val="16"/>
          <w:color w:val="auto"/>
        </w:rPr>
        <w:t>10.04</w:t>
      </w:r>
      <w:r>
        <w:rPr>
          <w:sz w:val="20"/>
          <w:szCs w:val="20"/>
          <w:color w:val="auto"/>
        </w:rPr>
        <w:tab/>
      </w:r>
      <w:r>
        <w:rPr>
          <w:rFonts w:ascii="Courier New" w:cs="Courier New" w:eastAsia="Courier New" w:hAnsi="Courier New"/>
          <w:sz w:val="15"/>
          <w:szCs w:val="15"/>
          <w:color w:val="auto"/>
        </w:rPr>
        <w:t>Representative Underwriting Agreement between each of the T.</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Rowe Price mutual funds and T. Rowe Price Investment</w:t>
      </w:r>
    </w:p>
    <w:p>
      <w:pPr>
        <w:sectPr>
          <w:pgSz w:w="11900" w:h="16838" w:orient="portrait"/>
          <w:cols w:equalWidth="0" w:num="1">
            <w:col w:w="10222"/>
          </w:cols>
          <w:pgMar w:left="237" w:top="295" w:right="1440" w:bottom="1440" w:gutter="0" w:footer="0" w:header="0"/>
        </w:sectPr>
      </w:pPr>
    </w:p>
    <w:bookmarkStart w:id="14" w:name="page15"/>
    <w:bookmarkEnd w:id="14"/>
    <w:p>
      <w:pPr>
        <w:ind w:left="283"/>
        <w:spacing w:after="0"/>
        <w:rPr>
          <w:sz w:val="20"/>
          <w:szCs w:val="20"/>
          <w:color w:val="auto"/>
        </w:rPr>
      </w:pPr>
      <w:r>
        <w:rPr>
          <w:rFonts w:ascii="Courier New" w:cs="Courier New" w:eastAsia="Courier New" w:hAnsi="Courier New"/>
          <w:sz w:val="16"/>
          <w:szCs w:val="16"/>
          <w:color w:val="auto"/>
        </w:rPr>
        <w:t>15</w:t>
      </w:r>
    </w:p>
    <w:p>
      <w:pPr>
        <w:spacing w:after="0" w:line="200" w:lineRule="exact"/>
        <w:rPr>
          <w:sz w:val="20"/>
          <w:szCs w:val="20"/>
          <w:color w:val="auto"/>
        </w:rPr>
      </w:pPr>
    </w:p>
    <w:p>
      <w:pPr>
        <w:spacing w:after="0" w:line="350" w:lineRule="exact"/>
        <w:rPr>
          <w:sz w:val="20"/>
          <w:szCs w:val="20"/>
          <w:color w:val="auto"/>
        </w:rPr>
      </w:pPr>
    </w:p>
    <w:p>
      <w:pPr>
        <w:ind w:left="1883" w:right="2659"/>
        <w:spacing w:after="0" w:line="237" w:lineRule="auto"/>
        <w:rPr>
          <w:sz w:val="20"/>
          <w:szCs w:val="20"/>
          <w:color w:val="auto"/>
        </w:rPr>
      </w:pPr>
      <w:r>
        <w:rPr>
          <w:rFonts w:ascii="Courier New" w:cs="Courier New" w:eastAsia="Courier New" w:hAnsi="Courier New"/>
          <w:sz w:val="16"/>
          <w:szCs w:val="16"/>
          <w:color w:val="auto"/>
        </w:rPr>
        <w:t>Services, Inc. (Incorporated by reference from Form 485APOS; Accession No. 0000775688-00-000003.)</w:t>
      </w:r>
    </w:p>
    <w:p>
      <w:pPr>
        <w:spacing w:after="0" w:line="184" w:lineRule="exact"/>
        <w:rPr>
          <w:sz w:val="20"/>
          <w:szCs w:val="20"/>
          <w:color w:val="auto"/>
        </w:rPr>
      </w:pPr>
    </w:p>
    <w:p>
      <w:pPr>
        <w:jc w:val="right"/>
        <w:ind w:right="2659"/>
        <w:spacing w:after="0"/>
        <w:tabs>
          <w:tab w:leader="none" w:pos="5660" w:val="left"/>
        </w:tabs>
        <w:rPr>
          <w:sz w:val="20"/>
          <w:szCs w:val="20"/>
          <w:color w:val="auto"/>
        </w:rPr>
      </w:pPr>
      <w:r>
        <w:rPr>
          <w:rFonts w:ascii="Courier New" w:cs="Courier New" w:eastAsia="Courier New" w:hAnsi="Courier New"/>
          <w:sz w:val="16"/>
          <w:szCs w:val="16"/>
          <w:color w:val="auto"/>
        </w:rPr>
        <w:t>10.05</w:t>
      </w:r>
      <w:r>
        <w:rPr>
          <w:sz w:val="20"/>
          <w:szCs w:val="20"/>
          <w:color w:val="auto"/>
        </w:rPr>
        <w:tab/>
      </w:r>
      <w:r>
        <w:rPr>
          <w:rFonts w:ascii="Courier New" w:cs="Courier New" w:eastAsia="Courier New" w:hAnsi="Courier New"/>
          <w:sz w:val="15"/>
          <w:szCs w:val="15"/>
          <w:color w:val="auto"/>
        </w:rPr>
        <w:t>Amended, Restated, and Consolidated Office Lease dated as of</w:t>
      </w:r>
    </w:p>
    <w:p>
      <w:pPr>
        <w:spacing w:after="0" w:line="5" w:lineRule="exact"/>
        <w:rPr>
          <w:sz w:val="20"/>
          <w:szCs w:val="20"/>
          <w:color w:val="auto"/>
        </w:rPr>
      </w:pPr>
    </w:p>
    <w:p>
      <w:pPr>
        <w:ind w:left="1883" w:right="2659"/>
        <w:spacing w:after="0" w:line="239" w:lineRule="auto"/>
        <w:rPr>
          <w:sz w:val="20"/>
          <w:szCs w:val="20"/>
          <w:color w:val="auto"/>
        </w:rPr>
      </w:pPr>
      <w:r>
        <w:rPr>
          <w:rFonts w:ascii="Courier New" w:cs="Courier New" w:eastAsia="Courier New" w:hAnsi="Courier New"/>
          <w:sz w:val="16"/>
          <w:szCs w:val="16"/>
          <w:color w:val="auto"/>
        </w:rPr>
        <w:t>May 22, 1997 between 100 East Pratt Street Limited Partnership and T. Rowe Price Associates, Inc. (Incorporated by reference from Form 10-K for 1997; Accession No. 0000080255-98-000358.)</w:t>
      </w:r>
    </w:p>
    <w:p>
      <w:pPr>
        <w:spacing w:after="0" w:line="187" w:lineRule="exact"/>
        <w:rPr>
          <w:sz w:val="20"/>
          <w:szCs w:val="20"/>
          <w:color w:val="auto"/>
        </w:rPr>
      </w:pPr>
    </w:p>
    <w:p>
      <w:pPr>
        <w:ind w:left="1883" w:right="2759" w:hanging="945"/>
        <w:spacing w:after="0" w:line="267" w:lineRule="auto"/>
        <w:tabs>
          <w:tab w:leader="none" w:pos="1863" w:val="left"/>
        </w:tabs>
        <w:rPr>
          <w:sz w:val="20"/>
          <w:szCs w:val="20"/>
          <w:color w:val="auto"/>
        </w:rPr>
      </w:pPr>
      <w:r>
        <w:rPr>
          <w:rFonts w:ascii="Courier New" w:cs="Courier New" w:eastAsia="Courier New" w:hAnsi="Courier New"/>
          <w:sz w:val="16"/>
          <w:szCs w:val="16"/>
          <w:color w:val="auto"/>
        </w:rPr>
        <w:t>10.06</w:t>
      </w:r>
      <w:r>
        <w:rPr>
          <w:sz w:val="20"/>
          <w:szCs w:val="20"/>
          <w:color w:val="auto"/>
        </w:rPr>
        <w:tab/>
      </w:r>
      <w:r>
        <w:rPr>
          <w:rFonts w:ascii="Courier New" w:cs="Courier New" w:eastAsia="Courier New" w:hAnsi="Courier New"/>
          <w:sz w:val="15"/>
          <w:szCs w:val="15"/>
          <w:color w:val="auto"/>
        </w:rPr>
        <w:t>1995 Director Stock Option Plan. (Incorporated by reference from Form DEF 14A; Accession No. 0000933259-95-000009.)</w:t>
      </w:r>
    </w:p>
    <w:p>
      <w:pPr>
        <w:spacing w:after="0" w:line="168" w:lineRule="exact"/>
        <w:rPr>
          <w:sz w:val="20"/>
          <w:szCs w:val="20"/>
          <w:color w:val="auto"/>
        </w:rPr>
      </w:pPr>
    </w:p>
    <w:p>
      <w:pPr>
        <w:ind w:left="1883" w:right="2759" w:hanging="945"/>
        <w:spacing w:after="0" w:line="267" w:lineRule="auto"/>
        <w:tabs>
          <w:tab w:leader="none" w:pos="1863" w:val="left"/>
        </w:tabs>
        <w:rPr>
          <w:sz w:val="20"/>
          <w:szCs w:val="20"/>
          <w:color w:val="auto"/>
        </w:rPr>
      </w:pPr>
      <w:r>
        <w:rPr>
          <w:rFonts w:ascii="Courier New" w:cs="Courier New" w:eastAsia="Courier New" w:hAnsi="Courier New"/>
          <w:sz w:val="16"/>
          <w:szCs w:val="16"/>
          <w:color w:val="auto"/>
        </w:rPr>
        <w:t>10.07</w:t>
      </w:r>
      <w:r>
        <w:rPr>
          <w:sz w:val="20"/>
          <w:szCs w:val="20"/>
          <w:color w:val="auto"/>
        </w:rPr>
        <w:tab/>
      </w:r>
      <w:r>
        <w:rPr>
          <w:rFonts w:ascii="Courier New" w:cs="Courier New" w:eastAsia="Courier New" w:hAnsi="Courier New"/>
          <w:sz w:val="15"/>
          <w:szCs w:val="15"/>
          <w:color w:val="auto"/>
        </w:rPr>
        <w:t>1998 Director Stock Option Plan. (Incorporated by reference from Form DEF 14A; Accession No. 0000080255-98-000355.)</w:t>
      </w:r>
    </w:p>
    <w:p>
      <w:pPr>
        <w:spacing w:after="0" w:line="168" w:lineRule="exact"/>
        <w:rPr>
          <w:sz w:val="20"/>
          <w:szCs w:val="20"/>
          <w:color w:val="auto"/>
        </w:rPr>
      </w:pPr>
    </w:p>
    <w:p>
      <w:pPr>
        <w:ind w:left="1883" w:right="2839" w:hanging="945"/>
        <w:spacing w:after="0" w:line="267" w:lineRule="auto"/>
        <w:tabs>
          <w:tab w:leader="none" w:pos="1863" w:val="left"/>
        </w:tabs>
        <w:rPr>
          <w:sz w:val="20"/>
          <w:szCs w:val="20"/>
          <w:color w:val="auto"/>
        </w:rPr>
      </w:pPr>
      <w:r>
        <w:rPr>
          <w:rFonts w:ascii="Courier New" w:cs="Courier New" w:eastAsia="Courier New" w:hAnsi="Courier New"/>
          <w:sz w:val="16"/>
          <w:szCs w:val="16"/>
          <w:color w:val="auto"/>
        </w:rPr>
        <w:t>10.08</w:t>
      </w:r>
      <w:r>
        <w:rPr>
          <w:sz w:val="20"/>
          <w:szCs w:val="20"/>
          <w:color w:val="auto"/>
        </w:rPr>
        <w:tab/>
      </w:r>
      <w:r>
        <w:rPr>
          <w:rFonts w:ascii="Courier New" w:cs="Courier New" w:eastAsia="Courier New" w:hAnsi="Courier New"/>
          <w:sz w:val="15"/>
          <w:szCs w:val="15"/>
          <w:color w:val="auto"/>
        </w:rPr>
        <w:t>1990 Stock Incentive Plan. (Incorporated by reference from Form S-8 Registration Statement [File No. 33-37573].)</w:t>
      </w:r>
    </w:p>
    <w:p>
      <w:pPr>
        <w:spacing w:after="0" w:line="168" w:lineRule="exact"/>
        <w:rPr>
          <w:sz w:val="20"/>
          <w:szCs w:val="20"/>
          <w:color w:val="auto"/>
        </w:rPr>
      </w:pPr>
    </w:p>
    <w:p>
      <w:pPr>
        <w:ind w:left="1883" w:right="2839" w:hanging="945"/>
        <w:spacing w:after="0" w:line="267" w:lineRule="auto"/>
        <w:tabs>
          <w:tab w:leader="none" w:pos="1863" w:val="left"/>
        </w:tabs>
        <w:rPr>
          <w:sz w:val="20"/>
          <w:szCs w:val="20"/>
          <w:color w:val="auto"/>
        </w:rPr>
      </w:pPr>
      <w:r>
        <w:rPr>
          <w:rFonts w:ascii="Courier New" w:cs="Courier New" w:eastAsia="Courier New" w:hAnsi="Courier New"/>
          <w:sz w:val="16"/>
          <w:szCs w:val="16"/>
          <w:color w:val="auto"/>
        </w:rPr>
        <w:t>10.09</w:t>
      </w:r>
      <w:r>
        <w:rPr>
          <w:sz w:val="20"/>
          <w:szCs w:val="20"/>
          <w:color w:val="auto"/>
        </w:rPr>
        <w:tab/>
      </w:r>
      <w:r>
        <w:rPr>
          <w:rFonts w:ascii="Courier New" w:cs="Courier New" w:eastAsia="Courier New" w:hAnsi="Courier New"/>
          <w:sz w:val="15"/>
          <w:szCs w:val="15"/>
          <w:color w:val="auto"/>
        </w:rPr>
        <w:t>1993 Stock Incentive Plan. (Incorporated by reference from Form S-8 Registration Statement [File No. 33-72568].)</w:t>
      </w:r>
    </w:p>
    <w:p>
      <w:pPr>
        <w:spacing w:after="0" w:line="168" w:lineRule="exact"/>
        <w:rPr>
          <w:sz w:val="20"/>
          <w:szCs w:val="20"/>
          <w:color w:val="auto"/>
        </w:rPr>
      </w:pPr>
    </w:p>
    <w:p>
      <w:pPr>
        <w:ind w:left="1883" w:right="2839" w:hanging="945"/>
        <w:spacing w:after="0" w:line="237" w:lineRule="auto"/>
        <w:tabs>
          <w:tab w:leader="none" w:pos="1863" w:val="left"/>
        </w:tabs>
        <w:rPr>
          <w:sz w:val="20"/>
          <w:szCs w:val="20"/>
          <w:color w:val="auto"/>
        </w:rPr>
      </w:pPr>
      <w:r>
        <w:rPr>
          <w:rFonts w:ascii="Courier New" w:cs="Courier New" w:eastAsia="Courier New" w:hAnsi="Courier New"/>
          <w:sz w:val="16"/>
          <w:szCs w:val="16"/>
          <w:color w:val="auto"/>
        </w:rPr>
        <w:t>10.10</w:t>
      </w:r>
      <w:r>
        <w:rPr>
          <w:sz w:val="20"/>
          <w:szCs w:val="20"/>
          <w:color w:val="auto"/>
        </w:rPr>
        <w:tab/>
      </w:r>
      <w:r>
        <w:rPr>
          <w:rFonts w:ascii="Courier New" w:cs="Courier New" w:eastAsia="Courier New" w:hAnsi="Courier New"/>
          <w:sz w:val="16"/>
          <w:szCs w:val="16"/>
          <w:color w:val="auto"/>
        </w:rPr>
        <w:t>1996 Stock Incentive Plan. (Incorporated by reference from Form DEF 14A; Accession No. 0001006199-96-000031.)</w:t>
      </w:r>
    </w:p>
    <w:p>
      <w:pPr>
        <w:spacing w:after="0" w:line="188" w:lineRule="exact"/>
        <w:rPr>
          <w:sz w:val="20"/>
          <w:szCs w:val="20"/>
          <w:color w:val="auto"/>
        </w:rPr>
      </w:pPr>
    </w:p>
    <w:p>
      <w:pPr>
        <w:ind w:left="1883" w:right="2839" w:hanging="945"/>
        <w:spacing w:after="0" w:line="237" w:lineRule="auto"/>
        <w:tabs>
          <w:tab w:leader="none" w:pos="1863" w:val="left"/>
        </w:tabs>
        <w:rPr>
          <w:sz w:val="20"/>
          <w:szCs w:val="20"/>
          <w:color w:val="auto"/>
        </w:rPr>
      </w:pPr>
      <w:r>
        <w:rPr>
          <w:rFonts w:ascii="Courier New" w:cs="Courier New" w:eastAsia="Courier New" w:hAnsi="Courier New"/>
          <w:sz w:val="16"/>
          <w:szCs w:val="16"/>
          <w:color w:val="auto"/>
        </w:rPr>
        <w:t>10.11</w:t>
      </w:r>
      <w:r>
        <w:rPr>
          <w:sz w:val="20"/>
          <w:szCs w:val="20"/>
          <w:color w:val="auto"/>
        </w:rPr>
        <w:tab/>
      </w:r>
      <w:r>
        <w:rPr>
          <w:rFonts w:ascii="Courier New" w:cs="Courier New" w:eastAsia="Courier New" w:hAnsi="Courier New"/>
          <w:sz w:val="16"/>
          <w:szCs w:val="16"/>
          <w:color w:val="auto"/>
        </w:rPr>
        <w:t>2001 Stock Incentive Plan. (Incorporated by reference from Form DEF 14A; Accession No. 0001113169-01-000002.)</w:t>
      </w:r>
    </w:p>
    <w:p>
      <w:pPr>
        <w:spacing w:after="0" w:line="188" w:lineRule="exact"/>
        <w:rPr>
          <w:sz w:val="20"/>
          <w:szCs w:val="20"/>
          <w:color w:val="auto"/>
        </w:rPr>
      </w:pPr>
    </w:p>
    <w:p>
      <w:pPr>
        <w:ind w:left="1883" w:right="3119" w:hanging="945"/>
        <w:spacing w:after="0" w:line="237" w:lineRule="auto"/>
        <w:tabs>
          <w:tab w:leader="none" w:pos="1863" w:val="left"/>
        </w:tabs>
        <w:rPr>
          <w:sz w:val="20"/>
          <w:szCs w:val="20"/>
          <w:color w:val="auto"/>
        </w:rPr>
      </w:pPr>
      <w:r>
        <w:rPr>
          <w:rFonts w:ascii="Courier New" w:cs="Courier New" w:eastAsia="Courier New" w:hAnsi="Courier New"/>
          <w:sz w:val="16"/>
          <w:szCs w:val="16"/>
          <w:color w:val="auto"/>
        </w:rPr>
        <w:t>10.12</w:t>
      </w:r>
      <w:r>
        <w:rPr>
          <w:sz w:val="20"/>
          <w:szCs w:val="20"/>
          <w:color w:val="auto"/>
        </w:rPr>
        <w:tab/>
      </w:r>
      <w:r>
        <w:rPr>
          <w:rFonts w:ascii="Courier New" w:cs="Courier New" w:eastAsia="Courier New" w:hAnsi="Courier New"/>
          <w:sz w:val="16"/>
          <w:szCs w:val="16"/>
          <w:color w:val="auto"/>
        </w:rPr>
        <w:t>Executive Incentive Compensation Plan. (Incorporated by reference from Form DEF 14A; Accession No.</w:t>
      </w:r>
    </w:p>
    <w:p>
      <w:pPr>
        <w:spacing w:after="0" w:line="2"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0000933259-95-000009.)</w:t>
      </w:r>
    </w:p>
    <w:p>
      <w:pPr>
        <w:spacing w:after="0" w:line="186" w:lineRule="exact"/>
        <w:rPr>
          <w:sz w:val="20"/>
          <w:szCs w:val="20"/>
          <w:color w:val="auto"/>
        </w:rPr>
      </w:pPr>
    </w:p>
    <w:p>
      <w:pPr>
        <w:ind w:left="1883" w:right="3039" w:hanging="937"/>
        <w:spacing w:after="0" w:line="267" w:lineRule="auto"/>
        <w:tabs>
          <w:tab w:leader="none" w:pos="1883"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from PricewaterhouseCoopers LLP, independent accountants, re unaudited interim financial information.</w:t>
      </w:r>
    </w:p>
    <w:p>
      <w:pPr>
        <w:spacing w:after="0" w:line="163" w:lineRule="exact"/>
        <w:rPr>
          <w:rFonts w:ascii="Courier New" w:cs="Courier New" w:eastAsia="Courier New" w:hAnsi="Courier New"/>
          <w:sz w:val="15"/>
          <w:szCs w:val="15"/>
          <w:color w:val="auto"/>
        </w:rPr>
      </w:pPr>
    </w:p>
    <w:p>
      <w:pPr>
        <w:ind w:left="763" w:hanging="763"/>
        <w:spacing w:after="0"/>
        <w:tabs>
          <w:tab w:leader="none" w:pos="7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 None during the second quarter of 2001.</w:t>
      </w:r>
    </w:p>
    <w:p>
      <w:pPr>
        <w:spacing w:after="0" w:line="182"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SIGNATURES.</w:t>
      </w:r>
    </w:p>
    <w:p>
      <w:pPr>
        <w:spacing w:after="0" w:line="186" w:lineRule="exact"/>
        <w:rPr>
          <w:sz w:val="20"/>
          <w:szCs w:val="20"/>
          <w:color w:val="auto"/>
        </w:rPr>
      </w:pPr>
    </w:p>
    <w:p>
      <w:pPr>
        <w:jc w:val="both"/>
        <w:ind w:left="3" w:right="3419"/>
        <w:spacing w:after="0" w:line="238"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 on July 25, 2001.</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 Rowe Price Group, Inc.</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 Cristina Wasiak</w:t>
      </w:r>
    </w:p>
    <w:p>
      <w:pPr>
        <w:spacing w:after="0" w:line="1" w:lineRule="exact"/>
        <w:rPr>
          <w:sz w:val="20"/>
          <w:szCs w:val="20"/>
          <w:color w:val="auto"/>
        </w:rPr>
      </w:pPr>
    </w:p>
    <w:p>
      <w:pPr>
        <w:ind w:left="383"/>
        <w:spacing w:after="0"/>
        <w:rPr>
          <w:sz w:val="20"/>
          <w:szCs w:val="20"/>
          <w:color w:val="auto"/>
        </w:rPr>
      </w:pPr>
      <w:r>
        <w:rPr>
          <w:rFonts w:ascii="Courier New" w:cs="Courier New" w:eastAsia="Courier New" w:hAnsi="Courier New"/>
          <w:sz w:val="16"/>
          <w:szCs w:val="16"/>
          <w:color w:val="auto"/>
        </w:rPr>
        <w:t>Managing Director and Chief Financial Officer</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 Joseph P. Croteau, CPA</w:t>
      </w:r>
    </w:p>
    <w:p>
      <w:pPr>
        <w:spacing w:after="0" w:line="1" w:lineRule="exact"/>
        <w:rPr>
          <w:sz w:val="20"/>
          <w:szCs w:val="20"/>
          <w:color w:val="auto"/>
        </w:rPr>
      </w:pPr>
    </w:p>
    <w:p>
      <w:pPr>
        <w:ind w:left="383"/>
        <w:spacing w:after="0"/>
        <w:rPr>
          <w:sz w:val="20"/>
          <w:szCs w:val="20"/>
          <w:color w:val="auto"/>
        </w:rPr>
      </w:pPr>
      <w:r>
        <w:rPr>
          <w:rFonts w:ascii="Courier New" w:cs="Courier New" w:eastAsia="Courier New" w:hAnsi="Courier New"/>
          <w:sz w:val="16"/>
          <w:szCs w:val="16"/>
          <w:color w:val="auto"/>
        </w:rPr>
        <w:t>Vice President and Treasurer (Principal Accounting Officer)</w:t>
      </w:r>
    </w:p>
    <w:p>
      <w:pPr>
        <w:sectPr>
          <w:pgSz w:w="11900" w:h="16838" w:orient="portrait"/>
          <w:cols w:equalWidth="0" w:num="1">
            <w:col w:w="10222"/>
          </w:cols>
          <w:pgMar w:left="237" w:top="295"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w:t>
      </w:r>
    </w:p>
    <w:p>
      <w:pPr>
        <w:spacing w:after="0" w:line="1"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EXHIBIT 15</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24, 2001</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450 Fifth Street, N.W.</w:t>
      </w:r>
    </w:p>
    <w:p>
      <w:pPr>
        <w:spacing w:after="0" w:line="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6"/>
          <w:szCs w:val="16"/>
          <w:color w:val="auto"/>
        </w:rPr>
        <w:t>Washington, D.C.</w:t>
        <w:tab/>
        <w:t>20549</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Commissioners:</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We are aware that our report dated July 19, 2001 on our review of interim financial information of T. Rowe Price Group, Inc. for the period ended June 30, 2001 and included in the company's quarterly report on Form 10-Q for the period then ended is incorporated by reference in its Registration Statements on Form S-8 No. 033-07012, No. 033-37573, No. 033-72568, No. 033-58749, No. 333-20333, No. 333-90967 and No. 333-59714.</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Yours very truly,</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PricewaterhouseCoopers LLP</w:t>
      </w:r>
    </w:p>
    <w:sectPr>
      <w:pgSz w:w="11900" w:h="16838" w:orient="portrait"/>
      <w:cols w:equalWidth="0" w:num="1">
        <w:col w:w="10219"/>
      </w:cols>
      <w:pgMar w:left="240" w:top="1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1"/>
    </w:lvl>
    <w:lvl w:ilvl="1">
      <w:lvlJc w:val="left"/>
      <w:lvlText w:val="%2"/>
      <w:numFmt w:val="decimal"/>
      <w:start w:val="15"/>
    </w:lvl>
  </w:abstractNum>
  <w:abstractNum w:abstractNumId="2">
    <w:nsid w:val="19495CFF"/>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2019-12-15T02:53:17Z</dcterms:created>
  <dcterms:modified xsi:type="dcterms:W3CDTF">2019-12-15T02:53:17Z</dcterms:modified>
</cp:coreProperties>
</file>