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766445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680720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5"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1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ind w:left="120" w:right="120"/>
        <w:spacing w:after="0" w:line="288"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9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 ROWE PRICE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234" w:right="239" w:bottom="1440" w:gutter="0" w:footer="0" w:header="0"/>
        </w:sectPr>
      </w:pPr>
    </w:p>
    <w:p>
      <w:pPr>
        <w:spacing w:after="0" w:line="149"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340" w:space="720"/>
            <w:col w:w="3360"/>
          </w:cols>
          <w:pgMar w:left="240" w:top="1234" w:right="23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40" w:space="720"/>
            <w:col w:w="4060"/>
          </w:cols>
          <w:pgMar w:left="240" w:top="1234"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w:t>
      </w:r>
    </w:p>
    <w:p>
      <w:pPr>
        <w:sectPr>
          <w:pgSz w:w="11900" w:h="16838" w:orient="portrait"/>
          <w:cols w:equalWidth="0" w:num="1">
            <w:col w:w="11420"/>
          </w:cols>
          <w:pgMar w:left="240" w:top="1234" w:right="239" w:bottom="1440" w:gutter="0" w:footer="0" w:header="0"/>
          <w:type w:val="continuous"/>
        </w:sectPr>
      </w:pPr>
    </w:p>
    <w:p>
      <w:pPr>
        <w:spacing w:after="0" w:line="63"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34" w:right="239" w:bottom="1440" w:gutter="0" w:footer="0" w:header="0"/>
          <w:type w:val="continuous"/>
        </w:sectPr>
      </w:pPr>
    </w:p>
    <w:p>
      <w:pPr>
        <w:spacing w:after="0" w:line="1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400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2">
            <w:col w:w="5200" w:space="720"/>
            <w:col w:w="5500"/>
          </w:cols>
          <w:pgMar w:left="240" w:top="1234" w:right="239" w:bottom="1440" w:gutter="0" w:footer="0" w:header="0"/>
          <w:type w:val="continuous"/>
        </w:sectPr>
      </w:pPr>
    </w:p>
    <w:p>
      <w:pPr>
        <w:ind w:left="5920"/>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ectPr>
          <w:pgSz w:w="11900" w:h="16838" w:orient="portrait"/>
          <w:cols w:equalWidth="0" w:num="1">
            <w:col w:w="11420"/>
          </w:cols>
          <w:pgMar w:left="240" w:top="1234" w:right="239" w:bottom="1440" w:gutter="0" w:footer="0" w:header="0"/>
          <w:type w:val="continuous"/>
        </w:sectPr>
      </w:pPr>
    </w:p>
    <w:p>
      <w:pPr>
        <w:spacing w:after="0" w:line="75"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400" w:space="520"/>
            <w:col w:w="5500"/>
          </w:cols>
          <w:pgMar w:left="240" w:top="1234" w:right="239" w:bottom="1440" w:gutter="0" w:footer="0" w:header="0"/>
          <w:type w:val="continuous"/>
        </w:sectPr>
      </w:pPr>
    </w:p>
    <w:p>
      <w:pPr>
        <w:spacing w:after="0" w:line="43"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978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7"/>
          <w:szCs w:val="17"/>
          <w:color w:val="auto"/>
        </w:rPr>
        <w:t>x  No</w:t>
      </w:r>
    </w:p>
    <w:p>
      <w:pPr>
        <w:spacing w:after="0" w:line="217" w:lineRule="exact"/>
        <w:rPr>
          <w:sz w:val="24"/>
          <w:szCs w:val="24"/>
          <w:color w:val="auto"/>
        </w:rPr>
      </w:pPr>
    </w:p>
    <w:p>
      <w:pPr>
        <w:ind w:right="960"/>
        <w:spacing w:after="0" w:line="262" w:lineRule="auto"/>
        <w:rPr>
          <w:sz w:val="20"/>
          <w:szCs w:val="20"/>
          <w:color w:val="auto"/>
        </w:rPr>
      </w:pPr>
      <w:r>
        <w:rPr>
          <w:rFonts w:ascii="Arial" w:cs="Arial" w:eastAsia="Arial" w:hAnsi="Arial"/>
          <w:sz w:val="18"/>
          <w:szCs w:val="18"/>
          <w:color w:val="auto"/>
        </w:rPr>
        <w:t>The number of shares outstanding of the issuer’s common stock ($.20 par value), as of the latest practicable date, April 22, 2019, is 236,475,417.</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123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3/31/2019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1,425.2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549.6</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r>
      <w:tr>
        <w:trPr>
          <w:trHeight w:val="229"/>
        </w:trPr>
        <w:tc>
          <w:tcPr>
            <w:tcW w:w="856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($1,620.6 million at March 31, 2019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560" w:type="dxa"/>
            <w:vAlign w:val="bottom"/>
          </w:tcPr>
          <w:p>
            <w:pPr>
              <w:ind w:left="40"/>
              <w:spacing w:after="0"/>
              <w:rPr>
                <w:sz w:val="20"/>
                <w:szCs w:val="20"/>
                <w:color w:val="auto"/>
              </w:rPr>
            </w:pPr>
            <w:r>
              <w:rPr>
                <w:rFonts w:ascii="Arial" w:cs="Arial" w:eastAsia="Arial" w:hAnsi="Arial"/>
                <w:sz w:val="18"/>
                <w:szCs w:val="18"/>
                <w:color w:val="auto"/>
              </w:rPr>
              <w:t>and $1,392.6 million at December 31, 2018, related to variable interest entities)</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1,680.4</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661.3</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253.7</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8,458.9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228.5</w:t>
            </w:r>
          </w:p>
        </w:tc>
      </w:tr>
      <w:tr>
        <w:trPr>
          <w:trHeight w:val="23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consolidated T. Rowe Price investment products ($41.1 million at March 31, 2019</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$22.7 million at December 31, 2018, related to variable interest entities)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380.0</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50"/>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1,261.2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824.7</w:t>
            </w:r>
          </w:p>
        </w:tc>
      </w:tr>
      <w:tr>
        <w:trPr>
          <w:trHeight w:val="324"/>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740.3</w:t>
            </w:r>
          </w:p>
        </w:tc>
      </w:tr>
      <w:tr>
        <w:trPr>
          <w:trHeight w:val="331"/>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236,432,000 shares at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560" w:type="dxa"/>
            <w:vAlign w:val="bottom"/>
          </w:tcPr>
          <w:p>
            <w:pPr>
              <w:ind w:left="180"/>
              <w:spacing w:after="0"/>
              <w:rPr>
                <w:sz w:val="20"/>
                <w:szCs w:val="20"/>
                <w:color w:val="auto"/>
              </w:rPr>
            </w:pPr>
            <w:r>
              <w:rPr>
                <w:rFonts w:ascii="Arial" w:cs="Arial" w:eastAsia="Arial" w:hAnsi="Arial"/>
                <w:sz w:val="18"/>
                <w:szCs w:val="18"/>
                <w:color w:val="auto"/>
              </w:rPr>
              <w:t>March 31, 2019 and 238,069,000 at December 31, 2018</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5,650.8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5,464.1</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50"/>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6,311.0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6,124.3</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8,458.9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805" w:right="239" w:bottom="1440" w:gutter="0" w:footer="0" w:header="0"/>
        </w:sectPr>
      </w:pPr>
    </w:p>
    <w:bookmarkStart w:id="2" w:name="page3"/>
    <w:bookmarkEnd w:id="2"/>
    <w:p>
      <w:pPr>
        <w:ind w:right="536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3/31/2018</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1,189.2</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r>
      <w:tr>
        <w:trPr>
          <w:trHeight w:val="250"/>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1,328.0</w:t>
            </w:r>
          </w:p>
        </w:tc>
      </w:tr>
      <w:tr>
        <w:trPr>
          <w:trHeight w:val="324"/>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441.4</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71.7</w:t>
            </w:r>
          </w:p>
        </w:tc>
      </w:tr>
      <w:tr>
        <w:trPr>
          <w:trHeight w:val="25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744.2</w:t>
            </w:r>
          </w:p>
        </w:tc>
      </w:tr>
      <w:tr>
        <w:trPr>
          <w:trHeight w:val="324"/>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583.8</w:t>
            </w:r>
          </w:p>
        </w:tc>
      </w:tr>
      <w:tr>
        <w:trPr>
          <w:trHeight w:val="324"/>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consolidated investment products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5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324"/>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599.9</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144.4</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455.5</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453.7</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r>
      <w:tr>
        <w:trPr>
          <w:trHeight w:val="237"/>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805" w:right="239" w:bottom="1440" w:gutter="0" w:footer="0" w:header="0"/>
        </w:sectPr>
      </w:pPr>
    </w:p>
    <w:bookmarkStart w:id="3" w:name="page4"/>
    <w:bookmarkEnd w:id="3"/>
    <w:p>
      <w:pPr>
        <w:ind w:right="374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455.5</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35"/>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gains recognized in non-operating income upon deconsolidation of certain T. Rowe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Price investment products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8560" w:type="dxa"/>
            <w:vAlign w:val="bottom"/>
          </w:tcPr>
          <w:p>
            <w:pPr>
              <w:ind w:left="260"/>
              <w:spacing w:after="0"/>
              <w:rPr>
                <w:sz w:val="20"/>
                <w:szCs w:val="20"/>
                <w:color w:val="auto"/>
              </w:rPr>
            </w:pPr>
            <w:r>
              <w:rPr>
                <w:rFonts w:ascii="Arial" w:cs="Arial" w:eastAsia="Arial" w:hAnsi="Arial"/>
                <w:sz w:val="18"/>
                <w:szCs w:val="18"/>
                <w:color w:val="auto"/>
              </w:rPr>
              <w:t>Total currency translation adjustments of consolidated T. Rowe Price investment products - variable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8560" w:type="dxa"/>
            <w:vAlign w:val="bottom"/>
          </w:tcPr>
          <w:p>
            <w:pPr>
              <w:ind w:left="260"/>
              <w:spacing w:after="0"/>
              <w:rPr>
                <w:sz w:val="20"/>
                <w:szCs w:val="20"/>
                <w:color w:val="auto"/>
              </w:rPr>
            </w:pPr>
            <w:r>
              <w:rPr>
                <w:rFonts w:ascii="Arial" w:cs="Arial" w:eastAsia="Arial" w:hAnsi="Arial"/>
                <w:sz w:val="18"/>
                <w:szCs w:val="18"/>
                <w:color w:val="auto"/>
              </w:rPr>
              <w:t>interest entities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50"/>
        </w:trPr>
        <w:tc>
          <w:tcPr>
            <w:tcW w:w="85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r>
      <w:tr>
        <w:trPr>
          <w:trHeight w:val="216"/>
        </w:trPr>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469.9</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Total comprehensive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461.1</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805" w:right="239" w:bottom="1440" w:gutter="0" w:footer="0" w:header="0"/>
        </w:sectPr>
      </w:pPr>
    </w:p>
    <w:bookmarkStart w:id="4" w:name="page5"/>
    <w:bookmarkEnd w:id="4"/>
    <w:p>
      <w:pPr>
        <w:ind w:right="486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0"/>
        </w:trPr>
        <w:tc>
          <w:tcPr>
            <w:tcW w:w="8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used to economically hedge supplemental</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578.7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Dispositions T. Rowe Price investment products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 including $70.1 million at December 31, 2018, and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$103.1 million at December 31, 2017, held by consolidated T. Rowe Price investment products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5"/>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including $76.1 million at March 31, 2019, and $84.8 million</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1,733.5</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March 31, 2018,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805" w:right="259" w:bottom="1440" w:gutter="0" w:footer="0" w:header="0"/>
        </w:sectPr>
      </w:pPr>
    </w:p>
    <w:bookmarkStart w:id="5" w:name="page6"/>
    <w:bookmarkEnd w:id="5"/>
    <w:p>
      <w:pPr>
        <w:ind w:right="38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Three months ended 3/31/2019</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40"/>
        </w:trPr>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controlling</w:t>
            </w:r>
          </w:p>
        </w:tc>
      </w:tr>
      <w:tr>
        <w:trPr>
          <w:trHeight w:val="178"/>
        </w:trPr>
        <w:tc>
          <w:tcPr>
            <w:tcW w:w="55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3"/>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December 31, 2018</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238,069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$5,464.1</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6,124.3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740.3</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512.6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512.6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41.4</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($0.76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85.9</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20.4</w:t>
            </w:r>
          </w:p>
        </w:tc>
      </w:tr>
      <w:tr>
        <w:trPr>
          <w:trHeight w:val="283"/>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at March 31, 2019</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236,432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654.5</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$5,650.8</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6,311.0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886.7</w:t>
            </w:r>
          </w:p>
        </w:tc>
      </w:tr>
      <w:tr>
        <w:trPr>
          <w:trHeight w:val="318"/>
        </w:trPr>
        <w:tc>
          <w:tcPr>
            <w:tcW w:w="5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2"/>
        </w:trPr>
        <w:tc>
          <w:tcPr>
            <w:tcW w:w="5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gridSpan w:val="7"/>
          </w:tcPr>
          <w:p>
            <w:pPr>
              <w:ind w:left="180"/>
              <w:spacing w:after="0"/>
              <w:rPr>
                <w:sz w:val="20"/>
                <w:szCs w:val="20"/>
                <w:color w:val="auto"/>
              </w:rPr>
            </w:pPr>
            <w:r>
              <w:rPr>
                <w:rFonts w:ascii="Arial" w:cs="Arial" w:eastAsia="Arial" w:hAnsi="Arial"/>
                <w:sz w:val="13"/>
                <w:szCs w:val="13"/>
                <w:b w:val="1"/>
                <w:bCs w:val="1"/>
                <w:color w:val="auto"/>
              </w:rPr>
              <w:t>Three months ended 3/31/2018</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48"/>
        </w:trPr>
        <w:tc>
          <w:tcPr>
            <w:tcW w:w="5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center"/>
              <w:ind w:right="100"/>
              <w:spacing w:after="0" w:line="148" w:lineRule="exact"/>
              <w:rPr>
                <w:sz w:val="20"/>
                <w:szCs w:val="20"/>
                <w:color w:val="auto"/>
              </w:rPr>
            </w:pPr>
            <w:r>
              <w:rPr>
                <w:rFonts w:ascii="Arial" w:cs="Arial" w:eastAsia="Arial" w:hAnsi="Arial"/>
                <w:sz w:val="13"/>
                <w:szCs w:val="13"/>
                <w:b w:val="1"/>
                <w:bCs w:val="1"/>
                <w:color w:val="auto"/>
                <w:w w:val="94"/>
              </w:rPr>
              <w:t>Additional</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controlling</w:t>
            </w:r>
          </w:p>
        </w:tc>
      </w:tr>
      <w:tr>
        <w:trPr>
          <w:trHeight w:val="178"/>
        </w:trPr>
        <w:tc>
          <w:tcPr>
            <w:tcW w:w="5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r>
      <w:tr>
        <w:trPr>
          <w:trHeight w:val="251"/>
        </w:trPr>
        <w:tc>
          <w:tcPr>
            <w:tcW w:w="5500" w:type="dxa"/>
            <w:vAlign w:val="bottom"/>
          </w:tcPr>
          <w:p>
            <w:pPr>
              <w:ind w:left="40"/>
              <w:spacing w:after="0"/>
              <w:rPr>
                <w:sz w:val="20"/>
                <w:szCs w:val="20"/>
                <w:color w:val="auto"/>
              </w:rPr>
            </w:pPr>
            <w:r>
              <w:rPr>
                <w:rFonts w:ascii="Arial" w:cs="Arial" w:eastAsia="Arial" w:hAnsi="Arial"/>
                <w:sz w:val="14"/>
                <w:szCs w:val="14"/>
                <w:color w:val="auto"/>
              </w:rPr>
              <w:t>Balances at December 31, 2017</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245,111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846.1</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$4,932.9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5,824.4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992.8</w:t>
            </w:r>
          </w:p>
        </w:tc>
      </w:tr>
      <w:tr>
        <w:trPr>
          <w:trHeight w:val="195"/>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adjustment upon adoption of financial instruments and</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550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accumulated other comprehensive income guidance on January 1, 2018</w:t>
            </w:r>
            <w:r>
              <w:rPr>
                <w:rFonts w:ascii="Arial" w:cs="Arial" w:eastAsia="Arial" w:hAnsi="Arial"/>
                <w:sz w:val="17"/>
                <w:szCs w:val="17"/>
                <w:color w:val="auto"/>
                <w:vertAlign w:val="superscript"/>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94"/>
        </w:trPr>
        <w:tc>
          <w:tcPr>
            <w:tcW w:w="5500" w:type="dxa"/>
            <w:vAlign w:val="bottom"/>
          </w:tcPr>
          <w:p>
            <w:pPr>
              <w:ind w:left="40"/>
              <w:spacing w:after="0"/>
              <w:rPr>
                <w:sz w:val="20"/>
                <w:szCs w:val="20"/>
                <w:color w:val="auto"/>
              </w:rPr>
            </w:pPr>
            <w:r>
              <w:rPr>
                <w:rFonts w:ascii="Arial" w:cs="Arial" w:eastAsia="Arial" w:hAnsi="Arial"/>
                <w:sz w:val="14"/>
                <w:szCs w:val="14"/>
                <w:color w:val="auto"/>
              </w:rPr>
              <w:t>Reclassification of stranded tax benefits on currency translation adjustments 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8"/>
        </w:trPr>
        <w:tc>
          <w:tcPr>
            <w:tcW w:w="5500" w:type="dxa"/>
            <w:vAlign w:val="bottom"/>
          </w:tcPr>
          <w:p>
            <w:pPr>
              <w:ind w:left="40"/>
              <w:spacing w:after="0"/>
              <w:rPr>
                <w:sz w:val="20"/>
                <w:szCs w:val="20"/>
                <w:color w:val="auto"/>
              </w:rPr>
            </w:pPr>
            <w:r>
              <w:rPr>
                <w:rFonts w:ascii="Arial" w:cs="Arial" w:eastAsia="Arial" w:hAnsi="Arial"/>
                <w:sz w:val="14"/>
                <w:szCs w:val="14"/>
                <w:color w:val="auto"/>
              </w:rPr>
              <w:t>January 1, 2018</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56"/>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January 1, 2018</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245,111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846.1</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4,957.6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992.8</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453.7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453.7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1.8</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($0.70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(2,934)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(281.7)</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177.8</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(632.9)</w:t>
            </w:r>
          </w:p>
        </w:tc>
      </w:tr>
      <w:tr>
        <w:trPr>
          <w:trHeight w:val="243"/>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March 31, 2018</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243,282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546.5</w:t>
            </w:r>
          </w:p>
        </w:tc>
      </w:tr>
    </w:tbl>
    <w:p>
      <w:pPr>
        <w:spacing w:after="0" w:line="9" w:lineRule="exact"/>
        <w:rPr>
          <w:sz w:val="20"/>
          <w:szCs w:val="20"/>
          <w:color w:val="auto"/>
        </w:rPr>
      </w:pPr>
    </w:p>
    <w:p>
      <w:pPr>
        <w:ind w:left="160" w:hanging="152"/>
        <w:spacing w:after="0"/>
        <w:tabs>
          <w:tab w:leader="none" w:pos="160" w:val="left"/>
        </w:tabs>
        <w:numPr>
          <w:ilvl w:val="0"/>
          <w:numId w:val="1"/>
        </w:numPr>
        <w:rPr>
          <w:rFonts w:ascii="Arial" w:cs="Arial" w:eastAsia="Arial" w:hAnsi="Arial"/>
          <w:sz w:val="9"/>
          <w:szCs w:val="9"/>
          <w:i w:val="1"/>
          <w:iCs w:val="1"/>
          <w:color w:val="auto"/>
        </w:rPr>
      </w:pPr>
      <w:r>
        <w:rPr>
          <w:rFonts w:ascii="Arial" w:cs="Arial" w:eastAsia="Arial" w:hAnsi="Arial"/>
          <w:sz w:val="13"/>
          <w:szCs w:val="13"/>
          <w:i w:val="1"/>
          <w:iCs w:val="1"/>
          <w:color w:val="auto"/>
        </w:rPr>
        <w:t>Accumulated other comprehensive income.</w:t>
      </w:r>
    </w:p>
    <w:p>
      <w:pPr>
        <w:spacing w:after="0" w:line="11" w:lineRule="exact"/>
        <w:rPr>
          <w:rFonts w:ascii="Arial" w:cs="Arial" w:eastAsia="Arial" w:hAnsi="Arial"/>
          <w:sz w:val="9"/>
          <w:szCs w:val="9"/>
          <w:i w:val="1"/>
          <w:iCs w:val="1"/>
          <w:color w:val="auto"/>
        </w:rPr>
      </w:pPr>
    </w:p>
    <w:p>
      <w:pPr>
        <w:ind w:left="260" w:right="80" w:hanging="252"/>
        <w:spacing w:after="0" w:line="242" w:lineRule="auto"/>
        <w:tabs>
          <w:tab w:leader="none" w:pos="162" w:val="left"/>
        </w:tabs>
        <w:numPr>
          <w:ilvl w:val="0"/>
          <w:numId w:val="1"/>
        </w:numPr>
        <w:rPr>
          <w:rFonts w:ascii="Arial" w:cs="Arial" w:eastAsia="Arial" w:hAnsi="Arial"/>
          <w:sz w:val="9"/>
          <w:szCs w:val="9"/>
          <w:i w:val="1"/>
          <w:iCs w:val="1"/>
          <w:color w:val="auto"/>
        </w:rPr>
      </w:pPr>
      <w:r>
        <w:rPr>
          <w:rFonts w:ascii="Arial" w:cs="Arial" w:eastAsia="Arial" w:hAnsi="Arial"/>
          <w:sz w:val="13"/>
          <w:szCs w:val="13"/>
          <w:i w:val="1"/>
          <w:iCs w:val="1"/>
          <w:color w:val="auto"/>
        </w:rPr>
        <w:t>Includes the reclassification of $1.7 million of stranded income taxes on certain investments resulting from U.S. tax law changes enacted on December 22, 2017, from accumulated other comprehensive income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-290195</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80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separately managed accounts, subadvised funds, and other T. Rowe Price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Certain prior year amounts have been reclassified to conform to the 2019 presentation.</w:t>
      </w:r>
    </w:p>
    <w:p>
      <w:pPr>
        <w:spacing w:after="0" w:line="20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2018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adopted Accounting Standards Update No. 2016-02 — Leases (Topic 842) on January 1, 2019. The update required the recognition of right-of-use lease assets and liabilities on the balance sheet and the disclosure of qualitative and quantitative information about leasing arrangements. We adopted this standard using a modified retrospective approach without restating prior comparative periods. We also elected to use certain practical expedients that allowed us to not perform the following: (1) reassess whether expired or existing non-lease contracts that commenced before January 1, 2019 contained an embedded lease, (2) reevaluate the accounting classification of our existing operating leases, and (3) determine whether initial direct costs related to existing leases should be capitalized under this guidance. On January 1, 2019, we recognized operating lease assets totaling $168.7 million and corresponding operating lease liabilities of $168.7 million related primarily to our real estate leases. At implementation, we also reclassified $27.7 million in deferred rent liabilities related to these leases reducing the recognized operating lease assets to $ 141.0 million. The adoption did not have a material impact on our results of operations; however, the initial recognition of our operating lease assets and operating lease liabilities on January 1, 2019, represented a noncash investing activity that affected the amount reported in other changes in assets and liabilities our unaudited condensed consolidated statements of cash flows. Our leases accounting policy is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 Additional information on our operating leases is included in Note 6 -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August 2018, the FASB issued Accounting Standards Update No. 2018-15 — Intangibles—Goodwill and Other— Internal-Use Software (Subtopic 350-40): Customer’s Accounting for Implementation Costs Incurred in a Cloud Computing Arrangement That Is a Service Contract. This update provides additional guidance on the accounting for costs of implementation activities performed in a cloud computing arrangement that is a service contract. The amendments in this update are effective for fiscal years beginning after December 15, 2019, including interim periods within those fiscal years. Though early adoption is permitted, we expect to adopt this update on January 1, 2020. We are currently evaluating the impact this standard will have on our financial position and results of operations.</w:t>
      </w:r>
    </w:p>
    <w:p>
      <w:pPr>
        <w:spacing w:after="0" w:line="20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80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 believe that any such guidance has or will have a material effect on our financial position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review new arrangements at inception to evaluate whether we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but excludes any lease incentives and initial direct costs incurred.</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there is no rate implicit in any of our operating lease arrangements. Since we do not have any outstanding borrowings, we estimate our incremental borrowing rate based on our estimated credit rating and available market information. Additionally, certain of our leases contain options to extend or terminate the lease term that, if exercised, would result in the remeasurement of the operating lease liability.</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for our real estate operating leases to measure the lease liability by combining the lease and non-lease components as a single lease component. As such, we included the fixed payments and any payments that depend on a rate or index that relate to our lease and non-lease components in the measurement of the operating lease liability.</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lease expense on a straight-line basis over the lease term. Operating lease expense is recognized as part of technology, occupancy, and facility costs in our unaudited condensed consolidated statements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first quarter of 2019 and 2018 under agreements with clients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3"/>
                <w:szCs w:val="13"/>
                <w:b w:val="1"/>
                <w:bCs w:val="1"/>
                <w:color w:val="auto"/>
              </w:rPr>
              <w:t>Three months ended 3/31/2019</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Three months ended 3/31/2018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815.9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922.7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832.9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951.3</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356.3</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1,194.2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1,189.2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102.2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w:t>
            </w: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$1,093.4 and $1,100.6 million for the three months ended March 31, 2019 and 2018, respectively. Accounts receivable from these products aggregate to $391.3 million at March 31, 2019, and $354.8 million at December 31, 2018.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82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4"/>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47"/>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694.5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815.9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0"/>
        </w:trPr>
        <w:tc>
          <w:tcPr>
            <w:tcW w:w="9240" w:type="dxa"/>
            <w:vAlign w:val="bottom"/>
            <w:gridSpan w:val="7"/>
            <w:vMerge w:val="restart"/>
          </w:tcPr>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3/31/2018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12/31/2018</w:t>
            </w: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57"/>
        </w:trPr>
        <w:tc>
          <w:tcPr>
            <w:tcW w:w="69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1,043.5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1,025.5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6.4% and 6.2% of our assets under management at March 31, 2019, and December 31,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3/31/2019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1,538.4</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152.4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827" w:right="239" w:bottom="1440" w:gutter="0" w:footer="0" w:header="0"/>
          <w:type w:val="continuous"/>
        </w:sectPr>
      </w:pPr>
    </w:p>
    <w:bookmarkStart w:id="9" w:name="page10"/>
    <w:bookmarkEnd w:id="9"/>
    <w:p>
      <w:pPr>
        <w:ind w:right="220"/>
        <w:spacing w:after="0" w:line="256" w:lineRule="auto"/>
        <w:rPr>
          <w:sz w:val="20"/>
          <w:szCs w:val="20"/>
          <w:color w:val="auto"/>
        </w:rPr>
      </w:pPr>
      <w:r>
        <w:rPr>
          <w:rFonts w:ascii="Arial" w:cs="Arial" w:eastAsia="Arial" w:hAnsi="Arial"/>
          <w:sz w:val="18"/>
          <w:szCs w:val="18"/>
          <w:color w:val="auto"/>
        </w:rPr>
        <w:t>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During the three months ended March 31, 2019, net gains on investments included $ 50.6 million of net unrealized gains related to investments held at fair value that were still held at March 31, 2019. For the same period of 2018, the net losses on investments included $1.9 million of net unrealized losses on investments held at fair value that were still held at March 31, 2018.</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three months ended March 31, 2019 and 2018,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three months ended March 31, 2019 and 2018,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60325</wp:posOffset>
            </wp:positionV>
            <wp:extent cx="1680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 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Net decrease in liabilities of consolidated T. Rowe Price investment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r>
      <w:tr>
        <w:trPr>
          <w:trHeight w:val="284"/>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bl>
    <w:p>
      <w:pPr>
        <w:spacing w:after="0" w:line="2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investments at March 31, 2019 and December 31, 2018, include interests in variable interest entities that we do not consolidate as we are not deemed the primary beneficiary. Our maximum risk of loss related to our involvement with these entities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3/31/2019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78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143.3</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175.8</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unfunded capital commitments totaling $24.0 million and $27.3 million at March 31, 2019 and December 31, 2018, respectively, relate primarily to the investment partnerships in which we have an existing investment. In addition to such amounts, a percentage of prior distributions may be called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reflecting our own assumptions based on the best information available. We do not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827" w:right="239" w:bottom="1440" w:gutter="0" w:footer="0" w:header="0"/>
        </w:sectPr>
      </w:pPr>
    </w:p>
    <w:bookmarkStart w:id="10" w:name="page11"/>
    <w:bookmarkEnd w:id="10"/>
    <w:p>
      <w:pPr>
        <w:ind w:left="1460"/>
        <w:spacing w:after="0"/>
        <w:rPr>
          <w:sz w:val="20"/>
          <w:szCs w:val="20"/>
          <w:color w:val="auto"/>
        </w:rPr>
      </w:pPr>
      <w:r>
        <w:rPr>
          <w:rFonts w:ascii="Arial" w:cs="Arial" w:eastAsia="Arial" w:hAnsi="Arial"/>
          <w:sz w:val="18"/>
          <w:szCs w:val="18"/>
          <w:color w:val="auto"/>
        </w:rPr>
        <w:t>value any investments using Level 3 inputs.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3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3/31/2019</w:t>
            </w: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12/31/2018</w:t>
            </w:r>
          </w:p>
        </w:tc>
        <w:tc>
          <w:tcPr>
            <w:tcW w:w="820" w:type="dxa"/>
            <w:vAlign w:val="bottom"/>
            <w:tcBorders>
              <w:bottom w:val="single" w:sz="8" w:color="auto"/>
            </w:tcBorders>
            <w:shd w:val="clear" w:color="auto" w:fill="CCEEFF"/>
          </w:tcPr>
          <w:p>
            <w:pPr>
              <w:spacing w:after="0"/>
              <w:rPr>
                <w:sz w:val="22"/>
                <w:szCs w:val="22"/>
                <w:color w:val="auto"/>
              </w:rPr>
            </w:pP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1,398.3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1,964.1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1,900.5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3,362.4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3,096.5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required by the accounting guidance, the fair value hierarchy levels table above does not include the investment partnerships and other investments that are held at fair value using their NAV per share as a practical expedient. The carrying value of these investments as disclosed in Note 3 were $99.1 million at March 31, 2019 and $99.6 million at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175"/>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1,798.7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1,584.0</w:t>
            </w:r>
          </w:p>
        </w:tc>
      </w:tr>
      <w:tr>
        <w:trPr>
          <w:trHeight w:val="26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50"/>
        </w:trPr>
        <w:tc>
          <w:tcPr>
            <w:tcW w:w="4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1,680.4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1,579.5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1,369.9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1,641.7</w:t>
            </w:r>
          </w:p>
        </w:tc>
      </w:tr>
      <w:tr>
        <w:trPr>
          <w:trHeight w:val="305"/>
        </w:trPr>
        <w:tc>
          <w:tcPr>
            <w:tcW w:w="4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984.9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901.4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794.4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886.7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740.3</w:t>
            </w:r>
          </w:p>
        </w:tc>
      </w:tr>
      <w:tr>
        <w:trPr>
          <w:trHeight w:val="243"/>
        </w:trPr>
        <w:tc>
          <w:tcPr>
            <w:tcW w:w="46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1,579.5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1,871.6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8890</wp:posOffset>
            </wp:positionV>
            <wp:extent cx="43053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17"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Cash and cash equivalents includes $15.3 million and $18.5 million at March 31, 2019 and December 31, 2018, respectively, of T. Rowe Price money market mutual funds.</w:t>
      </w:r>
    </w:p>
    <w:p>
      <w:pPr>
        <w:ind w:left="140" w:hanging="132"/>
        <w:spacing w:after="0" w:line="224" w:lineRule="auto"/>
        <w:tabs>
          <w:tab w:leader="none" w:pos="140" w:val="left"/>
        </w:tabs>
        <w:numPr>
          <w:ilvl w:val="0"/>
          <w:numId w:val="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includes $42.1 million and $43.8 million at March 31, 2019 and December 31, 2018, respectively, of T. Rowe Price investment products.</w:t>
      </w:r>
    </w:p>
    <w:p>
      <w:pPr>
        <w:spacing w:after="0" w:line="20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827" w:right="239" w:bottom="1440" w:gutter="0" w:footer="0" w:header="0"/>
        </w:sectPr>
      </w:pPr>
    </w:p>
    <w:bookmarkStart w:id="11" w:name="page12"/>
    <w:bookmarkEnd w:id="11"/>
    <w:p>
      <w:pPr>
        <w:ind w:right="360"/>
        <w:spacing w:after="0" w:line="262" w:lineRule="auto"/>
        <w:rPr>
          <w:sz w:val="20"/>
          <w:szCs w:val="20"/>
          <w:color w:val="auto"/>
        </w:rPr>
      </w:pPr>
      <w:r>
        <w:rPr>
          <w:rFonts w:ascii="Arial" w:cs="Arial" w:eastAsia="Arial" w:hAnsi="Arial"/>
          <w:sz w:val="18"/>
          <w:szCs w:val="18"/>
          <w:color w:val="auto"/>
        </w:rPr>
        <w:t>investments held by these products in our unaudited condensed consolidated statements of income, and disclose the portion attributable to third party investors as net income attributable to redeemable non-controlling interests.</w:t>
      </w:r>
    </w:p>
    <w:p>
      <w:pPr>
        <w:spacing w:after="0" w:line="196"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operating results of the consolidated T. Rowe Price investment products for the three months ended March 31, 2019 and 2018 are reflected in our unaudited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64"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(loss) reflected in non-operating</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305"/>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r>
      <w:tr>
        <w:trPr>
          <w:trHeight w:val="250"/>
        </w:trPr>
        <w:tc>
          <w:tcPr>
            <w:tcW w:w="46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$1.5 million and $1.7 million for the three months ended March 31, 2019 and 2018, respectively, against the investment advisory and administrative fees earned from these products. The net investment income reflected in non-operating income includes dividend and interest income and realized and unrealized gains and losses on the underlying securities held by the consolidated T. Rowe Price investment products.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6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 consolidated</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net cash provided by financing activities during the three months ended March 31, 2019 and 2018 includes $37.8 million and $25.1 million, respectively, of net subscriptions we made into the consolidated T. Rowe Price investment products, net of dividends received. These cash flows were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82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100" w:hanging="72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9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3/31/2019</w:t>
            </w: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gridSpan w:val="4"/>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12/31/2018</w:t>
            </w:r>
          </w:p>
        </w:tc>
      </w:tr>
      <w:tr>
        <w:trPr>
          <w:trHeight w:val="264"/>
        </w:trPr>
        <w:tc>
          <w:tcPr>
            <w:tcW w:w="69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Level 2</w:t>
            </w:r>
          </w:p>
        </w:tc>
      </w:tr>
      <w:tr>
        <w:trPr>
          <w:trHeight w:val="270"/>
        </w:trPr>
        <w:tc>
          <w:tcPr>
            <w:tcW w:w="6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3"/>
        </w:trPr>
        <w:tc>
          <w:tcPr>
            <w:tcW w:w="692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483.5</w:t>
            </w:r>
          </w:p>
        </w:tc>
      </w:tr>
      <w:tr>
        <w:trPr>
          <w:trHeight w:val="263"/>
        </w:trPr>
        <w:tc>
          <w:tcPr>
            <w:tcW w:w="692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890.2</w:t>
            </w:r>
          </w:p>
        </w:tc>
      </w:tr>
      <w:tr>
        <w:trPr>
          <w:trHeight w:val="27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90"/>
        </w:trPr>
        <w:tc>
          <w:tcPr>
            <w:tcW w:w="6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1,392.7</w:t>
            </w:r>
          </w:p>
        </w:tc>
      </w:tr>
      <w:tr>
        <w:trPr>
          <w:trHeight w:val="284"/>
        </w:trPr>
        <w:tc>
          <w:tcPr>
            <w:tcW w:w="6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As of March 31, 2019, the weighted-average remaining lease term on these leases is approximately seven years and the weighted-average discount rate used to measure the lease liabilities is approximately 3.5%.</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lease expense for the three months ended March 31, 2019 and 2018, was $7.3 million and $8.1 million, respectively. Charges related to our operating leases that are variable and therefore not included in the measurement of the lease liabilities were $2.2 million for the three months ended March 31, 2019.</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made lease payments of $9.9 million during the three months ended March 31, 2019. Our future undiscounted cash flows related to our operating leases and the reconciliation to the operating lease liability as of March 31, 2019,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3/31/2019</w:t>
            </w:r>
          </w:p>
        </w:tc>
      </w:tr>
      <w:tr>
        <w:trPr>
          <w:trHeight w:val="246"/>
        </w:trPr>
        <w:tc>
          <w:tcPr>
            <w:tcW w:w="10160" w:type="dxa"/>
            <w:vAlign w:val="bottom"/>
          </w:tcPr>
          <w:p>
            <w:pPr>
              <w:ind w:left="180"/>
              <w:spacing w:after="0"/>
              <w:rPr>
                <w:sz w:val="20"/>
                <w:szCs w:val="20"/>
                <w:color w:val="auto"/>
              </w:rPr>
            </w:pPr>
            <w:r>
              <w:rPr>
                <w:rFonts w:ascii="Arial" w:cs="Arial" w:eastAsia="Arial" w:hAnsi="Arial"/>
                <w:sz w:val="18"/>
                <w:szCs w:val="18"/>
                <w:color w:val="auto"/>
              </w:rPr>
              <w:t>2019 (excluding the first quarter ended March 31,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21.6</w:t>
            </w:r>
          </w:p>
        </w:tc>
      </w:tr>
      <w:tr>
        <w:trPr>
          <w:trHeight w:val="263"/>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50"/>
        </w:trPr>
        <w:tc>
          <w:tcPr>
            <w:tcW w:w="10160" w:type="dxa"/>
            <w:vAlign w:val="bottom"/>
          </w:tcPr>
          <w:p>
            <w:pPr>
              <w:ind w:left="1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26.7</w:t>
            </w:r>
          </w:p>
        </w:tc>
      </w:tr>
      <w:tr>
        <w:trPr>
          <w:trHeight w:val="263"/>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r>
      <w:tr>
        <w:trPr>
          <w:trHeight w:val="250"/>
        </w:trPr>
        <w:tc>
          <w:tcPr>
            <w:tcW w:w="10160" w:type="dxa"/>
            <w:vAlign w:val="bottom"/>
          </w:tcPr>
          <w:p>
            <w:pPr>
              <w:ind w:left="18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57"/>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r>
      <w:tr>
        <w:trPr>
          <w:trHeight w:val="250"/>
        </w:trPr>
        <w:tc>
          <w:tcPr>
            <w:tcW w:w="10160" w:type="dxa"/>
            <w:vAlign w:val="bottom"/>
          </w:tcPr>
          <w:p>
            <w:pPr>
              <w:ind w:left="180"/>
              <w:spacing w:after="0"/>
              <w:rPr>
                <w:sz w:val="20"/>
                <w:szCs w:val="20"/>
                <w:color w:val="auto"/>
              </w:rPr>
            </w:pPr>
            <w:r>
              <w:rPr>
                <w:rFonts w:ascii="Arial" w:cs="Arial" w:eastAsia="Arial" w:hAnsi="Arial"/>
                <w:sz w:val="18"/>
                <w:szCs w:val="18"/>
                <w:color w:val="auto"/>
              </w:rPr>
              <w:t>Total future undiscounted cash flows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183.3</w:t>
            </w:r>
          </w:p>
        </w:tc>
      </w:tr>
      <w:tr>
        <w:trPr>
          <w:trHeight w:val="257"/>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 to be recognized in lease expense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57"/>
        </w:trPr>
        <w:tc>
          <w:tcPr>
            <w:tcW w:w="10160" w:type="dxa"/>
            <w:vAlign w:val="bottom"/>
          </w:tcPr>
          <w:p>
            <w:pPr>
              <w:ind w:left="180"/>
              <w:spacing w:after="0"/>
              <w:rPr>
                <w:sz w:val="20"/>
                <w:szCs w:val="20"/>
                <w:color w:val="auto"/>
              </w:rPr>
            </w:pPr>
            <w:r>
              <w:rPr>
                <w:rFonts w:ascii="Arial" w:cs="Arial" w:eastAsia="Arial" w:hAnsi="Arial"/>
                <w:sz w:val="18"/>
                <w:szCs w:val="18"/>
                <w:color w:val="auto"/>
              </w:rPr>
              <w:t>Operating lease liabilities, as reported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161.9</w:t>
            </w:r>
          </w:p>
        </w:tc>
      </w:tr>
      <w:tr>
        <w:trPr>
          <w:trHeight w:val="20"/>
        </w:trPr>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80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 STOCKHOLDERS’ EQUITY.</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Accounts payable and accrued expenses includes liabilities of $8.0 million at March 31, 2019, and $9.2 million at December 31, 2018, for common stock repurchases that settled during the first week of April 2019 and January 2019,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three months ended March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85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price</w:t>
            </w:r>
          </w:p>
        </w:tc>
      </w:tr>
      <w:tr>
        <w:trPr>
          <w:trHeight w:val="249"/>
        </w:trPr>
        <w:tc>
          <w:tcPr>
            <w:tcW w:w="858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11,300,393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69.05</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(972,655)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60.26</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(65,534)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76.57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59.07</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2019</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10,254,397</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69.84</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8,272,310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68.24</w:t>
            </w:r>
          </w:p>
        </w:tc>
      </w:tr>
      <w:tr>
        <w:trPr>
          <w:trHeight w:val="20"/>
        </w:trPr>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three months ended March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4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2018</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136,964</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6,603,920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87.07</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20,307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92.37</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(26,129)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99.36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(212,992)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87.99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March 31, 2019</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131,636</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6,385,106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87.01</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Nonvested at March 31, 2019, includes 2,400 performance-based restricted shares and 450,727 performance-based restricted stock units. These nonvested performance-based restricted shares and units include 2,400 restricted shares and 289,906 restricted stock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80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March 31, 2019.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05" w:right="239" w:bottom="1440" w:gutter="0" w:footer="0" w:header="0"/>
        </w:sect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Second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Third quarter 2019</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Fourth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 through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83" w:hanging="783"/>
        <w:spacing w:after="0"/>
        <w:tabs>
          <w:tab w:leader="none" w:pos="783" w:val="left"/>
        </w:tabs>
        <w:numPr>
          <w:ilvl w:val="0"/>
          <w:numId w:val="3"/>
        </w:numPr>
        <w:rPr>
          <w:rFonts w:ascii="Arial" w:cs="Arial" w:eastAsia="Arial" w:hAnsi="Arial"/>
          <w:sz w:val="18"/>
          <w:szCs w:val="18"/>
          <w:color w:val="auto"/>
        </w:rPr>
      </w:pPr>
      <w:r>
        <w:rPr>
          <w:rFonts w:ascii="Arial" w:cs="Arial" w:eastAsia="Arial" w:hAnsi="Arial"/>
          <w:sz w:val="18"/>
          <w:szCs w:val="18"/>
          <w:color w:val="auto"/>
        </w:rPr>
        <w:t>49.0</w:t>
      </w:r>
    </w:p>
    <w:p>
      <w:pPr>
        <w:spacing w:after="0" w:line="49" w:lineRule="exact"/>
        <w:rPr>
          <w:rFonts w:ascii="Arial" w:cs="Arial" w:eastAsia="Arial" w:hAnsi="Arial"/>
          <w:sz w:val="18"/>
          <w:szCs w:val="18"/>
          <w:color w:val="auto"/>
        </w:rPr>
      </w:pPr>
    </w:p>
    <w:p>
      <w:pPr>
        <w:ind w:left="783"/>
        <w:spacing w:after="0"/>
        <w:rPr>
          <w:rFonts w:ascii="Arial" w:cs="Arial" w:eastAsia="Arial" w:hAnsi="Arial"/>
          <w:sz w:val="18"/>
          <w:szCs w:val="18"/>
          <w:color w:val="auto"/>
        </w:rPr>
      </w:pPr>
      <w:r>
        <w:rPr>
          <w:rFonts w:ascii="Arial" w:cs="Arial" w:eastAsia="Arial" w:hAnsi="Arial"/>
          <w:sz w:val="18"/>
          <w:szCs w:val="18"/>
          <w:color w:val="auto"/>
        </w:rPr>
        <w:t>48.9</w:t>
      </w:r>
    </w:p>
    <w:p>
      <w:pPr>
        <w:spacing w:after="0" w:line="49" w:lineRule="exact"/>
        <w:rPr>
          <w:rFonts w:ascii="Arial" w:cs="Arial" w:eastAsia="Arial" w:hAnsi="Arial"/>
          <w:sz w:val="18"/>
          <w:szCs w:val="18"/>
          <w:color w:val="auto"/>
        </w:rPr>
      </w:pPr>
    </w:p>
    <w:p>
      <w:pPr>
        <w:ind w:left="783"/>
        <w:spacing w:after="0"/>
        <w:rPr>
          <w:rFonts w:ascii="Arial" w:cs="Arial" w:eastAsia="Arial" w:hAnsi="Arial"/>
          <w:sz w:val="18"/>
          <w:szCs w:val="18"/>
          <w:color w:val="auto"/>
        </w:rPr>
      </w:pPr>
      <w:r>
        <w:rPr>
          <w:rFonts w:ascii="Arial" w:cs="Arial" w:eastAsia="Arial" w:hAnsi="Arial"/>
          <w:sz w:val="18"/>
          <w:szCs w:val="18"/>
          <w:color w:val="auto"/>
        </w:rPr>
        <w:t>43.8</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104.6</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83.2</w:t>
      </w:r>
    </w:p>
    <w:p>
      <w:pPr>
        <w:spacing w:after="0" w:line="63" w:lineRule="exact"/>
        <w:rPr>
          <w:sz w:val="20"/>
          <w:szCs w:val="20"/>
          <w:color w:val="auto"/>
        </w:rPr>
      </w:pPr>
    </w:p>
    <w:p>
      <w:pPr>
        <w:ind w:left="683" w:hanging="683"/>
        <w:spacing w:after="0"/>
        <w:tabs>
          <w:tab w:leader="none" w:pos="683" w:val="left"/>
        </w:tabs>
        <w:numPr>
          <w:ilvl w:val="0"/>
          <w:numId w:val="4"/>
        </w:numPr>
        <w:rPr>
          <w:rFonts w:ascii="Arial" w:cs="Arial" w:eastAsia="Arial" w:hAnsi="Arial"/>
          <w:sz w:val="18"/>
          <w:szCs w:val="18"/>
          <w:color w:val="auto"/>
        </w:rPr>
      </w:pPr>
      <w:r>
        <w:rPr>
          <w:rFonts w:ascii="Arial" w:cs="Arial" w:eastAsia="Arial" w:hAnsi="Arial"/>
          <w:sz w:val="18"/>
          <w:szCs w:val="18"/>
          <w:color w:val="auto"/>
        </w:rPr>
        <w:t>329.5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805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457" w:space="720"/>
            <w:col w:w="1243"/>
          </w:cols>
          <w:pgMar w:left="240" w:top="805"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 CALCULATIONS.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gridSpan w:val="4"/>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512.6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453.7</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443.1</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7"/>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244.3</w:t>
            </w:r>
          </w:p>
        </w:tc>
      </w:tr>
      <w:tr>
        <w:trPr>
          <w:trHeight w:val="237"/>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249.8</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INCOME.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gridSpan w:val="4"/>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3/31/2018</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5"/>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recognized in the provision for income taxes upon deconsolidation of a T. Rowe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4"/>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investment product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805" w:right="239" w:bottom="1440" w:gutter="0" w:footer="0" w:header="0"/>
          <w:type w:val="continuous"/>
        </w:sectPr>
      </w:pPr>
    </w:p>
    <w:bookmarkStart w:id="15" w:name="page16"/>
    <w:bookmarkEnd w:id="15"/>
    <w:p>
      <w:pPr>
        <w:ind w:right="600"/>
        <w:spacing w:after="0" w:line="262"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three months ended March 31, 2019 and 2018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2555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2018</w:t>
            </w:r>
          </w:p>
        </w:tc>
        <w:tc>
          <w:tcPr>
            <w:tcW w:w="14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09"/>
        </w:trPr>
        <w:tc>
          <w:tcPr>
            <w:tcW w:w="464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0"/>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2019</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8"/>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64"/>
        </w:trPr>
        <w:tc>
          <w:tcPr>
            <w:tcW w:w="4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20" w:type="dxa"/>
            <w:vAlign w:val="bottom"/>
            <w:gridSpan w:val="8"/>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Currency translation adjustments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175"/>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holding gains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 of unrealized holding gains to retained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0"/>
        </w:trPr>
        <w:tc>
          <w:tcPr>
            <w:tcW w:w="4640" w:type="dxa"/>
            <w:vAlign w:val="bottom"/>
          </w:tcPr>
          <w:p>
            <w:pPr>
              <w:ind w:left="40"/>
              <w:spacing w:after="0" w:line="201" w:lineRule="exact"/>
              <w:rPr>
                <w:sz w:val="20"/>
                <w:szCs w:val="20"/>
                <w:color w:val="auto"/>
              </w:rPr>
            </w:pPr>
            <w:r>
              <w:rPr>
                <w:rFonts w:ascii="Arial" w:cs="Arial" w:eastAsia="Arial" w:hAnsi="Arial"/>
                <w:sz w:val="18"/>
                <w:szCs w:val="18"/>
                <w:color w:val="auto"/>
              </w:rPr>
              <w:t>earnings upon adoption of new financial instruments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3"/>
        </w:trPr>
        <w:tc>
          <w:tcPr>
            <w:tcW w:w="4640" w:type="dxa"/>
            <w:vAlign w:val="bottom"/>
          </w:tcPr>
          <w:p>
            <w:pPr>
              <w:ind w:left="40"/>
              <w:spacing w:after="0" w:line="233" w:lineRule="exact"/>
              <w:rPr>
                <w:sz w:val="20"/>
                <w:szCs w:val="20"/>
                <w:color w:val="auto"/>
              </w:rPr>
            </w:pPr>
            <w:r>
              <w:rPr>
                <w:rFonts w:ascii="Arial" w:cs="Arial" w:eastAsia="Arial" w:hAnsi="Arial"/>
                <w:sz w:val="18"/>
                <w:szCs w:val="18"/>
                <w:color w:val="auto"/>
              </w:rPr>
              <w:t>guidance</w:t>
            </w:r>
            <w:r>
              <w:rPr>
                <w:rFonts w:ascii="Arial" w:cs="Arial" w:eastAsia="Arial" w:hAnsi="Arial"/>
                <w:sz w:val="21"/>
                <w:szCs w:val="21"/>
                <w:color w:val="auto"/>
                <w:vertAlign w:val="superscript"/>
              </w:rPr>
              <w:t>(1)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of stranded tax benefits 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3"/>
        </w:trPr>
        <w:tc>
          <w:tcPr>
            <w:tcW w:w="4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currency translation adjustments upon adoption of new</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guidance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4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income taxes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Balances at March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0</wp:posOffset>
            </wp:positionV>
            <wp:extent cx="430530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38" w:lineRule="exact"/>
        <w:rPr>
          <w:sz w:val="20"/>
          <w:szCs w:val="20"/>
          <w:color w:val="auto"/>
        </w:rPr>
      </w:pPr>
    </w:p>
    <w:p>
      <w:pPr>
        <w:ind w:left="180" w:right="700" w:hanging="172"/>
        <w:spacing w:after="0" w:line="233" w:lineRule="auto"/>
        <w:tabs>
          <w:tab w:leader="none" w:pos="190" w:val="left"/>
        </w:tabs>
        <w:numPr>
          <w:ilvl w:val="0"/>
          <w:numId w:val="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the reclassification of $1.7 million of stranded income taxes on certain investments resulting from U.S. tax law changes enacted on December 22, 2017, from accumulated other comprehensive income to retained earnings.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16</w:t>
      </w:r>
    </w:p>
    <w:p>
      <w:pPr>
        <w:sectPr>
          <w:pgSz w:w="11900" w:h="16838" w:orient="portrait"/>
          <w:cols w:equalWidth="0" w:num="1">
            <w:col w:w="11420"/>
          </w:cols>
          <w:pgMar w:left="240" w:top="827" w:right="239" w:bottom="1440" w:gutter="0" w:footer="0" w:header="0"/>
          <w:type w:val="continuous"/>
        </w:sectPr>
      </w:pPr>
    </w:p>
    <w:bookmarkStart w:id="16" w:name="page17"/>
    <w:bookmarkEnd w:id="16"/>
    <w:p>
      <w:pPr>
        <w:ind w:right="4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5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82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2019, the related condensed consolidated statements of income, comprehensive income, stockholders’ equity, and cash flows for the three-month periods ended March 31, 2019 and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2018, and the related consolidated statements of income, comprehensive income, changes in stockholders’ equity, and cash flows for the year then ended (not presented herein); and in our report dated February 13, 2019, we expressed an unqualified opinion on those consolidated financial statements. In our opinion, the information set forth in the accompanying condensed consolidated balance sheet as of December 31, 2018, is fairly stated, in all material respects, in relation to the consolidated balance sheet from which it has been derived.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60"/>
          </w:cols>
          <w:pgMar w:left="240" w:top="827"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separately managed accounts, subadvised funds, and other T. Rowe Price products. The other T. Rowe Price products include: collective investment trusts, open-ended investment products offered to investors outside the U.S., and products offered through variable annuity life insurance plans in the U.S.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to advance our strategic priorities to sustain and deepen our investment talent, add investment capabilities both in terms of new strategies and new investment vehicles, expand capabilities through enhanced technology, and broaden our distribution reach globally.</w:t>
      </w:r>
    </w:p>
    <w:p>
      <w:pPr>
        <w:spacing w:after="0" w:line="20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currently expect our 2019 non-GAAP operating expenses to grow in the range of 4% to 7%. This expense growth range factors in continued investments in the business, our cost optimization efforts, and the phased implementation of paying for all third-party investment research. We currently expect all third-party investment research costs to be fully accounted for in our 2020 operating expenses. We could elect to adjust our expense growth should unforeseen circumstances arise, including significant market movements.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Major U.S. stock indexes surged in the first quarter of 2019, as the market rebounded from its late-December 2018 lows. The Federal Reserve paused its short-term interest rate hikes while central bank officials assess the economy and the effects of previous rate increases. Equities were also lifted by fourth-quarter corporate earnings reports that were generally better than expected, although earnings growth moderated from the robust pace of earlier in 2018. The end of the federal government’s partial shutdown in late January also removed a major source of uncertainty. In addition, investors were hopeful that the U.S. and China would soon reach a resolution to their year-long trade dispute.</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Stocks in developed non-U.S. equity markets performed well but underperformed U.S. shares in U.S. dollar terms. Japanese shares returned almost 7% for the quarter. UK shares surged nearly 12%, despite Brexit-related uncertainty.</w:t>
      </w:r>
    </w:p>
    <w:p>
      <w:pPr>
        <w:spacing w:after="0" w:line="1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Stocks in emerging markets performed approximately in line with developed non-U.S. markets. In Asia, Chinese stocks did very well, in part because of Chinese government stimulus efforts, expectations for an imminent U.S.-China trade deal, and MSCI’s plan to increase China’s representation in some of its indexes later this year. In emerging Europe, Russian stocks soared over 12% in U.S. dollar terms amid rising oil prices. In contrast, Turkish shares were extremely volatile and fell almost 3%. In Latin America, most markets advanced during the quarter. Stocks in regional heavyweight Brazil returned more than 8% amid expectations that the country’s new president would pursue business-friendly policies and pension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380"/>
          </w:cols>
          <w:pgMar w:left="240" w:top="805"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Returns of several major equity market indexes for the first quarter of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3/31/2019</w:t>
            </w:r>
          </w:p>
        </w:tc>
      </w:tr>
      <w:tr>
        <w:trPr>
          <w:trHeight w:val="249"/>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1480" w:type="dxa"/>
            <w:vAlign w:val="bottom"/>
          </w:tcPr>
          <w:p>
            <w:pPr>
              <w:jc w:val="center"/>
              <w:spacing w:after="0"/>
              <w:rPr>
                <w:sz w:val="20"/>
                <w:szCs w:val="20"/>
                <w:color w:val="auto"/>
              </w:rPr>
            </w:pPr>
            <w:r>
              <w:rPr>
                <w:rFonts w:ascii="Arial" w:cs="Arial" w:eastAsia="Arial" w:hAnsi="Arial"/>
                <w:sz w:val="18"/>
                <w:szCs w:val="18"/>
                <w:color w:val="auto"/>
              </w:rPr>
              <w:t>13.7%</w:t>
            </w:r>
          </w:p>
        </w:tc>
      </w:tr>
      <w:tr>
        <w:trPr>
          <w:trHeight w:val="27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16.5%</w:t>
            </w:r>
          </w:p>
        </w:tc>
      </w:tr>
      <w:tr>
        <w:trPr>
          <w:trHeight w:val="26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Russell 2000 Index</w:t>
            </w:r>
          </w:p>
        </w:tc>
        <w:tc>
          <w:tcPr>
            <w:tcW w:w="1480" w:type="dxa"/>
            <w:vAlign w:val="bottom"/>
          </w:tcPr>
          <w:p>
            <w:pPr>
              <w:jc w:val="center"/>
              <w:spacing w:after="0"/>
              <w:rPr>
                <w:sz w:val="20"/>
                <w:szCs w:val="20"/>
                <w:color w:val="auto"/>
              </w:rPr>
            </w:pPr>
            <w:r>
              <w:rPr>
                <w:rFonts w:ascii="Arial" w:cs="Arial" w:eastAsia="Arial" w:hAnsi="Arial"/>
                <w:sz w:val="18"/>
                <w:szCs w:val="18"/>
                <w:color w:val="auto"/>
              </w:rPr>
              <w:t>14.6%</w:t>
            </w:r>
          </w:p>
        </w:tc>
      </w:tr>
      <w:tr>
        <w:trPr>
          <w:trHeight w:val="27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10.1%</w:t>
            </w:r>
          </w:p>
        </w:tc>
      </w:tr>
      <w:tr>
        <w:trPr>
          <w:trHeight w:val="25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80" w:type="dxa"/>
            <w:vAlign w:val="bottom"/>
          </w:tcPr>
          <w:p>
            <w:pPr>
              <w:jc w:val="center"/>
              <w:spacing w:after="0"/>
              <w:rPr>
                <w:sz w:val="20"/>
                <w:szCs w:val="20"/>
                <w:color w:val="auto"/>
              </w:rPr>
            </w:pPr>
            <w:r>
              <w:rPr>
                <w:rFonts w:ascii="Arial" w:cs="Arial" w:eastAsia="Arial" w:hAnsi="Arial"/>
                <w:sz w:val="18"/>
                <w:szCs w:val="18"/>
                <w:color w:val="auto"/>
              </w:rPr>
              <w:t>10.0%</w:t>
            </w:r>
          </w:p>
        </w:tc>
      </w:tr>
    </w:tbl>
    <w:p>
      <w:pPr>
        <w:spacing w:after="0" w:line="4" w:lineRule="exact"/>
        <w:rPr>
          <w:sz w:val="20"/>
          <w:szCs w:val="20"/>
          <w:color w:val="auto"/>
        </w:rPr>
      </w:pPr>
    </w:p>
    <w:p>
      <w:pPr>
        <w:ind w:left="180" w:hanging="132"/>
        <w:spacing w:after="0"/>
        <w:tabs>
          <w:tab w:leader="none" w:pos="18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Global bond performance was positive, and U.S., bonds produced solid returns. The Federal Reserve kept short-term interest rates unchanged and indicated that it does not currently see the need for rate hikes in 2019, which helped send longer-term bond yields sharply lower. During the quarter, the 10-year Treasury note yield fell from 2.69% to 2.41%. In the investment-grade debt universe, long-term Treasuries and corporate bonds fared best. Mortgage-backed securities lagged, as falling long-term rates could lead to more mortgage prepayments and refinancing activity. Municipal bonds performed approximately in line with taxable bonds. High yield bonds easily outperformed investment-grade issues amid narrowing credit spreads and increased demand from yield-seeking investors.</w:t>
      </w:r>
    </w:p>
    <w:p>
      <w:pPr>
        <w:spacing w:after="0" w:line="20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Bond returns in developed non-U.S. markets were positive in dollar terms, as yields in many developed markets decreased due to global growth concerns and a number of major central banks turning more neutral. However, a stronger U.S. dollar versus some currencies reduced returns in terms of dollars.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Emerging markets bond returns were also positive as they benefited from major central banks moving away from monetary tightening. Dollar-denominated emerging markets debt easily outperformed local currency bonds from developing countries. The latter lagged as several key currencies depreciated versus the dollar.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first quarter of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3/31/2019</w:t>
            </w:r>
          </w:p>
        </w:tc>
      </w:tr>
      <w:tr>
        <w:trPr>
          <w:trHeight w:val="249"/>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2.9%</w:t>
            </w:r>
          </w:p>
        </w:tc>
      </w:tr>
      <w:tr>
        <w:trPr>
          <w:trHeight w:val="27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Global High Yield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7.1%</w:t>
            </w:r>
          </w:p>
        </w:tc>
      </w:tr>
      <w:tr>
        <w:trPr>
          <w:trHeight w:val="26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2.9%</w:t>
            </w:r>
          </w:p>
        </w:tc>
      </w:tr>
      <w:tr>
        <w:trPr>
          <w:trHeight w:val="27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w:t>
            </w:r>
          </w:p>
        </w:tc>
      </w:tr>
      <w:tr>
        <w:trPr>
          <w:trHeight w:val="25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6.2%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82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Assets under management ended the first quarter of 2019 at $1,081.7 billion, an increase of $119.4 billion from December 31, 2018. We had net cash inflows of $5.4 billion in the first quarter of 2019. The following table details changes in our assets under management, by vehicle and asset class during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6"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Three months ended 3/31/2019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26035</wp:posOffset>
            </wp:positionV>
            <wp:extent cx="3978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Subadvised and</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 investment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516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 mutual funds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separate accounts</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147.8</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962.3</w:t>
            </w:r>
          </w:p>
        </w:tc>
      </w:tr>
      <w:tr>
        <w:trPr>
          <w:trHeight w:val="176"/>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Client transfers</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113.7</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reinvested</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119.4</w:t>
            </w:r>
          </w:p>
        </w:tc>
      </w:tr>
      <w:tr>
        <w:trPr>
          <w:trHeight w:val="176"/>
        </w:trPr>
        <w:tc>
          <w:tcPr>
            <w:tcW w:w="5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Assets under management at March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1,081.7</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040" w:type="dxa"/>
            <w:vAlign w:val="bottom"/>
            <w:tcBorders>
              <w:bottom w:val="single" w:sz="8" w:color="auto"/>
            </w:tcBorders>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 3/31/2019</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175"/>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Fixed income,</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including money</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2"/>
        </w:trPr>
        <w:tc>
          <w:tcPr>
            <w:tcW w:w="516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Multi-asset</w:t>
            </w:r>
            <w:r>
              <w:rPr>
                <w:rFonts w:ascii="Arial" w:cs="Arial" w:eastAsia="Arial" w:hAnsi="Arial"/>
                <w:sz w:val="17"/>
                <w:szCs w:val="17"/>
                <w:b w:val="1"/>
                <w:bCs w:val="1"/>
                <w:color w:val="auto"/>
                <w:w w:val="98"/>
                <w:vertAlign w:val="superscript"/>
              </w:rPr>
              <w:t>(1)</w:t>
            </w: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44"/>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286.3</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962.3</w:t>
            </w:r>
          </w:p>
        </w:tc>
      </w:tr>
      <w:tr>
        <w:trPr>
          <w:trHeight w:val="176"/>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114.0</w:t>
            </w:r>
          </w:p>
        </w:tc>
      </w:tr>
      <w:tr>
        <w:trPr>
          <w:trHeight w:val="24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Assets under management at March 31, 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0</wp:posOffset>
            </wp:positionV>
            <wp:extent cx="39789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11" w:lineRule="exact"/>
        <w:rPr>
          <w:sz w:val="20"/>
          <w:szCs w:val="20"/>
          <w:color w:val="auto"/>
        </w:rPr>
      </w:pPr>
    </w:p>
    <w:p>
      <w:pPr>
        <w:ind w:left="180" w:right="340" w:hanging="172"/>
        <w:spacing w:after="0" w:line="227" w:lineRule="auto"/>
        <w:tabs>
          <w:tab w:leader="none" w:pos="153" w:val="left"/>
        </w:tabs>
        <w:numPr>
          <w:ilvl w:val="0"/>
          <w:numId w:val="7"/>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ind w:left="160" w:hanging="152"/>
        <w:spacing w:after="0" w:line="199" w:lineRule="auto"/>
        <w:tabs>
          <w:tab w:leader="none" w:pos="16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Reported net of distributions not reinvested.</w:t>
      </w:r>
    </w:p>
    <w:p>
      <w:pPr>
        <w:spacing w:after="0" w:line="147"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Investment advisory clients outside the U.S. account for about 6.4% of our assets under management at March 31, 2019 and 6.2% at December 31, 2018.</w:t>
      </w:r>
    </w:p>
    <w:p>
      <w:pPr>
        <w:spacing w:after="0" w:line="1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target date retirement products, which are included in the multi -asset totals shown above, continue to be a significant part of our assets under management. Assets under management in these portfolios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shd w:val="clear" w:color="auto" w:fill="CCEEFF"/>
          </w:tcPr>
          <w:p>
            <w:pPr>
              <w:spacing w:after="0"/>
              <w:rPr>
                <w:sz w:val="22"/>
                <w:szCs w:val="22"/>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12/31/2018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28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5.9</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79.7</w:t>
            </w:r>
          </w:p>
        </w:tc>
      </w:tr>
      <w:tr>
        <w:trPr>
          <w:trHeight w:val="237"/>
        </w:trPr>
        <w:tc>
          <w:tcPr>
            <w:tcW w:w="83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230.4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cash inflows into our target date retirement products were $3.0 billion in the first quarter of 2019. For the year-ended December 31, 2018, our target date retirement products had net inflows of $12.0 billion, as net outflows of $14.1 billion from the target date retirement U.S. mutual funds were more than offset by net inflows of $21.4 billion into the retirement trusts and $4.7 billion into separately managed retirement accounts.</w:t>
      </w:r>
    </w:p>
    <w:p>
      <w:pPr>
        <w:sectPr>
          <w:pgSz w:w="11900" w:h="16838" w:orient="portrait"/>
          <w:cols w:equalWidth="0" w:num="1">
            <w:col w:w="11420"/>
          </w:cols>
          <w:pgMar w:left="240" w:top="8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21</w:t>
      </w:r>
    </w:p>
    <w:p>
      <w:pPr>
        <w:sectPr>
          <w:pgSz w:w="11900" w:h="16838" w:orient="portrait"/>
          <w:cols w:equalWidth="0" w:num="1">
            <w:col w:w="11420"/>
          </w:cols>
          <w:pgMar w:left="240" w:top="80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1"/>
          <w:szCs w:val="21"/>
          <w:b w:val="1"/>
          <w:bCs w:val="1"/>
          <w:i w:val="1"/>
          <w:iCs w:val="1"/>
          <w:color w:val="auto"/>
          <w:vertAlign w:val="superscript"/>
        </w:rPr>
        <w:t>(1)</w:t>
      </w:r>
    </w:p>
    <w:p>
      <w:pPr>
        <w:spacing w:after="0" w:line="21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March 31, 2019,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54"/>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82%</w:t>
            </w:r>
          </w:p>
        </w:tc>
      </w:tr>
      <w:tr>
        <w:trPr>
          <w:trHeight w:val="260"/>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88%</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72"/>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w:t>
            </w:r>
          </w:p>
        </w:tc>
      </w:tr>
      <w:tr>
        <w:trPr>
          <w:trHeight w:val="251"/>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spacing w:after="0" w:line="2" w:lineRule="exact"/>
        <w:rPr>
          <w:sz w:val="20"/>
          <w:szCs w:val="20"/>
          <w:color w:val="auto"/>
        </w:rPr>
      </w:pPr>
    </w:p>
    <w:p>
      <w:pPr>
        <w:jc w:val="both"/>
        <w:ind w:left="180" w:right="200" w:hanging="172"/>
        <w:spacing w:after="0" w:line="244" w:lineRule="auto"/>
        <w:tabs>
          <w:tab w:leader="none" w:pos="153" w:val="left"/>
        </w:tabs>
        <w:numPr>
          <w:ilvl w:val="0"/>
          <w:numId w:val="8"/>
        </w:numPr>
        <w:rPr>
          <w:rFonts w:ascii="Arial" w:cs="Arial" w:eastAsia="Arial" w:hAnsi="Arial"/>
          <w:sz w:val="9"/>
          <w:szCs w:val="9"/>
          <w:b w:val="1"/>
          <w:bCs w:val="1"/>
          <w:i w:val="1"/>
          <w:iCs w:val="1"/>
          <w:color w:val="auto"/>
        </w:rPr>
      </w:pPr>
      <w:r>
        <w:rPr>
          <w:rFonts w:ascii="Arial" w:cs="Arial" w:eastAsia="Arial" w:hAnsi="Arial"/>
          <w:sz w:val="13"/>
          <w:szCs w:val="13"/>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1" w:lineRule="exact"/>
        <w:rPr>
          <w:rFonts w:ascii="Arial" w:cs="Arial" w:eastAsia="Arial" w:hAnsi="Arial"/>
          <w:sz w:val="9"/>
          <w:szCs w:val="9"/>
          <w:b w:val="1"/>
          <w:bCs w:val="1"/>
          <w:i w:val="1"/>
          <w:iCs w:val="1"/>
          <w:color w:val="auto"/>
        </w:rPr>
      </w:pPr>
    </w:p>
    <w:p>
      <w:pPr>
        <w:ind w:left="160" w:hanging="152"/>
        <w:spacing w:after="0"/>
        <w:tabs>
          <w:tab w:leader="none" w:pos="160" w:val="left"/>
        </w:tabs>
        <w:numPr>
          <w:ilvl w:val="0"/>
          <w:numId w:val="8"/>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220"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addition, 85.5% of our rated U.S. mutual funds' assets under management ended the quarter with an overall rating of four or five stars from Morningstar. The performance of our institutional strategies against their benchmarks remains competitive, especially over longer time periods.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months ended March 31, 2019 and 2018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Beginning in the second quarter of 2018, our non-GAAP adjustments no longer include non-operating income related to our cash and discretionary investments not consolidated. We believe the non-GAAP financial measures below provide relevant and meaningful information to investors about our core operating results.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80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52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540" w:type="dxa"/>
            <w:vAlign w:val="bottom"/>
            <w:gridSpan w:val="3"/>
            <w:shd w:val="clear" w:color="auto" w:fill="CCEEFF"/>
          </w:tcPr>
          <w:p>
            <w:pPr>
              <w:jc w:val="right"/>
              <w:ind w:right="591"/>
              <w:spacing w:after="0"/>
              <w:rPr>
                <w:sz w:val="20"/>
                <w:szCs w:val="20"/>
                <w:color w:val="auto"/>
              </w:rPr>
            </w:pPr>
            <w:r>
              <w:rPr>
                <w:rFonts w:ascii="Arial" w:cs="Arial" w:eastAsia="Arial" w:hAnsi="Arial"/>
                <w:sz w:val="14"/>
                <w:szCs w:val="14"/>
                <w:b w:val="1"/>
                <w:bCs w:val="1"/>
                <w:color w:val="auto"/>
              </w:rPr>
              <w:t>Q1 2019 vs. Q1 2018</w:t>
            </w:r>
          </w:p>
        </w:tc>
      </w:tr>
      <w:tr>
        <w:trPr>
          <w:trHeight w:val="264"/>
        </w:trPr>
        <w:tc>
          <w:tcPr>
            <w:tcW w:w="5900" w:type="dxa"/>
            <w:vAlign w:val="bottom"/>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3/31/2018</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8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9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U.S. GAAP basis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r>
      <w:tr>
        <w:trPr>
          <w:trHeight w:val="263"/>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7"/>
        </w:trPr>
        <w:tc>
          <w:tcPr>
            <w:tcW w:w="5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77"/>
        </w:trPr>
        <w:tc>
          <w:tcPr>
            <w:tcW w:w="5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3"/>
                <w:szCs w:val="23"/>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0"/>
        </w:trPr>
        <w:tc>
          <w:tcPr>
            <w:tcW w:w="5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63"/>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18.1 %</w:t>
            </w:r>
          </w:p>
        </w:tc>
      </w:tr>
      <w:tr>
        <w:trPr>
          <w:trHeight w:val="277"/>
        </w:trPr>
        <w:tc>
          <w:tcPr>
            <w:tcW w:w="5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5900" w:type="dxa"/>
            <w:vAlign w:val="bottom"/>
            <w:gridSpan w:val="5"/>
            <w:shd w:val="clear" w:color="auto" w:fill="CCEEFF"/>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r>
      <w:tr>
        <w:trPr>
          <w:trHeight w:val="263"/>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7"/>
        </w:trPr>
        <w:tc>
          <w:tcPr>
            <w:tcW w:w="5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63"/>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33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16"/>
        </w:trPr>
        <w:tc>
          <w:tcPr>
            <w:tcW w:w="5900" w:type="dxa"/>
            <w:vAlign w:val="bottom"/>
            <w:gridSpan w:val="5"/>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57"/>
        </w:trPr>
        <w:tc>
          <w:tcPr>
            <w:tcW w:w="590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6.7 %</w:t>
            </w:r>
          </w:p>
        </w:tc>
      </w:tr>
    </w:tbl>
    <w:p>
      <w:pPr>
        <w:ind w:left="140" w:hanging="132"/>
        <w:spacing w:after="0" w:line="235"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the first quarter of 2019 increased over the comparable 2018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as average assets under our management increased $18.0 billion, or 1.8%, to $1,043.5 billion. The average annualized effective fee rate earned on our assets under management during the first quarter of 2019 was 46.4 basis points, compared with 47.0 basis points earned during the first quarter of 2018. Our effective fee rate has declined due to client transfers within the complex to lower fee vehicles or share classes over the last twelve months and, to a lesser extent, fee reductions we made to certain mutual funds and other products during 2018. We regularly assess the competitiveness of our investment advisory fees and will continue to make adjustments as deemed appropriate.</w:t>
      </w:r>
    </w:p>
    <w:p>
      <w:pPr>
        <w:spacing w:after="0" w:line="1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$794.8 million in the first quarter of 2019 compared with $744.2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in operating expenses for the first quarter of 2019 was primarily due to our continued strategic investments, as well as higher compensation expense related to the supplemental savings plan as markets rebounded strongly in the first quarter of 2019. The higher expense related to the supplemental savings plan is partially offset by the non-operating gains earned on the investments used to hedge the related liability. On a non-GAAP basis, our operating expenses in the first quarter of 2019 increased 2.1% to $756.6 million compared to the 2018 quarter. Our non-GAAP operating expenses excludes the first quarter of 2019 impact of our supplemental savings plan. See our non-GAAP reconciliations later in this Management’s Discussion and Analysis section.</w:t>
      </w:r>
    </w:p>
    <w:p>
      <w:pPr>
        <w:spacing w:after="0" w:line="18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first quarter of 2019 was 40.1%, compared to 44.0% earned in the 2018 quarter.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due to the higher compensation expense related to our supplemental savings plan as markets in the first quarter of 2019 outperformed the same quarter in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96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0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920" w:type="dxa"/>
            <w:vAlign w:val="bottom"/>
            <w:gridSpan w:val="3"/>
            <w:shd w:val="clear" w:color="auto" w:fill="CCEEFF"/>
          </w:tcPr>
          <w:p>
            <w:pPr>
              <w:jc w:val="right"/>
              <w:ind w:right="792"/>
              <w:spacing w:after="0"/>
              <w:rPr>
                <w:sz w:val="20"/>
                <w:szCs w:val="20"/>
                <w:color w:val="auto"/>
              </w:rPr>
            </w:pPr>
            <w:r>
              <w:rPr>
                <w:rFonts w:ascii="Arial" w:cs="Arial" w:eastAsia="Arial" w:hAnsi="Arial"/>
                <w:sz w:val="14"/>
                <w:szCs w:val="14"/>
                <w:b w:val="1"/>
                <w:bCs w:val="1"/>
                <w:color w:val="auto"/>
              </w:rPr>
              <w:t>Q1 2019 vs. Q1 2018</w:t>
            </w:r>
          </w:p>
        </w:tc>
      </w:tr>
      <w:tr>
        <w:trPr>
          <w:trHeight w:val="264"/>
        </w:trPr>
        <w:tc>
          <w:tcPr>
            <w:tcW w:w="50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3/31/2018</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r>
      <w:tr>
        <w:trPr>
          <w:trHeight w:val="270"/>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advisory fees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r>
      <w:tr>
        <w:trPr>
          <w:trHeight w:val="263"/>
        </w:trPr>
        <w:tc>
          <w:tcPr>
            <w:tcW w:w="5060" w:type="dxa"/>
            <w:vAlign w:val="bottom"/>
          </w:tcPr>
          <w:p>
            <w:pPr>
              <w:ind w:left="180"/>
              <w:spacing w:after="0"/>
              <w:rPr>
                <w:sz w:val="20"/>
                <w:szCs w:val="20"/>
                <w:color w:val="auto"/>
              </w:rPr>
            </w:pPr>
            <w:r>
              <w:rPr>
                <w:rFonts w:ascii="Arial" w:cs="Arial" w:eastAsia="Arial" w:hAnsi="Arial"/>
                <w:sz w:val="18"/>
                <w:szCs w:val="18"/>
                <w:color w:val="auto"/>
              </w:rPr>
              <w:t>U.S. mutual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832.9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5"/>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Subadvised and separate accounts and other investment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4"/>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50"/>
        </w:trPr>
        <w:tc>
          <w:tcPr>
            <w:tcW w:w="5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1,194.2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Administrative, distribution, and servicing fees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3"/>
        </w:trPr>
        <w:tc>
          <w:tcPr>
            <w:tcW w:w="506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50"/>
        </w:trPr>
        <w:tc>
          <w:tcPr>
            <w:tcW w:w="5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 based on fluctuations in financial markets and net cash flows. As our average assets under management increase or decrease in a given period, the level of our investment advisory fee revenue for that same period generally fluctuates in a similar manner.</w:t>
      </w:r>
    </w:p>
    <w:p>
      <w:pPr>
        <w:spacing w:after="0" w:line="1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Investment advisory revenues earned in the first quarter of 2019 from the firm's U.S. mutual funds were $ 815.9 million, a decrease of 2.0% from the comparable 2018 quarter. Average assets under management in these funds for the first quarter of 2019 decreased 1.9% to $610.1 billion.</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Investment advisory revenues earned in the first quarter of 2019 from subadvised and separate accounts as well as other investment products were $378.3 million, an increase of 6.2% from the comparable 2018 quarter. Average assets under management for these products increased 7.4% to $433.4 billion. The increase in average assets under management exceeded the increase in investment advisory fees in the first quarter of 2019 as compared to the same quarter in 2018, primarily due to a shift in assets under management to lower fee share classes over the last twelve months.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first quarter of 2019 were $133.1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$5.7 million, or 4.1%, from the comparable 2018 quarter. In this line, we recognize fees earned from providing administrative and distribution services to our investment advisory clients, primarily our U.S. mutual funds and their investors. The decrease was primarily attributable to lower distribution servicing revenue earned from our U.S. mutual funds due to lower assets under management resulting from client transfers to lower fee vehicles and share classes. The distribution and servicing fees we earn are related to 12b-1 plans of certain classes, including the Advisor and R classes, of our U.S. mutual funds and are entirely offset by the costs paid to third-party intermediaries who source these assets. These costs are reported in the distribution and servicing cost line in the unaudited condensed consolidated income statements.</w:t>
      </w:r>
    </w:p>
    <w:p>
      <w:pPr>
        <w:spacing w:after="0" w:line="20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Our first quarter net revenues reflect the elimination of $1.5 million in 2019 and $1.7 million in 2018, earned from our consolidated T. Rowe Price investment products. The corresponding expenses recognized by these products, and consolidated in our financial statements, were eliminated from operating expenses.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80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90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Q1 2019 vs. Q1 2018</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3/31/2018</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60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costs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491.5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50.1</w:t>
            </w:r>
          </w:p>
        </w:tc>
        <w:tc>
          <w:tcPr>
            <w:tcW w:w="12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Distribution and servicing</w:t>
            </w:r>
          </w:p>
        </w:tc>
        <w:tc>
          <w:tcPr>
            <w:tcW w:w="2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and promotion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Product-related costs</w:t>
            </w:r>
          </w:p>
        </w:tc>
        <w:tc>
          <w:tcPr>
            <w:tcW w:w="2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$491.5 million in the first quarter of 2019, an increase of $50.1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11.4%, compared to the first quarter of 2018. The increase in compensation and related costs was primarily due to higher market-related expense related to our supplemental savings plan of $34.2 million along with an increase in salaries, benefits and related employee costs, which have increased $18.1 million from the first quarter of 2018, primarily as a result of a 2.4% increase in our average staff size and modest increases in base salaries at the beginning of 2019. Our interim accrual for annual variable compensation also increased $4.6 million from the 2018 quarter. We recognize the interim accrual ratably over the year using the ratio of recognized quarterly net revenues to forecasted annual net revenues. These increases in compensation and related costs were offset in part by $4.4 million of higher labor capitalization related to internally developed software compared to the 2018 quarter and a decrease in non-cash stock-based compensation expense of $2.1 million as the first quarter of 2019 included a higher expense reversal related to forfeitures than the first quarter of 2018.</w:t>
      </w:r>
    </w:p>
    <w:p>
      <w:pPr>
        <w:spacing w:after="0" w:line="18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includes those costs incurred to distribute T. Rowe Price products as well as client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servicing, recordkeeping, and administrative services. These costs were $66.4 million for the first quarter of 2019, a decrease of</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5.5% over the $70.3 million recognized in the first quarter of 2018. The decrease is primarily driven by client transfers to lower fee vehicles or share classes over the last twelve months, which resulted in lower assets under management in those mutual funds that are distributed by third-party intermediaries. These costs include those distribution and servicing costs paid to third-party intermediaries that source the assets of certain share classes of our U.S. mutual funds and is offset entirely by the 12b-1 revenue we earn and report in administrative, distribution, and servicing fees.</w:t>
      </w:r>
    </w:p>
    <w:p>
      <w:pPr>
        <w:spacing w:after="0" w:line="18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$21.6 million in the first quarter of 2019, a decrease of $3.0 million, or 12.2%,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$24.6 million in the first quarter of 2018. The decrease is due to the market uncertainty leading into the first quarter of 2019 and the related timing of spend.</w:t>
      </w:r>
    </w:p>
    <w:p>
      <w:pPr>
        <w:spacing w:after="0" w:line="176"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$98.1 million in the first quarter of 2019, an increase of $4.0 million, or 4.3%, compared to the $94.1 million recognized in the first quarter of 2018. The increase is due primarily to incremental investment in our technology capabilities, including related depreciation, hosted solution licenses, and maintenance programs.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consists of costs associated with the overall management of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information services, professional services, travel and entertainment, research costs, and other general operating expenses. These costs were $73.0 million in the current quarter, an increase of $1.3 million, or 1.8%, compared to the $71.7 million recognized in the first quarter of 2018. The increase primarily reflects higher third-party investment research costs that were partially offset by a lower level of professional fees in the first quarter of 2019 as compared to the first quarter of 2018.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80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Non-operating income in the first quarter of 2019 was $202.8 million, an increase of $186.7 million from the 2018 quarter. The following table details the components of non-operating income during the first quarter of 2018 and 2019 and the related 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26035</wp:posOffset>
            </wp:positionV>
            <wp:extent cx="16808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3/31/2018</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Cash and discretionary investments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 investments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95.4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11.0</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51"/>
        </w:trPr>
        <w:tc>
          <w:tcPr>
            <w:tcW w:w="8780" w:type="dxa"/>
            <w:vAlign w:val="bottom"/>
          </w:tcPr>
          <w:p>
            <w:pPr>
              <w:ind w:left="40"/>
              <w:spacing w:after="0"/>
              <w:rPr>
                <w:sz w:val="20"/>
                <w:szCs w:val="20"/>
                <w:color w:val="auto"/>
              </w:rPr>
            </w:pPr>
            <w:r>
              <w:rPr>
                <w:rFonts w:ascii="Arial" w:cs="Arial" w:eastAsia="Arial" w:hAnsi="Arial"/>
                <w:sz w:val="14"/>
                <w:szCs w:val="14"/>
                <w:b w:val="1"/>
                <w:bCs w:val="1"/>
                <w:color w:val="auto"/>
              </w:rPr>
              <w:t>Net gains on investments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14.4</w:t>
            </w:r>
          </w:p>
        </w:tc>
      </w:tr>
      <w:tr>
        <w:trPr>
          <w:trHeight w:val="27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consolidated sponsored investment portfolios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including foreign currency gains and losses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16.1</w:t>
            </w: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the first quarter of 2019, non-operating income included the impact of sharp market increases, which resulted in significant unrealized gains on our investment portfolio compared with modest gains recognized during 2018.</w:t>
      </w:r>
    </w:p>
    <w:p>
      <w:pPr>
        <w:spacing w:after="0" w:line="1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unaudited condensed consolidated statements of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26035</wp:posOffset>
            </wp:positionV>
            <wp:extent cx="1680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80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effective tax rate for the first quarter of 2019 was 24.7%, compared with 24.1% in the 2018 quarter. The following table reconciles the statutory federal income tax rate to our effective tax rate 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26035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5.1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36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0</wp:posOffset>
            </wp:positionV>
            <wp:extent cx="18097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estimate our effective tax rate for the full-year 2019 will be in the range of 23.5% to 26.5%. Our effective tax rate will continue to experience volatility in future periods as the tax benefits recognized from stock-based compensation are impacted by market fluctuations in our stock price and timing of option exercises. The rate will also be impacted by changes in our consolidated investment products that are driven by market fluctuations and changes in the proportion of their net income that is attributable to non-controlling interests.</w:t>
      </w:r>
    </w:p>
    <w:p>
      <w:pPr>
        <w:spacing w:after="0" w:line="20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Our non-GAAP effective tax rate for the three months ended March 31, 2019 and 2018 is 25.3% and 24.3%, respectively. We currently estimate our non-GAAP effective tax rate for the full-year 2019 will be in the range of 24% to 26%.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U.S. GAAP financial measures to non-GAAP financial measures for the first quarter of 2019 and 2018.</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805" w:right="239" w:bottom="1440" w:gutter="0" w:footer="0" w:header="0"/>
        </w:sectPr>
      </w:pPr>
    </w:p>
    <w:bookmarkStart w:id="27" w:name="page28"/>
    <w:bookmarkEnd w:id="27"/>
    <w:p>
      <w:pPr>
        <w:ind w:left="95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26035</wp:posOffset>
            </wp:positionV>
            <wp:extent cx="15265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 except per-share amounts)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3/31/2018</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744.2</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3"/>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Expenses of consolidated T. Rowe Price investment products, net of elimination of its related management and</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902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administrative fees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9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Compensation expense related to market valuation changes in the supplemental savings plan liability</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741.0</w:t>
            </w: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453.7</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of consolidated T. Rowe Price investment products, net of redeemable non-controlling interests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26"/>
        </w:trPr>
        <w:tc>
          <w:tcPr>
            <w:tcW w:w="9020" w:type="dxa"/>
            <w:vAlign w:val="bottom"/>
          </w:tcPr>
          <w:p>
            <w:pPr>
              <w:ind w:left="120"/>
              <w:spacing w:after="0"/>
              <w:rPr>
                <w:sz w:val="20"/>
                <w:szCs w:val="20"/>
                <w:color w:val="auto"/>
              </w:rPr>
            </w:pPr>
            <w:r>
              <w:rPr>
                <w:rFonts w:ascii="Arial" w:cs="Arial" w:eastAsia="Arial" w:hAnsi="Arial"/>
                <w:sz w:val="18"/>
                <w:szCs w:val="18"/>
                <w:color w:val="auto"/>
              </w:rPr>
              <w:t>Non-operating income of investments designated as an economic hedge of the supplemental savings plan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9020" w:type="dxa"/>
            <w:vAlign w:val="bottom"/>
          </w:tcPr>
          <w:p>
            <w:pPr>
              <w:ind w:left="120"/>
              <w:spacing w:after="0" w:line="233" w:lineRule="exact"/>
              <w:rPr>
                <w:sz w:val="20"/>
                <w:szCs w:val="20"/>
                <w:color w:val="auto"/>
              </w:rPr>
            </w:pPr>
            <w:r>
              <w:rPr>
                <w:rFonts w:ascii="Arial" w:cs="Arial" w:eastAsia="Arial" w:hAnsi="Arial"/>
                <w:sz w:val="18"/>
                <w:szCs w:val="18"/>
                <w:color w:val="auto"/>
              </w:rPr>
              <w:t>liability less related compensation expense</w:t>
            </w:r>
            <w:r>
              <w:rPr>
                <w:rFonts w:ascii="Arial" w:cs="Arial" w:eastAsia="Arial" w:hAnsi="Arial"/>
                <w:sz w:val="21"/>
                <w:szCs w:val="21"/>
                <w:color w:val="auto"/>
                <w:vertAlign w:val="superscript"/>
              </w:rPr>
              <w:t>(2)</w:t>
            </w: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9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1"/>
                <w:szCs w:val="21"/>
                <w:color w:val="auto"/>
                <w:vertAlign w:val="superscript"/>
              </w:rPr>
              <w:t>(4)</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T. Rowe Price 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26"/>
        </w:trPr>
        <w:tc>
          <w:tcPr>
            <w:tcW w:w="9020" w:type="dxa"/>
            <w:vAlign w:val="bottom"/>
          </w:tcPr>
          <w:p>
            <w:pPr>
              <w:ind w:left="120"/>
              <w:spacing w:after="0"/>
              <w:rPr>
                <w:sz w:val="20"/>
                <w:szCs w:val="20"/>
                <w:color w:val="auto"/>
              </w:rPr>
            </w:pPr>
            <w:r>
              <w:rPr>
                <w:rFonts w:ascii="Arial" w:cs="Arial" w:eastAsia="Arial" w:hAnsi="Arial"/>
                <w:sz w:val="18"/>
                <w:szCs w:val="18"/>
                <w:color w:val="auto"/>
              </w:rPr>
              <w:t>Non-operating income of investments designated as an economic hedge of the supplemental savings plan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9020" w:type="dxa"/>
            <w:vAlign w:val="bottom"/>
          </w:tcPr>
          <w:p>
            <w:pPr>
              <w:ind w:left="120"/>
              <w:spacing w:after="0" w:line="233" w:lineRule="exact"/>
              <w:rPr>
                <w:sz w:val="20"/>
                <w:szCs w:val="20"/>
                <w:color w:val="auto"/>
              </w:rPr>
            </w:pPr>
            <w:r>
              <w:rPr>
                <w:rFonts w:ascii="Arial" w:cs="Arial" w:eastAsia="Arial" w:hAnsi="Arial"/>
                <w:sz w:val="18"/>
                <w:szCs w:val="18"/>
                <w:color w:val="auto"/>
              </w:rPr>
              <w:t>liability less related compensation expense</w:t>
            </w:r>
            <w:r>
              <w:rPr>
                <w:rFonts w:ascii="Arial" w:cs="Arial" w:eastAsia="Arial" w:hAnsi="Arial"/>
                <w:sz w:val="21"/>
                <w:szCs w:val="21"/>
                <w:color w:val="auto"/>
                <w:vertAlign w:val="superscript"/>
              </w:rPr>
              <w:t>(2)</w:t>
            </w: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1"/>
                <w:szCs w:val="21"/>
                <w:b w:val="1"/>
                <w:bCs w:val="1"/>
                <w:color w:val="auto"/>
                <w:vertAlign w:val="superscript"/>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80" w:right="140" w:hanging="172"/>
        <w:spacing w:after="0" w:line="237" w:lineRule="auto"/>
        <w:tabs>
          <w:tab w:leader="none" w:pos="2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These non-GAAP adjustments back out the impact the consolidated T. Rowe Price investment products have on our U.S. GAAP consolidated statements of income. We believe the consolidated T. Rowe Price investment products may impact the reader's ability to understand our core operating results. The following tables detail the impact the consolidated products have on operating expenses and net income attributable to T. Rowe Price Group.</w:t>
      </w:r>
    </w:p>
    <w:p>
      <w:pPr>
        <w:spacing w:after="0" w:line="217" w:lineRule="exact"/>
        <w:rPr>
          <w:sz w:val="20"/>
          <w:szCs w:val="20"/>
          <w:color w:val="auto"/>
        </w:rPr>
      </w:pPr>
    </w:p>
    <w:p>
      <w:pPr>
        <w:ind w:left="180" w:right="180" w:firstLine="243"/>
        <w:spacing w:after="0" w:line="262" w:lineRule="auto"/>
        <w:rPr>
          <w:sz w:val="20"/>
          <w:szCs w:val="20"/>
          <w:color w:val="auto"/>
        </w:rPr>
      </w:pPr>
      <w:r>
        <w:rPr>
          <w:rFonts w:ascii="Arial" w:cs="Arial" w:eastAsia="Arial" w:hAnsi="Arial"/>
          <w:sz w:val="18"/>
          <w:szCs w:val="18"/>
          <w:color w:val="auto"/>
        </w:rPr>
        <w:t>The following table details the calculation of operating expenses of consolidated T. Rowe Price investment products, net of elimination of its related management and 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73660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6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26035</wp:posOffset>
            </wp:positionV>
            <wp:extent cx="15093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9"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8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before eliminations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r>
      <w:tr>
        <w:trPr>
          <w:trHeight w:val="264"/>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 eliminated in consolidation</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 net of eliminations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0"/>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031" w:right="239" w:bottom="1440" w:gutter="0" w:footer="0" w:header="0"/>
        </w:sectPr>
      </w:pPr>
    </w:p>
    <w:bookmarkStart w:id="28" w:name="page29"/>
    <w:bookmarkEnd w:id="28"/>
    <w:p>
      <w:pPr>
        <w:ind w:left="172" w:right="740"/>
        <w:spacing w:after="0" w:line="262" w:lineRule="auto"/>
        <w:rPr>
          <w:sz w:val="20"/>
          <w:szCs w:val="20"/>
          <w:color w:val="auto"/>
        </w:rPr>
      </w:pPr>
      <w:r>
        <w:rPr>
          <w:rFonts w:ascii="Arial" w:cs="Arial" w:eastAsia="Arial" w:hAnsi="Arial"/>
          <w:sz w:val="18"/>
          <w:szCs w:val="18"/>
          <w:color w:val="auto"/>
        </w:rPr>
        <w:t>The following table details the calculation of net income of consolidated T. Rowe Price investment products, net of 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73660</wp:posOffset>
            </wp:positionV>
            <wp:extent cx="701484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64" w:lineRule="exact"/>
        <w:rPr>
          <w:sz w:val="20"/>
          <w:szCs w:val="20"/>
          <w:color w:val="auto"/>
        </w:rPr>
      </w:pPr>
    </w:p>
    <w:p>
      <w:pPr>
        <w:ind w:left="9372"/>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5625465</wp:posOffset>
            </wp:positionH>
            <wp:positionV relativeFrom="paragraph">
              <wp:posOffset>26035</wp:posOffset>
            </wp:positionV>
            <wp:extent cx="14922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9" w:lineRule="exact"/>
        <w:rPr>
          <w:sz w:val="20"/>
          <w:szCs w:val="20"/>
          <w:color w:val="auto"/>
        </w:rPr>
      </w:pPr>
    </w:p>
    <w:tbl>
      <w:tblPr>
        <w:tblLayout w:type="fixed"/>
        <w:tblInd w:w="172" w:type="dxa"/>
        <w:tblCellMar>
          <w:top w:w="0" w:type="dxa"/>
          <w:left w:w="0" w:type="dxa"/>
          <w:bottom w:w="0" w:type="dxa"/>
          <w:right w:w="0" w:type="dxa"/>
        </w:tblCellMar>
      </w:tblPr>
      <w:tr>
        <w:trPr>
          <w:trHeight w:val="196"/>
        </w:trPr>
        <w:tc>
          <w:tcPr>
            <w:tcW w:w="8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r>
      <w:tr>
        <w:trPr>
          <w:trHeight w:val="264"/>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r>
      <w:tr>
        <w:trPr>
          <w:trHeight w:val="257"/>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Group's portion of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2" w:right="20" w:hanging="172"/>
        <w:spacing w:after="0" w:line="258" w:lineRule="auto"/>
        <w:tabs>
          <w:tab w:leader="none" w:pos="172" w:val="left"/>
        </w:tabs>
        <w:numPr>
          <w:ilvl w:val="0"/>
          <w:numId w:val="12"/>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compensation expense from market valuation changes in the supplemental savings plan and the related net gains on investments designated as an economic hedge against the related liability. Amounts deferred under the supplemental savings plan are adjusted for appreciation (depreciation) of hypothetical investments chosen by the employees. Since we economically hedge the exposure to these market movements, we believe it is useful to offset the non-operating investment income earned on the hedges against the related compensation expense and remove the net impact to increase comparability period to period. The following table details the supplemental savings plan 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77470</wp:posOffset>
            </wp:positionV>
            <wp:extent cx="701484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70" w:lineRule="exact"/>
        <w:rPr>
          <w:sz w:val="20"/>
          <w:szCs w:val="20"/>
          <w:color w:val="auto"/>
        </w:rPr>
      </w:pPr>
    </w:p>
    <w:p>
      <w:pPr>
        <w:ind w:left="9372"/>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5625465</wp:posOffset>
            </wp:positionH>
            <wp:positionV relativeFrom="paragraph">
              <wp:posOffset>26035</wp:posOffset>
            </wp:positionV>
            <wp:extent cx="14922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9" w:lineRule="exact"/>
        <w:rPr>
          <w:sz w:val="20"/>
          <w:szCs w:val="20"/>
          <w:color w:val="auto"/>
        </w:rPr>
      </w:pPr>
    </w:p>
    <w:tbl>
      <w:tblPr>
        <w:tblLayout w:type="fixed"/>
        <w:tblInd w:w="172" w:type="dxa"/>
        <w:tblCellMar>
          <w:top w:w="0" w:type="dxa"/>
          <w:left w:w="0" w:type="dxa"/>
          <w:bottom w:w="0" w:type="dxa"/>
          <w:right w:w="0" w:type="dxa"/>
        </w:tblCellMar>
      </w:tblPr>
      <w:tr>
        <w:trPr>
          <w:trHeight w:val="196"/>
        </w:trPr>
        <w:tc>
          <w:tcPr>
            <w:tcW w:w="8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on investments designated as an economic hedge of supplemental savings plan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Compensation expense from market valuation changes in supplemental savings plan liability</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 of investments designated as an economic hedge of supplemental savings plan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less compensation expense</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2" w:hanging="172"/>
        <w:spacing w:after="0" w:line="259" w:lineRule="auto"/>
        <w:tabs>
          <w:tab w:leader="none" w:pos="172" w:val="left"/>
        </w:tabs>
        <w:numPr>
          <w:ilvl w:val="0"/>
          <w:numId w:val="13"/>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represents the other non-operating income and the net gains (losses) earned on our non-consolidated investment portfolio that are not designated as economic hedges of the supplemental savings plan liability, and beginning in the second quarter of 2018, those non-consolidated investments that are not part of the cash and discretionary investment portfolio. We modified the non-GAAP adjustment to exclude the investment gains recognized on our non-consolidated cash and discretionary investments, as the income earned on these assets are considered part of our core operations. The impact on previously reported non-GAAP measures is immaterial. We believe adjusting for these non-operating income items helps the reader's ability to understand our core operating results and increases comparability to prior years. Additionally, we do not emphasize the impact of the portion of non-operating income removed when managing and evaluating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214630</wp:posOffset>
            </wp:positionV>
            <wp:extent cx="701484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386" w:lineRule="exact"/>
        <w:rPr>
          <w:sz w:val="20"/>
          <w:szCs w:val="20"/>
          <w:color w:val="auto"/>
        </w:rPr>
      </w:pPr>
    </w:p>
    <w:p>
      <w:pPr>
        <w:ind w:left="9372"/>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5625465</wp:posOffset>
            </wp:positionH>
            <wp:positionV relativeFrom="paragraph">
              <wp:posOffset>26035</wp:posOffset>
            </wp:positionV>
            <wp:extent cx="14922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03" w:lineRule="exact"/>
        <w:rPr>
          <w:sz w:val="20"/>
          <w:szCs w:val="20"/>
          <w:color w:val="auto"/>
        </w:rPr>
      </w:pPr>
    </w:p>
    <w:tbl>
      <w:tblPr>
        <w:tblLayout w:type="fixed"/>
        <w:tblInd w:w="172" w:type="dxa"/>
        <w:tblCellMar>
          <w:top w:w="0" w:type="dxa"/>
          <w:left w:w="0" w:type="dxa"/>
          <w:bottom w:w="0" w:type="dxa"/>
          <w:right w:w="0" w:type="dxa"/>
        </w:tblCellMar>
      </w:tblPr>
      <w:tr>
        <w:trPr>
          <w:trHeight w:val="196"/>
        </w:trPr>
        <w:tc>
          <w:tcPr>
            <w:tcW w:w="8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3/31/2018</w:t>
            </w:r>
          </w:p>
        </w:tc>
      </w:tr>
      <w:tr>
        <w:trPr>
          <w:trHeight w:val="25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on investments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Less: net gains on investments designated as an economic hedge of supplemental savings plan liability</w:t>
            </w:r>
          </w:p>
        </w:tc>
        <w:tc>
          <w:tcPr>
            <w:tcW w:w="20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2.9</w:t>
            </w:r>
          </w:p>
        </w:tc>
      </w:tr>
      <w:tr>
        <w:trPr>
          <w:trHeight w:val="27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gains earned on cash and discretionary investments</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tcPr>
          <w:p>
            <w:pPr>
              <w:ind w:left="20"/>
              <w:spacing w:after="0"/>
              <w:rPr>
                <w:sz w:val="20"/>
                <w:szCs w:val="20"/>
                <w:color w:val="auto"/>
              </w:rPr>
            </w:pPr>
            <w:r>
              <w:rPr>
                <w:rFonts w:ascii="Arial" w:cs="Arial" w:eastAsia="Arial" w:hAnsi="Arial"/>
                <w:sz w:val="18"/>
                <w:szCs w:val="18"/>
                <w:color w:val="auto"/>
              </w:rPr>
              <w:t>Net gains on remaining non-consolidated investment portfolio</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11.5</w:t>
            </w:r>
          </w:p>
        </w:tc>
      </w:tr>
      <w:tr>
        <w:trPr>
          <w:trHeight w:val="27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r>
      <w:tr>
        <w:trPr>
          <w:trHeight w:val="257"/>
        </w:trPr>
        <w:tc>
          <w:tcPr>
            <w:tcW w:w="8680" w:type="dxa"/>
            <w:vAlign w:val="bottom"/>
          </w:tcPr>
          <w:p>
            <w:pPr>
              <w:ind w:left="20"/>
              <w:spacing w:after="0"/>
              <w:rPr>
                <w:sz w:val="20"/>
                <w:szCs w:val="20"/>
                <w:color w:val="auto"/>
              </w:rPr>
            </w:pPr>
            <w:r>
              <w:rPr>
                <w:rFonts w:ascii="Arial" w:cs="Arial" w:eastAsia="Arial" w:hAnsi="Arial"/>
                <w:sz w:val="18"/>
                <w:szCs w:val="18"/>
                <w:color w:val="auto"/>
              </w:rPr>
              <w:t>Total other non-operating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172" w:right="200" w:hanging="161"/>
        <w:spacing w:after="0" w:line="238"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The income tax impacts were calculated in order to achieve an overall non-GAAP effective tax rate of 25.3% for 2019 and 24.3% for 2018. We estimate that our effective tax rate for the full-year 2019 on a non-GAAP basis will be in the range of 24% to 26%</w:t>
      </w:r>
    </w:p>
    <w:p>
      <w:pPr>
        <w:spacing w:after="0" w:line="216" w:lineRule="exact"/>
        <w:rPr>
          <w:sz w:val="20"/>
          <w:szCs w:val="20"/>
          <w:color w:val="auto"/>
        </w:rPr>
      </w:pPr>
    </w:p>
    <w:p>
      <w:pPr>
        <w:ind w:left="172" w:right="540" w:hanging="172"/>
        <w:spacing w:after="0" w:line="237" w:lineRule="auto"/>
        <w:tabs>
          <w:tab w:leader="none" w:pos="172" w:val="left"/>
        </w:tabs>
        <w:numPr>
          <w:ilvl w:val="0"/>
          <w:numId w:val="14"/>
        </w:numPr>
        <w:rPr>
          <w:rFonts w:ascii="Arial" w:cs="Arial" w:eastAsia="Arial" w:hAnsi="Arial"/>
          <w:sz w:val="21"/>
          <w:szCs w:val="21"/>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352"/>
          </w:cols>
          <w:pgMar w:left="248" w:top="827"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3/31/2019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5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1,657.4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1,425.2</w:t>
            </w:r>
          </w:p>
        </w:tc>
      </w:t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1,597.1</w:t>
            </w:r>
          </w:p>
        </w:tc>
      </w:tr>
      <w:tr>
        <w:trPr>
          <w:trHeight w:val="250"/>
        </w:trPr>
        <w:tc>
          <w:tcPr>
            <w:tcW w:w="85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3,022.3</w:t>
            </w:r>
          </w:p>
        </w:tc>
      </w:tr>
      <w:tr>
        <w:trPr>
          <w:trHeight w:val="277"/>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1,118.9</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381.3</w:t>
            </w:r>
          </w:p>
        </w:tc>
      </w:tr>
      <w:tr>
        <w:trPr>
          <w:trHeight w:val="25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4,522.5</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Cash and discretionary investments in T. Rowe Price products held by our subsidiaries outside the U.S. were $442.0 million at March 31, 2019 and $425.3 million at December 31, 2018.</w:t>
      </w:r>
    </w:p>
    <w:p>
      <w:pPr>
        <w:spacing w:after="0" w:line="196"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how we account for the cash equivalent or investment. The following table details how T. Rowe Price Group’s interests in cash and investments relate to where they are presented in the unaudited condensed consolidated balance sheet as of March 31, 2019.</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3/31/2019</w:t>
            </w:r>
          </w:p>
        </w:tc>
        <w:tc>
          <w:tcPr>
            <w:tcW w:w="0" w:type="dxa"/>
            <w:vAlign w:val="bottom"/>
          </w:tcPr>
          <w:p>
            <w:pPr>
              <w:spacing w:after="0"/>
              <w:rPr>
                <w:sz w:val="1"/>
                <w:szCs w:val="1"/>
                <w:color w:val="auto"/>
              </w:rPr>
            </w:pP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1,657.4</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1,609.8</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874.5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1,115.8</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 attributable</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984.9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4,922.6</w:t>
            </w:r>
          </w:p>
        </w:tc>
        <w:tc>
          <w:tcPr>
            <w:tcW w:w="0" w:type="dxa"/>
            <w:vAlign w:val="bottom"/>
          </w:tcPr>
          <w:p>
            <w:pPr>
              <w:spacing w:after="0"/>
              <w:rPr>
                <w:sz w:val="1"/>
                <w:szCs w:val="1"/>
                <w:color w:val="auto"/>
              </w:rPr>
            </w:pPr>
          </w:p>
        </w:tc>
      </w:tr>
      <w:tr>
        <w:trPr>
          <w:trHeight w:val="264"/>
        </w:trPr>
        <w:tc>
          <w:tcPr>
            <w:tcW w:w="546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1,657.4</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2,546.7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984.9</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5,189.0</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886.7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on unaudited condensed consolidated balance sheet at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1,657.4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2,546.7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1,871.6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6,075.7</w:t>
            </w: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increased our quarterly recurring dividend per common share in February 2019 by 8.6% to $.76 per common share from $.70 per common share. Additionally, we expended $ 229.8 million in the first quarter of 2019 to repurchase 2.5 million shares, or 1.0%, of our outstanding common stock at an average price of $92.83 per share. These dividends and repurchases were expended using existing cash balances and cash generated from</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80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operations. We will generally repurchase our common stock over time to offset the dilution created by our equity-based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2016, we have returned $3.2 billion to stockholders through stock repurchases and our regular quarterly dividends,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1,020.7</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1,794.3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Three months ended 3/31/2019</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413.6</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1,441.1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3,228.6</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anticipate property and equipment expenditures for the full-year 2019 to be about $200 million, of which about two-thirds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82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following table summarizes the cash flows for the three months ended March 31, 2019 and 2018, that are attributable to T. Rowe Price Group, our consolidated T. Rowe Price investment products, and the related eliminations required in preparing the statement.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175"/>
        </w:trPr>
        <w:tc>
          <w:tcPr>
            <w:tcW w:w="3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2"/>
        </w:trPr>
        <w:tc>
          <w:tcPr>
            <w:tcW w:w="3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4"/>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rPr>
              <w:t>consolidated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4"/>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rPr>
              <w:t>T. Rowe Price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As</w:t>
            </w:r>
          </w:p>
        </w:tc>
        <w:tc>
          <w:tcPr>
            <w:tcW w:w="10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reported</w:t>
            </w: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8"/>
              </w:rPr>
              <w:t>reported</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554.0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cash provided by (used in) operating</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5"/>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equipment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r>
      <w:tr>
        <w:trPr>
          <w:trHeight w:val="263"/>
        </w:trPr>
        <w:tc>
          <w:tcPr>
            <w:tcW w:w="37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45.6</w:t>
            </w:r>
          </w:p>
        </w:tc>
      </w:tr>
      <w:tr>
        <w:trPr>
          <w:trHeight w:val="277"/>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378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used to economically</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80" w:type="dxa"/>
            <w:vAlign w:val="bottom"/>
          </w:tcPr>
          <w:p>
            <w:pPr>
              <w:ind w:left="280"/>
              <w:spacing w:after="0"/>
              <w:rPr>
                <w:sz w:val="20"/>
                <w:szCs w:val="20"/>
                <w:color w:val="auto"/>
              </w:rPr>
            </w:pPr>
            <w:r>
              <w:rPr>
                <w:rFonts w:ascii="Arial" w:cs="Arial" w:eastAsia="Arial" w:hAnsi="Arial"/>
                <w:sz w:val="18"/>
                <w:szCs w:val="18"/>
                <w:color w:val="auto"/>
              </w:rPr>
              <w:t>hedge supplemental savings plan liability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5"/>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3"/>
        </w:trPr>
        <w:tc>
          <w:tcPr>
            <w:tcW w:w="37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6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187.9</w:t>
            </w:r>
          </w:p>
        </w:tc>
      </w:tr>
      <w:tr>
        <w:trPr>
          <w:trHeight w:val="21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521.0</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(519.8)</w:t>
            </w:r>
          </w:p>
        </w:tc>
      </w:tr>
      <w:tr>
        <w:trPr>
          <w:trHeight w:val="23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80" w:type="dxa"/>
            <w:vAlign w:val="bottom"/>
          </w:tcPr>
          <w:p>
            <w:pPr>
              <w:ind w:left="40"/>
              <w:spacing w:after="0" w:line="202" w:lineRule="exact"/>
              <w:rPr>
                <w:sz w:val="20"/>
                <w:szCs w:val="20"/>
                <w:color w:val="auto"/>
              </w:rPr>
            </w:pPr>
            <w:r>
              <w:rPr>
                <w:rFonts w:ascii="Arial" w:cs="Arial" w:eastAsia="Arial" w:hAnsi="Arial"/>
                <w:sz w:val="18"/>
                <w:szCs w:val="18"/>
                <w:color w:val="auto"/>
              </w:rPr>
              <w:t>cash equivalents of consolidated T. Rowe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8"/>
                <w:szCs w:val="18"/>
                <w:color w:val="auto"/>
              </w:rPr>
              <w:t>Price investment products</w:t>
            </w: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2,005.8</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$1,733.5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1,766.2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80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activities attributable to T. Rowe Price Group during the first quarter of 2019 provided cash flows of $673.4 million, a decrease of $49.5 million from the 2018 period. Although net income increased $58.9 million during the first quarter of 2019, adjustments made to net income to arrive at cash flows from operating activities more than offset the increase in net income. The most significant adjustment related to a $140.3 million change in net investment gains, which was driven by stronger equity markets in 2019 compared with 2018. The majority of the remaining adjustments related to timing differences on the cash settlement of our assets and liabilities, which increased cash flows by $34.3 million.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Net cash used in investing activities that are attributable to T. Rowe Price Group totaled $69.2 million in the first quarter of 2019 compared with $524.3 million in the 2018 period. During the first quarter of 2018, we rebalanced our cash and discretionary investments portfolio resulting in the reallocation of cash and cash equivalents of $500.0 million to certain T. Rowe Price funds. During 2019, we increased our property and equipment expenditures by $11.0 million and increased the level of seed capital provided by $ 12.8 million. Since we consolidate the seed capital in T. Rowe Price investment products, our seed capital was eliminated in preparing our unaudited condensed consolidated statement of cash flows. The remaining $18.7 million change in cash used in investing activities attributable to T. Rowe Price Group stems from a decrease in net proceeds received in 2019 as compared to 2018 related to the purchases and sales of other T. Rowe Price products. The net cash removed from our balance sheet from consolidating and deconsolidating investment products during the first quarter of 2019 compared with 2018 period accounts for the remaining $18.1 million change in reported cash flows from investing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$372.0 million in the first quarter of 2019 compared with $419.9 million in the 2018 period. During 2019, we repurchased fewer shares of our common stock which resulted in a $60.3 million decrease in cash used. This decrease in cash used was offset by an 8.6% increase in our quarterly dividend per share, which resulted in paying $9.8 million more in dividends in 2019. The remaining change in reported cash flows from financing activities is primarily attributable to a $111.8 million increase in net subscriptions received from redeemable non-controlling interest holders of our consolidated investment products during the first quarter of 2019 compared to the 2018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2018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2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80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the timing of the assumption of all third party research payments, changes in our effective fee rate,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2018.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2"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00"/>
          </w:cols>
          <w:pgMar w:left="240" w:top="80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2019. Based on that evaluation, our principal executive and principal financial officers have concluded that our disclosure controls and procedures as of March 31, 2019,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2019, and has concluded that there was no change during the first quarter of 2019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20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5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00"/>
          </w:cols>
          <w:pgMar w:left="240" w:top="80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2019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3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9"/>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January</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1,683,579</w:t>
            </w:r>
          </w:p>
        </w:tc>
        <w:tc>
          <w:tcPr>
            <w:tcW w:w="12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1,651,544</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12,696,262</w:t>
            </w:r>
          </w:p>
        </w:tc>
      </w:tr>
      <w:tr>
        <w:trPr>
          <w:trHeight w:val="277"/>
        </w:trPr>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383,634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93.56</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322,406</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22,373,856</w:t>
            </w:r>
          </w:p>
        </w:tc>
      </w:tr>
      <w:tr>
        <w:trPr>
          <w:trHeight w:val="264"/>
        </w:trPr>
        <w:tc>
          <w:tcPr>
            <w:tcW w:w="36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March</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520,703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97.98</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501,958</w:t>
            </w:r>
          </w:p>
        </w:tc>
        <w:tc>
          <w:tcPr>
            <w:tcW w:w="19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21,871,898</w:t>
            </w:r>
          </w:p>
        </w:tc>
      </w:tr>
      <w:tr>
        <w:trPr>
          <w:trHeight w:val="257"/>
        </w:trPr>
        <w:tc>
          <w:tcPr>
            <w:tcW w:w="3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2,587,916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92.96</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2,475,908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2019, 111,860 were related to shares surrendered in connection with employee stock option exercises and 148 were related to shares withheld to cover tax withholdings associated with the vesting of restricted stock awards.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right"/>
              <w:ind w:right="118"/>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Additional shares</w:t>
            </w:r>
          </w:p>
        </w:tc>
        <w:tc>
          <w:tcPr>
            <w:tcW w:w="204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1800" w:type="dxa"/>
            <w:vAlign w:val="bottom"/>
            <w:shd w:val="clear" w:color="auto" w:fill="CCEEFF"/>
          </w:tcPr>
          <w:p>
            <w:pPr>
              <w:jc w:val="right"/>
              <w:ind w:right="38"/>
              <w:spacing w:after="0"/>
              <w:rPr>
                <w:sz w:val="20"/>
                <w:szCs w:val="20"/>
                <w:color w:val="auto"/>
              </w:rPr>
            </w:pPr>
            <w:r>
              <w:rPr>
                <w:rFonts w:ascii="Arial" w:cs="Arial" w:eastAsia="Arial" w:hAnsi="Arial"/>
                <w:sz w:val="14"/>
                <w:szCs w:val="14"/>
                <w:b w:val="1"/>
                <w:bCs w:val="1"/>
                <w:color w:val="auto"/>
              </w:rPr>
              <w:t>Shares that May Yet Be</w:t>
            </w:r>
          </w:p>
        </w:tc>
      </w:tr>
      <w:tr>
        <w:trPr>
          <w:trHeight w:val="196"/>
        </w:trPr>
        <w:tc>
          <w:tcPr>
            <w:tcW w:w="35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b w:val="1"/>
                <w:bCs w:val="1"/>
                <w:color w:val="auto"/>
              </w:rPr>
              <w:t>1/1/2019</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4"/>
                <w:szCs w:val="14"/>
                <w:b w:val="1"/>
                <w:bCs w:val="1"/>
                <w:color w:val="auto"/>
              </w:rPr>
              <w:t>authorized</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b w:val="1"/>
                <w:bCs w:val="1"/>
                <w:color w:val="auto"/>
              </w:rPr>
              <w:t>Purchased at 3/31/2019</w:t>
            </w:r>
          </w:p>
        </w:tc>
      </w:tr>
      <w:tr>
        <w:trPr>
          <w:trHeight w:val="249"/>
        </w:trPr>
        <w:tc>
          <w:tcPr>
            <w:tcW w:w="3540" w:type="dxa"/>
            <w:vAlign w:val="bottom"/>
          </w:tcPr>
          <w:p>
            <w:pPr>
              <w:ind w:left="40"/>
              <w:spacing w:after="0"/>
              <w:rPr>
                <w:sz w:val="20"/>
                <w:szCs w:val="20"/>
                <w:color w:val="auto"/>
              </w:rPr>
            </w:pPr>
            <w:r>
              <w:rPr>
                <w:rFonts w:ascii="Arial" w:cs="Arial" w:eastAsia="Arial" w:hAnsi="Arial"/>
                <w:sz w:val="18"/>
                <w:szCs w:val="18"/>
                <w:color w:val="auto"/>
              </w:rPr>
              <w:t>December 2016</w:t>
            </w:r>
          </w:p>
        </w:tc>
        <w:tc>
          <w:tcPr>
            <w:tcW w:w="1960" w:type="dxa"/>
            <w:vAlign w:val="bottom"/>
            <w:gridSpan w:val="2"/>
          </w:tcPr>
          <w:p>
            <w:pPr>
              <w:jc w:val="right"/>
              <w:ind w:right="39"/>
              <w:spacing w:after="0"/>
              <w:rPr>
                <w:sz w:val="20"/>
                <w:szCs w:val="20"/>
                <w:color w:val="auto"/>
              </w:rPr>
            </w:pPr>
            <w:r>
              <w:rPr>
                <w:rFonts w:ascii="Arial" w:cs="Arial" w:eastAsia="Arial" w:hAnsi="Arial"/>
                <w:sz w:val="18"/>
                <w:szCs w:val="18"/>
                <w:color w:val="auto"/>
              </w:rPr>
              <w:t>4,347,806</w:t>
            </w:r>
          </w:p>
        </w:tc>
        <w:tc>
          <w:tcPr>
            <w:tcW w:w="120" w:type="dxa"/>
            <w:vAlign w:val="bottom"/>
          </w:tcPr>
          <w:p>
            <w:pPr>
              <w:spacing w:after="0"/>
              <w:rPr>
                <w:sz w:val="21"/>
                <w:szCs w:val="21"/>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(2,475,908)</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1,871,898</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2018</w:t>
            </w:r>
          </w:p>
        </w:tc>
        <w:tc>
          <w:tcPr>
            <w:tcW w:w="19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10,000,000</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February 2019</w:t>
            </w:r>
          </w:p>
        </w:tc>
        <w:tc>
          <w:tcPr>
            <w:tcW w:w="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10,000,000</w:t>
            </w: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14,347,806</w:t>
            </w:r>
          </w:p>
        </w:tc>
        <w:tc>
          <w:tcPr>
            <w:tcW w:w="1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(2,475,908)</w:t>
            </w:r>
          </w:p>
        </w:tc>
        <w:tc>
          <w:tcPr>
            <w:tcW w:w="1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21,871,898</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April 24, 2019, we issued an earnings release reporting our results of operations for the first quarter of 2019.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80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3(i)</w:t>
            </w:r>
          </w:p>
        </w:tc>
        <w:tc>
          <w:tcPr>
            <w:tcW w:w="10140" w:type="dxa"/>
            <w:vAlign w:val="bottom"/>
          </w:tcPr>
          <w:p>
            <w:pPr>
              <w:ind w:left="620"/>
              <w:spacing w:after="0"/>
              <w:rPr>
                <w:rFonts w:ascii="Arial" w:cs="Arial" w:eastAsia="Arial" w:hAnsi="Arial"/>
                <w:sz w:val="18"/>
                <w:szCs w:val="18"/>
                <w:color w:val="auto"/>
              </w:rPr>
            </w:pPr>
            <w:hyperlink r:id="rId48">
              <w:r>
                <w:rPr>
                  <w:rFonts w:ascii="Arial" w:cs="Arial" w:eastAsia="Arial" w:hAnsi="Arial"/>
                  <w:sz w:val="18"/>
                  <w:szCs w:val="18"/>
                  <w:color w:val="auto"/>
                </w:rPr>
                <w:t>Charter of T. Rowe Price Group, Inc., as reflected by Articles of Restatement dated June 20, 2018. (Incorporated by</w:t>
              </w:r>
            </w:hyperlink>
          </w:p>
        </w:tc>
      </w:tr>
      <w:tr>
        <w:trPr>
          <w:trHeight w:val="217"/>
        </w:trPr>
        <w:tc>
          <w:tcPr>
            <w:tcW w:w="1100" w:type="dxa"/>
            <w:vAlign w:val="bottom"/>
          </w:tcPr>
          <w:p>
            <w:pPr>
              <w:spacing w:after="0"/>
              <w:rPr>
                <w:sz w:val="18"/>
                <w:szCs w:val="18"/>
                <w:color w:val="auto"/>
              </w:rPr>
            </w:pPr>
          </w:p>
        </w:tc>
        <w:tc>
          <w:tcPr>
            <w:tcW w:w="10140" w:type="dxa"/>
            <w:vAlign w:val="bottom"/>
          </w:tcPr>
          <w:p>
            <w:pPr>
              <w:ind w:left="620"/>
              <w:spacing w:after="0"/>
              <w:rPr>
                <w:rFonts w:ascii="Arial" w:cs="Arial" w:eastAsia="Arial" w:hAnsi="Arial"/>
                <w:sz w:val="18"/>
                <w:szCs w:val="18"/>
                <w:color w:val="auto"/>
              </w:rPr>
            </w:pPr>
            <w:hyperlink r:id="rId48">
              <w:r>
                <w:rPr>
                  <w:rFonts w:ascii="Arial" w:cs="Arial" w:eastAsia="Arial" w:hAnsi="Arial"/>
                  <w:sz w:val="18"/>
                  <w:szCs w:val="18"/>
                  <w:color w:val="auto"/>
                </w:rPr>
                <w:t>reference from Form 10-Q Quarterly Report filed on July 25, 2018.)</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10140" w:type="dxa"/>
            <w:vAlign w:val="bottom"/>
          </w:tcPr>
          <w:p>
            <w:pPr>
              <w:ind w:left="620"/>
              <w:spacing w:after="0"/>
              <w:rPr>
                <w:rFonts w:ascii="Arial" w:cs="Arial" w:eastAsia="Arial" w:hAnsi="Arial"/>
                <w:sz w:val="18"/>
                <w:szCs w:val="18"/>
                <w:color w:val="auto"/>
                <w:w w:val="99"/>
              </w:rPr>
            </w:pPr>
            <w:hyperlink r:id="rId49">
              <w:r>
                <w:rPr>
                  <w:rFonts w:ascii="Arial" w:cs="Arial" w:eastAsia="Arial" w:hAnsi="Arial"/>
                  <w:sz w:val="18"/>
                  <w:szCs w:val="18"/>
                  <w:color w:val="auto"/>
                  <w:w w:val="99"/>
                </w:rPr>
                <w:t>Amended and Restated By-Laws of T. Rowe Price Group, Inc. as of February 12, 2019. (Incorporated by reference from</w:t>
              </w:r>
            </w:hyperlink>
          </w:p>
        </w:tc>
      </w:tr>
      <w:tr>
        <w:trPr>
          <w:trHeight w:val="217"/>
        </w:trPr>
        <w:tc>
          <w:tcPr>
            <w:tcW w:w="1100" w:type="dxa"/>
            <w:vAlign w:val="bottom"/>
          </w:tcPr>
          <w:p>
            <w:pPr>
              <w:spacing w:after="0"/>
              <w:rPr>
                <w:sz w:val="18"/>
                <w:szCs w:val="18"/>
                <w:color w:val="auto"/>
              </w:rPr>
            </w:pPr>
          </w:p>
        </w:tc>
        <w:tc>
          <w:tcPr>
            <w:tcW w:w="10140" w:type="dxa"/>
            <w:vAlign w:val="bottom"/>
          </w:tcPr>
          <w:p>
            <w:pPr>
              <w:ind w:left="620"/>
              <w:spacing w:after="0"/>
              <w:rPr>
                <w:rFonts w:ascii="Arial" w:cs="Arial" w:eastAsia="Arial" w:hAnsi="Arial"/>
                <w:sz w:val="18"/>
                <w:szCs w:val="18"/>
                <w:color w:val="auto"/>
              </w:rPr>
            </w:pPr>
            <w:hyperlink r:id="rId49">
              <w:r>
                <w:rPr>
                  <w:rFonts w:ascii="Arial" w:cs="Arial" w:eastAsia="Arial" w:hAnsi="Arial"/>
                  <w:sz w:val="18"/>
                  <w:szCs w:val="18"/>
                  <w:color w:val="auto"/>
                </w:rPr>
                <w:t>Form 8-K Current Report filed on February 13, 2019.)</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10140" w:type="dxa"/>
            <w:vAlign w:val="bottom"/>
          </w:tcPr>
          <w:p>
            <w:pPr>
              <w:ind w:left="620"/>
              <w:spacing w:after="0"/>
              <w:rPr>
                <w:rFonts w:ascii="Arial" w:cs="Arial" w:eastAsia="Arial" w:hAnsi="Arial"/>
                <w:sz w:val="18"/>
                <w:szCs w:val="18"/>
                <w:color w:val="auto"/>
              </w:rPr>
            </w:pPr>
            <w:hyperlink w:anchor="page39">
              <w:r>
                <w:rPr>
                  <w:rFonts w:ascii="Arial" w:cs="Arial" w:eastAsia="Arial" w:hAnsi="Arial"/>
                  <w:sz w:val="18"/>
                  <w:szCs w:val="18"/>
                  <w:color w:val="auto"/>
                </w:rPr>
                <w:t>Letter from KPMG LLP, independent registered public accounting firm, re unaudited interim financial information.</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10140" w:type="dxa"/>
            <w:vAlign w:val="bottom"/>
          </w:tcPr>
          <w:p>
            <w:pPr>
              <w:ind w:left="620"/>
              <w:spacing w:after="0"/>
              <w:rPr>
                <w:rFonts w:ascii="Arial" w:cs="Arial" w:eastAsia="Arial" w:hAnsi="Arial"/>
                <w:sz w:val="18"/>
                <w:szCs w:val="18"/>
                <w:color w:val="auto"/>
              </w:rPr>
            </w:pPr>
            <w:hyperlink w:anchor="page40">
              <w:r>
                <w:rPr>
                  <w:rFonts w:ascii="Arial" w:cs="Arial" w:eastAsia="Arial" w:hAnsi="Arial"/>
                  <w:sz w:val="18"/>
                  <w:szCs w:val="18"/>
                  <w:color w:val="auto"/>
                </w:rPr>
                <w:t>Rule 13a-14(a) Certification of Principal Executive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10140" w:type="dxa"/>
            <w:vAlign w:val="bottom"/>
          </w:tcPr>
          <w:p>
            <w:pPr>
              <w:ind w:left="620"/>
              <w:spacing w:after="0"/>
              <w:rPr>
                <w:rFonts w:ascii="Arial" w:cs="Arial" w:eastAsia="Arial" w:hAnsi="Arial"/>
                <w:sz w:val="18"/>
                <w:szCs w:val="18"/>
                <w:color w:val="auto"/>
              </w:rPr>
            </w:pPr>
            <w:hyperlink w:anchor="page41">
              <w:r>
                <w:rPr>
                  <w:rFonts w:ascii="Arial" w:cs="Arial" w:eastAsia="Arial" w:hAnsi="Arial"/>
                  <w:sz w:val="18"/>
                  <w:szCs w:val="18"/>
                  <w:color w:val="auto"/>
                </w:rPr>
                <w:t>Rule 13a-14(a) Certification of Principal Financial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Pr>
          <w:p>
            <w:pPr>
              <w:ind w:left="620"/>
              <w:spacing w:after="0"/>
              <w:rPr>
                <w:rFonts w:ascii="Arial" w:cs="Arial" w:eastAsia="Arial" w:hAnsi="Arial"/>
                <w:sz w:val="18"/>
                <w:szCs w:val="18"/>
                <w:color w:val="auto"/>
              </w:rPr>
            </w:pPr>
            <w:hyperlink w:anchor="page42">
              <w:r>
                <w:rPr>
                  <w:rFonts w:ascii="Arial" w:cs="Arial" w:eastAsia="Arial" w:hAnsi="Arial"/>
                  <w:sz w:val="18"/>
                  <w:szCs w:val="18"/>
                  <w:color w:val="auto"/>
                </w:rPr>
                <w:t>Section 1350 Certifications.</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tcPr>
          <w:p>
            <w:pPr>
              <w:ind w:left="620"/>
              <w:spacing w:after="0"/>
              <w:rPr>
                <w:rFonts w:ascii="Arial" w:cs="Arial" w:eastAsia="Arial" w:hAnsi="Arial"/>
                <w:sz w:val="18"/>
                <w:szCs w:val="18"/>
                <w:color w:val="auto"/>
              </w:rPr>
            </w:pPr>
            <w:hyperlink w:anchor="page43">
              <w:r>
                <w:rPr>
                  <w:rFonts w:ascii="Arial" w:cs="Arial" w:eastAsia="Arial" w:hAnsi="Arial"/>
                  <w:sz w:val="18"/>
                  <w:szCs w:val="18"/>
                  <w:color w:val="auto"/>
                </w:rPr>
                <w:t>Earnings release issued April 24, 2019, reporting our results of operations for the first quarter of 2019.</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tcPr>
          <w:p>
            <w:pPr>
              <w:ind w:left="620"/>
              <w:spacing w:after="0"/>
              <w:rPr>
                <w:sz w:val="20"/>
                <w:szCs w:val="20"/>
                <w:color w:val="auto"/>
              </w:rPr>
            </w:pPr>
            <w:r>
              <w:rPr>
                <w:rFonts w:ascii="Arial" w:cs="Arial" w:eastAsia="Arial" w:hAnsi="Arial"/>
                <w:sz w:val="18"/>
                <w:szCs w:val="18"/>
                <w:color w:val="auto"/>
              </w:rPr>
              <w:t>The following series of unaudited XBRL-formatted documents are collectively included herewith as Exhibit 101. The</w:t>
            </w:r>
          </w:p>
        </w:tc>
      </w:tr>
      <w:tr>
        <w:trPr>
          <w:trHeight w:val="203"/>
        </w:trPr>
        <w:tc>
          <w:tcPr>
            <w:tcW w:w="1100" w:type="dxa"/>
            <w:vAlign w:val="bottom"/>
          </w:tcPr>
          <w:p>
            <w:pPr>
              <w:spacing w:after="0"/>
              <w:rPr>
                <w:sz w:val="17"/>
                <w:szCs w:val="17"/>
                <w:color w:val="auto"/>
              </w:rPr>
            </w:pPr>
          </w:p>
        </w:tc>
        <w:tc>
          <w:tcPr>
            <w:tcW w:w="10140" w:type="dxa"/>
            <w:vAlign w:val="bottom"/>
          </w:tcPr>
          <w:p>
            <w:pPr>
              <w:ind w:left="62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17"/>
        </w:trPr>
        <w:tc>
          <w:tcPr>
            <w:tcW w:w="1100" w:type="dxa"/>
            <w:vAlign w:val="bottom"/>
          </w:tcPr>
          <w:p>
            <w:pPr>
              <w:spacing w:after="0"/>
              <w:rPr>
                <w:sz w:val="18"/>
                <w:szCs w:val="18"/>
                <w:color w:val="auto"/>
              </w:rPr>
            </w:pPr>
          </w:p>
        </w:tc>
        <w:tc>
          <w:tcPr>
            <w:tcW w:w="10140" w:type="dxa"/>
            <w:vAlign w:val="bottom"/>
          </w:tcPr>
          <w:p>
            <w:pPr>
              <w:ind w:left="62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8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280"/>
          </w:cols>
          <w:pgMar w:left="240" w:top="805" w:right="379" w:bottom="1440" w:gutter="0" w:footer="0" w:header="0"/>
        </w:sectPr>
      </w:pPr>
    </w:p>
    <w:bookmarkStart w:id="37" w:name="page38"/>
    <w:bookmarkEnd w:id="37"/>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24,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120"/>
          </w:cols>
          <w:pgMar w:left="240" w:top="805" w:right="539" w:bottom="1440" w:gutter="0" w:footer="0" w:header="0"/>
        </w:sectPr>
      </w:pPr>
    </w:p>
    <w:bookmarkStart w:id="38" w:name="page39"/>
    <w:bookmarkEnd w:id="38"/>
    <w:p>
      <w:pPr>
        <w:ind w:left="404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2"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120" w:space="720"/>
            <w:col w:w="5580"/>
          </w:cols>
          <w:pgMar w:left="240" w:top="598"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333-199560</w:t>
      </w:r>
      <w:r>
        <w:rPr>
          <w:rFonts w:ascii="Arial" w:cs="Arial" w:eastAsia="Arial" w:hAnsi="Arial"/>
          <w:sz w:val="18"/>
          <w:szCs w:val="18"/>
          <w:color w:val="auto"/>
        </w:rPr>
        <w:t xml:space="preserve">, No. </w:t>
      </w:r>
      <w:r>
        <w:rPr>
          <w:rFonts w:ascii="Arial" w:cs="Arial" w:eastAsia="Arial" w:hAnsi="Arial"/>
          <w:sz w:val="18"/>
          <w:szCs w:val="18"/>
          <w:b w:val="1"/>
          <w:bCs w:val="1"/>
          <w:color w:val="auto"/>
        </w:rPr>
        <w:t>333-212705</w:t>
      </w:r>
      <w:r>
        <w:rPr>
          <w:rFonts w:ascii="Arial" w:cs="Arial" w:eastAsia="Arial" w:hAnsi="Arial"/>
          <w:sz w:val="18"/>
          <w:szCs w:val="18"/>
          <w:color w:val="auto"/>
        </w:rPr>
        <w:t xml:space="preserve"> , and </w:t>
      </w:r>
      <w:r>
        <w:rPr>
          <w:rFonts w:ascii="Arial" w:cs="Arial" w:eastAsia="Arial" w:hAnsi="Arial"/>
          <w:sz w:val="18"/>
          <w:szCs w:val="18"/>
          <w:b w:val="1"/>
          <w:bCs w:val="1"/>
          <w:color w:val="auto"/>
        </w:rPr>
        <w:t>333-217483</w:t>
      </w:r>
      <w:r>
        <w:rPr>
          <w:rFonts w:ascii="Arial" w:cs="Arial" w:eastAsia="Arial" w:hAnsi="Arial"/>
          <w:sz w:val="18"/>
          <w:szCs w:val="18"/>
          <w:color w:val="auto"/>
        </w:rPr>
        <w:t>.</w:t>
      </w:r>
    </w:p>
    <w:p>
      <w:pPr>
        <w:spacing w:after="0" w:line="1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24, 2019 related to our review of interim financial information.</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ectPr>
          <w:pgSz w:w="11900" w:h="16838" w:orient="portrait"/>
          <w:cols w:equalWidth="0" w:num="1">
            <w:col w:w="11420"/>
          </w:cols>
          <w:pgMar w:left="240" w:top="598" w:right="239" w:bottom="1440" w:gutter="0" w:footer="0" w:header="0"/>
          <w:type w:val="continuous"/>
        </w:sectPr>
      </w:pPr>
    </w:p>
    <w:bookmarkStart w:id="39" w:name="page40"/>
    <w:bookmarkEnd w:id="39"/>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2019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79" w:right="279" w:bottom="1440" w:gutter="0" w:footer="0" w:header="0"/>
        </w:sectPr>
      </w:pPr>
    </w:p>
    <w:bookmarkStart w:id="40" w:name="page41"/>
    <w:bookmarkEnd w:id="40"/>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2019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79" w:right="279" w:bottom="1440" w:gutter="0" w:footer="0" w:header="0"/>
        </w:sectPr>
      </w:pPr>
    </w:p>
    <w:bookmarkStart w:id="41" w:name="page42"/>
    <w:bookmarkEnd w:id="41"/>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2019, of T. Rowe Price Group, Inc., that:</w:t>
      </w:r>
    </w:p>
    <w:p>
      <w:pPr>
        <w:spacing w:after="0" w:line="142" w:lineRule="exact"/>
        <w:rPr>
          <w:sz w:val="20"/>
          <w:szCs w:val="20"/>
          <w:color w:val="auto"/>
        </w:rPr>
      </w:pPr>
    </w:p>
    <w:p>
      <w:pPr>
        <w:ind w:firstLine="8"/>
        <w:spacing w:after="0" w:line="262"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42" w:lineRule="exact"/>
        <w:rPr>
          <w:rFonts w:ascii="Arial" w:cs="Arial" w:eastAsia="Arial" w:hAnsi="Arial"/>
          <w:sz w:val="18"/>
          <w:szCs w:val="18"/>
          <w:color w:val="auto"/>
        </w:rPr>
      </w:pPr>
    </w:p>
    <w:p>
      <w:pPr>
        <w:ind w:right="220" w:firstLine="8"/>
        <w:spacing w:after="0" w:line="262"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00"/>
          </w:cols>
          <w:pgMar w:left="240" w:top="679" w:right="2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5866130" cy="548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54864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FIRST QUARTER 2019 RESULTS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BALTIMORE (April 24, 2019) - T. Rowe Price Group, Inc. (NASDAQ-GS: TROW) today reported its results for the first quarter of 2019.</w:t>
      </w:r>
    </w:p>
    <w:p>
      <w:pPr>
        <w:spacing w:after="0" w:line="9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the quarter at $1.082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$1.3 billion for Q1 2019</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$2.09 for Q1 2019</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$1.87 for Q1 2019</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inflows of $5.4 billion for Q1 2019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4875" cy="3447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54875" cy="344741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12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7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(in millions, except per-share data)</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3/31/2019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3/31/2018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 change</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40" w:type="dxa"/>
            <w:vAlign w:val="bottom"/>
            <w:gridSpan w:val="4"/>
          </w:tcPr>
          <w:p>
            <w:pPr>
              <w:spacing w:after="0"/>
              <w:rPr>
                <w:sz w:val="20"/>
                <w:szCs w:val="20"/>
                <w:color w:val="auto"/>
              </w:rPr>
            </w:pPr>
            <w:r>
              <w:rPr>
                <w:rFonts w:ascii="Arial" w:cs="Arial" w:eastAsia="Arial" w:hAnsi="Arial"/>
                <w:sz w:val="15"/>
                <w:szCs w:val="15"/>
                <w:b w:val="1"/>
                <w:bCs w:val="1"/>
                <w:color w:val="auto"/>
              </w:rPr>
              <w:t>U.S. GAAP basis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Investment advisory fees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1,194.2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1,189.2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7540" w:type="dxa"/>
            <w:vAlign w:val="bottom"/>
            <w:gridSpan w:val="4"/>
          </w:tcPr>
          <w:p>
            <w:pPr>
              <w:spacing w:after="0"/>
              <w:rPr>
                <w:sz w:val="20"/>
                <w:szCs w:val="20"/>
                <w:color w:val="auto"/>
              </w:rPr>
            </w:pPr>
            <w:r>
              <w:rPr>
                <w:rFonts w:ascii="Arial" w:cs="Arial" w:eastAsia="Arial" w:hAnsi="Arial"/>
                <w:sz w:val="15"/>
                <w:szCs w:val="15"/>
                <w:color w:val="auto"/>
              </w:rPr>
              <w:t>Net revenues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1,327.3</w:t>
            </w:r>
          </w:p>
        </w:tc>
        <w:tc>
          <w:tcPr>
            <w:tcW w:w="1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1,328.0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794.8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744.2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7540" w:type="dxa"/>
            <w:vAlign w:val="bottom"/>
            <w:gridSpan w:val="4"/>
          </w:tcPr>
          <w:p>
            <w:pPr>
              <w:spacing w:after="0"/>
              <w:rPr>
                <w:sz w:val="20"/>
                <w:szCs w:val="20"/>
                <w:color w:val="auto"/>
              </w:rPr>
            </w:pPr>
            <w:r>
              <w:rPr>
                <w:rFonts w:ascii="Arial" w:cs="Arial" w:eastAsia="Arial" w:hAnsi="Arial"/>
                <w:sz w:val="15"/>
                <w:szCs w:val="15"/>
                <w:color w:val="auto"/>
              </w:rPr>
              <w:t>Net operating income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532.5</w:t>
            </w:r>
          </w:p>
        </w:tc>
        <w:tc>
          <w:tcPr>
            <w:tcW w:w="1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583.8</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Non-operating income</w:t>
            </w:r>
            <w:r>
              <w:rPr>
                <w:rFonts w:ascii="Arial" w:cs="Arial" w:eastAsia="Arial" w:hAnsi="Arial"/>
                <w:sz w:val="12"/>
                <w:szCs w:val="12"/>
                <w:color w:val="auto"/>
              </w:rPr>
              <w:t>(1)</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5"/>
                <w:szCs w:val="15"/>
                <w:color w:val="auto"/>
              </w:rPr>
              <w:t>Net income attributable to T. Rowe Price Group</w:t>
            </w: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512.6</w:t>
            </w:r>
          </w:p>
        </w:tc>
        <w:tc>
          <w:tcPr>
            <w:tcW w:w="120" w:type="dxa"/>
            <w:vAlign w:val="bottom"/>
          </w:tcPr>
          <w:p>
            <w:pPr>
              <w:spacing w:after="0"/>
              <w:rPr>
                <w:sz w:val="18"/>
                <w:szCs w:val="18"/>
                <w:color w:val="auto"/>
              </w:rPr>
            </w:pP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453.7</w:t>
            </w:r>
          </w:p>
        </w:tc>
        <w:tc>
          <w:tcPr>
            <w:tcW w:w="1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13.0 %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5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Diluted earnings per common share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7540" w:type="dxa"/>
            <w:vAlign w:val="bottom"/>
            <w:gridSpan w:val="4"/>
          </w:tcPr>
          <w:p>
            <w:pPr>
              <w:spacing w:after="0"/>
              <w:rPr>
                <w:sz w:val="20"/>
                <w:szCs w:val="20"/>
                <w:color w:val="auto"/>
              </w:rPr>
            </w:pPr>
            <w:r>
              <w:rPr>
                <w:rFonts w:ascii="Arial" w:cs="Arial" w:eastAsia="Arial" w:hAnsi="Arial"/>
                <w:sz w:val="15"/>
                <w:szCs w:val="15"/>
                <w:color w:val="auto"/>
              </w:rPr>
              <w:t>Weighted average common shares outstanding assuming dilution</w:t>
            </w:r>
          </w:p>
        </w:tc>
        <w:tc>
          <w:tcPr>
            <w:tcW w:w="18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249.8</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540" w:type="dxa"/>
            <w:vAlign w:val="bottom"/>
            <w:gridSpan w:val="4"/>
          </w:tcPr>
          <w:p>
            <w:pPr>
              <w:spacing w:after="0" w:line="87" w:lineRule="exact"/>
              <w:rPr>
                <w:sz w:val="20"/>
                <w:szCs w:val="20"/>
                <w:color w:val="auto"/>
              </w:rPr>
            </w:pPr>
            <w:r>
              <w:rPr>
                <w:rFonts w:ascii="Arial" w:cs="Arial" w:eastAsia="Arial" w:hAnsi="Arial"/>
                <w:sz w:val="10"/>
                <w:szCs w:val="10"/>
                <w:b w:val="1"/>
                <w:bCs w:val="1"/>
                <w:color w:val="auto"/>
              </w:rPr>
              <w:t>Adjusted-non-GAAP basis</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7580" w:type="dxa"/>
            <w:vAlign w:val="bottom"/>
            <w:gridSpan w:val="5"/>
          </w:tcPr>
          <w:p>
            <w:pPr>
              <w:jc w:val="right"/>
              <w:ind w:right="5460"/>
              <w:spacing w:after="0" w:line="143" w:lineRule="exact"/>
              <w:rPr>
                <w:sz w:val="20"/>
                <w:szCs w:val="20"/>
                <w:color w:val="auto"/>
              </w:rPr>
            </w:pPr>
            <w:r>
              <w:rPr>
                <w:rFonts w:ascii="Arial" w:cs="Arial" w:eastAsia="Arial" w:hAnsi="Arial"/>
                <w:sz w:val="13"/>
                <w:szCs w:val="13"/>
                <w:b w:val="1"/>
                <w:bCs w:val="1"/>
                <w:color w:val="auto"/>
              </w:rPr>
              <w:t>(2)</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741.0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7540" w:type="dxa"/>
            <w:vAlign w:val="bottom"/>
            <w:gridSpan w:val="4"/>
          </w:tcPr>
          <w:p>
            <w:pPr>
              <w:spacing w:after="0"/>
              <w:rPr>
                <w:sz w:val="20"/>
                <w:szCs w:val="20"/>
                <w:color w:val="auto"/>
              </w:rPr>
            </w:pPr>
            <w:r>
              <w:rPr>
                <w:rFonts w:ascii="Arial" w:cs="Arial" w:eastAsia="Arial" w:hAnsi="Arial"/>
                <w:sz w:val="15"/>
                <w:szCs w:val="15"/>
                <w:color w:val="auto"/>
              </w:rPr>
              <w:t>Net income attributable to T. Rowe Price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460.6</w:t>
            </w:r>
          </w:p>
        </w:tc>
        <w:tc>
          <w:tcPr>
            <w:tcW w:w="1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445.6</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Diluted earnings per common share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0" w:type="dxa"/>
            <w:vAlign w:val="bottom"/>
            <w:tcBorders>
              <w:top w:val="single" w:sz="8" w:color="CCEEFF"/>
            </w:tcBorders>
          </w:tcPr>
          <w:p>
            <w:pPr>
              <w:spacing w:after="0"/>
              <w:rPr>
                <w:sz w:val="23"/>
                <w:szCs w:val="23"/>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Average AUM</w:t>
            </w:r>
          </w:p>
        </w:tc>
        <w:tc>
          <w:tcPr>
            <w:tcW w:w="55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rPr>
              <w:t>1,043.5</w:t>
            </w: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rPr>
              <w:t>1,025.5</w:t>
            </w:r>
          </w:p>
        </w:tc>
        <w:tc>
          <w:tcPr>
            <w:tcW w:w="1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1.8 %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Ending AUM</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1,081.7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1,014.2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The percentage change in non-operating income is not meaningful (n/m).</w:t>
      </w:r>
    </w:p>
    <w:p>
      <w:pPr>
        <w:spacing w:after="0" w:line="6" w:lineRule="exact"/>
        <w:rPr>
          <w:rFonts w:ascii="Arial" w:cs="Arial" w:eastAsia="Arial" w:hAnsi="Arial"/>
          <w:sz w:val="9"/>
          <w:szCs w:val="9"/>
          <w:i w:val="1"/>
          <w:iCs w:val="1"/>
          <w:color w:val="auto"/>
        </w:rPr>
      </w:pPr>
    </w:p>
    <w:p>
      <w:pPr>
        <w:ind w:left="180" w:right="120" w:hanging="172"/>
        <w:spacing w:after="0"/>
        <w:tabs>
          <w:tab w:leader="none" w:pos="163"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The firm believes the non-GAAP financial measures provide relevant and meaningful information to investors about its core operating results. See the reconciliation to the comparable U.S. GAAP measures at the end of this earnings release.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1440"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Management Commentary</w:t>
      </w:r>
    </w:p>
    <w:p>
      <w:pPr>
        <w:spacing w:after="0" w:line="85" w:lineRule="exact"/>
        <w:rPr>
          <w:sz w:val="20"/>
          <w:szCs w:val="20"/>
          <w:color w:val="auto"/>
        </w:rPr>
      </w:pPr>
    </w:p>
    <w:p>
      <w:pPr>
        <w:ind w:right="180"/>
        <w:spacing w:after="0" w:line="365" w:lineRule="auto"/>
        <w:rPr>
          <w:sz w:val="20"/>
          <w:szCs w:val="20"/>
          <w:color w:val="auto"/>
        </w:rPr>
      </w:pPr>
      <w:r>
        <w:rPr>
          <w:rFonts w:ascii="Arial" w:cs="Arial" w:eastAsia="Arial" w:hAnsi="Arial"/>
          <w:sz w:val="18"/>
          <w:szCs w:val="18"/>
          <w:color w:val="auto"/>
        </w:rPr>
        <w:t>William J. Stromberg, president and chief executive officer, commented: "The first quarter saw a strong recovery in the markets and investors partially returning from the sidelines after the volatility in December. Against this backdrop, we continued to deliver solid investment performance and financial results.</w:t>
      </w:r>
    </w:p>
    <w:p>
      <w:pPr>
        <w:spacing w:after="0" w:line="298" w:lineRule="exact"/>
        <w:rPr>
          <w:sz w:val="20"/>
          <w:szCs w:val="20"/>
          <w:color w:val="auto"/>
        </w:rPr>
      </w:pPr>
    </w:p>
    <w:p>
      <w:pPr>
        <w:spacing w:after="0" w:line="364" w:lineRule="auto"/>
        <w:rPr>
          <w:sz w:val="20"/>
          <w:szCs w:val="20"/>
          <w:color w:val="auto"/>
        </w:rPr>
      </w:pPr>
      <w:r>
        <w:rPr>
          <w:rFonts w:ascii="Arial" w:cs="Arial" w:eastAsia="Arial" w:hAnsi="Arial"/>
          <w:sz w:val="18"/>
          <w:szCs w:val="18"/>
          <w:color w:val="auto"/>
        </w:rPr>
        <w:t>“Strong recoveries in global stocks and bonds helped our assets under management grow to $1.082 trillion in the first quarter of 2019. We were pleased to see redemption activity decrease relative to the fourth quarter of 2018, as market volatility subsided. Our net flows were diversified, as the firm recorded positive cash flows across all geographies and asset classes. We remained opportunistic in our approach to share repurchases and bought back 2.5 million shares in the first quarter of 2019.</w:t>
      </w:r>
    </w:p>
    <w:p>
      <w:pPr>
        <w:spacing w:after="0" w:line="297" w:lineRule="exact"/>
        <w:rPr>
          <w:sz w:val="20"/>
          <w:szCs w:val="20"/>
          <w:color w:val="auto"/>
        </w:rPr>
      </w:pPr>
    </w:p>
    <w:p>
      <w:pPr>
        <w:ind w:right="40"/>
        <w:spacing w:after="0" w:line="365" w:lineRule="auto"/>
        <w:rPr>
          <w:sz w:val="20"/>
          <w:szCs w:val="20"/>
          <w:color w:val="auto"/>
        </w:rPr>
      </w:pPr>
      <w:r>
        <w:rPr>
          <w:rFonts w:ascii="Arial" w:cs="Arial" w:eastAsia="Arial" w:hAnsi="Arial"/>
          <w:sz w:val="18"/>
          <w:szCs w:val="18"/>
          <w:color w:val="auto"/>
        </w:rPr>
        <w:t>“Early April saw important news for the industry with the Securities and Exchange Commission (SEC) preliminarily approving the first semi-transparent exchange-traded fund (ETF), potentially giving investors access to active management in an ETF format. We remain very engaged with the SEC on our proposal for semi-transparent active ETFs and hope to continue to build upon our progress to date.</w:t>
      </w:r>
    </w:p>
    <w:p>
      <w:pPr>
        <w:spacing w:after="0" w:line="298" w:lineRule="exact"/>
        <w:rPr>
          <w:sz w:val="20"/>
          <w:szCs w:val="20"/>
          <w:color w:val="auto"/>
        </w:rPr>
      </w:pPr>
    </w:p>
    <w:p>
      <w:pPr>
        <w:ind w:right="140"/>
        <w:spacing w:after="0" w:line="365" w:lineRule="auto"/>
        <w:rPr>
          <w:sz w:val="20"/>
          <w:szCs w:val="20"/>
          <w:color w:val="auto"/>
        </w:rPr>
      </w:pPr>
      <w:r>
        <w:rPr>
          <w:rFonts w:ascii="Arial" w:cs="Arial" w:eastAsia="Arial" w:hAnsi="Arial"/>
          <w:sz w:val="18"/>
          <w:szCs w:val="18"/>
          <w:color w:val="auto"/>
        </w:rPr>
        <w:t>“Our focus on strategically investing for growth while carefully managing expenses remains unchanged. We continue to be pleased with our progress in executing our strategic plan across investment capabilities, products, distribution, and technology, as well as in driving operational efficiencies. Recent highlights include:</w:t>
      </w:r>
    </w:p>
    <w:p>
      <w:pPr>
        <w:spacing w:after="0" w:line="298" w:lineRule="exact"/>
        <w:rPr>
          <w:sz w:val="20"/>
          <w:szCs w:val="20"/>
          <w:color w:val="auto"/>
        </w:rPr>
      </w:pPr>
    </w:p>
    <w:p>
      <w:pPr>
        <w:ind w:left="660" w:right="140" w:hanging="328"/>
        <w:spacing w:after="0" w:line="364" w:lineRule="auto"/>
        <w:tabs>
          <w:tab w:leader="none" w:pos="660" w:val="left"/>
        </w:tabs>
        <w:numPr>
          <w:ilvl w:val="0"/>
          <w:numId w:val="20"/>
        </w:numPr>
        <w:rPr>
          <w:rFonts w:ascii="Arial" w:cs="Arial" w:eastAsia="Arial" w:hAnsi="Arial"/>
          <w:sz w:val="18"/>
          <w:szCs w:val="18"/>
          <w:b w:val="1"/>
          <w:bCs w:val="1"/>
          <w:color w:val="40AEFF"/>
        </w:rPr>
      </w:pPr>
      <w:r>
        <w:rPr>
          <w:rFonts w:ascii="Arial" w:cs="Arial" w:eastAsia="Arial" w:hAnsi="Arial"/>
          <w:sz w:val="18"/>
          <w:szCs w:val="18"/>
          <w:color w:val="auto"/>
        </w:rPr>
        <w:t>Investment Capabilities and Product - We recently finalized operational readiness of the new Model Portfolios Target Allocation Active Series, which will leverage existing multi-asset capabilities across seven risk-based portfolios as part of our managed accounts program. We also continue to add share classes to our SICAV, AUT, and OEIC lineups, in addition to carefully evaluating new strategies that will enable us to best meet our clients’ needs.</w:t>
      </w:r>
    </w:p>
    <w:p>
      <w:pPr>
        <w:spacing w:after="0" w:line="297" w:lineRule="exact"/>
        <w:rPr>
          <w:rFonts w:ascii="Arial" w:cs="Arial" w:eastAsia="Arial" w:hAnsi="Arial"/>
          <w:sz w:val="18"/>
          <w:szCs w:val="18"/>
          <w:b w:val="1"/>
          <w:bCs w:val="1"/>
          <w:color w:val="40AEFF"/>
        </w:rPr>
      </w:pPr>
    </w:p>
    <w:p>
      <w:pPr>
        <w:ind w:left="660" w:right="460" w:hanging="328"/>
        <w:spacing w:after="0" w:line="371" w:lineRule="auto"/>
        <w:tabs>
          <w:tab w:leader="none" w:pos="660" w:val="left"/>
        </w:tabs>
        <w:numPr>
          <w:ilvl w:val="0"/>
          <w:numId w:val="20"/>
        </w:numPr>
        <w:rPr>
          <w:rFonts w:ascii="Arial" w:cs="Arial" w:eastAsia="Arial" w:hAnsi="Arial"/>
          <w:sz w:val="18"/>
          <w:szCs w:val="18"/>
          <w:b w:val="1"/>
          <w:bCs w:val="1"/>
          <w:color w:val="40AEFF"/>
        </w:rPr>
      </w:pPr>
      <w:r>
        <w:rPr>
          <w:rFonts w:ascii="Arial" w:cs="Arial" w:eastAsia="Arial" w:hAnsi="Arial"/>
          <w:sz w:val="18"/>
          <w:szCs w:val="18"/>
          <w:color w:val="auto"/>
        </w:rPr>
        <w:t>Distribution Capabilities - We recently announced the alignment of our distribution teams into one Global Distribution unit to foster collaboration and innovation in support of enhanced client service and continued growth and diversification of the firm.</w:t>
      </w:r>
    </w:p>
    <w:p>
      <w:pPr>
        <w:spacing w:after="0" w:line="291" w:lineRule="exact"/>
        <w:rPr>
          <w:rFonts w:ascii="Arial" w:cs="Arial" w:eastAsia="Arial" w:hAnsi="Arial"/>
          <w:sz w:val="18"/>
          <w:szCs w:val="18"/>
          <w:b w:val="1"/>
          <w:bCs w:val="1"/>
          <w:color w:val="40AEFF"/>
        </w:rPr>
      </w:pPr>
    </w:p>
    <w:p>
      <w:pPr>
        <w:ind w:left="1960" w:right="40" w:hanging="980"/>
        <w:spacing w:after="0" w:line="363" w:lineRule="auto"/>
        <w:tabs>
          <w:tab w:leader="none" w:pos="1312" w:val="left"/>
        </w:tabs>
        <w:numPr>
          <w:ilvl w:val="1"/>
          <w:numId w:val="20"/>
        </w:numPr>
        <w:rPr>
          <w:rFonts w:ascii="Arial" w:cs="Arial" w:eastAsia="Arial" w:hAnsi="Arial"/>
          <w:sz w:val="18"/>
          <w:szCs w:val="18"/>
          <w:b w:val="1"/>
          <w:bCs w:val="1"/>
          <w:color w:val="40AEFF"/>
        </w:rPr>
      </w:pPr>
      <w:r>
        <w:rPr>
          <w:rFonts w:ascii="Arial" w:cs="Arial" w:eastAsia="Arial" w:hAnsi="Arial"/>
          <w:sz w:val="18"/>
          <w:szCs w:val="18"/>
          <w:color w:val="auto"/>
        </w:rPr>
        <w:t>Americas - In our U.S. Intermediary business, we are continuing to build out our broker-dealer channel and we remain pleased with our traction with no transaction fee platforms. We also continue to launch new tools and digital capabilities to support our Individual Investors and Retirement Plan Services clients. Finally, in the retirement space, we broadened our trust offering with the launch of the Large-Cap Growth Trust and the opening of a managed payout income class in the Retirement 2020 Trust, which offers an in-plan managed income solution, to all trust clients on April 1.</w:t>
      </w:r>
    </w:p>
    <w:p>
      <w:pPr>
        <w:spacing w:after="0" w:line="298" w:lineRule="exact"/>
        <w:rPr>
          <w:rFonts w:ascii="Arial" w:cs="Arial" w:eastAsia="Arial" w:hAnsi="Arial"/>
          <w:sz w:val="18"/>
          <w:szCs w:val="18"/>
          <w:b w:val="1"/>
          <w:bCs w:val="1"/>
          <w:color w:val="40AEFF"/>
        </w:rPr>
      </w:pPr>
    </w:p>
    <w:p>
      <w:pPr>
        <w:ind w:left="1960" w:right="240" w:hanging="980"/>
        <w:spacing w:after="0" w:line="371" w:lineRule="auto"/>
        <w:tabs>
          <w:tab w:leader="none" w:pos="1312" w:val="left"/>
        </w:tabs>
        <w:numPr>
          <w:ilvl w:val="1"/>
          <w:numId w:val="20"/>
        </w:numPr>
        <w:rPr>
          <w:rFonts w:ascii="Arial" w:cs="Arial" w:eastAsia="Arial" w:hAnsi="Arial"/>
          <w:sz w:val="18"/>
          <w:szCs w:val="18"/>
          <w:b w:val="1"/>
          <w:bCs w:val="1"/>
          <w:color w:val="40AEFF"/>
        </w:rPr>
      </w:pPr>
      <w:r>
        <w:rPr>
          <w:rFonts w:ascii="Arial" w:cs="Arial" w:eastAsia="Arial" w:hAnsi="Arial"/>
          <w:sz w:val="18"/>
          <w:szCs w:val="18"/>
          <w:color w:val="auto"/>
        </w:rPr>
        <w:t>EMEA and APAC - To capture additional opportunities in the Japanese market we expanded our Japanese Investment Trust offering with the launch of the new Global ex Japan Focused Growth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5" w:right="259" w:bottom="1440" w:gutter="0" w:footer="0" w:header="0"/>
        </w:sectPr>
      </w:pPr>
    </w:p>
    <w:bookmarkStart w:id="44" w:name="page45"/>
    <w:bookmarkEnd w:id="44"/>
    <w:p>
      <w:pPr>
        <w:ind w:left="1300" w:right="20"/>
        <w:spacing w:after="0" w:line="474" w:lineRule="auto"/>
        <w:rPr>
          <w:sz w:val="20"/>
          <w:szCs w:val="20"/>
          <w:color w:val="auto"/>
        </w:rPr>
      </w:pPr>
      <w:r>
        <w:rPr>
          <w:rFonts w:ascii="Arial" w:cs="Arial" w:eastAsia="Arial" w:hAnsi="Arial"/>
          <w:sz w:val="17"/>
          <w:szCs w:val="17"/>
          <w:color w:val="auto"/>
        </w:rPr>
        <w:t>Equity Fund, and have additional launches planned in the coming months. We continue to invest in EMEA and APAC, including client coverage, operating model build-out, and brand awareness as we look to build upon the progress made in 2018.</w:t>
      </w:r>
    </w:p>
    <w:p>
      <w:pPr>
        <w:spacing w:after="0" w:line="241" w:lineRule="exact"/>
        <w:rPr>
          <w:sz w:val="20"/>
          <w:szCs w:val="20"/>
          <w:color w:val="auto"/>
        </w:rPr>
      </w:pPr>
    </w:p>
    <w:p>
      <w:pPr>
        <w:ind w:right="240"/>
        <w:spacing w:after="0" w:line="365" w:lineRule="auto"/>
        <w:rPr>
          <w:sz w:val="20"/>
          <w:szCs w:val="20"/>
          <w:color w:val="auto"/>
        </w:rPr>
      </w:pPr>
      <w:r>
        <w:rPr>
          <w:rFonts w:ascii="Arial" w:cs="Arial" w:eastAsia="Arial" w:hAnsi="Arial"/>
          <w:sz w:val="18"/>
          <w:szCs w:val="18"/>
          <w:color w:val="auto"/>
        </w:rPr>
        <w:t>“While market performance is unpredictable, the hard work and dedication of our associates is unwavering. Our position remains strong, and our long-term approach to managing the business allows our teams to remain highly focused on delivering significant, durable value for our clients and stockholders over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ind w:right="180"/>
        <w:spacing w:after="0" w:line="364" w:lineRule="auto"/>
        <w:rPr>
          <w:sz w:val="20"/>
          <w:szCs w:val="20"/>
          <w:color w:val="auto"/>
        </w:rPr>
      </w:pPr>
      <w:r>
        <w:rPr>
          <w:rFonts w:ascii="Arial" w:cs="Arial" w:eastAsia="Arial" w:hAnsi="Arial"/>
          <w:sz w:val="18"/>
          <w:szCs w:val="18"/>
          <w:color w:val="auto"/>
        </w:rPr>
        <w:t>Assets under management increased $119.4 billion in the first quarter of 2019 to $1.082 trillion at March 31, 2019. The firm's net cash inflows were $5.4 billion in the first quarter of 2019. Clients transferred $6.1 billion in net assets from the U.S. mutual funds to other investment products, primarily the target-date trusts, in the first quarter of 2019. The components of the change in assets under management, by vehicle and asset class, are shown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0"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Three months ended 3/31/2019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color w:val="auto"/>
              </w:rPr>
              <w:t>Subadvised and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rPr>
              <w:t>U.S. mutual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rPr>
              <w:t>separate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8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rPr>
              <w:t>funds</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accounts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564.5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 transfers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Client transfers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after client transfers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Net market appreciation and income</w:t>
            </w:r>
          </w:p>
        </w:tc>
        <w:tc>
          <w:tcPr>
            <w:tcW w:w="1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7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reinvested</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980" w:type="dxa"/>
            <w:vAlign w:val="bottom"/>
          </w:tcPr>
          <w:p>
            <w:pPr>
              <w:ind w:left="40"/>
              <w:spacing w:after="0"/>
              <w:rPr>
                <w:sz w:val="20"/>
                <w:szCs w:val="20"/>
                <w:color w:val="auto"/>
              </w:rPr>
            </w:pPr>
            <w:r>
              <w:rPr>
                <w:rFonts w:ascii="Arial" w:cs="Arial" w:eastAsia="Arial" w:hAnsi="Arial"/>
                <w:sz w:val="16"/>
                <w:szCs w:val="16"/>
                <w:color w:val="auto"/>
              </w:rPr>
              <w:t>Assets under management at March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630.7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1,081.7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gridSpan w:val="6"/>
            <w:shd w:val="clear" w:color="auto" w:fill="CCEEFF"/>
          </w:tcPr>
          <w:p>
            <w:pPr>
              <w:ind w:left="60"/>
              <w:spacing w:after="0"/>
              <w:rPr>
                <w:sz w:val="20"/>
                <w:szCs w:val="20"/>
                <w:color w:val="auto"/>
              </w:rPr>
            </w:pPr>
            <w:r>
              <w:rPr>
                <w:rFonts w:ascii="Arial" w:cs="Arial" w:eastAsia="Arial" w:hAnsi="Arial"/>
                <w:sz w:val="14"/>
                <w:szCs w:val="14"/>
                <w:color w:val="auto"/>
              </w:rPr>
              <w:t>Three months ended 3/31/2019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color w:val="auto"/>
              </w:rPr>
              <w:t>including money</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8"/>
              </w:rPr>
              <w:t>Multi-asset</w:t>
            </w:r>
            <w:r>
              <w:rPr>
                <w:rFonts w:ascii="Arial" w:cs="Arial" w:eastAsia="Arial" w:hAnsi="Arial"/>
                <w:sz w:val="17"/>
                <w:szCs w:val="17"/>
                <w:color w:val="auto"/>
                <w:w w:val="98"/>
                <w:vertAlign w:val="superscript"/>
              </w:rPr>
              <w:t>(1)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rPr>
              <w:t>market</w:t>
            </w: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4"/>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539.9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136.1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market appreciation and income</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4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Assets under management at March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621.6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3810</wp:posOffset>
            </wp:positionV>
            <wp:extent cx="2821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1" w:lineRule="exact"/>
        <w:rPr>
          <w:rFonts w:ascii="Arial" w:cs="Arial" w:eastAsia="Arial" w:hAnsi="Arial"/>
          <w:sz w:val="9"/>
          <w:szCs w:val="9"/>
          <w:i w:val="1"/>
          <w:iCs w:val="1"/>
          <w:color w:val="auto"/>
        </w:rPr>
      </w:pPr>
    </w:p>
    <w:p>
      <w:pPr>
        <w:ind w:left="160" w:hanging="152"/>
        <w:spacing w:after="0"/>
        <w:tabs>
          <w:tab w:leader="none" w:pos="160" w:val="left"/>
        </w:tabs>
        <w:numPr>
          <w:ilvl w:val="0"/>
          <w:numId w:val="21"/>
        </w:numPr>
        <w:rPr>
          <w:rFonts w:ascii="Arial" w:cs="Arial" w:eastAsia="Arial" w:hAnsi="Arial"/>
          <w:sz w:val="9"/>
          <w:szCs w:val="9"/>
          <w:i w:val="1"/>
          <w:iCs w:val="1"/>
          <w:color w:val="auto"/>
        </w:rPr>
      </w:pPr>
      <w:r>
        <w:rPr>
          <w:rFonts w:ascii="Arial" w:cs="Arial" w:eastAsia="Arial" w:hAnsi="Arial"/>
          <w:sz w:val="13"/>
          <w:szCs w:val="13"/>
          <w:i w:val="1"/>
          <w:iCs w:val="1"/>
          <w:color w:val="auto"/>
        </w:rPr>
        <w:t>Reported net of distributions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-193675</wp:posOffset>
            </wp:positionV>
            <wp:extent cx="2821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4" w:lineRule="exact"/>
        <w:rPr>
          <w:sz w:val="20"/>
          <w:szCs w:val="20"/>
          <w:color w:val="auto"/>
        </w:rPr>
      </w:pPr>
    </w:p>
    <w:p>
      <w:pPr>
        <w:ind w:right="140"/>
        <w:spacing w:after="0" w:line="365" w:lineRule="auto"/>
        <w:rPr>
          <w:sz w:val="20"/>
          <w:szCs w:val="20"/>
          <w:color w:val="auto"/>
        </w:rPr>
      </w:pPr>
      <w:r>
        <w:rPr>
          <w:rFonts w:ascii="Arial" w:cs="Arial" w:eastAsia="Arial" w:hAnsi="Arial"/>
          <w:sz w:val="18"/>
          <w:szCs w:val="18"/>
          <w:color w:val="auto"/>
        </w:rPr>
        <w:t>The assets under management in the firm's target date retirement products, which are reported as part of the multi-asset column in the table above, were $257.8 billion at March 31, 2019, compared with $230.4 billion at December 31, 2018. Net cash inflows into these portfolios were $3.0 billion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2" w:right="239" w:bottom="1440" w:gutter="0" w:footer="0" w:header="0"/>
        </w:sectPr>
      </w:pPr>
    </w:p>
    <w:bookmarkStart w:id="45" w:name="page46"/>
    <w:bookmarkEnd w:id="45"/>
    <w:p>
      <w:pPr>
        <w:ind w:right="540"/>
        <w:spacing w:after="0" w:line="371" w:lineRule="auto"/>
        <w:rPr>
          <w:sz w:val="20"/>
          <w:szCs w:val="20"/>
          <w:color w:val="auto"/>
        </w:rPr>
      </w:pPr>
      <w:r>
        <w:rPr>
          <w:rFonts w:ascii="Arial" w:cs="Arial" w:eastAsia="Arial" w:hAnsi="Arial"/>
          <w:sz w:val="18"/>
          <w:szCs w:val="18"/>
          <w:color w:val="auto"/>
        </w:rPr>
        <w:t>Investors domiciled outside the United States accounted for 6.4% of the firm's assets under management at March 31, 2019 and 6.2% at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the first quarter of 2019 were $1.3 billion, virtually flat from the comparable 2018 quarter.</w:t>
      </w:r>
    </w:p>
    <w:p>
      <w:pPr>
        <w:spacing w:after="0" w:line="153" w:lineRule="exact"/>
        <w:rPr>
          <w:sz w:val="20"/>
          <w:szCs w:val="20"/>
          <w:color w:val="auto"/>
        </w:rPr>
      </w:pPr>
    </w:p>
    <w:p>
      <w:pPr>
        <w:ind w:left="660" w:right="200" w:hanging="328"/>
        <w:spacing w:after="0" w:line="380"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Investment advisory revenues earned in the first quarter of 2019 from the firm's U.S. mutual funds were $815.9 million, a decrease of 2.0% from the comparable 2018 quarter. Average assets under management in these funds for the first quarter of 2019 decreased</w:t>
      </w:r>
    </w:p>
    <w:p>
      <w:pPr>
        <w:spacing w:after="0" w:line="1" w:lineRule="exact"/>
        <w:rPr>
          <w:rFonts w:ascii="Arial" w:cs="Arial" w:eastAsia="Arial" w:hAnsi="Arial"/>
          <w:sz w:val="22"/>
          <w:szCs w:val="22"/>
          <w:color w:val="40AEFF"/>
        </w:rPr>
      </w:pPr>
    </w:p>
    <w:p>
      <w:pPr>
        <w:ind w:left="660"/>
        <w:spacing w:after="0"/>
        <w:rPr>
          <w:rFonts w:ascii="Arial" w:cs="Arial" w:eastAsia="Arial" w:hAnsi="Arial"/>
          <w:sz w:val="22"/>
          <w:szCs w:val="22"/>
          <w:color w:val="40AEFF"/>
        </w:rPr>
      </w:pPr>
      <w:r>
        <w:rPr>
          <w:rFonts w:ascii="Arial" w:cs="Arial" w:eastAsia="Arial" w:hAnsi="Arial"/>
          <w:sz w:val="18"/>
          <w:szCs w:val="18"/>
          <w:color w:val="auto"/>
        </w:rPr>
        <w:t>1.9% to $610.1 billion.</w:t>
      </w:r>
    </w:p>
    <w:p>
      <w:pPr>
        <w:spacing w:after="0" w:line="200" w:lineRule="exact"/>
        <w:rPr>
          <w:rFonts w:ascii="Arial" w:cs="Arial" w:eastAsia="Arial" w:hAnsi="Arial"/>
          <w:sz w:val="22"/>
          <w:szCs w:val="22"/>
          <w:color w:val="40AEFF"/>
        </w:rPr>
      </w:pPr>
    </w:p>
    <w:p>
      <w:pPr>
        <w:spacing w:after="0" w:line="268" w:lineRule="exact"/>
        <w:rPr>
          <w:rFonts w:ascii="Arial" w:cs="Arial" w:eastAsia="Arial" w:hAnsi="Arial"/>
          <w:sz w:val="22"/>
          <w:szCs w:val="22"/>
          <w:color w:val="40AEFF"/>
        </w:rPr>
      </w:pPr>
    </w:p>
    <w:p>
      <w:pPr>
        <w:ind w:left="660" w:right="200" w:hanging="328"/>
        <w:spacing w:after="0" w:line="385"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Investment advisory revenues earned in the first quarter of 2019 from subadvised and separate accounts as well as other investment products were $378.3 million, an increase of 6.2% from the comparable 2018 quarter. Average assets under management for these products increased 7.4% to $433.4 billion.</w:t>
      </w:r>
    </w:p>
    <w:p>
      <w:pPr>
        <w:spacing w:after="0" w:line="334" w:lineRule="exact"/>
        <w:rPr>
          <w:rFonts w:ascii="Arial" w:cs="Arial" w:eastAsia="Arial" w:hAnsi="Arial"/>
          <w:sz w:val="22"/>
          <w:szCs w:val="22"/>
          <w:color w:val="40AEFF"/>
        </w:rPr>
      </w:pPr>
    </w:p>
    <w:p>
      <w:pPr>
        <w:ind w:left="660" w:right="200" w:hanging="328"/>
        <w:spacing w:after="0" w:line="403"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The effective fee rate of 46.4 basis points in the first quarter of 2019 was unchanged from the fourth quarter of 2018, though lower compared with the 47.0 basis points in the first quarter of 2018. The decline in the effective fee rate from the first quarter of 2018 was primarily due to client transfers to lower fee vehicles or share classes over the last twelve months. Over time, the firm's effective fee rate can be impacted by market or cash flow related shifts among asset and share classes, price changes in existing products, and asset level changes in products with tiered-fee structures.</w:t>
      </w:r>
    </w:p>
    <w:p>
      <w:pPr>
        <w:spacing w:after="0" w:line="318" w:lineRule="exact"/>
        <w:rPr>
          <w:rFonts w:ascii="Arial" w:cs="Arial" w:eastAsia="Arial" w:hAnsi="Arial"/>
          <w:sz w:val="22"/>
          <w:szCs w:val="22"/>
          <w:color w:val="40AEFF"/>
        </w:rPr>
      </w:pPr>
    </w:p>
    <w:p>
      <w:pPr>
        <w:ind w:left="660" w:right="540" w:hanging="328"/>
        <w:spacing w:after="0" w:line="385"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the first quarter of 2019 were $133.1 million, a decrease of $5.7 million from the comparable 2018 quarter. The decrease was primarily attributable to lower assets under management in the U.S. mutual funds resulting from client transfers to lower fee vehicles and share classes.</w:t>
      </w:r>
    </w:p>
    <w:p>
      <w:pPr>
        <w:spacing w:after="0" w:line="286" w:lineRule="exact"/>
        <w:rPr>
          <w:sz w:val="20"/>
          <w:szCs w:val="20"/>
          <w:color w:val="auto"/>
        </w:rPr>
      </w:pPr>
    </w:p>
    <w:p>
      <w:pPr>
        <w:ind w:right="40"/>
        <w:spacing w:after="0" w:line="368"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$794.8 million in the first quarter of 2019 compared with $744.2 million in the first quarter of 2018.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for the first quarter of 2019 was primarily due to the firm's continued strategic investments, as well as higher compensation expense related to the supplemental savings plan as markets rebounded strongly in the first quarter of 2019. The higher expense related to the supplemental savings plan is partially offset by the non-operating gains earned on the investments used to hedge the related liability.</w:t>
      </w:r>
    </w:p>
    <w:p>
      <w:pPr>
        <w:ind w:left="660" w:hanging="328"/>
        <w:spacing w:after="0" w:line="226" w:lineRule="auto"/>
        <w:tabs>
          <w:tab w:leader="none" w:pos="660" w:val="left"/>
        </w:tabs>
        <w:numPr>
          <w:ilvl w:val="0"/>
          <w:numId w:val="23"/>
        </w:numPr>
        <w:rPr>
          <w:rFonts w:ascii="Arial" w:cs="Arial" w:eastAsia="Arial" w:hAnsi="Arial"/>
          <w:sz w:val="22"/>
          <w:szCs w:val="22"/>
          <w:color w:val="40AEFF"/>
        </w:rPr>
      </w:pPr>
      <w:r>
        <w:rPr>
          <w:rFonts w:ascii="Arial" w:cs="Arial" w:eastAsia="Arial" w:hAnsi="Arial"/>
          <w:sz w:val="18"/>
          <w:szCs w:val="18"/>
          <w:color w:val="auto"/>
        </w:rPr>
        <w:t>On a non-GAAP basis, the firm's operating expenses in the first quarter of 2019 increased 2.1% to</w:t>
      </w:r>
    </w:p>
    <w:p>
      <w:pPr>
        <w:spacing w:after="0" w:line="121" w:lineRule="exact"/>
        <w:rPr>
          <w:rFonts w:ascii="Arial" w:cs="Arial" w:eastAsia="Arial" w:hAnsi="Arial"/>
          <w:sz w:val="22"/>
          <w:szCs w:val="22"/>
          <w:color w:val="40AEFF"/>
        </w:rPr>
      </w:pPr>
    </w:p>
    <w:p>
      <w:pPr>
        <w:ind w:left="660"/>
        <w:spacing w:after="0" w:line="363" w:lineRule="auto"/>
        <w:rPr>
          <w:rFonts w:ascii="Arial" w:cs="Arial" w:eastAsia="Arial" w:hAnsi="Arial"/>
          <w:sz w:val="22"/>
          <w:szCs w:val="22"/>
          <w:color w:val="40AEFF"/>
        </w:rPr>
      </w:pPr>
      <w:r>
        <w:rPr>
          <w:rFonts w:ascii="Arial" w:cs="Arial" w:eastAsia="Arial" w:hAnsi="Arial"/>
          <w:sz w:val="18"/>
          <w:szCs w:val="18"/>
          <w:color w:val="auto"/>
        </w:rPr>
        <w:t>$756.6 million compared with the 2018 quarter. The firm currently expects its 2019 non-GAAP operating expense growth to be in the range of 4% to 7%. This range factors in continued investments in the business, the firm's cost optimization efforts, and the phased implementation of paying for all third-party investment research. We currently expect all third-party investment research costs to be fully accounted for in the firm's 2020 operating expenses. The firm could elect to adjust its expense growth should unforeseen circumstances arise, including significant market movements.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5" w:right="239" w:bottom="1440" w:gutter="0" w:footer="0" w:header="0"/>
        </w:sectPr>
      </w:pPr>
    </w:p>
    <w:bookmarkStart w:id="46" w:name="page47"/>
    <w:bookmarkEnd w:id="46"/>
    <w:p>
      <w:pPr>
        <w:ind w:left="660" w:right="120" w:hanging="328"/>
        <w:spacing w:after="0" w:line="405"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$491.5 million in the first quarter of 2019, an increase of 11.4% over the first quarter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compensation expense relative to the first quarter of 2018 was primarily related to the $34.2 million in higher expense related to the supplemental savings plan along with an increase in salaries and benefits from higher average headcount. The firm's average staff size increased 2.4% from the first quarter of 2018. The firm employed 7,102 associates at March 31, 2019.</w:t>
      </w:r>
    </w:p>
    <w:p>
      <w:pPr>
        <w:spacing w:after="0" w:line="199" w:lineRule="exact"/>
        <w:rPr>
          <w:rFonts w:ascii="Arial" w:cs="Arial" w:eastAsia="Arial" w:hAnsi="Arial"/>
          <w:sz w:val="22"/>
          <w:szCs w:val="22"/>
          <w:color w:val="40AEFF"/>
        </w:rPr>
      </w:pPr>
    </w:p>
    <w:p>
      <w:pPr>
        <w:ind w:left="660" w:right="60" w:hanging="328"/>
        <w:spacing w:after="0" w:line="397"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 </w:t>
      </w:r>
      <w:r>
        <w:rPr>
          <w:rFonts w:ascii="Arial" w:cs="Arial" w:eastAsia="Arial" w:hAnsi="Arial"/>
          <w:sz w:val="18"/>
          <w:szCs w:val="18"/>
          <w:color w:val="auto"/>
        </w:rPr>
        <w:t>was $21.6 million in the first quarter of 2019, a decrease of 12.2% from the $24.6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the first quarter of 2018. The decrease from the 2018 quarter was primarily a result of market uncertainty leading into the first quarter of 2019 and related timing of spend.</w:t>
      </w:r>
    </w:p>
    <w:p>
      <w:pPr>
        <w:spacing w:after="0" w:line="192" w:lineRule="exact"/>
        <w:rPr>
          <w:rFonts w:ascii="Arial" w:cs="Arial" w:eastAsia="Arial" w:hAnsi="Arial"/>
          <w:sz w:val="22"/>
          <w:szCs w:val="22"/>
          <w:color w:val="40AEFF"/>
        </w:rPr>
      </w:pPr>
    </w:p>
    <w:p>
      <w:pPr>
        <w:ind w:left="660" w:hanging="328"/>
        <w:spacing w:after="0"/>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$98.1 million in the first quarter of 2019, an increase of 4.3% compared with the</w:t>
      </w:r>
    </w:p>
    <w:p>
      <w:pPr>
        <w:spacing w:after="0" w:line="147" w:lineRule="exact"/>
        <w:rPr>
          <w:rFonts w:ascii="Arial" w:cs="Arial" w:eastAsia="Arial" w:hAnsi="Arial"/>
          <w:sz w:val="22"/>
          <w:szCs w:val="22"/>
          <w:color w:val="40AEFF"/>
        </w:rPr>
      </w:pPr>
    </w:p>
    <w:p>
      <w:pPr>
        <w:ind w:left="660" w:right="140"/>
        <w:spacing w:after="0" w:line="434" w:lineRule="auto"/>
        <w:rPr>
          <w:rFonts w:ascii="Arial" w:cs="Arial" w:eastAsia="Arial" w:hAnsi="Arial"/>
          <w:sz w:val="22"/>
          <w:szCs w:val="22"/>
          <w:color w:val="40AEFF"/>
        </w:rPr>
      </w:pPr>
      <w:r>
        <w:rPr>
          <w:rFonts w:ascii="Arial" w:cs="Arial" w:eastAsia="Arial" w:hAnsi="Arial"/>
          <w:sz w:val="18"/>
          <w:szCs w:val="18"/>
          <w:color w:val="auto"/>
        </w:rPr>
        <w:t>$94.1 million recognized in the first quarter of 2018. The increase was due primarily to incremental investment in the firm's technology capabilities, including related depreciation, hosted solution licenses, and maintenance programs.</w:t>
      </w:r>
    </w:p>
    <w:p>
      <w:pPr>
        <w:spacing w:after="0" w:line="174" w:lineRule="exact"/>
        <w:rPr>
          <w:rFonts w:ascii="Arial" w:cs="Arial" w:eastAsia="Arial" w:hAnsi="Arial"/>
          <w:sz w:val="22"/>
          <w:szCs w:val="22"/>
          <w:color w:val="40AEFF"/>
        </w:rPr>
      </w:pPr>
    </w:p>
    <w:p>
      <w:pPr>
        <w:ind w:left="660" w:right="20" w:hanging="328"/>
        <w:spacing w:after="0" w:line="397"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$73.0 million in the first quarter of 2019, an increase of 1.8% compared with the $71.7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recognized in the first quarter of 2018. The change was primarily a result of higher third-party investment research costs that were partially offset by lower professional fees.</w:t>
      </w:r>
    </w:p>
    <w:p>
      <w:pPr>
        <w:spacing w:after="0" w:line="274" w:lineRule="exact"/>
        <w:rPr>
          <w:sz w:val="20"/>
          <w:szCs w:val="20"/>
          <w:color w:val="auto"/>
        </w:rPr>
      </w:pPr>
    </w:p>
    <w:p>
      <w:pPr>
        <w:ind w:right="160"/>
        <w:spacing w:after="0" w:line="366" w:lineRule="auto"/>
        <w:rPr>
          <w:sz w:val="20"/>
          <w:szCs w:val="20"/>
          <w:color w:val="auto"/>
        </w:rPr>
      </w:pPr>
      <w:r>
        <w:rPr>
          <w:rFonts w:ascii="Arial" w:cs="Arial" w:eastAsia="Arial" w:hAnsi="Arial"/>
          <w:sz w:val="18"/>
          <w:szCs w:val="18"/>
          <w:b w:val="1"/>
          <w:bCs w:val="1"/>
          <w:color w:val="auto"/>
        </w:rPr>
        <w:t xml:space="preserve">Non-operating income </w:t>
      </w:r>
      <w:r>
        <w:rPr>
          <w:rFonts w:ascii="Arial" w:cs="Arial" w:eastAsia="Arial" w:hAnsi="Arial"/>
          <w:sz w:val="18"/>
          <w:szCs w:val="18"/>
          <w:color w:val="auto"/>
        </w:rPr>
        <w:t>was $202.8 million in the first quarter of 2019, as strong equity markets led to significant net gains in our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compared with net gains of $16.1 million recognized in the comparable 2018 quarter. The firm's consolidated investment products comprised a little more than half of the net gains recognized during the first quarter of 2019, while the firm's non-consolidated investments, including its cash and discretionary investments and those used to hedge the supplemental savings plan liability, comprised the remaining net gains. The firm recognized $44.2 million in net gains during the first quarter of 2019 related to its non-consolidated cash and discretionary investments portfolio. The components of non-operating income for the first quarter of 2019 and 2018 are included in the tables at the end of this release.</w:t>
      </w:r>
    </w:p>
    <w:p>
      <w:pPr>
        <w:spacing w:after="0" w:line="275" w:lineRule="exact"/>
        <w:rPr>
          <w:sz w:val="20"/>
          <w:szCs w:val="20"/>
          <w:color w:val="auto"/>
        </w:rPr>
      </w:pPr>
    </w:p>
    <w:p>
      <w:pPr>
        <w:ind w:right="520"/>
        <w:spacing w:after="0" w:line="39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for the first quarter of 2019 was 24.7% compared with 24.1% for the first quarter of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reconciles the statutory federal income tax rate to the firm's effective tax rate for the first quarter of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8"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26035</wp:posOffset>
            </wp:positionV>
            <wp:extent cx="1800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400" w:val="left"/>
        </w:tabs>
        <w:rPr>
          <w:sz w:val="20"/>
          <w:szCs w:val="20"/>
          <w:color w:val="auto"/>
        </w:rPr>
      </w:pPr>
      <w:r>
        <w:rPr>
          <w:rFonts w:ascii="Arial" w:cs="Arial" w:eastAsia="Arial" w:hAnsi="Arial"/>
          <w:sz w:val="14"/>
          <w:szCs w:val="14"/>
          <w:b w:val="1"/>
          <w:bCs w:val="1"/>
          <w:color w:val="auto"/>
        </w:rPr>
        <w:t>3/31/2019</w:t>
      </w:r>
      <w:r>
        <w:rPr>
          <w:sz w:val="20"/>
          <w:szCs w:val="20"/>
          <w:color w:val="auto"/>
        </w:rPr>
        <w:tab/>
      </w:r>
      <w:r>
        <w:rPr>
          <w:rFonts w:ascii="Arial" w:cs="Arial" w:eastAsia="Arial" w:hAnsi="Arial"/>
          <w:sz w:val="14"/>
          <w:szCs w:val="14"/>
          <w:b w:val="1"/>
          <w:bCs w:val="1"/>
          <w:color w:val="auto"/>
        </w:rPr>
        <w:t>3/31/2018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Statutory U.S. federal income tax rate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redeemable non-controlling interests</w:t>
      </w:r>
    </w:p>
    <w:p>
      <w:pPr>
        <w:spacing w:after="0" w:line="86" w:lineRule="exact"/>
        <w:rPr>
          <w:sz w:val="20"/>
          <w:szCs w:val="20"/>
          <w:color w:val="auto"/>
        </w:rPr>
      </w:pPr>
    </w:p>
    <w:p>
      <w:pPr>
        <w:ind w:left="40" w:right="2840"/>
        <w:spacing w:after="0" w:line="366" w:lineRule="auto"/>
        <w:rPr>
          <w:sz w:val="20"/>
          <w:szCs w:val="20"/>
          <w:color w:val="auto"/>
        </w:rPr>
      </w:pPr>
      <w:r>
        <w:rPr>
          <w:rFonts w:ascii="Arial" w:cs="Arial" w:eastAsia="Arial" w:hAnsi="Arial"/>
          <w:sz w:val="16"/>
          <w:szCs w:val="16"/>
          <w:color w:val="auto"/>
        </w:rPr>
        <w:t>Net excess tax benefits from stock-based compensation plans activity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Effective income tax rate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jc w:val="right"/>
              <w:ind w:right="419"/>
              <w:spacing w:after="0"/>
              <w:rPr>
                <w:sz w:val="20"/>
                <w:szCs w:val="20"/>
                <w:color w:val="auto"/>
              </w:rPr>
            </w:pPr>
            <w:r>
              <w:rPr>
                <w:rFonts w:ascii="Arial" w:cs="Arial" w:eastAsia="Arial" w:hAnsi="Arial"/>
                <w:sz w:val="16"/>
                <w:szCs w:val="16"/>
                <w:color w:val="auto"/>
              </w:rPr>
              <w:t>21.0 %</w:t>
            </w:r>
          </w:p>
        </w:tc>
        <w:tc>
          <w:tcPr>
            <w:tcW w:w="102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70"/>
        </w:trPr>
        <w:tc>
          <w:tcPr>
            <w:tcW w:w="1820" w:type="dxa"/>
            <w:vAlign w:val="bottom"/>
          </w:tcPr>
          <w:p>
            <w:pPr>
              <w:jc w:val="right"/>
              <w:ind w:right="599"/>
              <w:spacing w:after="0"/>
              <w:rPr>
                <w:sz w:val="20"/>
                <w:szCs w:val="20"/>
                <w:color w:val="auto"/>
              </w:rPr>
            </w:pPr>
            <w:r>
              <w:rPr>
                <w:rFonts w:ascii="Arial" w:cs="Arial" w:eastAsia="Arial" w:hAnsi="Arial"/>
                <w:sz w:val="16"/>
                <w:szCs w:val="16"/>
                <w:color w:val="auto"/>
              </w:rPr>
              <w:t>4.2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5.1</w:t>
            </w:r>
          </w:p>
        </w:tc>
      </w:tr>
      <w:tr>
        <w:trPr>
          <w:trHeight w:val="270"/>
        </w:trPr>
        <w:tc>
          <w:tcPr>
            <w:tcW w:w="182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w:t>
            </w:r>
          </w:p>
        </w:tc>
      </w:tr>
      <w:tr>
        <w:trPr>
          <w:trHeight w:val="270"/>
        </w:trPr>
        <w:tc>
          <w:tcPr>
            <w:tcW w:w="182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(2.1)</w:t>
            </w:r>
          </w:p>
        </w:tc>
      </w:tr>
      <w:tr>
        <w:trPr>
          <w:trHeight w:val="283"/>
        </w:trPr>
        <w:tc>
          <w:tcPr>
            <w:tcW w:w="18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r>
      <w:tr>
        <w:trPr>
          <w:trHeight w:val="251"/>
        </w:trPr>
        <w:tc>
          <w:tcPr>
            <w:tcW w:w="1820" w:type="dxa"/>
            <w:vAlign w:val="bottom"/>
          </w:tcPr>
          <w:p>
            <w:pPr>
              <w:jc w:val="right"/>
              <w:ind w:right="419"/>
              <w:spacing w:after="0"/>
              <w:rPr>
                <w:sz w:val="20"/>
                <w:szCs w:val="20"/>
                <w:color w:val="auto"/>
              </w:rPr>
            </w:pPr>
            <w:r>
              <w:rPr>
                <w:rFonts w:ascii="Arial" w:cs="Arial" w:eastAsia="Arial" w:hAnsi="Arial"/>
                <w:sz w:val="16"/>
                <w:szCs w:val="16"/>
                <w:color w:val="auto"/>
              </w:rPr>
              <w:t>24.7 %</w:t>
            </w:r>
          </w:p>
        </w:tc>
        <w:tc>
          <w:tcPr>
            <w:tcW w:w="1020" w:type="dxa"/>
            <w:vAlign w:val="bottom"/>
          </w:tcPr>
          <w:p>
            <w:pPr>
              <w:jc w:val="right"/>
              <w:spacing w:after="0"/>
              <w:rPr>
                <w:sz w:val="20"/>
                <w:szCs w:val="20"/>
                <w:color w:val="auto"/>
              </w:rPr>
            </w:pPr>
            <w:r>
              <w:rPr>
                <w:rFonts w:ascii="Arial" w:cs="Arial" w:eastAsia="Arial" w:hAnsi="Arial"/>
                <w:sz w:val="16"/>
                <w:szCs w:val="16"/>
                <w:color w:val="auto"/>
              </w:rPr>
              <w:t>24.1 %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1800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29845</wp:posOffset>
            </wp:positionV>
            <wp:extent cx="1800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7860" w:space="720"/>
            <w:col w:w="2840"/>
          </w:cols>
          <w:pgMar w:left="240" w:top="670" w:right="239" w:bottom="1440" w:gutter="0" w:footer="0" w:header="0"/>
          <w:type w:val="continuous"/>
        </w:sect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its effective tax rate for the full year 2019 will be in the range of 23.5% to 26.5%.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70"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3/31/2019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5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1,657.4</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1,425.2</w:t>
            </w:r>
          </w:p>
        </w:tc>
      </w:tr>
      <w:tr>
        <w:trPr>
          <w:trHeight w:val="27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1,597.1</w:t>
            </w:r>
          </w:p>
        </w:tc>
      </w:tr>
      <w:tr>
        <w:trPr>
          <w:trHeight w:val="250"/>
        </w:trPr>
        <w:tc>
          <w:tcPr>
            <w:tcW w:w="852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3,022.3</w:t>
            </w:r>
          </w:p>
        </w:tc>
      </w:tr>
      <w:tr>
        <w:trPr>
          <w:trHeight w:val="277"/>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1,118.9</w:t>
            </w:r>
          </w:p>
        </w:tc>
      </w:tr>
      <w:tr>
        <w:trPr>
          <w:trHeight w:val="264"/>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381.3</w:t>
            </w:r>
          </w:p>
        </w:tc>
      </w:tr>
      <w:tr>
        <w:trPr>
          <w:trHeight w:val="25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4,922.6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4,522.5</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firm's common shares outstanding were 236.4 million at March 31, 2019, compared with 238.1 million at the end of 2018.</w:t>
      </w:r>
    </w:p>
    <w:p>
      <w:pPr>
        <w:spacing w:after="0" w:line="200" w:lineRule="exact"/>
        <w:rPr>
          <w:rFonts w:ascii="Arial" w:cs="Arial" w:eastAsia="Arial" w:hAnsi="Arial"/>
          <w:sz w:val="22"/>
          <w:szCs w:val="22"/>
          <w:color w:val="40AEFF"/>
        </w:rPr>
      </w:pPr>
    </w:p>
    <w:p>
      <w:pPr>
        <w:spacing w:after="0" w:line="258" w:lineRule="exact"/>
        <w:rPr>
          <w:rFonts w:ascii="Arial" w:cs="Arial" w:eastAsia="Arial" w:hAnsi="Arial"/>
          <w:sz w:val="22"/>
          <w:szCs w:val="22"/>
          <w:color w:val="40AEFF"/>
        </w:rPr>
      </w:pPr>
    </w:p>
    <w:p>
      <w:pPr>
        <w:ind w:left="340" w:right="120" w:hanging="332"/>
        <w:spacing w:after="0" w:line="381" w:lineRule="auto"/>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During the first quarter of 2019, the firm expended $229.8 million to repurchase 2.5 million shares of its common stock at an average price per share of $92.83.</w:t>
      </w:r>
    </w:p>
    <w:p>
      <w:pPr>
        <w:spacing w:after="0" w:line="309" w:lineRule="exact"/>
        <w:rPr>
          <w:rFonts w:ascii="Arial" w:cs="Arial" w:eastAsia="Arial" w:hAnsi="Arial"/>
          <w:sz w:val="22"/>
          <w:szCs w:val="22"/>
          <w:color w:val="40AEFF"/>
        </w:rPr>
      </w:pPr>
    </w:p>
    <w:p>
      <w:pPr>
        <w:jc w:val="both"/>
        <w:ind w:left="340" w:right="140" w:hanging="332"/>
        <w:spacing w:after="0" w:line="385" w:lineRule="auto"/>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firm invested $47.7 million during the first quarter of 2019 in capitalized facilities and technology and expects capital expenditures for 2019 to be up to $200 million, of which about two-thirds is planned for technology initiatives. These expenditures are expected to continue to be funded from operating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1"/>
          <w:szCs w:val="21"/>
          <w:b w:val="1"/>
          <w:bCs w:val="1"/>
          <w:color w:val="auto"/>
          <w:vertAlign w:val="superscript"/>
        </w:rPr>
        <w:t>(1)</w:t>
      </w:r>
    </w:p>
    <w:p>
      <w:pPr>
        <w:spacing w:after="0" w:line="81" w:lineRule="exact"/>
        <w:rPr>
          <w:sz w:val="20"/>
          <w:szCs w:val="20"/>
          <w:color w:val="auto"/>
        </w:rPr>
      </w:pPr>
    </w:p>
    <w:p>
      <w:pPr>
        <w:ind w:right="160"/>
        <w:spacing w:after="0" w:line="397" w:lineRule="auto"/>
        <w:rPr>
          <w:sz w:val="20"/>
          <w:szCs w:val="20"/>
          <w:color w:val="auto"/>
        </w:rPr>
      </w:pPr>
      <w:r>
        <w:rPr>
          <w:rFonts w:ascii="Arial" w:cs="Arial" w:eastAsia="Arial" w:hAnsi="Arial"/>
          <w:sz w:val="18"/>
          <w:szCs w:val="18"/>
          <w:color w:val="auto"/>
        </w:rPr>
        <w:t>The percentage of the firm's U.S. mutual funds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March 31, 2019, were: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54"/>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82%</w:t>
            </w:r>
          </w:p>
        </w:tc>
      </w:tr>
      <w:tr>
        <w:trPr>
          <w:trHeight w:val="260"/>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88%</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72"/>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w:t>
            </w:r>
          </w:p>
        </w:tc>
      </w:tr>
      <w:tr>
        <w:trPr>
          <w:trHeight w:val="251"/>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spacing w:after="0" w:line="2" w:lineRule="exact"/>
        <w:rPr>
          <w:sz w:val="20"/>
          <w:szCs w:val="20"/>
          <w:color w:val="auto"/>
        </w:rPr>
      </w:pPr>
    </w:p>
    <w:p>
      <w:pPr>
        <w:jc w:val="both"/>
        <w:ind w:left="120" w:right="260" w:hanging="112"/>
        <w:spacing w:after="0" w:line="244" w:lineRule="auto"/>
        <w:tabs>
          <w:tab w:leader="none" w:pos="120" w:val="left"/>
        </w:tabs>
        <w:numPr>
          <w:ilvl w:val="0"/>
          <w:numId w:val="27"/>
        </w:numPr>
        <w:rPr>
          <w:rFonts w:ascii="Arial" w:cs="Arial" w:eastAsia="Arial" w:hAnsi="Arial"/>
          <w:sz w:val="9"/>
          <w:szCs w:val="9"/>
          <w:b w:val="1"/>
          <w:bCs w:val="1"/>
          <w:i w:val="1"/>
          <w:iCs w:val="1"/>
          <w:color w:val="auto"/>
        </w:rPr>
      </w:pPr>
      <w:r>
        <w:rPr>
          <w:rFonts w:ascii="Arial" w:cs="Arial" w:eastAsia="Arial" w:hAnsi="Arial"/>
          <w:sz w:val="13"/>
          <w:szCs w:val="13"/>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1" w:lineRule="exact"/>
        <w:rPr>
          <w:rFonts w:ascii="Arial" w:cs="Arial" w:eastAsia="Arial" w:hAnsi="Arial"/>
          <w:sz w:val="9"/>
          <w:szCs w:val="9"/>
          <w:b w:val="1"/>
          <w:bCs w:val="1"/>
          <w:i w:val="1"/>
          <w:iCs w:val="1"/>
          <w:color w:val="auto"/>
        </w:rPr>
      </w:pPr>
    </w:p>
    <w:p>
      <w:pPr>
        <w:ind w:left="160" w:hanging="152"/>
        <w:spacing w:after="0"/>
        <w:tabs>
          <w:tab w:leader="none" w:pos="160" w:val="left"/>
        </w:tabs>
        <w:numPr>
          <w:ilvl w:val="0"/>
          <w:numId w:val="27"/>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369"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In addition, 85.5% of the firm's rated U.S. mutual funds' assets under management ended the quarter with an overall rating of four or five stars from Morningstar. The performance of the firm's institutional strategies against their benchmarks remains competitive, especially over longer time periods.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4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right="80"/>
        <w:spacing w:after="0" w:line="36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2019 with the U.S. Securities and Exchange Commission later today. The Form 10-Q will include additional information on the firm's unaudited consolidated financial results at March 31, 2019.</w:t>
      </w:r>
    </w:p>
    <w:p>
      <w:pPr>
        <w:spacing w:after="0" w:line="298"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new products and services, investments, capital expenditures, dividends, stock repurchases, the timing of the assumption of all third party research payments, changes in our effective fee rate, and other market conditions. For a discussion concerning risks and other factors that could affect future results, see the firm's 2018 Form 10-K.</w:t>
      </w:r>
    </w:p>
    <w:p>
      <w:pPr>
        <w:spacing w:after="0" w:line="279" w:lineRule="exact"/>
        <w:rPr>
          <w:sz w:val="20"/>
          <w:szCs w:val="20"/>
          <w:color w:val="auto"/>
        </w:rPr>
      </w:pPr>
    </w:p>
    <w:p>
      <w:pPr>
        <w:ind w:right="8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400" w:type="dxa"/>
            <w:vAlign w:val="bottom"/>
            <w:tcBorders>
              <w:bottom w:val="single" w:sz="8" w:color="054C70"/>
            </w:tcBorders>
          </w:tcPr>
          <w:p>
            <w:pPr>
              <w:spacing w:after="0"/>
              <w:rPr>
                <w:sz w:val="20"/>
                <w:szCs w:val="20"/>
                <w:color w:val="auto"/>
              </w:rPr>
            </w:pPr>
            <w:r>
              <w:rPr>
                <w:rFonts w:ascii="Arial" w:cs="Arial" w:eastAsia="Arial" w:hAnsi="Arial"/>
                <w:sz w:val="18"/>
                <w:szCs w:val="18"/>
                <w:b w:val="1"/>
                <w:bCs w:val="1"/>
                <w:color w:val="054C70"/>
                <w:w w:val="98"/>
              </w:rPr>
              <w:t>Public Relations</w:t>
            </w:r>
          </w:p>
        </w:tc>
        <w:tc>
          <w:tcPr>
            <w:tcW w:w="3060" w:type="dxa"/>
            <w:vAlign w:val="bottom"/>
          </w:tcPr>
          <w:p>
            <w:pPr>
              <w:spacing w:after="0"/>
              <w:rPr>
                <w:sz w:val="24"/>
                <w:szCs w:val="24"/>
                <w:color w:val="auto"/>
              </w:rPr>
            </w:pPr>
          </w:p>
        </w:tc>
        <w:tc>
          <w:tcPr>
            <w:tcW w:w="1560" w:type="dxa"/>
            <w:vAlign w:val="bottom"/>
            <w:tcBorders>
              <w:bottom w:val="single" w:sz="8" w:color="054C70"/>
            </w:tcBorders>
          </w:tcPr>
          <w:p>
            <w:pPr>
              <w:spacing w:after="0"/>
              <w:rPr>
                <w:sz w:val="20"/>
                <w:szCs w:val="20"/>
                <w:color w:val="auto"/>
              </w:rPr>
            </w:pPr>
            <w:r>
              <w:rPr>
                <w:rFonts w:ascii="Arial" w:cs="Arial" w:eastAsia="Arial" w:hAnsi="Arial"/>
                <w:sz w:val="18"/>
                <w:szCs w:val="18"/>
                <w:b w:val="1"/>
                <w:bCs w:val="1"/>
                <w:color w:val="054C70"/>
                <w:w w:val="98"/>
              </w:rPr>
              <w:t>Investor Relations</w:t>
            </w:r>
          </w:p>
        </w:tc>
        <w:tc>
          <w:tcPr>
            <w:tcW w:w="1440" w:type="dxa"/>
            <w:vAlign w:val="bottom"/>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3B3B3B"/>
              </w:rPr>
              <w:t>Brian Lewbart</w:t>
            </w:r>
          </w:p>
        </w:tc>
        <w:tc>
          <w:tcPr>
            <w:tcW w:w="3000" w:type="dxa"/>
            <w:vAlign w:val="bottom"/>
            <w:gridSpan w:val="2"/>
          </w:tcPr>
          <w:p>
            <w:pPr>
              <w:spacing w:after="0"/>
              <w:rPr>
                <w:sz w:val="20"/>
                <w:szCs w:val="20"/>
                <w:color w:val="auto"/>
              </w:rPr>
            </w:pPr>
            <w:r>
              <w:rPr>
                <w:rFonts w:ascii="Arial" w:cs="Arial" w:eastAsia="Arial" w:hAnsi="Arial"/>
                <w:sz w:val="18"/>
                <w:szCs w:val="18"/>
                <w:color w:val="3B3B3B"/>
              </w:rPr>
              <w:t>Meghan Azevedo</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3B3B3B"/>
              </w:rPr>
              <w:t>410-345-2242</w:t>
            </w:r>
          </w:p>
        </w:tc>
        <w:tc>
          <w:tcPr>
            <w:tcW w:w="306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8"/>
                <w:szCs w:val="18"/>
                <w:color w:val="3B3B3B"/>
              </w:rPr>
              <w:t>410-345-2756</w:t>
            </w:r>
          </w:p>
        </w:tc>
        <w:tc>
          <w:tcPr>
            <w:tcW w:w="14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054C70"/>
              </w:rPr>
              <w:t>brian_lewbart@troweprice.com</w:t>
            </w: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054C70"/>
                <w:w w:val="99"/>
              </w:rPr>
              <w:t>meghan_azevedo@troweprice.com</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9" w:right="25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377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37730" cy="137160"/>
                    </a:xfrm>
                    <a:prstGeom prst="rect">
                      <a:avLst/>
                    </a:prstGeom>
                    <a:noFill/>
                  </pic:spPr>
                </pic:pic>
              </a:graphicData>
            </a:graphic>
          </wp:anchor>
        </w:drawing>
        <w:t>Unaudited Consolidated Statements of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3773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7"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5729605</wp:posOffset>
            </wp:positionH>
            <wp:positionV relativeFrom="paragraph">
              <wp:posOffset>14605</wp:posOffset>
            </wp:positionV>
            <wp:extent cx="15093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3/31/2019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3/31/2018</w:t>
            </w:r>
          </w:p>
        </w:tc>
      </w:tr>
      <w:tr>
        <w:trPr>
          <w:trHeight w:val="256"/>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1,189.2</w:t>
            </w:r>
          </w:p>
        </w:tc>
      </w:tr>
      <w:tr>
        <w:trPr>
          <w:trHeight w:val="264"/>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Administrative, distribution, and servicing fees</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w:t>
            </w:r>
          </w:p>
        </w:tc>
      </w:tr>
      <w:tr>
        <w:trPr>
          <w:trHeight w:val="250"/>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revenues</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1,327.3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1,328.0</w:t>
            </w:r>
          </w:p>
        </w:tc>
      </w:tr>
      <w:tr>
        <w:trPr>
          <w:trHeight w:val="121"/>
        </w:trPr>
        <w:tc>
          <w:tcPr>
            <w:tcW w:w="9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9020" w:type="dxa"/>
            <w:vAlign w:val="bottom"/>
          </w:tcPr>
          <w:p>
            <w:pPr>
              <w:ind w:left="140"/>
              <w:spacing w:after="0"/>
              <w:rPr>
                <w:sz w:val="20"/>
                <w:szCs w:val="20"/>
                <w:color w:val="auto"/>
              </w:rPr>
            </w:pPr>
            <w:r>
              <w:rPr>
                <w:rFonts w:ascii="Arial" w:cs="Arial" w:eastAsia="Arial" w:hAnsi="Arial"/>
                <w:sz w:val="14"/>
                <w:szCs w:val="14"/>
                <w:color w:val="auto"/>
              </w:rPr>
              <w:t>Compensation and related costs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441.4</w:t>
            </w:r>
          </w:p>
        </w:tc>
      </w:tr>
      <w:tr>
        <w:trPr>
          <w:trHeight w:val="276"/>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 and servicing</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w:t>
            </w:r>
          </w:p>
        </w:tc>
      </w:tr>
      <w:tr>
        <w:trPr>
          <w:trHeight w:val="264"/>
        </w:trPr>
        <w:tc>
          <w:tcPr>
            <w:tcW w:w="9020" w:type="dxa"/>
            <w:vAlign w:val="bottom"/>
          </w:tcPr>
          <w:p>
            <w:pPr>
              <w:ind w:left="140"/>
              <w:spacing w:after="0"/>
              <w:rPr>
                <w:sz w:val="20"/>
                <w:szCs w:val="20"/>
                <w:color w:val="auto"/>
              </w:rPr>
            </w:pPr>
            <w:r>
              <w:rPr>
                <w:rFonts w:ascii="Arial" w:cs="Arial" w:eastAsia="Arial" w:hAnsi="Arial"/>
                <w:sz w:val="14"/>
                <w:szCs w:val="14"/>
                <w:color w:val="auto"/>
              </w:rPr>
              <w:t>Advertising and promotion</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24.6</w:t>
            </w:r>
          </w:p>
        </w:tc>
      </w:tr>
      <w:tr>
        <w:trPr>
          <w:trHeight w:val="276"/>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Product-related costs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r>
      <w:tr>
        <w:trPr>
          <w:trHeight w:val="264"/>
        </w:trPr>
        <w:tc>
          <w:tcPr>
            <w:tcW w:w="9020" w:type="dxa"/>
            <w:vAlign w:val="bottom"/>
          </w:tcPr>
          <w:p>
            <w:pPr>
              <w:ind w:left="140"/>
              <w:spacing w:after="0"/>
              <w:rPr>
                <w:sz w:val="20"/>
                <w:szCs w:val="20"/>
                <w:color w:val="auto"/>
              </w:rPr>
            </w:pPr>
            <w:r>
              <w:rPr>
                <w:rFonts w:ascii="Arial" w:cs="Arial" w:eastAsia="Arial" w:hAnsi="Arial"/>
                <w:sz w:val="14"/>
                <w:szCs w:val="14"/>
                <w:color w:val="auto"/>
              </w:rPr>
              <w:t>Technology, occupancy, and facility costs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94.1</w:t>
            </w:r>
          </w:p>
        </w:tc>
      </w:tr>
      <w:tr>
        <w:trPr>
          <w:trHeight w:val="270"/>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administrative, and other</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r>
      <w:tr>
        <w:trPr>
          <w:trHeight w:val="250"/>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794.8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744.2</w:t>
            </w:r>
          </w:p>
        </w:tc>
      </w:tr>
      <w:tr>
        <w:trPr>
          <w:trHeight w:val="175"/>
        </w:trPr>
        <w:tc>
          <w:tcPr>
            <w:tcW w:w="9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64"/>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532.5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583.8</w:t>
            </w:r>
          </w:p>
        </w:tc>
      </w:tr>
      <w:tr>
        <w:trPr>
          <w:trHeight w:val="182"/>
        </w:trPr>
        <w:tc>
          <w:tcPr>
            <w:tcW w:w="9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64"/>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Non-operating income</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9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gains on investments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r>
      <w:tr>
        <w:trPr>
          <w:trHeight w:val="264"/>
        </w:trPr>
        <w:tc>
          <w:tcPr>
            <w:tcW w:w="9020" w:type="dxa"/>
            <w:vAlign w:val="bottom"/>
          </w:tcPr>
          <w:p>
            <w:pPr>
              <w:ind w:left="160"/>
              <w:spacing w:after="0"/>
              <w:rPr>
                <w:sz w:val="20"/>
                <w:szCs w:val="20"/>
                <w:color w:val="auto"/>
              </w:rPr>
            </w:pPr>
            <w:r>
              <w:rPr>
                <w:rFonts w:ascii="Arial" w:cs="Arial" w:eastAsia="Arial" w:hAnsi="Arial"/>
                <w:sz w:val="14"/>
                <w:szCs w:val="14"/>
                <w:color w:val="auto"/>
              </w:rPr>
              <w:t>Net gains on consolidated investment products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w:t>
            </w:r>
          </w:p>
        </w:tc>
      </w:tr>
      <w:tr>
        <w:trPr>
          <w:trHeight w:val="270"/>
        </w:trPr>
        <w:tc>
          <w:tcPr>
            <w:tcW w:w="9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r>
      <w:tr>
        <w:trPr>
          <w:trHeight w:val="250"/>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w:t>
            </w:r>
          </w:p>
        </w:tc>
      </w:tr>
      <w:tr>
        <w:trPr>
          <w:trHeight w:val="162"/>
        </w:trPr>
        <w:tc>
          <w:tcPr>
            <w:tcW w:w="9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4"/>
        </w:trPr>
        <w:tc>
          <w:tcPr>
            <w:tcW w:w="90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599.9</w:t>
            </w:r>
          </w:p>
        </w:tc>
      </w:tr>
      <w:tr>
        <w:trPr>
          <w:trHeight w:val="270"/>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144.4</w:t>
            </w:r>
          </w:p>
        </w:tc>
      </w:tr>
      <w:tr>
        <w:trPr>
          <w:trHeight w:val="250"/>
        </w:trPr>
        <w:tc>
          <w:tcPr>
            <w:tcW w:w="9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455.5</w:t>
            </w:r>
          </w:p>
        </w:tc>
      </w:tr>
      <w:tr>
        <w:trPr>
          <w:trHeight w:val="270"/>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attributable to redeemable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r>
      <w:tr>
        <w:trPr>
          <w:trHeight w:val="250"/>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453.7</w:t>
            </w:r>
          </w:p>
        </w:tc>
      </w:tr>
      <w:tr>
        <w:trPr>
          <w:trHeight w:val="270"/>
        </w:trPr>
        <w:tc>
          <w:tcPr>
            <w:tcW w:w="9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r>
      <w:tr>
        <w:trPr>
          <w:trHeight w:val="28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499.6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443.1</w:t>
            </w:r>
          </w:p>
        </w:tc>
      </w:tr>
      <w:tr>
        <w:trPr>
          <w:trHeight w:val="210"/>
        </w:trPr>
        <w:tc>
          <w:tcPr>
            <w:tcW w:w="9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64"/>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9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w:t>
            </w:r>
          </w:p>
        </w:tc>
      </w:tr>
      <w:tr>
        <w:trPr>
          <w:trHeight w:val="170"/>
        </w:trPr>
        <w:tc>
          <w:tcPr>
            <w:tcW w:w="9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4"/>
        </w:trPr>
        <w:tc>
          <w:tcPr>
            <w:tcW w:w="902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9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244.3</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9020" w:type="dxa"/>
            <w:vAlign w:val="bottom"/>
          </w:tcPr>
          <w:p>
            <w:pPr>
              <w:ind w:left="140"/>
              <w:spacing w:after="0"/>
              <w:rPr>
                <w:sz w:val="20"/>
                <w:szCs w:val="20"/>
                <w:color w:val="auto"/>
              </w:rPr>
            </w:pPr>
            <w:r>
              <w:rPr>
                <w:rFonts w:ascii="Arial" w:cs="Arial" w:eastAsia="Arial" w:hAnsi="Arial"/>
                <w:sz w:val="14"/>
                <w:szCs w:val="14"/>
                <w:color w:val="auto"/>
              </w:rPr>
              <w:t>Outstanding assuming dilution</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249.8</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76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3"/>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Advisory Revenues (in millions)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5"/>
            <w:shd w:val="clear" w:color="auto" w:fill="CCEEFF"/>
          </w:tcPr>
          <w:p>
            <w:pPr>
              <w:jc w:val="right"/>
              <w:ind w:right="44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0"/>
        </w:trPr>
        <w:tc>
          <w:tcPr>
            <w:tcW w:w="65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3/31/2018</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694.5</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705.5</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815.9</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832.9</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297.0</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378.3</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356.3</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 Under Management (in billions)</w:t>
            </w:r>
          </w:p>
        </w:tc>
        <w:tc>
          <w:tcPr>
            <w:tcW w:w="180" w:type="dxa"/>
            <w:vAlign w:val="bottom"/>
            <w:shd w:val="clear" w:color="auto" w:fill="CCEEFF"/>
          </w:tcPr>
          <w:p>
            <w:pPr>
              <w:spacing w:after="0"/>
              <w:rPr>
                <w:sz w:val="23"/>
                <w:szCs w:val="23"/>
                <w:color w:val="auto"/>
              </w:rPr>
            </w:pPr>
          </w:p>
        </w:tc>
        <w:tc>
          <w:tcPr>
            <w:tcW w:w="2260" w:type="dxa"/>
            <w:vAlign w:val="bottom"/>
            <w:tcBorders>
              <w:right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4"/>
                <w:szCs w:val="14"/>
                <w:color w:val="auto"/>
              </w:rPr>
              <w:t>Average during</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4"/>
          </w:tcPr>
          <w:p>
            <w:pPr>
              <w:jc w:val="right"/>
              <w:ind w:right="928"/>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270"/>
        </w:trPr>
        <w:tc>
          <w:tcPr>
            <w:tcW w:w="65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3/31/2019</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3/31/2018</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3/31/2019</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center"/>
              <w:ind w:right="48"/>
              <w:spacing w:after="0"/>
              <w:rPr>
                <w:sz w:val="20"/>
                <w:szCs w:val="20"/>
                <w:color w:val="auto"/>
              </w:rPr>
            </w:pPr>
            <w:r>
              <w:rPr>
                <w:rFonts w:ascii="Arial" w:cs="Arial" w:eastAsia="Arial" w:hAnsi="Arial"/>
                <w:sz w:val="14"/>
                <w:szCs w:val="14"/>
                <w:color w:val="auto"/>
              </w:rPr>
              <w:t>12/31/2018</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14"/>
                <w:szCs w:val="14"/>
                <w:color w:val="auto"/>
              </w:rPr>
              <w:t>U.S. mutual funds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and blended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494.6</w:t>
            </w:r>
          </w:p>
        </w:tc>
        <w:tc>
          <w:tcPr>
            <w:tcW w:w="12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127.4</w:t>
            </w:r>
          </w:p>
        </w:tc>
        <w:tc>
          <w:tcPr>
            <w:tcW w:w="120" w:type="dxa"/>
            <w:vAlign w:val="bottom"/>
            <w:tcBorders>
              <w:bottom w:val="single" w:sz="8" w:color="CCEEFF"/>
              <w:right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622.0</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564.5</w:t>
            </w:r>
          </w:p>
        </w:tc>
        <w:tc>
          <w:tcPr>
            <w:tcW w:w="0" w:type="dxa"/>
            <w:vAlign w:val="bottom"/>
          </w:tcPr>
          <w:p>
            <w:pPr>
              <w:spacing w:after="0"/>
              <w:rPr>
                <w:sz w:val="1"/>
                <w:szCs w:val="1"/>
                <w:color w:val="auto"/>
              </w:rPr>
            </w:pPr>
          </w:p>
        </w:tc>
      </w:tr>
      <w:tr>
        <w:trPr>
          <w:trHeight w:val="121"/>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308.2</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95.3</w:t>
            </w: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403.5</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451.0</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1,025.5</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5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r>
              <w:rPr>
                <w:rFonts w:ascii="Arial" w:cs="Arial" w:eastAsia="Arial" w:hAnsi="Arial"/>
                <w:sz w:val="17"/>
                <w:szCs w:val="17"/>
                <w:b w:val="1"/>
                <w:bCs w:val="1"/>
                <w:color w:val="auto"/>
                <w:vertAlign w:val="superscript"/>
              </w:rPr>
              <w:t>(1)(2)</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Three months</w:t>
            </w:r>
          </w:p>
        </w:tc>
        <w:tc>
          <w:tcPr>
            <w:tcW w:w="0" w:type="dxa"/>
            <w:vAlign w:val="bottom"/>
          </w:tcPr>
          <w:p>
            <w:pPr>
              <w:spacing w:after="0"/>
              <w:rPr>
                <w:sz w:val="1"/>
                <w:szCs w:val="1"/>
                <w:color w:val="auto"/>
              </w:rPr>
            </w:pPr>
          </w:p>
        </w:tc>
      </w:tr>
      <w:tr>
        <w:trPr>
          <w:trHeight w:val="184"/>
        </w:trPr>
        <w:tc>
          <w:tcPr>
            <w:tcW w:w="65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billions)</w:t>
            </w: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3/31/2019</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net cash flows after client transfers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8890</wp:posOffset>
            </wp:positionV>
            <wp:extent cx="711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140" w:hanging="132"/>
        <w:spacing w:after="0"/>
        <w:tabs>
          <w:tab w:leader="none" w:pos="140"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asset class net cash flows above include, in addition to net client flows, rebalancing within the target date portfolios in order to maintain their targeted asset allocations.</w:t>
      </w:r>
    </w:p>
    <w:p>
      <w:pPr>
        <w:ind w:left="160" w:hanging="152"/>
        <w:spacing w:after="0"/>
        <w:tabs>
          <w:tab w:leader="none" w:pos="160" w:val="left"/>
        </w:tabs>
        <w:numPr>
          <w:ilvl w:val="0"/>
          <w:numId w:val="28"/>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of the multi-asset portfolios that invest in T. Rowe Price products have been broken out and included in their respective vehicle and asset class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3"/>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 (in millions)</w:t>
            </w:r>
          </w:p>
        </w:tc>
        <w:tc>
          <w:tcPr>
            <w:tcW w:w="26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gridSpan w:val="4"/>
            <w:shd w:val="clear" w:color="auto" w:fill="CCEEFF"/>
          </w:tcPr>
          <w:p>
            <w:pPr>
              <w:jc w:val="right"/>
              <w:ind w:right="448"/>
              <w:spacing w:after="0"/>
              <w:rPr>
                <w:sz w:val="20"/>
                <w:szCs w:val="20"/>
                <w:color w:val="auto"/>
              </w:rPr>
            </w:pPr>
            <w:r>
              <w:rPr>
                <w:rFonts w:ascii="Arial" w:cs="Arial" w:eastAsia="Arial" w:hAnsi="Arial"/>
                <w:sz w:val="14"/>
                <w:szCs w:val="14"/>
                <w:color w:val="auto"/>
              </w:rPr>
              <w:t>Three months ended</w:t>
            </w:r>
          </w:p>
        </w:tc>
      </w:tr>
      <w:tr>
        <w:trPr>
          <w:trHeight w:val="260"/>
        </w:trPr>
        <w:tc>
          <w:tcPr>
            <w:tcW w:w="9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3/31/2018</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Seed capital investments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Net gain recognized upon deconsolidation</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0"/>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50"/>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Total net gains from non-consolidated T. Rowe Price investment products</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r>
      <w:tr>
        <w:trPr>
          <w:trHeight w:val="270"/>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50"/>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Net gains on investments</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14.4</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on consolidated sponsored investment portfolios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including foreign currency gains and losses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127" w:lineRule="exact"/>
        <w:rPr>
          <w:sz w:val="20"/>
          <w:szCs w:val="20"/>
          <w:color w:val="auto"/>
        </w:rPr>
      </w:pPr>
    </w:p>
    <w:p>
      <w:pPr>
        <w:ind w:left="64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752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275272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color w:val="auto"/>
        </w:rPr>
        <w:t>Cash provided by (used in) operating activities, including $43.5 of stock-based compensation expense and $41.9 of depreciation expense in 2019</w:t>
      </w:r>
    </w:p>
    <w:p>
      <w:pPr>
        <w:spacing w:after="0" w:line="40" w:lineRule="exact"/>
        <w:rPr>
          <w:sz w:val="20"/>
          <w:szCs w:val="20"/>
          <w:color w:val="auto"/>
        </w:rPr>
      </w:pPr>
    </w:p>
    <w:p>
      <w:pPr>
        <w:ind w:left="40" w:right="40"/>
        <w:spacing w:after="0" w:line="244" w:lineRule="auto"/>
        <w:rPr>
          <w:sz w:val="20"/>
          <w:szCs w:val="20"/>
          <w:color w:val="auto"/>
        </w:rPr>
      </w:pPr>
      <w:r>
        <w:rPr>
          <w:rFonts w:ascii="Arial" w:cs="Arial" w:eastAsia="Arial" w:hAnsi="Arial"/>
          <w:sz w:val="14"/>
          <w:szCs w:val="14"/>
          <w:color w:val="auto"/>
        </w:rPr>
        <w:t>Cash provided by (used in) investing activities attributable to T. Rowe Price Group in 2019, including ($47.7) for additions to property and equipment and ($15.6) of additions to T. Rowe Price investment products</w:t>
      </w:r>
    </w:p>
    <w:p>
      <w:pPr>
        <w:spacing w:after="0" w:line="44" w:lineRule="exact"/>
        <w:rPr>
          <w:sz w:val="20"/>
          <w:szCs w:val="20"/>
          <w:color w:val="auto"/>
        </w:rPr>
      </w:pPr>
    </w:p>
    <w:p>
      <w:pPr>
        <w:ind w:left="40" w:right="60"/>
        <w:spacing w:after="0" w:line="247" w:lineRule="auto"/>
        <w:rPr>
          <w:sz w:val="20"/>
          <w:szCs w:val="20"/>
          <w:color w:val="auto"/>
        </w:rPr>
      </w:pPr>
      <w:r>
        <w:rPr>
          <w:rFonts w:ascii="Arial" w:cs="Arial" w:eastAsia="Arial" w:hAnsi="Arial"/>
          <w:sz w:val="14"/>
          <w:szCs w:val="14"/>
          <w:color w:val="auto"/>
        </w:rPr>
        <w:t>Cash provided by (used in) financing activities, including T. Rowe Price Group common stock repurchases of ($231.0)* and dividends paid of ($184.6) in 2019</w:t>
      </w:r>
    </w:p>
    <w:p>
      <w:pPr>
        <w:spacing w:after="0" w:line="40" w:lineRule="exact"/>
        <w:rPr>
          <w:sz w:val="20"/>
          <w:szCs w:val="20"/>
          <w:color w:val="auto"/>
        </w:rPr>
      </w:pPr>
    </w:p>
    <w:p>
      <w:pPr>
        <w:ind w:left="40" w:right="20"/>
        <w:spacing w:after="0" w:line="258"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32"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3/31/2019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3/31/2018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240"/>
              <w:spacing w:after="0" w:line="144"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00"/>
              <w:spacing w:after="0" w:line="144" w:lineRule="exact"/>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color w:val="auto"/>
              </w:rPr>
              <w:t>consolidated</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As reported on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color w:val="auto"/>
              </w:rPr>
              <w:t>T. Rowe Price investment</w:t>
            </w: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statement of</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color w:val="auto"/>
              </w:rPr>
              <w:t>products, net of eliminations</w:t>
            </w: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cash flows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7"/>
                <w:szCs w:val="17"/>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7"/>
                <w:szCs w:val="17"/>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76"/>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673.4</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578.7</w:t>
            </w:r>
          </w:p>
        </w:tc>
        <w:tc>
          <w:tcPr>
            <w:tcW w:w="2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722.9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(69.2)</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(524.3)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(519.8)</w:t>
            </w:r>
          </w:p>
        </w:tc>
      </w:tr>
      <w:tr>
        <w:trPr>
          <w:trHeight w:val="702"/>
        </w:trPr>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(372.0)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(419.9)</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(242.1)</w:t>
            </w:r>
          </w:p>
        </w:tc>
      </w:tr>
      <w:tr>
        <w:trPr>
          <w:trHeight w:val="384"/>
        </w:trPr>
        <w:tc>
          <w:tcPr>
            <w:tcW w:w="3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345"/>
        </w:trPr>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232.2</w:t>
            </w:r>
          </w:p>
        </w:tc>
        <w:tc>
          <w:tcPr>
            <w:tcW w:w="12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238.2</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(221.3)</w:t>
            </w: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ectPr>
          <w:pgSz w:w="11900" w:h="16838" w:orient="portrait"/>
          <w:cols w:equalWidth="0" w:num="2">
            <w:col w:w="2660" w:space="80"/>
            <w:col w:w="8680"/>
          </w:cols>
          <w:pgMar w:left="240" w:top="747" w:right="239" w:bottom="1440" w:gutter="0" w:footer="0" w:header="0"/>
          <w:type w:val="continuous"/>
        </w:sectPr>
      </w:pPr>
    </w:p>
    <w:p>
      <w:pPr>
        <w:spacing w:after="0"/>
        <w:rPr>
          <w:sz w:val="20"/>
          <w:szCs w:val="20"/>
          <w:color w:val="auto"/>
        </w:rPr>
      </w:pPr>
      <w:r>
        <w:rPr>
          <w:rFonts w:ascii="Arial" w:cs="Arial" w:eastAsia="Arial" w:hAnsi="Arial"/>
          <w:sz w:val="10"/>
          <w:szCs w:val="10"/>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7"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Condensed Consolidated Balance Sheet Information (in millions)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3"/>
              </w:rPr>
              <w:t>As of</w:t>
            </w:r>
          </w:p>
        </w:tc>
        <w:tc>
          <w:tcPr>
            <w:tcW w:w="1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4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3/31/2019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1,657.4</w:t>
            </w: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Accounts receivable and accrued revenue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549.6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2,453.4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Assets of consolidated T. Rowe Price investment products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1,936.3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1,680.4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 including operating lease assets in 2019</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8,458.9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5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Total liabilities, includes $64.7 at March 31, 2019, and $38.7 at December 31, 2018, from consolidated T. Rowe Price investment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824.7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886.7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740.3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CCEEFF"/>
            </w:tcBorders>
          </w:tcPr>
          <w:p>
            <w:pPr>
              <w:spacing w:after="0"/>
              <w:rPr>
                <w:sz w:val="5"/>
                <w:szCs w:val="5"/>
                <w:color w:val="auto"/>
              </w:rPr>
            </w:pPr>
          </w:p>
        </w:tc>
        <w:tc>
          <w:tcPr>
            <w:tcW w:w="548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236.4 common shares outstanding at March 31, 2019</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6,124.3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Net assets of</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consolidated 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color w:val="auto"/>
              </w:rPr>
              <w:t>Cash and cash</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Rowe Price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equivalents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Investments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investment products</w:t>
            </w:r>
          </w:p>
        </w:tc>
        <w:tc>
          <w:tcPr>
            <w:tcW w:w="120" w:type="dxa"/>
            <w:vAlign w:val="bottom"/>
            <w:tcBorders>
              <w:bottom w:val="single" w:sz="8" w:color="CCEEFF"/>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1,657.4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1,609.8</w:t>
            </w:r>
          </w:p>
        </w:tc>
        <w:tc>
          <w:tcPr>
            <w:tcW w:w="1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4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874.5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1,115.8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Price Group</w:t>
            </w:r>
          </w:p>
        </w:tc>
        <w:tc>
          <w:tcPr>
            <w:tcW w:w="2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1,657.4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2,280.3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984.9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4,922.6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Investment in UTI and other investments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1,657.4</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2,546.7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984.9</w:t>
            </w: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5,189.0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886.7</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As reported on unaudited condensed consolidated balance sheet at March 31,</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1,657.4</w:t>
            </w:r>
          </w:p>
        </w:tc>
        <w:tc>
          <w:tcPr>
            <w:tcW w:w="120" w:type="dxa"/>
            <w:vAlign w:val="bottom"/>
          </w:tcPr>
          <w:p>
            <w:pPr>
              <w:spacing w:after="0"/>
              <w:rPr>
                <w:sz w:val="13"/>
                <w:szCs w:val="13"/>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2,546.7</w:t>
            </w:r>
          </w:p>
        </w:tc>
        <w:tc>
          <w:tcPr>
            <w:tcW w:w="100" w:type="dxa"/>
            <w:vAlign w:val="bottom"/>
          </w:tcPr>
          <w:p>
            <w:pPr>
              <w:spacing w:after="0"/>
              <w:rPr>
                <w:sz w:val="13"/>
                <w:szCs w:val="13"/>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1,871.6</w:t>
            </w:r>
          </w:p>
        </w:tc>
        <w:tc>
          <w:tcPr>
            <w:tcW w:w="4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6,075.7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2019</w:t>
            </w:r>
          </w:p>
        </w:tc>
        <w:tc>
          <w:tcPr>
            <w:tcW w:w="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20" w:type="dxa"/>
            <w:vAlign w:val="bottom"/>
            <w:gridSpan w:val="4"/>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214" w:lineRule="exact"/>
        <w:rPr>
          <w:sz w:val="20"/>
          <w:szCs w:val="20"/>
          <w:color w:val="auto"/>
        </w:rPr>
      </w:pPr>
    </w:p>
    <w:p>
      <w:pPr>
        <w:ind w:right="260"/>
        <w:spacing w:after="0" w:line="355"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The following schedule reconciles U.S. GAAP financial measures to non-GAAP financial measures for the first quarter of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4"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 millions, except for per-share amounts)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3/31/2019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3/31/2018</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expenses, GAAP basis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744.2</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Non-GAAP adjustments: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Expenses of consolidated T. Rowe Price investment products, net of elimination of its related management and administrative fees</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Compensation expense related to market valuation changes in the supplemental savings plan liability</w:t>
            </w:r>
            <w:r>
              <w:rPr>
                <w:rFonts w:ascii="Arial" w:cs="Arial" w:eastAsia="Arial" w:hAnsi="Arial"/>
                <w:sz w:val="17"/>
                <w:szCs w:val="17"/>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operating expenses</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741.0</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 Rowe Price Group, GAAP basis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Non-GAAP adjustments: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9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of consolidated T. Rowe Price investment products, net of redeemable non-controlling interests</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189"/>
        </w:trPr>
        <w:tc>
          <w:tcPr>
            <w:tcW w:w="9020" w:type="dxa"/>
            <w:vAlign w:val="bottom"/>
          </w:tcPr>
          <w:p>
            <w:pPr>
              <w:ind w:left="120"/>
              <w:spacing w:after="0"/>
              <w:rPr>
                <w:sz w:val="20"/>
                <w:szCs w:val="20"/>
                <w:color w:val="auto"/>
              </w:rPr>
            </w:pPr>
            <w:r>
              <w:rPr>
                <w:rFonts w:ascii="Arial" w:cs="Arial" w:eastAsia="Arial" w:hAnsi="Arial"/>
                <w:sz w:val="14"/>
                <w:szCs w:val="14"/>
                <w:color w:val="auto"/>
              </w:rPr>
              <w:t>Non-operating income of investments designated as an economic hedge of the supplemental savings plan liability less related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9020" w:type="dxa"/>
            <w:vAlign w:val="bottom"/>
          </w:tcPr>
          <w:p>
            <w:pPr>
              <w:ind w:left="120"/>
              <w:spacing w:after="0" w:line="189" w:lineRule="exact"/>
              <w:rPr>
                <w:sz w:val="20"/>
                <w:szCs w:val="20"/>
                <w:color w:val="auto"/>
              </w:rPr>
            </w:pPr>
            <w:r>
              <w:rPr>
                <w:rFonts w:ascii="Arial" w:cs="Arial" w:eastAsia="Arial" w:hAnsi="Arial"/>
                <w:sz w:val="14"/>
                <w:szCs w:val="14"/>
                <w:color w:val="auto"/>
              </w:rPr>
              <w:t>compensation expense</w:t>
            </w:r>
            <w:r>
              <w:rPr>
                <w:rFonts w:ascii="Arial" w:cs="Arial" w:eastAsia="Arial" w:hAnsi="Arial"/>
                <w:sz w:val="17"/>
                <w:szCs w:val="17"/>
                <w:color w:val="auto"/>
                <w:vertAlign w:val="superscript"/>
              </w:rPr>
              <w:t>(2)</w:t>
            </w: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0"/>
        </w:trPr>
        <w:tc>
          <w:tcPr>
            <w:tcW w:w="9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270"/>
        </w:trPr>
        <w:tc>
          <w:tcPr>
            <w:tcW w:w="9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Income tax impacts of non-GAAP adjustments</w:t>
            </w:r>
            <w:r>
              <w:rPr>
                <w:rFonts w:ascii="Arial" w:cs="Arial" w:eastAsia="Arial" w:hAnsi="Arial"/>
                <w:sz w:val="17"/>
                <w:szCs w:val="17"/>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attributable to T. Rowe Price Group</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445.6</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common share, GAAP basis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Non-GAAP adjustments: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9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Consolidated T. Rowe Price investment products</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189"/>
        </w:trPr>
        <w:tc>
          <w:tcPr>
            <w:tcW w:w="9020" w:type="dxa"/>
            <w:vAlign w:val="bottom"/>
          </w:tcPr>
          <w:p>
            <w:pPr>
              <w:ind w:left="120"/>
              <w:spacing w:after="0"/>
              <w:rPr>
                <w:sz w:val="20"/>
                <w:szCs w:val="20"/>
                <w:color w:val="auto"/>
              </w:rPr>
            </w:pPr>
            <w:r>
              <w:rPr>
                <w:rFonts w:ascii="Arial" w:cs="Arial" w:eastAsia="Arial" w:hAnsi="Arial"/>
                <w:sz w:val="14"/>
                <w:szCs w:val="14"/>
                <w:color w:val="auto"/>
              </w:rPr>
              <w:t>Non-operating income of investments designated as an economic hedge of the supplemental savings plan liability less related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9020" w:type="dxa"/>
            <w:vAlign w:val="bottom"/>
          </w:tcPr>
          <w:p>
            <w:pPr>
              <w:ind w:left="120"/>
              <w:spacing w:after="0" w:line="189" w:lineRule="exact"/>
              <w:rPr>
                <w:sz w:val="20"/>
                <w:szCs w:val="20"/>
                <w:color w:val="auto"/>
              </w:rPr>
            </w:pPr>
            <w:r>
              <w:rPr>
                <w:rFonts w:ascii="Arial" w:cs="Arial" w:eastAsia="Arial" w:hAnsi="Arial"/>
                <w:sz w:val="14"/>
                <w:szCs w:val="14"/>
                <w:color w:val="auto"/>
              </w:rPr>
              <w:t>compensation expense</w:t>
            </w:r>
            <w:r>
              <w:rPr>
                <w:rFonts w:ascii="Arial" w:cs="Arial" w:eastAsia="Arial" w:hAnsi="Arial"/>
                <w:sz w:val="17"/>
                <w:szCs w:val="17"/>
                <w:color w:val="auto"/>
                <w:vertAlign w:val="superscript"/>
              </w:rPr>
              <w:t>(2)</w:t>
            </w: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37"/>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Adjusted diluted earnings per common share</w:t>
            </w:r>
            <w:r>
              <w:rPr>
                <w:rFonts w:ascii="Arial" w:cs="Arial" w:eastAsia="Arial" w:hAnsi="Arial"/>
                <w:sz w:val="17"/>
                <w:szCs w:val="17"/>
                <w:b w:val="1"/>
                <w:bCs w:val="1"/>
                <w:color w:val="auto"/>
                <w:vertAlign w:val="superscript"/>
              </w:rPr>
              <w:t>(5)</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80" w:right="200" w:hanging="172"/>
        <w:spacing w:after="0" w:line="230" w:lineRule="auto"/>
        <w:tabs>
          <w:tab w:leader="none" w:pos="153" w:val="left"/>
        </w:tabs>
        <w:numPr>
          <w:ilvl w:val="0"/>
          <w:numId w:val="29"/>
        </w:numPr>
        <w:rPr>
          <w:rFonts w:ascii="Arial" w:cs="Arial" w:eastAsia="Arial" w:hAnsi="Arial"/>
          <w:sz w:val="17"/>
          <w:szCs w:val="17"/>
          <w:color w:val="auto"/>
          <w:vertAlign w:val="superscript"/>
        </w:rPr>
      </w:pPr>
      <w:r>
        <w:rPr>
          <w:rFonts w:ascii="Arial" w:cs="Arial" w:eastAsia="Arial" w:hAnsi="Arial"/>
          <w:sz w:val="14"/>
          <w:szCs w:val="14"/>
          <w:color w:val="auto"/>
        </w:rPr>
        <w:t>These non-GAAP adjustments back out the impact the consolidated T. Rowe Price investment products have on the firm's U.S. GAAP consolidated statements of income. Management believes the consolidated T. Rowe Price investment products may impact the reader's ability to understand the firm's core operating results. The following tables detail the impact the consolidated products have on operating expenses and net income attributable to T. Rowe Price Group.</w:t>
      </w:r>
    </w:p>
    <w:p>
      <w:pPr>
        <w:spacing w:after="0" w:line="152" w:lineRule="exact"/>
        <w:rPr>
          <w:sz w:val="20"/>
          <w:szCs w:val="20"/>
          <w:color w:val="auto"/>
        </w:rPr>
      </w:pPr>
    </w:p>
    <w:p>
      <w:pPr>
        <w:ind w:left="180" w:right="520" w:firstLine="243"/>
        <w:spacing w:after="0" w:line="258" w:lineRule="auto"/>
        <w:rPr>
          <w:sz w:val="20"/>
          <w:szCs w:val="20"/>
          <w:color w:val="auto"/>
        </w:rPr>
      </w:pPr>
      <w:r>
        <w:rPr>
          <w:rFonts w:ascii="Arial" w:cs="Arial" w:eastAsia="Arial" w:hAnsi="Arial"/>
          <w:sz w:val="14"/>
          <w:szCs w:val="14"/>
          <w:color w:val="auto"/>
        </w:rPr>
        <w:t>The following table details the calculation of operating expenses of consolidated T. Rowe Price investment products, net of elimination of its related management and 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68580</wp:posOffset>
            </wp:positionV>
            <wp:extent cx="701484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74"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14605</wp:posOffset>
            </wp:positionV>
            <wp:extent cx="14662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8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3/31/2019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3/31/2018</w:t>
            </w:r>
          </w:p>
        </w:tc>
      </w:tr>
      <w:tr>
        <w:trPr>
          <w:trHeight w:val="256"/>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before eliminations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r>
      <w:tr>
        <w:trPr>
          <w:trHeight w:val="264"/>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 eliminated in consolidation</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 net of eliminations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following table details the calculation of net income of consolidated T. Rowe Price investment products, net of 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83185</wp:posOffset>
            </wp:positionV>
            <wp:extent cx="701484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97"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14605</wp:posOffset>
            </wp:positionV>
            <wp:extent cx="1466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8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3/31/2019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3/31/2018</w:t>
            </w:r>
          </w:p>
        </w:tc>
      </w:tr>
      <w:tr>
        <w:trPr>
          <w:trHeight w:val="256"/>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gains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r>
      <w:tr>
        <w:trPr>
          <w:trHeight w:val="264"/>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56"/>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redeemable non-controlling interests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 Rowe Price Group's portion of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65" w:right="239" w:bottom="1440" w:gutter="0" w:footer="0" w:header="0"/>
          <w:type w:val="continuous"/>
        </w:sectPr>
      </w:pPr>
    </w:p>
    <w:bookmarkStart w:id="54" w:name="page55"/>
    <w:bookmarkEnd w:id="54"/>
    <w:p>
      <w:pPr>
        <w:ind w:left="172" w:hanging="172"/>
        <w:spacing w:after="0" w:line="234" w:lineRule="auto"/>
        <w:tabs>
          <w:tab w:leader="none" w:pos="145" w:val="left"/>
        </w:tabs>
        <w:numPr>
          <w:ilvl w:val="0"/>
          <w:numId w:val="30"/>
        </w:numPr>
        <w:rPr>
          <w:rFonts w:ascii="Arial" w:cs="Arial" w:eastAsia="Arial" w:hAnsi="Arial"/>
          <w:sz w:val="17"/>
          <w:szCs w:val="17"/>
          <w:color w:val="auto"/>
          <w:vertAlign w:val="superscript"/>
        </w:rPr>
      </w:pPr>
      <w:r>
        <w:rPr>
          <w:rFonts w:ascii="Arial" w:cs="Arial" w:eastAsia="Arial" w:hAnsi="Arial"/>
          <w:sz w:val="14"/>
          <w:szCs w:val="14"/>
          <w:color w:val="auto"/>
        </w:rPr>
        <w:t>This non-GAAP adjustment removes the compensation expense from market valuation changes in the supplemental savings plan and the related net gains on investments designated as an economic hedge against the related liability. Amounts deferred under the supplemental savings plan are adjusted for appreciation (depreciation) of hypothetical investments chosen by the employees. Since the firm economically hedges the exposure to these market movements, management believes it is useful to offset the non-operating investment income earned on the hedges against the related compensation expense and remove the net impact to increase comparability period to period. The following table details the supplemental savings plan 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77470</wp:posOffset>
            </wp:positionV>
            <wp:extent cx="701484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88" w:lineRule="exact"/>
        <w:rPr>
          <w:sz w:val="20"/>
          <w:szCs w:val="20"/>
          <w:color w:val="auto"/>
        </w:rPr>
      </w:pPr>
    </w:p>
    <w:p>
      <w:pPr>
        <w:ind w:left="9452"/>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5651500</wp:posOffset>
            </wp:positionH>
            <wp:positionV relativeFrom="paragraph">
              <wp:posOffset>14605</wp:posOffset>
            </wp:positionV>
            <wp:extent cx="14662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3" w:lineRule="exact"/>
        <w:rPr>
          <w:sz w:val="20"/>
          <w:szCs w:val="20"/>
          <w:color w:val="auto"/>
        </w:rPr>
      </w:pPr>
    </w:p>
    <w:tbl>
      <w:tblPr>
        <w:tblLayout w:type="fixed"/>
        <w:tblInd w:w="172" w:type="dxa"/>
        <w:tblCellMar>
          <w:top w:w="0" w:type="dxa"/>
          <w:left w:w="0" w:type="dxa"/>
          <w:bottom w:w="0" w:type="dxa"/>
          <w:right w:w="0" w:type="dxa"/>
        </w:tblCellMar>
      </w:tblPr>
      <w:tr>
        <w:trPr>
          <w:trHeight w:val="178"/>
        </w:trPr>
        <w:tc>
          <w:tcPr>
            <w:tcW w:w="8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3/31/2019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3/31/2018</w:t>
            </w:r>
          </w:p>
        </w:tc>
        <w:tc>
          <w:tcPr>
            <w:tcW w:w="0" w:type="dxa"/>
            <w:vAlign w:val="bottom"/>
          </w:tcPr>
          <w:p>
            <w:pPr>
              <w:spacing w:after="0"/>
              <w:rPr>
                <w:sz w:val="1"/>
                <w:szCs w:val="1"/>
                <w:color w:val="auto"/>
              </w:rPr>
            </w:pPr>
          </w:p>
        </w:tc>
      </w:tr>
      <w:tr>
        <w:trPr>
          <w:trHeight w:val="256"/>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on investments designated as an economic hedge of supplemental savings plan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Compensation expense from market valuation changes in supplemental savings plan liability</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(loss) of investments designated as an economic hedge of supplemental savings plan liability less compensation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72" w:right="200" w:hanging="172"/>
        <w:spacing w:after="0" w:line="235" w:lineRule="auto"/>
        <w:tabs>
          <w:tab w:leader="none" w:pos="145" w:val="left"/>
        </w:tabs>
        <w:numPr>
          <w:ilvl w:val="0"/>
          <w:numId w:val="31"/>
        </w:numPr>
        <w:rPr>
          <w:rFonts w:ascii="Arial" w:cs="Arial" w:eastAsia="Arial" w:hAnsi="Arial"/>
          <w:sz w:val="17"/>
          <w:szCs w:val="17"/>
          <w:color w:val="auto"/>
          <w:vertAlign w:val="superscript"/>
        </w:rPr>
      </w:pPr>
      <w:r>
        <w:rPr>
          <w:rFonts w:ascii="Arial" w:cs="Arial" w:eastAsia="Arial" w:hAnsi="Arial"/>
          <w:sz w:val="14"/>
          <w:szCs w:val="14"/>
          <w:color w:val="auto"/>
        </w:rPr>
        <w:t>This non-GAAP adjustment represents the other non-operating income and the net gains (losses) earned on the firm's non-consolidated investment portfolio that are not designated as economic hedges of the supplemental savings plan liability, and beginning in the second quarter of 2018, those investments that are not part of the cash and discretionary investment portfolio. Management modified the non-GAAP adjustment to exclude the investment gains recognized on its cash and discretionary investments, as the income earned on these assets are considered part of the firm's core operations. The impact on previously reported non-GAAP measures is immaterial. Management believes adjusting for these non-operating income items helps the reader's ability to understand the firm's core operating results and increases comparability to prior years. Additionally, management does not emphasize the impact of the portion of non-operating income removed when managing and evaluating the firm's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701484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89" w:lineRule="exact"/>
        <w:rPr>
          <w:sz w:val="20"/>
          <w:szCs w:val="20"/>
          <w:color w:val="auto"/>
        </w:rPr>
      </w:pPr>
    </w:p>
    <w:p>
      <w:pPr>
        <w:ind w:left="9452"/>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5651500</wp:posOffset>
            </wp:positionH>
            <wp:positionV relativeFrom="paragraph">
              <wp:posOffset>14605</wp:posOffset>
            </wp:positionV>
            <wp:extent cx="14662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3" w:lineRule="exact"/>
        <w:rPr>
          <w:sz w:val="20"/>
          <w:szCs w:val="20"/>
          <w:color w:val="auto"/>
        </w:rPr>
      </w:pPr>
    </w:p>
    <w:tbl>
      <w:tblPr>
        <w:tblLayout w:type="fixed"/>
        <w:tblInd w:w="172" w:type="dxa"/>
        <w:tblCellMar>
          <w:top w:w="0" w:type="dxa"/>
          <w:left w:w="0" w:type="dxa"/>
          <w:bottom w:w="0" w:type="dxa"/>
          <w:right w:w="0" w:type="dxa"/>
        </w:tblCellMar>
      </w:tblPr>
      <w:tr>
        <w:trPr>
          <w:trHeight w:val="178"/>
        </w:trPr>
        <w:tc>
          <w:tcPr>
            <w:tcW w:w="8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3/31/2019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3/31/2018</w:t>
            </w:r>
          </w:p>
        </w:tc>
      </w:tr>
      <w:tr>
        <w:trPr>
          <w:trHeight w:val="256"/>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on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r>
      <w:tr>
        <w:trPr>
          <w:trHeight w:val="264"/>
        </w:trPr>
        <w:tc>
          <w:tcPr>
            <w:tcW w:w="8720" w:type="dxa"/>
            <w:vAlign w:val="bottom"/>
          </w:tcPr>
          <w:p>
            <w:pPr>
              <w:ind w:left="20"/>
              <w:spacing w:after="0"/>
              <w:rPr>
                <w:sz w:val="20"/>
                <w:szCs w:val="20"/>
                <w:color w:val="auto"/>
              </w:rPr>
            </w:pPr>
            <w:r>
              <w:rPr>
                <w:rFonts w:ascii="Arial" w:cs="Arial" w:eastAsia="Arial" w:hAnsi="Arial"/>
                <w:sz w:val="14"/>
                <w:szCs w:val="14"/>
                <w:color w:val="auto"/>
              </w:rPr>
              <w:t>Less: net gains on investments designated as an economic hedge of supplemental savings plan liability</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w:t>
            </w:r>
          </w:p>
        </w:tc>
      </w:tr>
      <w:tr>
        <w:trPr>
          <w:trHeight w:val="270"/>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gains earned on cash and discretionary investments</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8720" w:type="dxa"/>
            <w:vAlign w:val="bottom"/>
          </w:tcPr>
          <w:p>
            <w:pPr>
              <w:ind w:left="20"/>
              <w:spacing w:after="0"/>
              <w:rPr>
                <w:sz w:val="20"/>
                <w:szCs w:val="20"/>
                <w:color w:val="auto"/>
              </w:rPr>
            </w:pPr>
            <w:r>
              <w:rPr>
                <w:rFonts w:ascii="Arial" w:cs="Arial" w:eastAsia="Arial" w:hAnsi="Arial"/>
                <w:sz w:val="14"/>
                <w:szCs w:val="14"/>
                <w:color w:val="auto"/>
              </w:rPr>
              <w:t>Net gains on remaining non-consolidated investment portfolio</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11.5</w:t>
            </w:r>
          </w:p>
        </w:tc>
      </w:tr>
      <w:tr>
        <w:trPr>
          <w:trHeight w:val="270"/>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r>
      <w:tr>
        <w:trPr>
          <w:trHeight w:val="243"/>
        </w:trPr>
        <w:tc>
          <w:tcPr>
            <w:tcW w:w="8720" w:type="dxa"/>
            <w:vAlign w:val="bottom"/>
          </w:tcPr>
          <w:p>
            <w:pPr>
              <w:ind w:left="20"/>
              <w:spacing w:after="0"/>
              <w:rPr>
                <w:sz w:val="20"/>
                <w:szCs w:val="20"/>
                <w:color w:val="auto"/>
              </w:rPr>
            </w:pPr>
            <w:r>
              <w:rPr>
                <w:rFonts w:ascii="Arial" w:cs="Arial" w:eastAsia="Arial" w:hAnsi="Arial"/>
                <w:sz w:val="14"/>
                <w:szCs w:val="14"/>
                <w:color w:val="auto"/>
              </w:rPr>
              <w:t>Total other non-operating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72" w:right="460" w:hanging="172"/>
        <w:spacing w:after="0" w:line="225" w:lineRule="auto"/>
        <w:tabs>
          <w:tab w:leader="none" w:pos="145" w:val="left"/>
        </w:tabs>
        <w:numPr>
          <w:ilvl w:val="0"/>
          <w:numId w:val="32"/>
        </w:numPr>
        <w:rPr>
          <w:rFonts w:ascii="Arial" w:cs="Arial" w:eastAsia="Arial" w:hAnsi="Arial"/>
          <w:sz w:val="17"/>
          <w:szCs w:val="17"/>
          <w:color w:val="auto"/>
          <w:vertAlign w:val="superscript"/>
        </w:rPr>
      </w:pPr>
      <w:r>
        <w:rPr>
          <w:rFonts w:ascii="Arial" w:cs="Arial" w:eastAsia="Arial" w:hAnsi="Arial"/>
          <w:sz w:val="14"/>
          <w:szCs w:val="14"/>
          <w:color w:val="auto"/>
        </w:rPr>
        <w:t>The income tax impacts were calculated in order to achieve an overall quarterly non-GAAP effective tax rate of 25.3% for 2019 and 24.3% for 2018. The firm estimates its effective tax rate for the full-year 2019 on a non-GAAP basis will be in the range of 24% to 26%.</w:t>
      </w:r>
    </w:p>
    <w:p>
      <w:pPr>
        <w:spacing w:after="0" w:line="152" w:lineRule="exact"/>
        <w:rPr>
          <w:rFonts w:ascii="Arial" w:cs="Arial" w:eastAsia="Arial" w:hAnsi="Arial"/>
          <w:sz w:val="17"/>
          <w:szCs w:val="17"/>
          <w:color w:val="auto"/>
          <w:vertAlign w:val="superscript"/>
        </w:rPr>
      </w:pPr>
    </w:p>
    <w:p>
      <w:pPr>
        <w:ind w:left="172" w:right="40" w:hanging="172"/>
        <w:spacing w:after="0" w:line="225" w:lineRule="auto"/>
        <w:tabs>
          <w:tab w:leader="none" w:pos="145" w:val="left"/>
        </w:tabs>
        <w:numPr>
          <w:ilvl w:val="0"/>
          <w:numId w:val="32"/>
        </w:numPr>
        <w:rPr>
          <w:rFonts w:ascii="Arial" w:cs="Arial" w:eastAsia="Arial" w:hAnsi="Arial"/>
          <w:sz w:val="17"/>
          <w:szCs w:val="17"/>
          <w:color w:val="auto"/>
          <w:vertAlign w:val="superscript"/>
        </w:rPr>
      </w:pPr>
      <w:r>
        <w:rPr>
          <w:rFonts w:ascii="Arial" w:cs="Arial" w:eastAsia="Arial" w:hAnsi="Arial"/>
          <w:sz w:val="14"/>
          <w:szCs w:val="14"/>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sectPr>
      <w:pgSz w:w="11900" w:h="16838" w:orient="portrait"/>
      <w:cols w:equalWidth="0" w:num="1">
        <w:col w:w="11392"/>
      </w:cols>
      <w:pgMar w:left="248" w:top="77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decimal"/>
      <w:start w:val="1"/>
    </w:lvl>
    <w:lvl w:ilvl="1">
      <w:lvlJc w:val="left"/>
      <w:lvlText w:val="(%2)"/>
      <w:numFmt w:val="lowerLetter"/>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lvl w:ilvl="1">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48" Type="http://schemas.openxmlformats.org/officeDocument/2006/relationships/hyperlink" Target="http://www.sec.gov/Archives/edgar/data/1113169/000111316918000018/articlesofrestatementfin.htm" TargetMode="External"/><Relationship Id="rId49" Type="http://schemas.openxmlformats.org/officeDocument/2006/relationships/hyperlink" Target="http://www.sec.gov/Archives/edgar/data/1113169/000111316919000007/trpg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2019-12-28T13:42:03Z</dcterms:created>
  <dcterms:modified xsi:type="dcterms:W3CDTF">2019-12-28T13:42:03Z</dcterms:modified>
</cp:coreProperties>
</file>