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1017"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1017"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22, 2014, is 262,733,775</w:t>
      </w:r>
      <w:r>
        <w:rPr>
          <w:rFonts w:ascii="Arial" w:cs="Arial" w:eastAsia="Arial" w:hAnsi="Arial"/>
          <w:sz w:val="16"/>
          <w:szCs w:val="16"/>
          <w:b w:val="1"/>
          <w:bCs w:val="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3/31/2014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5,033.1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5,462.9</w:t>
            </w:r>
          </w:p>
        </w:tc>
      </w:tr>
      <w:tr>
        <w:trPr>
          <w:trHeight w:val="311"/>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173.2</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425.7</w:t>
            </w:r>
          </w:p>
        </w:tc>
      </w:tr>
      <w:tr>
        <w:trPr>
          <w:trHeight w:val="318"/>
        </w:trPr>
        <w:tc>
          <w:tcPr>
            <w:tcW w:w="8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$.20 par value - authorized 750,000,000; issued 262,073,000 shares in 2013 and 262,839,000 in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929.5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3,871.1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5,037.2</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5,033.1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5,462.9</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fees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Distribution and servicing fees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 of savings bank subsidiary</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 and servicing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Occupancy and facility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5480"/>
              <w:spacing w:after="0"/>
              <w:rPr>
                <w:sz w:val="20"/>
                <w:szCs w:val="20"/>
                <w:color w:val="auto"/>
              </w:rPr>
            </w:pPr>
            <w:r>
              <w:rPr>
                <w:rFonts w:ascii="Arial" w:cs="Arial" w:eastAsia="Arial" w:hAnsi="Arial"/>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3/31/2013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3/31/2014</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on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3"/>
              </w:rPr>
              <w:t>Reclassification adjustments related to net gains realized on dispositions recognized in non-operating investment</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income, determined using average cost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tax benefit (income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300.0</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3/31/2014</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304.3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w:t>
            </w:r>
          </w:p>
        </w:tc>
      </w:tr>
      <w:tr>
        <w:trPr>
          <w:trHeight w:val="237"/>
        </w:trPr>
        <w:tc>
          <w:tcPr>
            <w:tcW w:w="856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97.9</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debt securities held by savings bank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Proceeds from debt securities held by savings bank subsidiary</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Other investing activity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Change in savings bank subsidiary deposits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0"/>
        </w:trPr>
        <w:tc>
          <w:tcPr>
            <w:tcW w:w="8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change during period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beginning of year</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51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341.3</w:t>
            </w:r>
          </w:p>
        </w:tc>
      </w:tr>
      <w:tr>
        <w:trPr>
          <w:trHeight w:val="270"/>
        </w:trPr>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1,398.0</w:t>
            </w:r>
          </w:p>
        </w:tc>
      </w:tr>
      <w:tr>
        <w:trPr>
          <w:trHeight w:val="27"/>
        </w:trPr>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1,739.3</w:t>
            </w:r>
          </w:p>
        </w:tc>
      </w:tr>
      <w:tr>
        <w:trPr>
          <w:trHeight w:val="27"/>
        </w:trPr>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-376555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360"/>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152" w:lineRule="exact"/>
        <w:rPr>
          <w:sz w:val="20"/>
          <w:szCs w:val="20"/>
          <w:color w:val="auto"/>
        </w:rPr>
      </w:pPr>
    </w:p>
    <w:p>
      <w:pPr>
        <w:jc w:val="center"/>
        <w:ind w:right="3360"/>
        <w:spacing w:after="0"/>
        <w:rPr>
          <w:sz w:val="20"/>
          <w:szCs w:val="20"/>
          <w:color w:val="auto"/>
        </w:rPr>
      </w:pPr>
      <w:r>
        <w:rPr>
          <w:rFonts w:ascii="Arial" w:cs="Arial" w:eastAsia="Arial" w:hAnsi="Arial"/>
          <w:sz w:val="18"/>
          <w:szCs w:val="18"/>
          <w:color w:val="auto"/>
        </w:rPr>
        <w:t>Page 5</w:t>
      </w:r>
    </w:p>
    <w:p>
      <w:pPr>
        <w:sectPr>
          <w:pgSz w:w="11900" w:h="16838" w:orient="portrait"/>
          <w:cols w:equalWidth="0" w:num="2">
            <w:col w:w="2660" w:space="720"/>
            <w:col w:w="8020"/>
          </w:cols>
          <w:pgMar w:left="240" w:top="580" w:right="259" w:bottom="1440" w:gutter="0" w:footer="0" w:header="0"/>
          <w:type w:val="continuous"/>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excess of</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par value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2013</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262,073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894.6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3,682.8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4,818.1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7"/>
              </w:rPr>
              <w:t>Restricted shares issued, net of shares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Shares issued upon vesting of restricted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units, net of shares withheld for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tax benefits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Restricted stock units issued as dividend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equivalents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2014</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262,839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3,871.1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5,037.2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items have been reclassed to conform to current year presentation.</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2013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$221.9 million at December 31, 2013, and $235.4 million at March 31,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3/31/2013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3/31/2014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497.3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590.8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196.9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r>
      <w:tr>
        <w:trPr>
          <w:trHeight w:val="237"/>
        </w:trPr>
        <w:tc>
          <w:tcPr>
            <w:tcW w:w="8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826.4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Average during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first quarter of</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5"/>
              </w:rPr>
              <w:t>As of</w:t>
            </w:r>
          </w:p>
        </w:tc>
        <w:tc>
          <w:tcPr>
            <w:tcW w:w="1200" w:type="dxa"/>
            <w:vAlign w:val="bottom"/>
            <w:tcBorders>
              <w:bottom w:val="single" w:sz="8" w:color="auto"/>
            </w:tcBorders>
          </w:tcPr>
          <w:p>
            <w:pPr>
              <w:spacing w:after="0"/>
              <w:rPr>
                <w:sz w:val="16"/>
                <w:szCs w:val="16"/>
                <w:color w:val="auto"/>
              </w:rPr>
            </w:pPr>
          </w:p>
        </w:tc>
      </w:tr>
      <w:tr>
        <w:trPr>
          <w:trHeight w:val="270"/>
        </w:trPr>
        <w:tc>
          <w:tcPr>
            <w:tcW w:w="51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12/31/2013</w:t>
            </w: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w:t>
            </w:r>
          </w:p>
        </w:tc>
        <w:tc>
          <w:tcPr>
            <w:tcW w:w="4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98.5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w:t>
            </w:r>
          </w:p>
        </w:tc>
        <w:tc>
          <w:tcPr>
            <w:tcW w:w="4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601.0</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4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711.4</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6.5% of our assets under management at March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3/31/2013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3/31/2014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These sponsored funds (in millions) are voting interest entities and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Aggregate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Unrealized holding</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7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losses</w:t>
            </w: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cost</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2013</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354.7</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904.0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1,258.7</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March 31, 2014</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387.6</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1,291.7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1,635.2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unrealized holding losses are attributable to six fund holdings with an aggregate fair value of $155.9 million at December 31, 2013, and four fund holdings with an aggregate fair value of $108.1 million at March 31, 2014. These unrealized losses are considered temporary.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 interest in Daiwa SB Investments Ltd. (Japan)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Sponsored fund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Sponsored fund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349.0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securities held by consolidated sponsored investment portfolios relate to investment portfolios in which we provided initial seed capital at the time of its formation. We have determined at December 31, 2013 and March 31, 2014, that these investment portfolios are voting interest entities and, as a result, have consolidated those sponsored portfolios in which we own a majority of the voting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2013</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2,921.0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March 31, 2014</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3,237.1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25.1</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quarter of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31,574,958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1,740,900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hire grants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5,500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(1,148,134)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(286,320)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end of period</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31,886,208</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end of period</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18,122,661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2013</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1,877,086</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823,593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and non-employee directors - time-based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365,751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177,179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to employees - performance-based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34,725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(89,203)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(5,245)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2014</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2,158,547</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1,024,969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nonvested at March 31, 2014 includes 49,200 performance-based restricted shares and 153,675 performance-based restricted stock units. These performance-based restricted shares and units include 31,200 restricted shares and 90,750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March 31, 2014. Estimated future compensation expense will change to reflect future option grants; future awards of unrestricted shares, restricted shares, and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2014</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2016 through 2019</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1025" w:hanging="1025"/>
        <w:spacing w:after="0"/>
        <w:tabs>
          <w:tab w:leader="none" w:pos="1025" w:val="left"/>
        </w:tabs>
        <w:numPr>
          <w:ilvl w:val="0"/>
          <w:numId w:val="1"/>
        </w:numPr>
        <w:rPr>
          <w:rFonts w:ascii="Arial" w:cs="Arial" w:eastAsia="Arial" w:hAnsi="Arial"/>
          <w:sz w:val="16"/>
          <w:szCs w:val="16"/>
          <w:color w:val="auto"/>
        </w:rPr>
      </w:pPr>
      <w:r>
        <w:rPr>
          <w:rFonts w:ascii="Arial" w:cs="Arial" w:eastAsia="Arial" w:hAnsi="Arial"/>
          <w:sz w:val="16"/>
          <w:szCs w:val="16"/>
          <w:color w:val="auto"/>
        </w:rPr>
        <w:t>33.3</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33.4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29.4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82.4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0" w:lineRule="exact"/>
        <w:rPr>
          <w:sz w:val="20"/>
          <w:szCs w:val="20"/>
          <w:color w:val="auto"/>
        </w:rPr>
      </w:pPr>
    </w:p>
    <w:p>
      <w:pPr>
        <w:ind w:left="925" w:hanging="925"/>
        <w:spacing w:after="0"/>
        <w:tabs>
          <w:tab w:leader="none" w:pos="925" w:val="left"/>
        </w:tabs>
        <w:numPr>
          <w:ilvl w:val="0"/>
          <w:numId w:val="2"/>
        </w:numPr>
        <w:rPr>
          <w:rFonts w:ascii="Arial" w:cs="Arial" w:eastAsia="Arial" w:hAnsi="Arial"/>
          <w:sz w:val="16"/>
          <w:szCs w:val="16"/>
          <w:color w:val="auto"/>
        </w:rPr>
      </w:pPr>
      <w:r>
        <w:rPr>
          <w:rFonts w:ascii="Arial" w:cs="Arial" w:eastAsia="Arial" w:hAnsi="Arial"/>
          <w:sz w:val="16"/>
          <w:szCs w:val="16"/>
          <w:color w:val="auto"/>
        </w:rPr>
        <w:t>258.9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580"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EARNINGS PER SHARE CALCULATIONS.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3/31/2014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260.4</w:t>
            </w:r>
          </w:p>
        </w:tc>
      </w:tr>
      <w:tr>
        <w:trPr>
          <w:trHeight w:val="25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8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3/31/2014</w:t>
            </w:r>
          </w:p>
        </w:tc>
      </w:tr>
      <w:tr>
        <w:trPr>
          <w:trHeight w:val="263"/>
        </w:trPr>
        <w:tc>
          <w:tcPr>
            <w:tcW w:w="9440" w:type="dxa"/>
            <w:vAlign w:val="bottom"/>
            <w:gridSpan w:val="2"/>
            <w:shd w:val="clear" w:color="auto" w:fill="CCEEFF"/>
          </w:tcPr>
          <w:p>
            <w:pPr>
              <w:jc w:val="right"/>
              <w:ind w:right="544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(loss) on deferred tax benefit (income tax).</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3/31/2014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(income taxes) 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unrealized holding gains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Reclassification adjustment recognized in the provision for income taxes related to net gains realized 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benefit (income taxes) on net unrealized holding gains or losses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(income taxes) on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net deferred tax benefit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0" w:right="2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quarter of 2014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Net unrealized holding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34290</wp:posOffset>
            </wp:positionV>
            <wp:extent cx="2992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Equity share of</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UTI’s net</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Total net</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Currency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Investments in</w:t>
            </w: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unrealized holding</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unrealized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sponsored funds</w:t>
            </w:r>
          </w:p>
        </w:tc>
        <w:tc>
          <w:tcPr>
            <w:tcW w:w="14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gains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holding gains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adjustments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before</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 adjustments related to net gains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on dispositions recognized in non-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operating investment income, determined using</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cost</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7"/>
        </w:trPr>
        <w:tc>
          <w:tcPr>
            <w:tcW w:w="35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March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2014, the related condensed consolidated statements of income, comprehensive income and cash flows for the three month periods ended March 31, 2014 and 2013, and the related condensed consolidated statement of stockholders’ equity for the three-month period ended March 31, 2014. These condensed consolidated financial statements are the responsibility of the Company’s management.</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2013, and the related consolidated statements of income, comprehensive income, stockholders’ equity, and cash flows for the year then ended (not presented herein); and in our report dated February 4, 2014, we expressed an unqualified opinion on those consolidated financial statements. In our opinion, the information set forth in the accompanying condensed consolidated balance sheet as of December 31, 2013,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U.S. sponsored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Investment advisory clients domiciled outside the U.S. account for 6.5% of our assets under management at March 31, 2014.</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In the coming quarters, we expect to increase funding for long-term initiatives to sustain and deepen our investment talent, expand our capabilities through enhanced technology, and broaden our distribution reach globally, including into Italy and Germany.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Most major U.S. equity indexes advanced in the first quarter of 2014 despite market declines in January and March. The market tumbled in January as the Federal Reserve started to taper its monthly purchases of Treasuries and agency mortgage-backed securities, and as emerging markets equities and currencies declined in anticipation of reduced global liquidity. Stocks rebounded strongly in February, however, amid stabilization in emerging markets and mostly favorable U.S. corporate earnings. Equities struggled somewhat in March due to Russia’s controversial annexation of Ukraine’s Crimean peninsula and retaliatory sanctions from the U.S. and the European Union. Concerns that the Federal Reserve might consider raising short-term interest rates sooner than previously expected also weighed on equities in March.</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Developed non-U.S. stock markets generated positive returns but lagged U.S. shares during the quarter. Equities in Europe outperformed Asian stocks. Emerging markets equities in aggregate fell slightly against a backdrop of slowing growth in various economies, especially those that raised interest rates to defend their currencies and contain inflation, and geopolitical tensions related to Ukraine.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first quarter of 2014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3/31/2014</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r>
      <w:tr>
        <w:trPr>
          <w:trHeight w:val="270"/>
        </w:trPr>
        <w:tc>
          <w:tcPr>
            <w:tcW w:w="94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0.5%</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1.1%</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0.8%</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-0.4%</w:t>
            </w:r>
          </w:p>
        </w:tc>
      </w:tr>
      <w:tr>
        <w:trPr>
          <w:trHeight w:val="329"/>
        </w:trPr>
        <w:tc>
          <w:tcPr>
            <w:tcW w:w="948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940" w:type="dxa"/>
            <w:vAlign w:val="bottom"/>
          </w:tcPr>
          <w:p>
            <w:pPr>
              <w:spacing w:after="0"/>
              <w:rPr>
                <w:sz w:val="24"/>
                <w:szCs w:val="24"/>
                <w:color w:val="auto"/>
              </w:rPr>
            </w:pPr>
          </w:p>
        </w:tc>
      </w:tr>
    </w:tbl>
    <w:p>
      <w:pPr>
        <w:spacing w:after="0" w:line="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Overall, global bond returns were positive in the first quarter of 2014. In the U.S., high yield bonds generally outperformed investment-grade issues as investors continued to favor securities with a yield advantage. Among high-quality bond segments, long-term Treasuries fared best as yields declined from the two-and-a-half-year highs reached at the end of 2013, despite the Fed’s measured tapering of asset purchases. The 10-year Treasury yield fell from 3.0% at the end of 2013 to 2.7% at the end of March 2014. Municipal bonds also enjoyed a strong quarter amid falling rates, limited issuance, and modest demand.</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Government bonds in developed non-U.S. markets produced good returns in dollar terms. Emerging markets debt outperformed developed-market issues, with dollar-denominated debt outperforming bonds denominated in local currencies.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Returns for several major bond market indexes for the first quarter of 2014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3/31/2014</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U.S. Aggregate Index</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Credit Suisse High Yield Index</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3.1%</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2.8%</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9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Index Plus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r>
      <w:tr>
        <w:trPr>
          <w:trHeight w:val="27"/>
        </w:trPr>
        <w:tc>
          <w:tcPr>
            <w:tcW w:w="9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Assets under management (in billions) as of December 31, 2013 and March 31, 2014, are presented by investment portfolio and investment objective in the following table.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119"/>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3/31/2014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261.0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52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711.4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8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119"/>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50"/>
        </w:trPr>
        <w:tc>
          <w:tcPr>
            <w:tcW w:w="8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3/31/2014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161.4</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711.4</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9"/>
        </w:trPr>
        <w:tc>
          <w:tcPr>
            <w:tcW w:w="8480" w:type="dxa"/>
            <w:vAlign w:val="bottom"/>
            <w:gridSpan w:val="2"/>
          </w:tcPr>
          <w:p>
            <w:pPr>
              <w:spacing w:after="0"/>
              <w:rPr>
                <w:sz w:val="20"/>
                <w:szCs w:val="20"/>
                <w:color w:val="auto"/>
              </w:rPr>
            </w:pPr>
            <w:r>
              <w:rPr>
                <w:rFonts w:ascii="Arial" w:cs="Arial" w:eastAsia="Arial" w:hAnsi="Arial"/>
                <w:sz w:val="18"/>
                <w:szCs w:val="18"/>
                <w:color w:val="auto"/>
                <w:w w:val="91"/>
              </w:rPr>
              <w:t>The following table details the changes in our assets under management (in billions) during the first quarter of 2014.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35"/>
        </w:trPr>
        <w:tc>
          <w:tcPr>
            <w:tcW w:w="8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spacing w:after="0"/>
              <w:rPr>
                <w:sz w:val="11"/>
                <w:szCs w:val="11"/>
                <w:color w:val="auto"/>
              </w:rPr>
            </w:pPr>
          </w:p>
        </w:tc>
      </w:tr>
      <w:tr>
        <w:trPr>
          <w:trHeight w:val="264"/>
        </w:trPr>
        <w:tc>
          <w:tcPr>
            <w:tcW w:w="8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Quarter ended 3/31/2014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692.4</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valuation changes and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Change during the period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management at end of period</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711.4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Total cash inflows for the first quarter of 2014 include $6.0 billion in net cash inflows sourced from our target-date retirement portfolios. The target-date retirement portfolios in turn invest in a broadly diversified portfolio of other Price funds or Price trust funds, and automatically rebalance to maintain their specific asset allocation weightings. Assets under management in these retirement portfolios at March 31, 2014, totaled $129.6 billion, including $111.6 billion in target-date retirement funds and $18.0 billion in target-date retirement trusts.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of 2014 versus first quarter of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31750</wp:posOffset>
            </wp:positionV>
            <wp:extent cx="223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3/31/2014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3/31/2013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Percent Change</w:t>
            </w:r>
          </w:p>
        </w:tc>
      </w:tr>
      <w:tr>
        <w:trPr>
          <w:trHeight w:val="27"/>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826.4</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702.9</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954.6</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815.7</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505.5</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443.1</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449.1</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304.3</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241.9</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324"/>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4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Investment advisory revenues in the first quarter of 2014 are up over the comparable 2013 quarter as average assets under our management increased $100.2 billion to $701.2 billion. In addition, the average annualized effective fee rate earned on our assets under management during the first quarter of 2014 increased to 47.8 basis points from the 47.4 basis points earned during the first quarter of 2013, due primarily to asset growth in higher than average fee rate strategies. Our annualized effective fee rate earned in the first quarter of 2014 is virtually unchanged from the 47.7 basis points earned for the 2013 year. We voluntarily waived $14.3 million in money market related fees, including advisory fees and fund expenses, in the first quarter of 2014, in order to maintain a positive yield for fund investors. The fee waivers in the first quarter of 2014 were up $3.3 million from the comparable 2013 quarter and represent about 2% of total investment advisory revenues earned during the first quarter of 2014. Fees were waived from each of our money market mutual funds and trusts, which have combined net assets of $16.8 billion at March 31, 2014. We expect that these fee waivers will continue for the remainder of 2014.</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Greater average assets under management and the higher annualized fee rate have increased our investment advisory revenues and helped lift our operating margin in the first quarter of 2014 to 47.0% compared to 45.7% in the 2013 period. Non-operating investment income in the first quarter of 2014 includes realized gains of $32.0 million, or $.07 per share after income taxes, from the sale of certain of our sponsored fund holdings to provide additional seed capital to other sponsored funds in support of our distribution efforts outside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$590.8 million, an increase of $100.2 million, or 20.4%, on higher average assets under management. Average mutual fund assets under management in the first quarter of 2014 were $442.7 billion, an increase of 21.4% from the average in the first quarter of 2013.</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Mutual fund assets increased $15.1 billion during the first quarter of 2014, and ended the quarter at $450.4 billion. Investors added net inflows of $8.4 billion, including $5.3 billion into our stock and blended asset funds, $2.7 billion into our bond funds, and $.4 billion into our money market funds. These cash flow amounts for the first quarter of 2014 include $4.4 billion that originated in our target-date retirement funds. Market appreciation and income added $6.7 billion to mutual fund assets during the first quarter of 2014.</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advisory revenues earned in the first quarter of 2014 on our other investment portfolios were $235.6 million, an increase of $23.3 million from the comparable 2013 quarter. Average assets under management were $258.5 billion, an increase of $22.3 billion, or 9.4%, from the average in the first quarter of 2013. Net cash inflows of $.4 billion and $3.5 billion in higher market valuations and income, increased assets under management in these portfolios by $3.9 billion during the first quarter of 2014 to $261.0 billion at March 31, 2014.</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Administrative fee revenues increased $8.2 million to $94.5 million in the first quarter of 2014. The increase is primarily attributable to transfer agent servicing activities provided to the mutual funds and their investors. Changes in administrative fee revenues are generally offset by similar changes in related operating expenses that are incurred to provide services to the funds and their investors.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p>
      <w:pPr>
        <w:ind w:right="16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class shares of our sponsored funds and portfolios increased $7.5 million from the first quarter of 2013 on greater average assets under management in these share classes. The 12b-1 fees earned are offset entirely by the costs paid to third-party intermediaries who source these assets. These costs are reported as distribution and servicing costs on the face of the condensed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Compensation and related costs were $318.9 million in the first quarter of 2014, an increase of $39.8 million, or 14.3%, compared to the first quarter of 2013. The largest part of the change is attributable to a $14.2 million increase in the interim accrual for our annual variable compensation programs and $12.6 million in higher base salaries and related benefits, which results from a modest increase in salaries at the beginning of 2014 combined with a 5% increase in our average staff size from the first quarter of 2013. The balance of the change from the 2013 quarter is attributable to an increase in non-cash stock-based compensation expense, an increase in temporary personnel to support our business growth, and higher other employee-related costs. At March 31, 2014, we employed 5,692 associates.</w:t>
      </w:r>
    </w:p>
    <w:p>
      <w:pPr>
        <w:spacing w:after="0" w:line="19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Advertising and promotion costs were $22.6 million in the first quarter of 2014, a decrease of $2.5 million from the comparable 2013 period. The decrease in cost is primarily due to process efficiencies realized through the realignment of certain marketing activities. We expect total advertising and promotion costs for 2014 to be about 10% less than such costs in 2013, as we continue to repurpose this spending to other distribution activities.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Occupancy and facility costs, together with depreciation and amortization expense, were $62.5 million in the first quarter of 2014, up $8.0 million compared to the first quarter of 2013. Nearly half of this increase is attributable to the opening of two new buildings at our Owings Mills, Maryland campus in the fourth quarter of 2013. The increase also includes the added costs to renovate certain existing facilities, as well as update and enhance technology capabilities, including related maintenance programs.</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Other operating expenses in the first quarter of 2014 were up $9.6 million from the comparable 2013 quarter due to increased business demands and our continued investment in our operating capabilities. These costs include those related to our defined contribution recordkeeping business, information and third-party service costs, consulting and professional fees, and travel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Non-operating investment income in the first quarter of 2014 of $42.1 million increased $23.8 million from the 2013 quarter due primarily to the larger gains realized from the sale of certain sponsored fund investments in the 2014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effective tax rate for the first quarter of 2014 was 38.0%, down from the 38.4% for the full-year 2013. We currently estimate that our effective tax rate for the full-year 2014 will be about 38.3%. Our effective income tax rate reflects the relative contribution of pre-tax income generated by our non-U.S. subsidiaries that are subject to tax rates that are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Operating activities during the first quarter of 2014 provided cash flows of $487.1 million, up $27.7 million from the 2013 period, including a $62.4 million increase in net income and an $11.1 million increase in our non-cash expenses. These increases were offset by $25.1 million in cash used to seed a new sponsored investment portfolio that we are consolidating and classifying the underlying securities as trading at March 31, 2014. Cash provided by operating activities in the first quarter of 2014 was also adjusted for the $32.0 million in gains realized from the sale of certain available-for-sale sponsored fund investments as the total proceeds are shown as an investing activity in our condensed consolidated statements of cash flows. Our interim operating cash flows do not include the cash impact of variable compensation that is accrued throughout the year before being substantially paid out in December.</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investing activities totaled $29.8 million in the first quarter of 2014, a decrease of $1.8 million from the comparable 2013 period. We utilized $9.0 million less cash to fund net investments in sponsored funds in the first quarter 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800" w:right="259" w:bottom="1440" w:gutter="0" w:footer="0" w:header="0"/>
        </w:sectPr>
      </w:pPr>
    </w:p>
    <w:bookmarkStart w:id="17" w:name="page18"/>
    <w:bookmarkEnd w:id="17"/>
    <w:p>
      <w:pPr>
        <w:ind w:right="80"/>
        <w:spacing w:after="0" w:line="302" w:lineRule="auto"/>
        <w:rPr>
          <w:sz w:val="20"/>
          <w:szCs w:val="20"/>
          <w:color w:val="auto"/>
        </w:rPr>
      </w:pPr>
      <w:r>
        <w:rPr>
          <w:rFonts w:ascii="Arial" w:cs="Arial" w:eastAsia="Arial" w:hAnsi="Arial"/>
          <w:sz w:val="16"/>
          <w:szCs w:val="16"/>
          <w:color w:val="auto"/>
        </w:rPr>
        <w:t>2014 than in the 2013 period as existing investment holdings were sold to fund the investments in the 2014 period. This decrease in cash used was offset by a $2.6 million increase in property and equipment additions and a $3.3 million increase in the contributions made to various investment partnerships, in which we have outstanding commitments, in the first quarter of 2014 compared to the 2013 period. The first quarter of 2013 also included $1.3 million in net cash proceeds received from the debt securities held by our savings bank subsidiary that was sold in the fourth quarter of 2013.</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financing activities was $116.0 million in the first quarter of 2014, up $95.0 million from the comparable 2013 period, including $31.3 million in cash used to repurchase 400,000 shares of our common stock and a $17.1 million increase in dividends paid during the 2014 quarter. The increase in dividends paid in the first quarter of 2014 is primarily due to the 16% increase in our quarterly per-share dividend. The remaining increase in net cash used in financing activities is due to a $48.0 million decrease in proceeds received from option exercises, as the number of options exercised during the first quarter of 2014 declined by about 1.2 million compared to the 2013 period.</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cash and sponsored investment holdings at March 31, 2014 were $3.4 billion, and we have no debt. We anticipate property and equipment expenditures for the full year 2014 to be about $150 million and expect to fund them from our operating resources.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condensed consolidated statements, including that which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our Form 10-K Annual Report for 2013.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T. Rowe Price U.S.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4" w:right="239" w:bottom="1440" w:gutter="0" w:footer="0" w:header="0"/>
        </w:sectPr>
      </w:pPr>
    </w:p>
    <w:bookmarkStart w:id="18" w:name="page19"/>
    <w:bookmarkEnd w:id="18"/>
    <w:p>
      <w:pPr>
        <w:ind w:right="60"/>
        <w:spacing w:after="0" w:line="257" w:lineRule="auto"/>
        <w:rPr>
          <w:sz w:val="20"/>
          <w:szCs w:val="20"/>
          <w:color w:val="auto"/>
        </w:rPr>
      </w:pPr>
      <w:r>
        <w:rPr>
          <w:rFonts w:ascii="Arial" w:cs="Arial" w:eastAsia="Arial" w:hAnsi="Arial"/>
          <w:sz w:val="18"/>
          <w:szCs w:val="18"/>
          <w:color w:val="auto"/>
        </w:rPr>
        <w:t>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2014. Based on that evaluation, our principal executive and principal financial officers have concluded that our disclosure controls and procedures as of March 31, 2014,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2014, and has concluded that there was no change during the first quarter of 2014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584"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137,980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50,000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11,163,467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77.86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10,863,467</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March</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119,588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50,000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10,813,467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609,126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2014, 208,776 were related to shares surrendered in connection with employee stock option exercises and 350 were related to shares withheld to cover tax withholdings associated with the vesting of restricted stock awards.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400,000 shares of our common stock were repurchased pursuant to the Board of Directors’ September 8, 2010, publicly announced authorization.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April 24, 2014, we issued a press release reporting our results of operations for the first quarter of 2014.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3(i).1</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w w:val="93"/>
              </w:rPr>
              <w:t>Charter of T. Rowe Price Group, Inc., as Amended by Articles of Amendment dated April 10, 2008. (Incorporated by reference</w:t>
            </w:r>
          </w:p>
        </w:tc>
      </w:tr>
      <w:tr>
        <w:trPr>
          <w:trHeight w:val="230"/>
        </w:trPr>
        <w:tc>
          <w:tcPr>
            <w:tcW w:w="1160" w:type="dxa"/>
            <w:vAlign w:val="bottom"/>
          </w:tcPr>
          <w:p>
            <w:pPr>
              <w:spacing w:after="0"/>
              <w:rPr>
                <w:sz w:val="20"/>
                <w:szCs w:val="20"/>
                <w:color w:val="auto"/>
              </w:rPr>
            </w:pP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from Form 10-Q Report for the quarterly period ended June 30, 2008 filed on April 10, 2008; File No. 033-07012-99).</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3(ii)</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w w:val="90"/>
              </w:rPr>
              <w:t>Amended and Restated By-Laws of T. Rowe Price Group, Inc. as of February 12, 2009. (Incorporated by reference from Form 8-K</w:t>
            </w:r>
          </w:p>
        </w:tc>
      </w:tr>
      <w:tr>
        <w:trPr>
          <w:trHeight w:val="230"/>
        </w:trPr>
        <w:tc>
          <w:tcPr>
            <w:tcW w:w="1160" w:type="dxa"/>
            <w:vAlign w:val="bottom"/>
          </w:tcPr>
          <w:p>
            <w:pPr>
              <w:spacing w:after="0"/>
              <w:rPr>
                <w:sz w:val="20"/>
                <w:szCs w:val="20"/>
                <w:color w:val="auto"/>
              </w:rPr>
            </w:pP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15</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31(i).1</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31(i).2</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99</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Press release issued April 24, 2014, reporting our results of operations for the first quarter of 2014.</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w w:val="95"/>
              </w:rPr>
              <w:t>The following series of unaudited XBRL-formatted documents are collectively included herewith as Exhibit 101. The financial</w:t>
            </w:r>
          </w:p>
        </w:tc>
      </w:tr>
      <w:tr>
        <w:trPr>
          <w:trHeight w:val="216"/>
        </w:trPr>
        <w:tc>
          <w:tcPr>
            <w:tcW w:w="1160" w:type="dxa"/>
            <w:vAlign w:val="bottom"/>
          </w:tcPr>
          <w:p>
            <w:pPr>
              <w:spacing w:after="0"/>
              <w:rPr>
                <w:sz w:val="18"/>
                <w:szCs w:val="18"/>
                <w:color w:val="auto"/>
              </w:rPr>
            </w:pP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w w:val="90"/>
              </w:rPr>
              <w:t>information is extracted from T. Rowe Price Group’s unaudited condensed consolidated interim financial statements and notes that</w:t>
            </w:r>
          </w:p>
        </w:tc>
      </w:tr>
      <w:tr>
        <w:trPr>
          <w:trHeight w:val="230"/>
        </w:trPr>
        <w:tc>
          <w:tcPr>
            <w:tcW w:w="1160" w:type="dxa"/>
            <w:vAlign w:val="bottom"/>
          </w:tcPr>
          <w:p>
            <w:pPr>
              <w:spacing w:after="0"/>
              <w:rPr>
                <w:sz w:val="20"/>
                <w:szCs w:val="20"/>
                <w:color w:val="auto"/>
              </w:rPr>
            </w:pPr>
          </w:p>
        </w:tc>
        <w:tc>
          <w:tcPr>
            <w:tcW w:w="10100" w:type="dxa"/>
            <w:vAlign w:val="bottom"/>
            <w:gridSpan w:val="2"/>
          </w:tcPr>
          <w:p>
            <w:pPr>
              <w:ind w:left="680"/>
              <w:spacing w:after="0"/>
              <w:rPr>
                <w:sz w:val="20"/>
                <w:szCs w:val="20"/>
                <w:color w:val="auto"/>
              </w:rPr>
            </w:pPr>
            <w:r>
              <w:rPr>
                <w:rFonts w:ascii="Arial" w:cs="Arial" w:eastAsia="Arial" w:hAnsi="Arial"/>
                <w:sz w:val="18"/>
                <w:szCs w:val="18"/>
                <w:color w:val="auto"/>
              </w:rPr>
              <w:t>are included in this Form 10-Q Report.</w:t>
            </w:r>
          </w:p>
        </w:tc>
      </w:tr>
      <w:tr>
        <w:trPr>
          <w:trHeight w:val="392"/>
        </w:trPr>
        <w:tc>
          <w:tcPr>
            <w:tcW w:w="1160" w:type="dxa"/>
            <w:vAlign w:val="bottom"/>
          </w:tcPr>
          <w:p>
            <w:pPr>
              <w:spacing w:after="0"/>
              <w:rPr>
                <w:sz w:val="24"/>
                <w:szCs w:val="24"/>
                <w:color w:val="auto"/>
              </w:rPr>
            </w:pPr>
          </w:p>
        </w:tc>
        <w:tc>
          <w:tcPr>
            <w:tcW w:w="1760" w:type="dxa"/>
            <w:vAlign w:val="bottom"/>
          </w:tcPr>
          <w:p>
            <w:pPr>
              <w:ind w:left="680"/>
              <w:spacing w:after="0"/>
              <w:rPr>
                <w:sz w:val="20"/>
                <w:szCs w:val="20"/>
                <w:color w:val="auto"/>
              </w:rPr>
            </w:pPr>
            <w:r>
              <w:rPr>
                <w:rFonts w:ascii="Arial" w:cs="Arial" w:eastAsia="Arial" w:hAnsi="Arial"/>
                <w:sz w:val="18"/>
                <w:szCs w:val="18"/>
                <w:color w:val="auto"/>
              </w:rPr>
              <w:t>101.INS</w:t>
            </w:r>
          </w:p>
        </w:tc>
        <w:tc>
          <w:tcPr>
            <w:tcW w:w="8340" w:type="dxa"/>
            <w:vAlign w:val="bottom"/>
          </w:tcPr>
          <w:p>
            <w:pPr>
              <w:ind w:left="400"/>
              <w:spacing w:after="0"/>
              <w:rPr>
                <w:sz w:val="20"/>
                <w:szCs w:val="20"/>
                <w:color w:val="auto"/>
              </w:rPr>
            </w:pPr>
            <w:r>
              <w:rPr>
                <w:rFonts w:ascii="Arial" w:cs="Arial" w:eastAsia="Arial" w:hAnsi="Arial"/>
                <w:sz w:val="18"/>
                <w:szCs w:val="18"/>
                <w:color w:val="auto"/>
              </w:rPr>
              <w:t>XBRL Instance Document (File name: trow-20140331.xml).</w:t>
            </w:r>
          </w:p>
        </w:tc>
      </w:tr>
      <w:tr>
        <w:trPr>
          <w:trHeight w:val="392"/>
        </w:trPr>
        <w:tc>
          <w:tcPr>
            <w:tcW w:w="1160" w:type="dxa"/>
            <w:vAlign w:val="bottom"/>
          </w:tcPr>
          <w:p>
            <w:pPr>
              <w:spacing w:after="0"/>
              <w:rPr>
                <w:sz w:val="24"/>
                <w:szCs w:val="24"/>
                <w:color w:val="auto"/>
              </w:rPr>
            </w:pPr>
          </w:p>
        </w:tc>
        <w:tc>
          <w:tcPr>
            <w:tcW w:w="1760" w:type="dxa"/>
            <w:vAlign w:val="bottom"/>
          </w:tcPr>
          <w:p>
            <w:pPr>
              <w:ind w:left="680"/>
              <w:spacing w:after="0"/>
              <w:rPr>
                <w:sz w:val="20"/>
                <w:szCs w:val="20"/>
                <w:color w:val="auto"/>
              </w:rPr>
            </w:pPr>
            <w:r>
              <w:rPr>
                <w:rFonts w:ascii="Arial" w:cs="Arial" w:eastAsia="Arial" w:hAnsi="Arial"/>
                <w:sz w:val="18"/>
                <w:szCs w:val="18"/>
                <w:color w:val="auto"/>
              </w:rPr>
              <w:t>101.SCH</w:t>
            </w:r>
          </w:p>
        </w:tc>
        <w:tc>
          <w:tcPr>
            <w:tcW w:w="834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 (File name: trow-20140331.xsd).</w:t>
            </w:r>
          </w:p>
        </w:tc>
      </w:tr>
      <w:tr>
        <w:trPr>
          <w:trHeight w:val="392"/>
        </w:trPr>
        <w:tc>
          <w:tcPr>
            <w:tcW w:w="1160" w:type="dxa"/>
            <w:vAlign w:val="bottom"/>
          </w:tcPr>
          <w:p>
            <w:pPr>
              <w:spacing w:after="0"/>
              <w:rPr>
                <w:sz w:val="24"/>
                <w:szCs w:val="24"/>
                <w:color w:val="auto"/>
              </w:rPr>
            </w:pPr>
          </w:p>
        </w:tc>
        <w:tc>
          <w:tcPr>
            <w:tcW w:w="1760" w:type="dxa"/>
            <w:vAlign w:val="bottom"/>
          </w:tcPr>
          <w:p>
            <w:pPr>
              <w:ind w:left="680"/>
              <w:spacing w:after="0"/>
              <w:rPr>
                <w:sz w:val="20"/>
                <w:szCs w:val="20"/>
                <w:color w:val="auto"/>
              </w:rPr>
            </w:pPr>
            <w:r>
              <w:rPr>
                <w:rFonts w:ascii="Arial" w:cs="Arial" w:eastAsia="Arial" w:hAnsi="Arial"/>
                <w:sz w:val="18"/>
                <w:szCs w:val="18"/>
                <w:color w:val="auto"/>
              </w:rPr>
              <w:t>101.CAL</w:t>
            </w:r>
          </w:p>
        </w:tc>
        <w:tc>
          <w:tcPr>
            <w:tcW w:w="8340" w:type="dxa"/>
            <w:vAlign w:val="bottom"/>
          </w:tcPr>
          <w:p>
            <w:pPr>
              <w:ind w:left="400"/>
              <w:spacing w:after="0"/>
              <w:rPr>
                <w:sz w:val="20"/>
                <w:szCs w:val="20"/>
                <w:color w:val="auto"/>
              </w:rPr>
            </w:pPr>
            <w:r>
              <w:rPr>
                <w:rFonts w:ascii="Arial" w:cs="Arial" w:eastAsia="Arial" w:hAnsi="Arial"/>
                <w:sz w:val="18"/>
                <w:szCs w:val="18"/>
                <w:color w:val="auto"/>
              </w:rPr>
              <w:t>XBRL Taxonomy Calculation Linkbase Document (File name: trow-20140331_cal.xml).</w:t>
            </w:r>
          </w:p>
        </w:tc>
      </w:tr>
      <w:tr>
        <w:trPr>
          <w:trHeight w:val="392"/>
        </w:trPr>
        <w:tc>
          <w:tcPr>
            <w:tcW w:w="1160" w:type="dxa"/>
            <w:vAlign w:val="bottom"/>
          </w:tcPr>
          <w:p>
            <w:pPr>
              <w:spacing w:after="0"/>
              <w:rPr>
                <w:sz w:val="24"/>
                <w:szCs w:val="24"/>
                <w:color w:val="auto"/>
              </w:rPr>
            </w:pPr>
          </w:p>
        </w:tc>
        <w:tc>
          <w:tcPr>
            <w:tcW w:w="1760" w:type="dxa"/>
            <w:vAlign w:val="bottom"/>
          </w:tcPr>
          <w:p>
            <w:pPr>
              <w:ind w:left="680"/>
              <w:spacing w:after="0"/>
              <w:rPr>
                <w:sz w:val="20"/>
                <w:szCs w:val="20"/>
                <w:color w:val="auto"/>
              </w:rPr>
            </w:pPr>
            <w:r>
              <w:rPr>
                <w:rFonts w:ascii="Arial" w:cs="Arial" w:eastAsia="Arial" w:hAnsi="Arial"/>
                <w:sz w:val="18"/>
                <w:szCs w:val="18"/>
                <w:color w:val="auto"/>
              </w:rPr>
              <w:t>101.LAB</w:t>
            </w:r>
          </w:p>
        </w:tc>
        <w:tc>
          <w:tcPr>
            <w:tcW w:w="8340" w:type="dxa"/>
            <w:vAlign w:val="bottom"/>
          </w:tcPr>
          <w:p>
            <w:pPr>
              <w:ind w:left="400"/>
              <w:spacing w:after="0"/>
              <w:rPr>
                <w:sz w:val="20"/>
                <w:szCs w:val="20"/>
                <w:color w:val="auto"/>
              </w:rPr>
            </w:pPr>
            <w:r>
              <w:rPr>
                <w:rFonts w:ascii="Arial" w:cs="Arial" w:eastAsia="Arial" w:hAnsi="Arial"/>
                <w:sz w:val="18"/>
                <w:szCs w:val="18"/>
                <w:color w:val="auto"/>
              </w:rPr>
              <w:t>XBRL Taxonomy Label Linkbase Document (File name: trow-20140331_lab.xml).</w:t>
            </w:r>
          </w:p>
        </w:tc>
      </w:tr>
      <w:tr>
        <w:trPr>
          <w:trHeight w:val="392"/>
        </w:trPr>
        <w:tc>
          <w:tcPr>
            <w:tcW w:w="1160" w:type="dxa"/>
            <w:vAlign w:val="bottom"/>
          </w:tcPr>
          <w:p>
            <w:pPr>
              <w:spacing w:after="0"/>
              <w:rPr>
                <w:sz w:val="24"/>
                <w:szCs w:val="24"/>
                <w:color w:val="auto"/>
              </w:rPr>
            </w:pPr>
          </w:p>
        </w:tc>
        <w:tc>
          <w:tcPr>
            <w:tcW w:w="1760" w:type="dxa"/>
            <w:vAlign w:val="bottom"/>
          </w:tcPr>
          <w:p>
            <w:pPr>
              <w:ind w:left="680"/>
              <w:spacing w:after="0"/>
              <w:rPr>
                <w:sz w:val="20"/>
                <w:szCs w:val="20"/>
                <w:color w:val="auto"/>
              </w:rPr>
            </w:pPr>
            <w:r>
              <w:rPr>
                <w:rFonts w:ascii="Arial" w:cs="Arial" w:eastAsia="Arial" w:hAnsi="Arial"/>
                <w:sz w:val="18"/>
                <w:szCs w:val="18"/>
                <w:color w:val="auto"/>
              </w:rPr>
              <w:t>101.PRE</w:t>
            </w:r>
          </w:p>
        </w:tc>
        <w:tc>
          <w:tcPr>
            <w:tcW w:w="8340" w:type="dxa"/>
            <w:vAlign w:val="bottom"/>
          </w:tcPr>
          <w:p>
            <w:pPr>
              <w:ind w:left="400"/>
              <w:spacing w:after="0"/>
              <w:rPr>
                <w:sz w:val="20"/>
                <w:szCs w:val="20"/>
                <w:color w:val="auto"/>
              </w:rPr>
            </w:pPr>
            <w:r>
              <w:rPr>
                <w:rFonts w:ascii="Arial" w:cs="Arial" w:eastAsia="Arial" w:hAnsi="Arial"/>
                <w:sz w:val="18"/>
                <w:szCs w:val="18"/>
                <w:color w:val="auto"/>
              </w:rPr>
              <w:t>XBRL Taxonomy Presentation Linkbase Document (File name: trow-20140331_pre.xml).</w:t>
            </w:r>
          </w:p>
        </w:tc>
      </w:tr>
      <w:tr>
        <w:trPr>
          <w:trHeight w:val="392"/>
        </w:trPr>
        <w:tc>
          <w:tcPr>
            <w:tcW w:w="1160" w:type="dxa"/>
            <w:vAlign w:val="bottom"/>
          </w:tcPr>
          <w:p>
            <w:pPr>
              <w:spacing w:after="0"/>
              <w:rPr>
                <w:sz w:val="24"/>
                <w:szCs w:val="24"/>
                <w:color w:val="auto"/>
              </w:rPr>
            </w:pPr>
          </w:p>
        </w:tc>
        <w:tc>
          <w:tcPr>
            <w:tcW w:w="1760" w:type="dxa"/>
            <w:vAlign w:val="bottom"/>
          </w:tcPr>
          <w:p>
            <w:pPr>
              <w:ind w:left="680"/>
              <w:spacing w:after="0"/>
              <w:rPr>
                <w:sz w:val="20"/>
                <w:szCs w:val="20"/>
                <w:color w:val="auto"/>
              </w:rPr>
            </w:pPr>
            <w:r>
              <w:rPr>
                <w:rFonts w:ascii="Arial" w:cs="Arial" w:eastAsia="Arial" w:hAnsi="Arial"/>
                <w:sz w:val="18"/>
                <w:szCs w:val="18"/>
                <w:color w:val="auto"/>
              </w:rPr>
              <w:t>101.DEF</w:t>
            </w:r>
          </w:p>
        </w:tc>
        <w:tc>
          <w:tcPr>
            <w:tcW w:w="8340" w:type="dxa"/>
            <w:vAlign w:val="bottom"/>
          </w:tcPr>
          <w:p>
            <w:pPr>
              <w:ind w:left="400"/>
              <w:spacing w:after="0"/>
              <w:rPr>
                <w:sz w:val="20"/>
                <w:szCs w:val="20"/>
                <w:color w:val="auto"/>
              </w:rPr>
            </w:pPr>
            <w:r>
              <w:rPr>
                <w:rFonts w:ascii="Arial" w:cs="Arial" w:eastAsia="Arial" w:hAnsi="Arial"/>
                <w:sz w:val="18"/>
                <w:szCs w:val="18"/>
                <w:color w:val="auto"/>
              </w:rPr>
              <w:t>XBRL Taxonomy Definition Linkbase Document (File name: trow-20140331_def.xml).</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00"/>
          </w:cols>
          <w:pgMar w:left="240" w:top="580" w:right="359" w:bottom="1440" w:gutter="0" w:footer="0" w:header="0"/>
        </w:sectPr>
      </w:pPr>
    </w:p>
    <w:bookmarkStart w:id="21" w:name="page22"/>
    <w:bookmarkEnd w:id="2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24,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20"/>
          </w:cols>
          <w:pgMar w:left="240" w:top="580" w:right="439" w:bottom="1440" w:gutter="0" w:footer="0" w:header="0"/>
        </w:sectPr>
      </w:pPr>
    </w:p>
    <w:bookmarkStart w:id="22" w:name="page23"/>
    <w:bookmarkEnd w:id="22"/>
    <w:p>
      <w:pPr>
        <w:ind w:left="1060" w:right="4080" w:hanging="2592"/>
        <w:spacing w:after="0" w:line="267" w:lineRule="auto"/>
        <w:tabs>
          <w:tab w:leader="none" w:pos="1040" w:val="left"/>
        </w:tabs>
        <w:rPr>
          <w:sz w:val="20"/>
          <w:szCs w:val="20"/>
          <w:color w:val="auto"/>
        </w:rPr>
      </w:pPr>
      <w:r>
        <w:rPr>
          <w:rFonts w:ascii="Arial" w:cs="Arial" w:eastAsia="Arial" w:hAnsi="Arial"/>
          <w:sz w:val="20"/>
          <w:szCs w:val="20"/>
          <w:b w:val="1"/>
          <w:bCs w:val="1"/>
          <w:color w:val="auto"/>
        </w:rPr>
        <w:t>Exhibit 15</w:t>
        <w:tab/>
        <w:t>Letter from KPMG LLP, independent registered public accounting firm, re unaudited interim financial information</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100 East Pratt Street</w:t>
      </w:r>
    </w:p>
    <w:p>
      <w:pPr>
        <w:spacing w:after="0"/>
        <w:rPr>
          <w:sz w:val="20"/>
          <w:szCs w:val="20"/>
          <w:color w:val="auto"/>
        </w:rPr>
      </w:pPr>
      <w:r>
        <w:rPr>
          <w:rFonts w:ascii="Arial" w:cs="Arial" w:eastAsia="Arial" w:hAnsi="Arial"/>
          <w:sz w:val="20"/>
          <w:szCs w:val="20"/>
          <w:color w:val="auto"/>
        </w:rPr>
        <w:t>Baltimore, Maryland 21202</w:t>
      </w:r>
    </w:p>
    <w:p>
      <w:pPr>
        <w:spacing w:after="0" w:line="200" w:lineRule="exact"/>
        <w:rPr>
          <w:sz w:val="20"/>
          <w:szCs w:val="20"/>
          <w:color w:val="auto"/>
        </w:rPr>
      </w:pPr>
    </w:p>
    <w:p>
      <w:pPr>
        <w:spacing w:after="0" w:line="21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Re: Registration Statements on Form S-8: No. 33-7012, No. 333-90967, No. 333-59714, No. 333-120882, No. 333-120883, No. 333-142092, No. 333-167317, and 333-180904.</w:t>
      </w:r>
    </w:p>
    <w:p>
      <w:pPr>
        <w:spacing w:after="0" w:line="3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With respect to the subject registration statements, we acknowledge our awareness of the use therein of our report dated April 24, 2014 related to our review of interim financial information.</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April 24, 2014</w:t>
      </w:r>
    </w:p>
    <w:p>
      <w:pPr>
        <w:sectPr>
          <w:pgSz w:w="11900" w:h="16838" w:orient="portrait"/>
          <w:cols w:equalWidth="0" w:num="1">
            <w:col w:w="11280"/>
          </w:cols>
          <w:pgMar w:left="240" w:top="576" w:right="379" w:bottom="1440" w:gutter="0" w:footer="0" w:header="0"/>
        </w:sectPr>
      </w:pPr>
    </w:p>
    <w:bookmarkStart w:id="23" w:name="page24"/>
    <w:bookmarkEnd w:id="23"/>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2014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24" w:name="page25"/>
    <w:bookmarkEnd w:id="24"/>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2014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25" w:name="page26"/>
    <w:bookmarkEnd w:id="25"/>
    <w:p>
      <w:pPr>
        <w:spacing w:after="0"/>
        <w:tabs>
          <w:tab w:leader="none" w:pos="25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2014 of T. Rowe Price Group, Inc., that:</w:t>
      </w:r>
    </w:p>
    <w:p>
      <w:pPr>
        <w:spacing w:after="0" w:line="11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Form 10-Q Quarterly Report Report fully complies with the requirements of Section 13(a) of the Securities Exchange Act of 1934, as amended; and</w:t>
      </w:r>
    </w:p>
    <w:p>
      <w:pPr>
        <w:spacing w:after="0" w:line="194" w:lineRule="exact"/>
        <w:rPr>
          <w:rFonts w:ascii="Arial" w:cs="Arial" w:eastAsia="Arial" w:hAnsi="Arial"/>
          <w:sz w:val="16"/>
          <w:szCs w:val="16"/>
          <w:color w:val="auto"/>
        </w:rPr>
      </w:pPr>
    </w:p>
    <w:p>
      <w:pPr>
        <w:ind w:right="12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26" w:name="page27"/>
    <w:bookmarkEnd w:id="2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2019-12-07T00:14:03Z</dcterms:created>
  <dcterms:modified xsi:type="dcterms:W3CDTF">2019-12-07T00:14:03Z</dcterms:modified>
</cp:coreProperties>
</file>