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757555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723265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27"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1257" w:right="419" w:bottom="1440" w:gutter="0" w:footer="0" w:header="0"/>
        </w:sectPr>
      </w:pPr>
    </w:p>
    <w:p>
      <w:pPr>
        <w:spacing w:after="0" w:line="10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44" w:lineRule="exact"/>
        <w:rPr>
          <w:sz w:val="24"/>
          <w:szCs w:val="24"/>
          <w:color w:val="auto"/>
        </w:rPr>
      </w:pPr>
    </w:p>
    <w:p>
      <w:pPr>
        <w:sectPr>
          <w:pgSz w:w="11900" w:h="16838" w:orient="portrait"/>
          <w:cols w:equalWidth="0" w:num="2">
            <w:col w:w="7220" w:space="720"/>
            <w:col w:w="3220"/>
          </w:cols>
          <w:pgMar w:left="320" w:top="1257" w:right="41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7" w:lineRule="exact"/>
        <w:rPr>
          <w:sz w:val="24"/>
          <w:szCs w:val="24"/>
          <w:color w:val="auto"/>
        </w:rPr>
      </w:pPr>
    </w:p>
    <w:p>
      <w:pPr>
        <w:sectPr>
          <w:pgSz w:w="11900" w:h="16838" w:orient="portrait"/>
          <w:cols w:equalWidth="0" w:num="2">
            <w:col w:w="6520" w:space="720"/>
            <w:col w:w="3920"/>
          </w:cols>
          <w:pgMar w:left="320" w:top="1257"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1257" w:right="419" w:bottom="1440" w:gutter="0" w:footer="0" w:header="0"/>
          <w:type w:val="continuous"/>
        </w:sectPr>
      </w:pPr>
    </w:p>
    <w:p>
      <w:pPr>
        <w:spacing w:after="0" w:line="176"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43" w:lineRule="exact"/>
        <w:rPr>
          <w:sz w:val="24"/>
          <w:szCs w:val="24"/>
          <w:color w:val="auto"/>
        </w:rPr>
      </w:pPr>
    </w:p>
    <w:p>
      <w:pPr>
        <w:sectPr>
          <w:pgSz w:w="11900" w:h="16838" w:orient="portrait"/>
          <w:cols w:equalWidth="0" w:num="3">
            <w:col w:w="4620" w:space="720"/>
            <w:col w:w="1420" w:space="720"/>
            <w:col w:w="3680"/>
          </w:cols>
          <w:pgMar w:left="320" w:top="1257" w:right="41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14" w:lineRule="exact"/>
        <w:rPr>
          <w:sz w:val="24"/>
          <w:szCs w:val="24"/>
          <w:color w:val="auto"/>
        </w:rPr>
      </w:pPr>
    </w:p>
    <w:p>
      <w:pPr>
        <w:sectPr>
          <w:pgSz w:w="11900" w:h="16838" w:orient="portrait"/>
          <w:cols w:equalWidth="0" w:num="3">
            <w:col w:w="4400" w:space="720"/>
            <w:col w:w="1620" w:space="720"/>
            <w:col w:w="3700"/>
          </w:cols>
          <w:pgMar w:left="320" w:top="1257"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1257" w:right="419" w:bottom="1440" w:gutter="0" w:footer="0" w:header="0"/>
          <w:type w:val="continuous"/>
        </w:sectPr>
      </w:pPr>
    </w:p>
    <w:p>
      <w:pPr>
        <w:spacing w:after="0" w:line="79"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jc w:val="both"/>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1"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41" w:lineRule="exact"/>
        <w:rPr>
          <w:sz w:val="24"/>
          <w:szCs w:val="24"/>
          <w:color w:val="auto"/>
        </w:rPr>
      </w:pPr>
    </w:p>
    <w:p>
      <w:pPr>
        <w:ind w:right="3000"/>
        <w:spacing w:after="0" w:line="260"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27, 2021, is 226,855,575.</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60"/>
          </w:cols>
          <w:pgMar w:left="320" w:top="125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12/31/2020</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($1,782.9 million at March 31, 2021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8240" w:type="dxa"/>
            <w:vAlign w:val="bottom"/>
          </w:tcPr>
          <w:p>
            <w:pPr>
              <w:ind w:left="20"/>
              <w:spacing w:after="0"/>
              <w:rPr>
                <w:sz w:val="20"/>
                <w:szCs w:val="20"/>
                <w:color w:val="auto"/>
              </w:rPr>
            </w:pPr>
            <w:r>
              <w:rPr>
                <w:rFonts w:ascii="Arial" w:cs="Arial" w:eastAsia="Arial" w:hAnsi="Arial"/>
                <w:sz w:val="18"/>
                <w:szCs w:val="18"/>
                <w:color w:val="auto"/>
              </w:rPr>
              <w:t>$2,497.4 million at December 31, 2020, related to variable interest entities)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188"/>
        </w:trPr>
        <w:tc>
          <w:tcPr>
            <w:tcW w:w="8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Liabilities of consolidated T. Rowe Price investment products ($49.0 million at March 31, 2021 and</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$47.7 million at December 31, 2020, related to variable interest entities)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w:t>
            </w: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24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226,948,000 shares at March 31,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2021 and 227,965,000 at December 31, 2020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7,029.8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3/31/2020</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1,687.8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1,327.8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w:t>
            </w: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Product-related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r>
      <w:tr>
        <w:trPr>
          <w:trHeight w:val="270"/>
        </w:trPr>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gains (losses)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6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51"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17780</wp:posOffset>
            </wp:positionV>
            <wp:extent cx="1903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 w:lineRule="exact"/>
        <w:rPr>
          <w:sz w:val="20"/>
          <w:szCs w:val="20"/>
          <w:color w:val="auto"/>
        </w:rPr>
      </w:pPr>
    </w:p>
    <w:p>
      <w:pPr>
        <w:jc w:val="both"/>
        <w:ind w:left="8640"/>
        <w:spacing w:after="0"/>
        <w:tabs>
          <w:tab w:leader="none" w:pos="10180" w:val="left"/>
        </w:tabs>
        <w:rPr>
          <w:sz w:val="20"/>
          <w:szCs w:val="20"/>
          <w:color w:val="auto"/>
        </w:rPr>
      </w:pPr>
      <w:r>
        <w:rPr>
          <w:rFonts w:ascii="Arial" w:cs="Arial" w:eastAsia="Arial" w:hAnsi="Arial"/>
          <w:sz w:val="14"/>
          <w:szCs w:val="14"/>
          <w:b w:val="1"/>
          <w:bCs w:val="1"/>
          <w:color w:val="auto"/>
        </w:rPr>
        <w:t>3/31/2021</w:t>
      </w:r>
      <w:r>
        <w:rPr>
          <w:sz w:val="20"/>
          <w:szCs w:val="20"/>
          <w:color w:val="auto"/>
        </w:rPr>
        <w:tab/>
      </w:r>
      <w:r>
        <w:rPr>
          <w:rFonts w:ascii="Arial" w:cs="Arial" w:eastAsia="Arial" w:hAnsi="Arial"/>
          <w:sz w:val="14"/>
          <w:szCs w:val="14"/>
          <w:b w:val="1"/>
          <w:bCs w:val="1"/>
          <w:color w:val="auto"/>
        </w:rPr>
        <w:t>3/31/2020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82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1"/>
                <w:szCs w:val="21"/>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23"/>
                <w:szCs w:val="23"/>
                <w:color w:val="auto"/>
              </w:rPr>
            </w:pPr>
          </w:p>
        </w:tc>
      </w:tr>
      <w:tr>
        <w:trPr>
          <w:trHeight w:val="270"/>
        </w:trPr>
        <w:tc>
          <w:tcPr>
            <w:tcW w:w="8240" w:type="dxa"/>
            <w:vAlign w:val="bottom"/>
          </w:tcPr>
          <w:p>
            <w:pPr>
              <w:ind w:left="20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100" w:type="dxa"/>
            <w:vAlign w:val="bottom"/>
          </w:tcPr>
          <w:p>
            <w:pPr>
              <w:spacing w:after="0"/>
              <w:rPr>
                <w:sz w:val="23"/>
                <w:szCs w:val="23"/>
                <w:color w:val="auto"/>
              </w:rPr>
            </w:pPr>
          </w:p>
        </w:tc>
      </w:tr>
      <w:tr>
        <w:trPr>
          <w:trHeight w:val="269"/>
        </w:trPr>
        <w:tc>
          <w:tcPr>
            <w:tcW w:w="8240" w:type="dxa"/>
            <w:vAlign w:val="bottom"/>
          </w:tcPr>
          <w:p>
            <w:pPr>
              <w:ind w:left="200"/>
              <w:spacing w:after="0"/>
              <w:rPr>
                <w:sz w:val="20"/>
                <w:szCs w:val="20"/>
                <w:color w:val="auto"/>
              </w:rPr>
            </w:pPr>
            <w:r>
              <w:rPr>
                <w:rFonts w:ascii="Arial" w:cs="Arial" w:eastAsia="Arial" w:hAnsi="Arial"/>
                <w:sz w:val="18"/>
                <w:szCs w:val="18"/>
                <w:color w:val="auto"/>
              </w:rPr>
              <w:t>Reclassification gains recognized in non-operating income upon deconsolidation of certain T. Rowe</w:t>
            </w:r>
          </w:p>
        </w:tc>
        <w:tc>
          <w:tcPr>
            <w:tcW w:w="100" w:type="dxa"/>
            <w:vAlign w:val="bottom"/>
          </w:tcPr>
          <w:p>
            <w:pPr>
              <w:spacing w:after="0"/>
              <w:rPr>
                <w:sz w:val="23"/>
                <w:szCs w:val="23"/>
                <w:color w:val="auto"/>
              </w:rPr>
            </w:pPr>
          </w:p>
        </w:tc>
      </w:tr>
      <w:tr>
        <w:trPr>
          <w:trHeight w:val="217"/>
        </w:trPr>
        <w:tc>
          <w:tcPr>
            <w:tcW w:w="8240" w:type="dxa"/>
            <w:vAlign w:val="bottom"/>
          </w:tcPr>
          <w:p>
            <w:pPr>
              <w:ind w:left="200"/>
              <w:spacing w:after="0"/>
              <w:rPr>
                <w:sz w:val="20"/>
                <w:szCs w:val="20"/>
                <w:color w:val="auto"/>
              </w:rPr>
            </w:pPr>
            <w:r>
              <w:rPr>
                <w:rFonts w:ascii="Arial" w:cs="Arial" w:eastAsia="Arial" w:hAnsi="Arial"/>
                <w:sz w:val="18"/>
                <w:szCs w:val="18"/>
                <w:color w:val="auto"/>
              </w:rPr>
              <w:t>Price investment products</w:t>
            </w:r>
          </w:p>
        </w:tc>
        <w:tc>
          <w:tcPr>
            <w:tcW w:w="100" w:type="dxa"/>
            <w:vAlign w:val="bottom"/>
          </w:tcPr>
          <w:p>
            <w:pPr>
              <w:spacing w:after="0"/>
              <w:rPr>
                <w:sz w:val="18"/>
                <w:szCs w:val="18"/>
                <w:color w:val="auto"/>
              </w:rPr>
            </w:pPr>
          </w:p>
        </w:tc>
      </w:tr>
      <w:tr>
        <w:trPr>
          <w:trHeight w:val="269"/>
        </w:trPr>
        <w:tc>
          <w:tcPr>
            <w:tcW w:w="8240" w:type="dxa"/>
            <w:vAlign w:val="bottom"/>
          </w:tcPr>
          <w:p>
            <w:pPr>
              <w:ind w:left="200"/>
              <w:spacing w:after="0"/>
              <w:rPr>
                <w:sz w:val="20"/>
                <w:szCs w:val="20"/>
                <w:color w:val="auto"/>
              </w:rPr>
            </w:pPr>
            <w:r>
              <w:rPr>
                <w:rFonts w:ascii="Arial" w:cs="Arial" w:eastAsia="Arial" w:hAnsi="Arial"/>
                <w:sz w:val="18"/>
                <w:szCs w:val="18"/>
                <w:color w:val="auto"/>
              </w:rPr>
              <w:t>Total currency translation adjustments of consolidated T. Rowe Price investment products - variable</w:t>
            </w:r>
          </w:p>
        </w:tc>
        <w:tc>
          <w:tcPr>
            <w:tcW w:w="100" w:type="dxa"/>
            <w:vAlign w:val="bottom"/>
          </w:tcPr>
          <w:p>
            <w:pPr>
              <w:spacing w:after="0"/>
              <w:rPr>
                <w:sz w:val="23"/>
                <w:szCs w:val="23"/>
                <w:color w:val="auto"/>
              </w:rPr>
            </w:pPr>
          </w:p>
        </w:tc>
      </w:tr>
      <w:tr>
        <w:trPr>
          <w:trHeight w:val="217"/>
        </w:trPr>
        <w:tc>
          <w:tcPr>
            <w:tcW w:w="8240" w:type="dxa"/>
            <w:vAlign w:val="bottom"/>
          </w:tcPr>
          <w:p>
            <w:pPr>
              <w:ind w:left="200"/>
              <w:spacing w:after="0"/>
              <w:rPr>
                <w:sz w:val="20"/>
                <w:szCs w:val="20"/>
                <w:color w:val="auto"/>
              </w:rPr>
            </w:pPr>
            <w:r>
              <w:rPr>
                <w:rFonts w:ascii="Arial" w:cs="Arial" w:eastAsia="Arial" w:hAnsi="Arial"/>
                <w:sz w:val="18"/>
                <w:szCs w:val="18"/>
                <w:color w:val="auto"/>
              </w:rPr>
              <w:t>interest entities</w:t>
            </w:r>
          </w:p>
        </w:tc>
        <w:tc>
          <w:tcPr>
            <w:tcW w:w="100" w:type="dxa"/>
            <w:vAlign w:val="bottom"/>
          </w:tcPr>
          <w:p>
            <w:pPr>
              <w:spacing w:after="0"/>
              <w:rPr>
                <w:sz w:val="18"/>
                <w:szCs w:val="18"/>
                <w:color w:val="auto"/>
              </w:rPr>
            </w:pPr>
          </w:p>
        </w:tc>
      </w:tr>
      <w:tr>
        <w:trPr>
          <w:trHeight w:val="270"/>
        </w:trPr>
        <w:tc>
          <w:tcPr>
            <w:tcW w:w="8240" w:type="dxa"/>
            <w:vAlign w:val="bottom"/>
          </w:tcPr>
          <w:p>
            <w:pPr>
              <w:ind w:left="20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8"/>
                <w:szCs w:val="18"/>
                <w:color w:val="auto"/>
              </w:rPr>
              <w:t>Other comprehensive loss before income taxes</w:t>
            </w:r>
          </w:p>
        </w:tc>
        <w:tc>
          <w:tcPr>
            <w:tcW w:w="100" w:type="dxa"/>
            <w:vAlign w:val="bottom"/>
          </w:tcPr>
          <w:p>
            <w:pPr>
              <w:spacing w:after="0"/>
              <w:rPr>
                <w:sz w:val="23"/>
                <w:szCs w:val="23"/>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Net deferred tax benefits</w:t>
            </w:r>
          </w:p>
        </w:tc>
        <w:tc>
          <w:tcPr>
            <w:tcW w:w="10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8"/>
                <w:szCs w:val="18"/>
                <w:color w:val="auto"/>
              </w:rPr>
              <w:t>Total other comprehensive loss</w:t>
            </w:r>
          </w:p>
        </w:tc>
        <w:tc>
          <w:tcPr>
            <w:tcW w:w="100" w:type="dxa"/>
            <w:vAlign w:val="bottom"/>
          </w:tcPr>
          <w:p>
            <w:pPr>
              <w:spacing w:after="0"/>
              <w:rPr>
                <w:sz w:val="23"/>
                <w:szCs w:val="23"/>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24"/>
                <w:szCs w:val="24"/>
                <w:color w:val="auto"/>
              </w:rPr>
            </w:pPr>
          </w:p>
        </w:tc>
      </w:tr>
      <w:tr>
        <w:trPr>
          <w:trHeight w:val="270"/>
        </w:trPr>
        <w:tc>
          <w:tcPr>
            <w:tcW w:w="8240" w:type="dxa"/>
            <w:vAlign w:val="bottom"/>
          </w:tcPr>
          <w:p>
            <w:pPr>
              <w:ind w:left="12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100" w:type="dxa"/>
            <w:vAlign w:val="bottom"/>
          </w:tcPr>
          <w:p>
            <w:pPr>
              <w:spacing w:after="0"/>
              <w:rPr>
                <w:sz w:val="23"/>
                <w:szCs w:val="23"/>
                <w:color w:val="auto"/>
              </w:rPr>
            </w:pPr>
          </w:p>
        </w:tc>
      </w:tr>
      <w:tr>
        <w:trPr>
          <w:trHeight w:val="270"/>
        </w:trPr>
        <w:tc>
          <w:tcPr>
            <w:tcW w:w="8240" w:type="dxa"/>
            <w:vAlign w:val="bottom"/>
          </w:tcPr>
          <w:p>
            <w:pPr>
              <w:spacing w:after="0"/>
              <w:rPr>
                <w:sz w:val="20"/>
                <w:szCs w:val="20"/>
                <w:color w:val="auto"/>
              </w:rPr>
            </w:pPr>
            <w:r>
              <w:rPr>
                <w:rFonts w:ascii="Arial" w:cs="Arial" w:eastAsia="Arial" w:hAnsi="Arial"/>
                <w:sz w:val="18"/>
                <w:szCs w:val="18"/>
                <w:color w:val="auto"/>
              </w:rPr>
              <w:t>Total comprehensive income attributable to T. Rowe Price Group</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r>
      <w:tr>
        <w:trPr>
          <w:trHeight w:val="945"/>
        </w:trPr>
        <w:tc>
          <w:tcPr>
            <w:tcW w:w="8240" w:type="dxa"/>
            <w:vAlign w:val="bottom"/>
          </w:tcPr>
          <w:p>
            <w:pPr>
              <w:ind w:left="2980"/>
              <w:spacing w:after="0"/>
              <w:rPr>
                <w:sz w:val="20"/>
                <w:szCs w:val="20"/>
                <w:color w:val="auto"/>
              </w:rPr>
            </w:pPr>
            <w:r>
              <w:rPr>
                <w:rFonts w:ascii="Arial" w:cs="Arial" w:eastAsia="Arial" w:hAnsi="Arial"/>
                <w:sz w:val="18"/>
                <w:szCs w:val="18"/>
                <w:color w:val="auto"/>
                <w:w w:val="99"/>
              </w:rPr>
              <w:t>The accompanying notes are an integral part of these statements.</w:t>
            </w:r>
          </w:p>
        </w:tc>
        <w:tc>
          <w:tcPr>
            <w:tcW w:w="100" w:type="dxa"/>
            <w:vAlign w:val="bottom"/>
          </w:tcPr>
          <w:p>
            <w:pPr>
              <w:spacing w:after="0"/>
              <w:rPr>
                <w:sz w:val="24"/>
                <w:szCs w:val="24"/>
                <w:color w:val="auto"/>
              </w:rPr>
            </w:pPr>
          </w:p>
        </w:tc>
      </w:tr>
      <w:tr>
        <w:trPr>
          <w:trHeight w:val="324"/>
        </w:trPr>
        <w:tc>
          <w:tcPr>
            <w:tcW w:w="8240" w:type="dxa"/>
            <w:vAlign w:val="bottom"/>
          </w:tcPr>
          <w:p>
            <w:pPr>
              <w:ind w:left="5320"/>
              <w:spacing w:after="0"/>
              <w:rPr>
                <w:sz w:val="20"/>
                <w:szCs w:val="20"/>
                <w:color w:val="auto"/>
              </w:rPr>
            </w:pPr>
            <w:r>
              <w:rPr>
                <w:rFonts w:ascii="Arial" w:cs="Arial" w:eastAsia="Arial" w:hAnsi="Arial"/>
                <w:sz w:val="18"/>
                <w:szCs w:val="18"/>
                <w:color w:val="auto"/>
              </w:rPr>
              <w:t>Page 4</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764.8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r>
      <w:tr>
        <w:trPr>
          <w:trHeight w:val="79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48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412"/>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745.5</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23"/>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741.9</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r>
      <w:tr>
        <w:trPr>
          <w:trHeight w:val="21"/>
        </w:trPr>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-33655</wp:posOffset>
            </wp:positionV>
            <wp:extent cx="916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-7620</wp:posOffset>
            </wp:positionV>
            <wp:extent cx="916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-187960</wp:posOffset>
            </wp:positionV>
            <wp:extent cx="916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-805180</wp:posOffset>
            </wp:positionV>
            <wp:extent cx="916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-1148080</wp:posOffset>
            </wp:positionV>
            <wp:extent cx="916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-1628140</wp:posOffset>
            </wp:positionV>
            <wp:extent cx="916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-2451100</wp:posOffset>
            </wp:positionV>
            <wp:extent cx="916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ectPr>
          <w:pgSz w:w="11900" w:h="16838" w:orient="portrait"/>
          <w:cols w:equalWidth="0" w:num="2">
            <w:col w:w="8440" w:space="720"/>
            <w:col w:w="2080"/>
          </w:cols>
          <w:pgMar w:left="320" w:top="927" w:right="339" w:bottom="1440" w:gutter="0" w:footer="0" w:header="0"/>
          <w:type w:val="continuous"/>
        </w:sectPr>
      </w:pPr>
    </w:p>
    <w:bookmarkStart w:id="4" w:name="page5"/>
    <w:bookmarkEnd w:id="4"/>
    <w:p>
      <w:pPr>
        <w:ind w:right="470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change in T. Rowe Price investment products used to economically hedge supplemental</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$104.8 million at December 31, 2020,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$76.5 million at December 31, 2019, held by consolidated T. Rowe Price investment products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168"/>
        </w:trPr>
        <w:tc>
          <w:tcPr>
            <w:tcW w:w="82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$83.7 million at March 31, 2021,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2,913.8</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$117.7 million at March 31, 2020,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36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w w:val="97"/>
              </w:rPr>
              <w:t>Three months ended 3/31/2021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40" w:type="dxa"/>
            <w:vAlign w:val="bottom"/>
          </w:tcPr>
          <w:p>
            <w:pPr>
              <w:jc w:val="center"/>
              <w:ind w:right="30"/>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84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227,965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$ 7,029.8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749.4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226,948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7,338.7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8,008.2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1,012.9</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160"/>
              <w:spacing w:after="0"/>
              <w:rPr>
                <w:sz w:val="20"/>
                <w:szCs w:val="20"/>
                <w:color w:val="auto"/>
              </w:rPr>
            </w:pPr>
            <w:r>
              <w:rPr>
                <w:rFonts w:ascii="Arial" w:cs="Arial" w:eastAsia="Arial" w:hAnsi="Arial"/>
                <w:sz w:val="13"/>
                <w:szCs w:val="13"/>
                <w:b w:val="1"/>
                <w:bCs w:val="1"/>
                <w:color w:val="auto"/>
                <w:w w:val="97"/>
              </w:rPr>
              <w:t>Three months ended 3/31/2020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7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shd w:val="clear" w:color="auto" w:fill="CCEEFF"/>
          </w:tcPr>
          <w:p>
            <w:pPr>
              <w:spacing w:after="0"/>
              <w:rPr>
                <w:sz w:val="10"/>
                <w:szCs w:val="10"/>
                <w:color w:val="auto"/>
              </w:rPr>
            </w:pPr>
          </w:p>
        </w:tc>
        <w:tc>
          <w:tcPr>
            <w:tcW w:w="68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235,214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$ 6,443.5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7,102.1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($0.90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(8,334)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227,985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5,782.9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7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2021 presentation.</w:t>
      </w:r>
    </w:p>
    <w:p>
      <w:pPr>
        <w:spacing w:after="0" w:line="23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2020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13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Three months ended 3/31/2021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2897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Administrative, distribution, and</w:t>
      </w:r>
    </w:p>
    <w:p>
      <w:pPr>
        <w:ind w:left="382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Three months ended 3/31/2020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15875</wp:posOffset>
            </wp:positionV>
            <wp:extent cx="2914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Administrative, distribution, and</w:t>
      </w:r>
    </w:p>
    <w:p>
      <w:pPr>
        <w:ind w:left="56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1,050.2</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1,158.0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981.3</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Other clients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32"/>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model delivery.</w:t>
      </w:r>
    </w:p>
    <w:p>
      <w:pPr>
        <w:spacing w:after="0" w:line="25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$1,482.3 million and $1,207.7 million for the three months ended March 31, 2021 and 2020, respectively. Accounts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receivable from these products aggregate to $540.0 million at March 31, 2021, and $523.4 million at December 31, 2020.</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second quarter of 2020, we changed our fee structure of the target date retirement funds such that our investment advisory fee revenue is now earned at the target date retirement fund level rather than at the underlying mutual fund level. As a result, we have modified our investment advisory fee and assets under management presentation below to separately breakout the fees earned and assets under management of our multi-asset portfolios. All prior periods have been recast to conform to this new presentation and to provide comparability.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3/31/2020</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568.4</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r>
      <w:tr>
        <w:trPr>
          <w:trHeight w:val="223"/>
        </w:trPr>
        <w:tc>
          <w:tcPr>
            <w:tcW w:w="8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Subadvised funds, separate accounts, collective investment trusts, and other investment products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3"/>
        </w:trPr>
        <w:tc>
          <w:tcPr>
            <w:tcW w:w="8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during</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spacing w:after="0"/>
              <w:rPr>
                <w:sz w:val="16"/>
                <w:szCs w:val="16"/>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23"/>
        </w:trPr>
        <w:tc>
          <w:tcPr>
            <w:tcW w:w="5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w:t>
            </w:r>
          </w:p>
        </w:tc>
      </w:tr>
      <w:tr>
        <w:trPr>
          <w:trHeight w:val="168"/>
        </w:trPr>
        <w:tc>
          <w:tcPr>
            <w:tcW w:w="52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trusts, and other investment products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5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8.8% and 9.3% of our assets under management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3/31/2021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1,664.3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1,647.7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months ended March 31, 2021, net gains on investments included $38.8 million of net unrealized gains related to investments held at fair value that were still held at March 31, 2021. For the same period of 2020, net losses on investments included $103.6 million of net unrealized losses related to investments held at fair value that were still held at March 31, 2020.</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March 31, 2021 and 2020,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three months ended March 31, 2020,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3/31/2020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assets of consolidated 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liabilities of consolidated T. Rowe Price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3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investments at March 31, 2021 and December 31, 2020,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3/31/2021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unfunded capital commitments totaling $ 11.3 million at March 31, 2021 and $12.3 million at December 31, 2020 relate primarily to the investment partnerships in which we have an existing investment. In addition to such amounts, a percentage of prior distributions may be called under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480" w:right="2220" w:hanging="480"/>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3/31/2021</w:t>
            </w: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12/31/2020</w:t>
            </w:r>
          </w:p>
        </w:tc>
        <w:tc>
          <w:tcPr>
            <w:tcW w:w="1040" w:type="dxa"/>
            <w:vAlign w:val="bottom"/>
            <w:tcBorders>
              <w:bottom w:val="single" w:sz="8" w:color="auto"/>
            </w:tcBorders>
            <w:shd w:val="clear" w:color="auto" w:fill="CCEEFF"/>
          </w:tcPr>
          <w:p>
            <w:pPr>
              <w:spacing w:after="0"/>
              <w:rPr>
                <w:sz w:val="16"/>
                <w:szCs w:val="16"/>
                <w:color w:val="auto"/>
              </w:rPr>
            </w:pP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1,931.1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$99.7 million at March 31, 2021, and $94.0 million at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$2.8 million at March 31, 2021, and $7.0 million at December 31, 2020, of T. Rowe Price money market mutual funds.</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Investments include $24.4 million at March 31, 2021, and $26.9 million at December 31, 2020 of other T. Rowe Price investment products.</w:t>
      </w:r>
    </w:p>
    <w:p>
      <w:pPr>
        <w:spacing w:after="0" w:line="23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3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months ended March 31, 2021 and 2020, are reflected in our unaudited condensed consolidated statements of income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Voting interest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gridSpan w:val="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line="168" w:lineRule="exact"/>
              <w:rPr>
                <w:sz w:val="20"/>
                <w:szCs w:val="20"/>
                <w:color w:val="auto"/>
              </w:rPr>
            </w:pPr>
            <w:r>
              <w:rPr>
                <w:rFonts w:ascii="Arial" w:cs="Arial" w:eastAsia="Arial" w:hAnsi="Arial"/>
                <w:sz w:val="18"/>
                <w:szCs w:val="18"/>
                <w:color w:val="auto"/>
              </w:rPr>
              <w:t>Operating expenses reflected in net operating</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$1.3 million and $2.5 million for the three months ended March 31, 2021 and 2020, respectively, against the investment advisory and administrative fees earned from these products. The net investment income (loss) reflected in non-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spacing w:after="0" w:line="261" w:lineRule="auto"/>
        <w:rPr>
          <w:sz w:val="20"/>
          <w:szCs w:val="20"/>
          <w:color w:val="auto"/>
        </w:rPr>
      </w:pPr>
      <w:r>
        <w:rPr>
          <w:rFonts w:ascii="Arial" w:cs="Arial" w:eastAsia="Arial" w:hAnsi="Arial"/>
          <w:sz w:val="18"/>
          <w:szCs w:val="18"/>
          <w:color w:val="auto"/>
        </w:rPr>
        <w:t>operating income (loss) includes dividend and interest income and realized and unrealized gains and losses on the underlying securities held by the consolidated T. Rowe Price investment products.</w:t>
      </w:r>
    </w:p>
    <w:p>
      <w:pPr>
        <w:spacing w:after="0" w:line="225"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three months ended March 31, 2021 and 2020.</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Voting</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cash provided by financing activities during the three months ended March 31, 2021 and 2020 includes $34.1 million and $42.8 million, respectively, of net subscriptions we made into the consolidated T. Rowe Price investment products, net of dividends received. These cash flows were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3/31/2021</w:t>
            </w: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12/31/2020</w:t>
            </w:r>
          </w:p>
        </w:tc>
        <w:tc>
          <w:tcPr>
            <w:tcW w:w="1060" w:type="dxa"/>
            <w:vAlign w:val="bottom"/>
            <w:tcBorders>
              <w:bottom w:val="single" w:sz="8" w:color="auto"/>
            </w:tcBorders>
            <w:shd w:val="clear" w:color="auto" w:fill="CCEEFF"/>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1,411.3</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 STOCKHOLDERS’ EQUITY.</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Accounts payable and accrued expenses includes liabilities of $10.9 million at March 31, 2021, and $2.5 million at December 31, 2020, for common stock repurchases that settled during the first week of April 2021 and January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4,329,056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3,580,853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3,580,853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three months ended March 31,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6,367,059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(64,942)</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(19,489)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6,286,575</w:t>
            </w:r>
          </w:p>
        </w:tc>
        <w:tc>
          <w:tcPr>
            <w:tcW w:w="38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Nonvested at March 31, 2021, includes performance-based restricted stock units of 361,609. These nonvested performance-based restricted stock units include 198,205 units for which the performance period has lapsed, and the performance threshold has been met.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March 31, 2021.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 through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1007" w:hanging="1007"/>
        <w:spacing w:after="0"/>
        <w:tabs>
          <w:tab w:leader="none" w:pos="1007" w:val="left"/>
        </w:tabs>
        <w:numPr>
          <w:ilvl w:val="0"/>
          <w:numId w:val="6"/>
        </w:numPr>
        <w:rPr>
          <w:rFonts w:ascii="Arial" w:cs="Arial" w:eastAsia="Arial" w:hAnsi="Arial"/>
          <w:sz w:val="17"/>
          <w:szCs w:val="17"/>
          <w:color w:val="auto"/>
        </w:rPr>
      </w:pPr>
      <w:r>
        <w:rPr>
          <w:rFonts w:ascii="Arial" w:cs="Arial" w:eastAsia="Arial" w:hAnsi="Arial"/>
          <w:sz w:val="17"/>
          <w:szCs w:val="17"/>
          <w:color w:val="auto"/>
        </w:rPr>
        <w:t>56.9</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56.7</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50.2</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97.2</w:t>
      </w:r>
    </w:p>
    <w:p>
      <w:pPr>
        <w:spacing w:after="0" w:line="36" w:lineRule="exact"/>
        <w:rPr>
          <w:sz w:val="20"/>
          <w:szCs w:val="20"/>
          <w:color w:val="auto"/>
        </w:rPr>
      </w:pPr>
    </w:p>
    <w:p>
      <w:pPr>
        <w:ind w:left="907" w:hanging="907"/>
        <w:spacing w:after="0"/>
        <w:tabs>
          <w:tab w:leader="none" w:pos="907" w:val="left"/>
        </w:tabs>
        <w:numPr>
          <w:ilvl w:val="0"/>
          <w:numId w:val="7"/>
        </w:numPr>
        <w:rPr>
          <w:rFonts w:ascii="Arial" w:cs="Arial" w:eastAsia="Arial" w:hAnsi="Arial"/>
          <w:sz w:val="17"/>
          <w:szCs w:val="17"/>
          <w:color w:val="auto"/>
        </w:rPr>
      </w:pPr>
      <w:r>
        <w:rPr>
          <w:rFonts w:ascii="Arial" w:cs="Arial" w:eastAsia="Arial" w:hAnsi="Arial"/>
          <w:sz w:val="17"/>
          <w:szCs w:val="17"/>
          <w:color w:val="auto"/>
        </w:rPr>
        <w:t>378.4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17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886"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4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15"/>
                <w:szCs w:val="15"/>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9"/>
                <w:szCs w:val="19"/>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9"/>
                <w:szCs w:val="19"/>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2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March 31, 2021 and 2020 are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 3/31/2021</w:t>
            </w:r>
          </w:p>
        </w:tc>
        <w:tc>
          <w:tcPr>
            <w:tcW w:w="140" w:type="dxa"/>
            <w:vAlign w:val="bottom"/>
            <w:shd w:val="clear" w:color="auto" w:fill="CCEEFF"/>
          </w:tcPr>
          <w:p>
            <w:pPr>
              <w:spacing w:after="0"/>
              <w:rPr>
                <w:sz w:val="16"/>
                <w:szCs w:val="16"/>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3/31/2020</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57"/>
        </w:trPr>
        <w:tc>
          <w:tcPr>
            <w:tcW w:w="316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The other comprehensive income (loss) in the table above excludes $11.8 million and $17.2 million of other comprehensive loss related to redeemable non-controlling interests held in our consolidated products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The parties each filed motions for summary judgment and, with the exception of one claim, the court has denied the parties’ cross motions for summary judgment. A trial has been scheduled to begin in September 2021. We cannot predict the eventual outcome, or whether it will have a material negative impact on our financial results, or estimate the possible loss or range of loss that may arise from any negative outcome.</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w:t>
      </w:r>
    </w:p>
    <w:p>
      <w:pPr>
        <w:spacing w:after="0" w:line="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March 31, 2021, the related condensed consolidated statements of income and comprehensive income, stockholders’ equity, and cash flows for the three-month periods ended March 31, 2021 and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2020, and the related consolidated statements of income, comprehensive income, stockholders’ equity, and cash flows for the year then ended (not presented herein); and in our report dated February 11, 2021,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fluctuations in our assets under management.</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U.S. equities generated strong returns in the first quarter of 2021, a continuation of a remarkably robust stock market given the pandemic and related economic dislocations. Most major U.S. equity indexes hit all-time highs during the quarter, although the market was led by shares of smaller companies as well as value stocks and cyclical businesses that are closely tied to the health of the economy. Technology and other growth stocks trailed.</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general, equities were lifted by the accelerating rollout of coronavirus vaccines, favorable economic data and corporate earnings reports, and expectations for new federal fiscal stimulus measures. Although Congress passed a $1.9 trillion coronavirus relief bill in March and the Biden administration prepared to pursue a significant increase in infrastructure spending, some investors were concerned about a sharp increase in longer-term U.S. Treasury yields during the quarter and possibly higher inflation later in 2021.</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Stocks in developed non-U.S. equity markets advanced but underperformed U.S. equities; a stronger U.S. dollar versus several key currencies weighed on local returns in U.S. dollar terms. European stock markets were mostly positive despite the reinstatement of lockdown measures in some countries. Most developed Asian and Far East markets posted gains; Japanese shares rose less than 2%.</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Emerging markets stocks also advanced but underperformed developed markets, hurt in part by rising U.S. Treasury yields and a stronger U.S. dollar against many currencies. Latin American markets were mostly negative in dollar terms. Asian market returns varied widely. In emerging Europe, Turkish shares and the lira tumbled as the Turkish president unexpectedly replaced the head of the central bank shortly after an interest rate increase in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9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89"/>
        </w:trPr>
        <w:tc>
          <w:tcPr>
            <w:tcW w:w="9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3/31/2021</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6.2%</w:t>
            </w:r>
          </w:p>
        </w:tc>
      </w:tr>
      <w:tr>
        <w:trPr>
          <w:trHeight w:val="229"/>
        </w:trPr>
        <w:tc>
          <w:tcPr>
            <w:tcW w:w="9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2.8%</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12.7%</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3.6%</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w:t>
            </w:r>
          </w:p>
        </w:tc>
      </w:tr>
    </w:tbl>
    <w:p>
      <w:pPr>
        <w:spacing w:after="0" w:line="72" w:lineRule="exact"/>
        <w:rPr>
          <w:sz w:val="20"/>
          <w:szCs w:val="20"/>
          <w:color w:val="auto"/>
        </w:rPr>
      </w:pPr>
    </w:p>
    <w:p>
      <w:pPr>
        <w:ind w:left="180" w:hanging="13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Global bond returns were mostly negative in U.S. dollar terms. In the U.S., high yield securities benefited from favorable corporate earnings and expectations of a stronger economy to post gains. Higher-quality securities with greater interest rate sensitivity were hurt by a sharp increase in intermediate- and long-term U.S. Treasury yields. The Federal Reserve kept short-term interest rates near 0%, but the 10-year U.S. Treasury note yield increased from 0.93% to 1.74%. Longer-term corporate and U.S. Treasury bonds were among the worst performers. Mortgage- and asset-backed securities fell to a lesser extent. Tax-free municipal bonds held up relatively well, helped by the prospect of more federal aid to shore up state and local finances.</w:t>
      </w:r>
    </w:p>
    <w:p>
      <w:pPr>
        <w:spacing w:after="0" w:line="23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Bonds in developed non-U.S. markets declined in U.S. dollar terms, hurt by rising longer-term interest rates in local markets and weaker currencies versus the U.S. dollar. The British pound, however, appreciated about 1% versus the dollar.</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Emerging markets bonds also produced negative returns as longer-term interest rates generally increased and a few countries also raised short-term rates. Local currency issues underperformed bonds denominated in dollars as many currencies, especially the Turkish lira and the Brazilian real, weakened versus the dollar.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9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89"/>
        </w:trPr>
        <w:tc>
          <w:tcPr>
            <w:tcW w:w="9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3/31/2021</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(3.4)%</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1.2%</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(5.3)%</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Assets under management ended the first quarter of 2021 at $1,518.0 billion, an increase of $47.5 billion from December 31, 2020. This increase was driven by market appreciation, net of distributions not reinvested, of $46.3 billion and net cash inflows of $1.2 billion. Clients transferred $5.6 billion in net assets from the U.S. mutual funds to collective investment trusts and other investment products, of which $4.9 billion transferred into the retirement date trusts.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vehicle and asset class, during the first quarter of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14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 3/31/2021</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Subadvised funds</w:t>
            </w:r>
          </w:p>
        </w:tc>
        <w:tc>
          <w:tcPr>
            <w:tcW w:w="16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Collective investment</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U.S. mutual funds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and separate</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trusts and other</w:t>
            </w:r>
          </w:p>
        </w:tc>
        <w:tc>
          <w:tcPr>
            <w:tcW w:w="360" w:type="dxa"/>
            <w:vAlign w:val="bottom"/>
          </w:tcPr>
          <w:p>
            <w:pPr>
              <w:spacing w:after="0"/>
              <w:rPr>
                <w:sz w:val="11"/>
                <w:szCs w:val="11"/>
                <w:color w:val="auto"/>
              </w:rPr>
            </w:pPr>
          </w:p>
        </w:tc>
        <w:tc>
          <w:tcPr>
            <w:tcW w:w="118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accounts</w:t>
            </w: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investment products</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Net market appreciation and gains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91"/>
        </w:trPr>
        <w:tc>
          <w:tcPr>
            <w:tcW w:w="4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Assets under management at 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5"/>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14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 3/31/2021</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Fixed income,</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including money</w:t>
            </w:r>
          </w:p>
        </w:tc>
        <w:tc>
          <w:tcPr>
            <w:tcW w:w="16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(1)</w:t>
            </w:r>
          </w:p>
        </w:tc>
        <w:tc>
          <w:tcPr>
            <w:tcW w:w="360" w:type="dxa"/>
            <w:vAlign w:val="bottom"/>
          </w:tcPr>
          <w:p>
            <w:pPr>
              <w:spacing w:after="0"/>
              <w:rPr>
                <w:sz w:val="11"/>
                <w:szCs w:val="11"/>
                <w:color w:val="auto"/>
              </w:rPr>
            </w:pPr>
          </w:p>
        </w:tc>
        <w:tc>
          <w:tcPr>
            <w:tcW w:w="118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and gains</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Assets under management at 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160" w:hanging="152"/>
        <w:spacing w:after="0" w:line="186" w:lineRule="auto"/>
        <w:tabs>
          <w:tab w:leader="none" w:pos="160"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distributions reinvested and not reinvested.</w:t>
      </w: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Investment advisory clients outside the United States account for about 8.8% of our assets under management at March 31, 2021 and 9.3% at December 31, 2020.</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9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40" w:type="dxa"/>
            <w:vAlign w:val="bottom"/>
            <w:tcBorders>
              <w:right w:val="single" w:sz="8" w:color="auto"/>
            </w:tcBorders>
            <w:gridSpan w:val="5"/>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Assets under management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0" w:type="dxa"/>
            <w:vAlign w:val="bottom"/>
            <w:gridSpan w:val="4"/>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Net cash inflows (outflows) for three</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40" w:type="dxa"/>
            <w:vAlign w:val="bottom"/>
            <w:tcBorders>
              <w:right w:val="single" w:sz="8" w:color="auto"/>
            </w:tcBorders>
            <w:gridSpan w:val="5"/>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0" w:type="dxa"/>
            <w:vAlign w:val="bottom"/>
            <w:gridSpan w:val="4"/>
            <w:shd w:val="clear" w:color="auto" w:fill="CCEEFF"/>
          </w:tcPr>
          <w:p>
            <w:pPr>
              <w:jc w:val="right"/>
              <w:ind w:right="921"/>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3/31/2020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Collective investment trusts</w:t>
            </w:r>
          </w:p>
        </w:tc>
        <w:tc>
          <w:tcPr>
            <w:tcW w:w="24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managed accounts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351.6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332.2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March 31, 2021, our assets under administration were $248 billion, of which nearly $153 billion are assets we manage. In recent years, we began offering non-discretionary advisory services through model delivery, which are managed accounts where portfolio holdings and trades in the portfolio are provided to sponsor platforms to implement for their clients.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ind w:right="260"/>
        <w:spacing w:after="0" w:line="261" w:lineRule="auto"/>
        <w:rPr>
          <w:sz w:val="20"/>
          <w:szCs w:val="20"/>
          <w:color w:val="auto"/>
        </w:rPr>
      </w:pPr>
      <w:r>
        <w:rPr>
          <w:rFonts w:ascii="Arial" w:cs="Arial" w:eastAsia="Arial" w:hAnsi="Arial"/>
          <w:sz w:val="18"/>
          <w:szCs w:val="18"/>
          <w:color w:val="auto"/>
        </w:rPr>
        <w:t>We record the revenue earned on these services in administrative fees. The assets under advisement in these portfolios, predominantly in the United States, is $3 billion at March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 presents investment performance for the one-, three-, five-, and 10-years ended March 31, 2021.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87%</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111"/>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148"/>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37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160"/>
        <w:spacing w:after="0" w:line="229" w:lineRule="auto"/>
        <w:rPr>
          <w:sz w:val="20"/>
          <w:szCs w:val="20"/>
          <w:color w:val="auto"/>
        </w:rPr>
      </w:pPr>
      <w:r>
        <w:rPr>
          <w:rFonts w:ascii="Arial" w:cs="Arial" w:eastAsia="Arial" w:hAnsi="Arial"/>
          <w:sz w:val="18"/>
          <w:szCs w:val="18"/>
          <w:color w:val="auto"/>
        </w:rPr>
        <w:t>As of March 31, 2021, 80 of 123 (65.0%) of the firm's rated U.S. mutual funds (across primary share classes) received an overall rating of 4 or 5 stars. By comparison, 32.5% of Morningstar's fund population is given a rate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88%</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March 31, 2021 with an overall rating of 4 or 5 stars.</w:t>
      </w:r>
    </w:p>
    <w:p>
      <w:pPr>
        <w:spacing w:after="0" w:line="213" w:lineRule="exact"/>
        <w:rPr>
          <w:sz w:val="20"/>
          <w:szCs w:val="20"/>
          <w:color w:val="auto"/>
        </w:rPr>
      </w:pPr>
    </w:p>
    <w:p>
      <w:pPr>
        <w:ind w:right="200" w:firstLine="8"/>
        <w:spacing w:after="0" w:line="212" w:lineRule="auto"/>
        <w:tabs>
          <w:tab w:leader="none" w:pos="122" w:val="left"/>
        </w:tabs>
        <w:numPr>
          <w:ilvl w:val="0"/>
          <w:numId w:val="1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2021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198" w:lineRule="auto"/>
        <w:tabs>
          <w:tab w:leader="none" w:pos="134" w:val="left"/>
        </w:tabs>
        <w:numPr>
          <w:ilvl w:val="0"/>
          <w:numId w:val="10"/>
        </w:numPr>
        <w:rPr>
          <w:rFonts w:ascii="Arial" w:cs="Arial" w:eastAsia="Arial" w:hAnsi="Arial"/>
          <w:sz w:val="15"/>
          <w:szCs w:val="15"/>
          <w:i w:val="1"/>
          <w:iCs w:val="1"/>
          <w:color w:val="auto"/>
          <w:vertAlign w:val="superscript"/>
        </w:rPr>
      </w:pPr>
      <w:r>
        <w:rPr>
          <w:rFonts w:ascii="Arial" w:cs="Arial" w:eastAsia="Arial" w:hAnsi="Arial"/>
          <w:sz w:val="12"/>
          <w:szCs w:val="12"/>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$503B for 1 year, $503B for 3 years, $503B for 5 years, and $493B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$491B for 1 year, $482B for 3 years, $439B for 5 years, and $416B for 10 years.</w:t>
      </w:r>
    </w:p>
    <w:p>
      <w:pPr>
        <w:ind w:right="20"/>
        <w:spacing w:after="0" w:line="184" w:lineRule="auto"/>
        <w:rPr>
          <w:rFonts w:ascii="Arial" w:cs="Arial" w:eastAsia="Arial" w:hAnsi="Arial"/>
          <w:sz w:val="15"/>
          <w:szCs w:val="15"/>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$1,392B for 1 year, $1,388B for 3 years, $1,364B for 5 years, and $1,316B for 10 years.</w:t>
      </w:r>
    </w:p>
    <w:p>
      <w:pPr>
        <w:spacing w:after="0" w:line="1" w:lineRule="exact"/>
        <w:rPr>
          <w:rFonts w:ascii="Arial" w:cs="Arial" w:eastAsia="Arial" w:hAnsi="Arial"/>
          <w:sz w:val="15"/>
          <w:szCs w:val="15"/>
          <w:color w:val="auto"/>
          <w:vertAlign w:val="superscript"/>
        </w:rPr>
      </w:pPr>
    </w:p>
    <w:p>
      <w:pPr>
        <w:jc w:val="both"/>
        <w:ind w:right="120" w:firstLine="8"/>
        <w:spacing w:after="0" w:line="211" w:lineRule="auto"/>
        <w:tabs>
          <w:tab w:leader="none" w:pos="135"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months ended March 31, 2021 and 2020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if 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b w:val="1"/>
                <w:bCs w:val="1"/>
                <w:color w:val="auto"/>
              </w:rPr>
              <w:t>Q1 2021 vs. Q1 2020</w:t>
            </w:r>
          </w:p>
        </w:tc>
      </w:tr>
      <w:tr>
        <w:trPr>
          <w:trHeight w:val="183"/>
        </w:trPr>
        <w:tc>
          <w:tcPr>
            <w:tcW w:w="20" w:type="dxa"/>
            <w:vAlign w:val="bottom"/>
          </w:tcPr>
          <w:p>
            <w:pPr>
              <w:spacing w:after="0"/>
              <w:rPr>
                <w:sz w:val="15"/>
                <w:szCs w:val="15"/>
                <w:color w:val="auto"/>
              </w:rPr>
            </w:pPr>
          </w:p>
        </w:tc>
        <w:tc>
          <w:tcPr>
            <w:tcW w:w="464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3/31/2020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20" w:type="dxa"/>
            <w:vAlign w:val="bottom"/>
            <w:tcBorders>
              <w:top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U.S. GAAP basis</w:t>
            </w:r>
          </w:p>
        </w:tc>
        <w:tc>
          <w:tcPr>
            <w:tcW w:w="32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1,687.8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1,327.8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27.1 %</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r>
      <w:tr>
        <w:trPr>
          <w:trHeight w:val="213"/>
        </w:trPr>
        <w:tc>
          <w:tcPr>
            <w:tcW w:w="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933.6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23.6 %</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r>
      <w:tr>
        <w:trPr>
          <w:trHeight w:val="216"/>
        </w:trPr>
        <w:tc>
          <w:tcPr>
            <w:tcW w:w="20" w:type="dxa"/>
            <w:vAlign w:val="bottom"/>
          </w:tcPr>
          <w:p>
            <w:pPr>
              <w:spacing w:after="0"/>
              <w:rPr>
                <w:sz w:val="18"/>
                <w:szCs w:val="18"/>
                <w:color w:val="auto"/>
              </w:rPr>
            </w:pPr>
          </w:p>
        </w:tc>
        <w:tc>
          <w:tcPr>
            <w:tcW w:w="46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602.4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 Rowe Price Group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118.4 %</w:t>
            </w:r>
          </w:p>
        </w:tc>
      </w:tr>
      <w:tr>
        <w:trPr>
          <w:trHeight w:val="213"/>
        </w:trPr>
        <w:tc>
          <w:tcPr>
            <w:tcW w:w="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124.8 %</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Weighted average common shares outstanding assuming</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196"/>
        </w:trPr>
        <w:tc>
          <w:tcPr>
            <w:tcW w:w="20" w:type="dxa"/>
            <w:vAlign w:val="bottom"/>
            <w:shd w:val="clear" w:color="auto" w:fill="CCEEFF"/>
          </w:tcPr>
          <w:p>
            <w:pPr>
              <w:spacing w:after="0"/>
              <w:rPr>
                <w:sz w:val="17"/>
                <w:szCs w:val="17"/>
                <w:color w:val="auto"/>
              </w:rPr>
            </w:pPr>
          </w:p>
        </w:tc>
        <w:tc>
          <w:tcPr>
            <w:tcW w:w="4640" w:type="dxa"/>
            <w:vAlign w:val="bottom"/>
            <w:gridSpan w:val="4"/>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26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909.2</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817.9</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11.2 %</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r>
      <w:tr>
        <w:trPr>
          <w:trHeight w:val="216"/>
        </w:trPr>
        <w:tc>
          <w:tcPr>
            <w:tcW w:w="20" w:type="dxa"/>
            <w:vAlign w:val="bottom"/>
          </w:tcPr>
          <w:p>
            <w:pPr>
              <w:spacing w:after="0"/>
              <w:rPr>
                <w:sz w:val="18"/>
                <w:szCs w:val="18"/>
                <w:color w:val="auto"/>
              </w:rPr>
            </w:pPr>
          </w:p>
        </w:tc>
        <w:tc>
          <w:tcPr>
            <w:tcW w:w="46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 Rowe Price Group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56.7 %</w:t>
            </w:r>
          </w:p>
        </w:tc>
      </w:tr>
      <w:tr>
        <w:trPr>
          <w:trHeight w:val="213"/>
        </w:trPr>
        <w:tc>
          <w:tcPr>
            <w:tcW w:w="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61.0 %</w:t>
            </w:r>
          </w:p>
        </w:tc>
      </w:tr>
      <w:tr>
        <w:trPr>
          <w:trHeight w:val="98"/>
        </w:trPr>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5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r>
      <w:tr>
        <w:trPr>
          <w:trHeight w:val="175"/>
        </w:trPr>
        <w:tc>
          <w:tcPr>
            <w:tcW w:w="20" w:type="dxa"/>
            <w:vAlign w:val="bottom"/>
          </w:tcPr>
          <w:p>
            <w:pPr>
              <w:spacing w:after="0"/>
              <w:rPr>
                <w:sz w:val="15"/>
                <w:szCs w:val="15"/>
                <w:color w:val="auto"/>
              </w:rPr>
            </w:pPr>
          </w:p>
        </w:tc>
        <w:tc>
          <w:tcPr>
            <w:tcW w:w="464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Average assets under management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r>
      <w:tr>
        <w:trPr>
          <w:trHeight w:val="210"/>
        </w:trPr>
        <w:tc>
          <w:tcPr>
            <w:tcW w:w="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6"/>
                <w:szCs w:val="16"/>
                <w:color w:val="auto"/>
              </w:rPr>
              <w:t>Ending assets under management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1,518.0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1,008.8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509.2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50.5 %</w:t>
            </w:r>
          </w:p>
        </w:tc>
      </w:tr>
    </w:tbl>
    <w:p>
      <w:pPr>
        <w:spacing w:after="0" w:line="7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(loss) is not meaningful (n/m).</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March 31, 2021</w:t>
      </w:r>
    </w:p>
    <w:p>
      <w:pPr>
        <w:spacing w:after="0" w:line="25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ind w:right="140"/>
        <w:spacing w:after="0" w:line="256" w:lineRule="auto"/>
        <w:rPr>
          <w:sz w:val="20"/>
          <w:szCs w:val="20"/>
          <w:color w:val="auto"/>
        </w:rPr>
      </w:pPr>
      <w:r>
        <w:rPr>
          <w:rFonts w:ascii="Arial" w:cs="Arial" w:eastAsia="Arial" w:hAnsi="Arial"/>
          <w:sz w:val="18"/>
          <w:szCs w:val="18"/>
          <w:color w:val="auto"/>
        </w:rPr>
        <w:t>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 advisory revenues earned in the first quarter of 2021 increased over the comparable 2020 quarter as average assets under our management increased $346.1 billion, or 29.8%, to $1,508.8 billion. In the first quarter of 2021, we voluntarily waived $15.0 million, or less than 1%, of our investment advisory fees in order to continue to maintain a positive yield for investors. At March 31, 2021, combined net assets of the investment portfolios in which we waived fees in the first quarter of 2021 were $29.5 billion. We expect to continue to waive fees for all of 2021 and anticipate that the waivers in each of the next three quarters of 2021 will be at similar levels.</w:t>
      </w: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average annualized effective fee rate earned during the first quarter of 2021 was 45.4 basis points, compared with 45.9 basis points earned during the first quarter of 2020 and 45.7 basis points during the fourth quarter of 2020. In comparison to the first quarter of 2020, our annualized effective fee rate declined primarily due to client transfers within the complex to lower fee vehicles or share classes over the last twelve months and the money market fee waivers. In comparison to the fourth quarter of 2020, our average annualized effective fee rate declined primarily due to lower performance fees earned in 2021.</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$933.6 million in the first quarter of 2021 compared with $755.4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Nearly half of the increase in operating expenses for the first quarter of 2021 compared to the first quarter of 2020 was due to an $85.9 million increase in expense related to the supplemental savings plan from higher market returns. The remaining increase was due primarily to higher compensation expenses as well as distribution and servicing costs. For the first quarter of 2021, the higher expense related to the supplemental savings plan was almost entirely offset by the non-operating gains earned on the investments used to economically hedge the related liability.</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 non-GAAP basis, our operating expenses in the first quarter of 2021 increased 11.2% to $909.2 million compared to the first quarter of 2020. Our non-GAAP operating expenses do not include the impact of our supplemental savings plan and consolidated sponsored investment products. See our non-GAAP reconciliations later in this Management’s Discussion and Analysis section.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2021 and beyond, we expect to advance our strategic priorities to maintain our position as a global and diversified asset manager, a global partner for retirement investors and a provider of integrated investment solutions; to embed environmental, social and governance principles across the firm; to maintain effective processes and controls while becoming a more adaptive and agile firm; and to become a destination of choice for top talent with a diverse workforce and inclusive culture. We updated our 2021 non-GAAP operating expense growth guidance from a range of 8% - 12% to a range of 10% - 14% to reflect an increase in our expectations for AUM-related expenses. We can elect to adjust our expense growth in the future should unforeseen circumstances arise, including significant market movements.</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first quarter of 2021 was 48.9%, compared to 48.4% earned in the 2020 quarter.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operating margin for the first quarter of 2021 compared to the 2020 period was primarily driven by higher investment advisory fee revenue, partially offset by the higher expense related to our supplemental savings plan, as market returns in the first quarter of 2021 outperformed the same period in 2020.</w:t>
      </w:r>
    </w:p>
    <w:p>
      <w:pPr>
        <w:spacing w:after="0" w:line="20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$3.17 for the first quarter of 2021 as compared to $1.41 for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124.8% increase was primarily driven by the net investment gains recognized in the first quarter of 2021 as compared to significant investment losses recognized in the first quarter of 2020 following sharp market declines at the end of March 2020.</w:t>
      </w:r>
    </w:p>
    <w:p>
      <w:pPr>
        <w:spacing w:after="0" w:line="22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 non-GAAP basis, diluted earnings per share was $ 3.01 for the first quarter of 2021 as compared to $1.87 for the first quarter of 2020. The increase in diluted earnings per share was primarily due to higher operating income as well as net gains earned on our cash and discretionary investments in the 2021 quarter compared with investment losses in the 2020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6"/>
                <w:szCs w:val="16"/>
                <w:color w:val="auto"/>
              </w:rPr>
            </w:pPr>
          </w:p>
        </w:tc>
        <w:tc>
          <w:tcPr>
            <w:tcW w:w="282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Q1 2021 vs. Q1 2020</w:t>
            </w:r>
          </w:p>
        </w:tc>
      </w:tr>
      <w:tr>
        <w:trPr>
          <w:trHeight w:val="183"/>
        </w:trPr>
        <w:tc>
          <w:tcPr>
            <w:tcW w:w="5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3/31/2020</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1,050.2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19.9 %</w:t>
            </w:r>
          </w:p>
        </w:tc>
      </w:tr>
      <w:tr>
        <w:trPr>
          <w:trHeight w:val="180"/>
        </w:trPr>
        <w:tc>
          <w:tcPr>
            <w:tcW w:w="51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Subadvised funds, separate accounts, collective investment trusts,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8"/>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other investment products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41.2 %</w:t>
            </w:r>
          </w:p>
        </w:tc>
      </w:tr>
      <w:tr>
        <w:trPr>
          <w:trHeight w:val="209"/>
        </w:trPr>
        <w:tc>
          <w:tcPr>
            <w:tcW w:w="5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27.1 %</w:t>
            </w: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Administrative, distribution, and servicing fees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09"/>
        </w:trPr>
        <w:tc>
          <w:tcPr>
            <w:tcW w:w="5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3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Investment advisory revenues earned in the first quarter of 2021 from our U.S. mutual funds were $1,050.2 million, an increase of 19.9% from the comparable 2020 quarter. Average assets under management in these funds for the first quarter of 2021 increased 24.5% from the 2020 quarter to $814.5 billion.</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quarter of 2021, the relationship between U.S. mutual funds’ average assets under management and investment advisory fee growth was impacted primarily by the money market fee waivers. In addition, strong market returns led to a decrease in the fee earned as the asset levels of certain tiered-fee funds crossed a new tier.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Investment advisory revenues earned in the first quarter of 2021 from these other portfolios were $637.6 million, an increase of 41.2% from the comparable 2020 quarter. Average assets under management for these products increased 36.6% from the 2020 quarter to $694.3 billion.</w:t>
      </w:r>
    </w:p>
    <w:p>
      <w:pPr>
        <w:spacing w:after="0" w:line="22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For the other portfolios, inflows into our international products, which have a higher fee rate relative to other products, and performance-based fees earned on certain separate accounts drove investment advisory revenues to outpace the increase in average assets under management.</w:t>
      </w:r>
    </w:p>
    <w:p>
      <w:pPr>
        <w:spacing w:after="0" w:line="22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These investment advisory revenues include distribution-related services we provide to the international products and then contract with third-party intermediaries to distribute these products. The costs we incur to pay the third-party intermediaries are recorded as part of distribution and servicing expenses.</w:t>
      </w:r>
    </w:p>
    <w:p>
      <w:pPr>
        <w:spacing w:after="0" w:line="21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first quarter of 2021 were $139.0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$4.2 million, or 3.1%, from the comparable 2020 quarter. The increase was primarily due to higher transfer agent servicing activities provided to the U.S. mutual funds, higher model delivery revenue, as well as higher 12b-1 revenue earned on the R share class of the U.S. mutual funds as a result of increased assets under management in this share class. The increase in 12b-1 revenue is offset entirely by an increase in the costs paid to third-party intermediaries that source these assets and reported in distribution and servicing expense.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first quarter, we eliminated net revenue of $1.3 million in 2021 and $2.5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16"/>
                <w:szCs w:val="16"/>
                <w:color w:val="auto"/>
              </w:rPr>
            </w:pPr>
          </w:p>
        </w:tc>
        <w:tc>
          <w:tcPr>
            <w:tcW w:w="3040" w:type="dxa"/>
            <w:vAlign w:val="bottom"/>
            <w:gridSpan w:val="3"/>
            <w:shd w:val="clear" w:color="auto" w:fill="CCEEFF"/>
          </w:tcPr>
          <w:p>
            <w:pPr>
              <w:jc w:val="right"/>
              <w:ind w:right="880"/>
              <w:spacing w:after="0"/>
              <w:rPr>
                <w:sz w:val="20"/>
                <w:szCs w:val="20"/>
                <w:color w:val="auto"/>
              </w:rPr>
            </w:pPr>
            <w:r>
              <w:rPr>
                <w:rFonts w:ascii="Arial" w:cs="Arial" w:eastAsia="Arial" w:hAnsi="Arial"/>
                <w:sz w:val="14"/>
                <w:szCs w:val="14"/>
                <w:b w:val="1"/>
                <w:bCs w:val="1"/>
                <w:color w:val="auto"/>
              </w:rPr>
              <w:t>Q1 2021 vs. Q1 2020</w:t>
            </w: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3/31/2020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157"/>
        </w:trPr>
        <w:tc>
          <w:tcPr>
            <w:tcW w:w="44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Compensation and related costs, excluding supplemental</w:t>
            </w:r>
          </w:p>
        </w:tc>
        <w:tc>
          <w:tcPr>
            <w:tcW w:w="3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20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plan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6"/>
        </w:trPr>
        <w:tc>
          <w:tcPr>
            <w:tcW w:w="44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compensation and related costs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32.4 %</w:t>
            </w: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30.3 %</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Product-related costs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occupancy, and facility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administrative, and other</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r>
      <w:tr>
        <w:trPr>
          <w:trHeight w:val="237"/>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ind w:left="200" w:hanging="192"/>
        <w:spacing w:after="0" w:line="23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auto"/>
        </w:rPr>
        <w:t>Compensation and related costs, excluding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excluding supplemental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were $561.3 million in the first quarter of 2021, an increase of $56.9 million, or 11.3%, compared to the 2020 quarter. The increase from the 2020 quarter was primarily due to strong operating results in the first quarter of 2021 that led to a $36.3 million increase in our interim accrual for annual variable compensation, primarily bonus compensation. Also contributing to the increase in 2021 costs compared to the first quarter of 2020 was a $22.6 million increase in salaries and benefits due to a 3.4% increase in our average staff size and modest increases in base salaries at the beginning of the year. These increases in compensation and related costs were offset in part by higher labor capitalization related to internally developed software.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$85.6 million for the first quarter of 2021, an increase of 30.3% from the</w:t>
      </w:r>
    </w:p>
    <w:p>
      <w:pPr>
        <w:spacing w:after="0" w:line="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$65.7 million recognized in the 2020 quarter. The increase is primarily driven by higher distribution costs as a result of continued inflows and market appreciation in our international products, including our Japanese Investment Trusts (ITMs) and SICAVs.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and our international products, such as our Japanese ITMs and SICAVs, are recognized in this expense.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$18.9 million in the first quarter of 2021, a decrease of $6.0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24.1%, compared to the $24.9 million recognized in the 2020 quarter. The decrease is driven primarily by the timing of media-related spend as well as fewer conference and promotional events since the later part of the first quarter of 2020 due to the coronavirus pandemic. </w:t>
      </w: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$ 117.3 million in the first quarter of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$11.9 million, or 11.3%, compared to the $105.4 million recognized in the 2020 quarter. The increase is due primarily to the ongoing investment in our technology capabilities, including hosted solution licenses and depreciation, and higher office lease costs.</w:t>
      </w:r>
    </w:p>
    <w:p>
      <w:pPr>
        <w:spacing w:after="0" w:line="21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$87.3 million in the first quarter of 2021,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$10.2 million, or 13.2%, compared to the $77.1 million recognized in the 2020 quarter. The timing of when certain general and administrative costs were incurred in the first quarter of 2021 compared to the 2020 period contributed to the higher costs. Lower travel-related expenses nearly offset increases in other general and administrative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Non-operating income for the first quarter of 2021 was $102.1 million, an increase of $602.4 million from non-operating loss of $500.3 million in the 2020 quarter. The following table details the components of non-operating income (loss) for both the first quarter of March 31, 2021 and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87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4"/>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3/31/2020</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cash and discretionary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 upon deconsolidation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gains (losses) from non-consolidated T. Rowe Price investment products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r>
      <w:tr>
        <w:trPr>
          <w:trHeight w:val="230"/>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w:t>
            </w:r>
          </w:p>
        </w:tc>
      </w:tr>
    </w:tbl>
    <w:p>
      <w:pPr>
        <w:spacing w:after="0" w:line="13" w:lineRule="exact"/>
        <w:rPr>
          <w:sz w:val="20"/>
          <w:szCs w:val="20"/>
          <w:color w:val="auto"/>
        </w:rPr>
      </w:pPr>
    </w:p>
    <w:p>
      <w:pPr>
        <w:sectPr>
          <w:pgSz w:w="11900" w:h="16838" w:orient="portrait"/>
          <w:cols w:equalWidth="0" w:num="1">
            <w:col w:w="11240"/>
          </w:cols>
          <w:pgMar w:left="320" w:top="1030" w:right="339" w:bottom="1440" w:gutter="0" w:footer="0" w:header="0"/>
        </w:sectPr>
      </w:pPr>
    </w:p>
    <w:p>
      <w:pPr>
        <w:ind w:left="20" w:right="2640"/>
        <w:spacing w:after="0" w:line="293" w:lineRule="auto"/>
        <w:rPr>
          <w:sz w:val="20"/>
          <w:szCs w:val="20"/>
          <w:color w:val="auto"/>
        </w:rPr>
      </w:pPr>
      <w:r>
        <w:rPr>
          <w:rFonts w:ascii="Arial" w:cs="Arial" w:eastAsia="Arial" w:hAnsi="Arial"/>
          <w:sz w:val="17"/>
          <w:szCs w:val="17"/>
          <w:color w:val="auto"/>
        </w:rPr>
        <w:t>Net gains (losses) on consolidated sponsored investment portfolios Other income (loss), including foreign 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Non-operating income (loss)</w:t>
      </w:r>
    </w:p>
    <w:p>
      <w:pPr>
        <w:spacing w:after="0" w:line="20" w:lineRule="exact"/>
        <w:rPr>
          <w:sz w:val="20"/>
          <w:szCs w:val="20"/>
          <w:color w:val="auto"/>
        </w:rPr>
      </w:pPr>
      <w:r>
        <w:rPr>
          <w:sz w:val="20"/>
          <w:szCs w:val="20"/>
          <w:color w:val="auto"/>
        </w:rPr>
        <w:br w:type="column"/>
      </w:r>
    </w:p>
    <w:p>
      <w:pPr>
        <w:jc w:val="right"/>
        <w:ind w:right="20"/>
        <w:spacing w:after="0"/>
        <w:tabs>
          <w:tab w:leader="none" w:pos="5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(330.3)</w:t>
      </w:r>
    </w:p>
    <w:p>
      <w:pPr>
        <w:spacing w:after="0" w:line="23" w:lineRule="exact"/>
        <w:rPr>
          <w:sz w:val="20"/>
          <w:szCs w:val="20"/>
          <w:color w:val="auto"/>
        </w:rPr>
      </w:pPr>
    </w:p>
    <w:p>
      <w:pPr>
        <w:ind w:left="800"/>
        <w:spacing w:after="0"/>
        <w:tabs>
          <w:tab w:leader="none" w:pos="20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6116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tabs>
          <w:tab w:leader="none" w:pos="660" w:val="left"/>
          <w:tab w:leader="none" w:pos="1300" w:val="left"/>
          <w:tab w:leader="none" w:pos="1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102.1</w:t>
        <w:tab/>
        <w:t>$</w:t>
      </w:r>
      <w:r>
        <w:rPr>
          <w:sz w:val="20"/>
          <w:szCs w:val="20"/>
          <w:color w:val="auto"/>
        </w:rPr>
        <w:tab/>
      </w:r>
      <w:r>
        <w:rPr>
          <w:rFonts w:ascii="Arial" w:cs="Arial" w:eastAsia="Arial" w:hAnsi="Arial"/>
          <w:sz w:val="18"/>
          <w:szCs w:val="18"/>
          <w:b w:val="1"/>
          <w:bCs w:val="1"/>
          <w:color w:val="auto"/>
        </w:rPr>
        <w:t>(500.3)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61163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11630"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000" w:space="720"/>
            <w:col w:w="2520"/>
          </w:cols>
          <w:pgMar w:left="320" w:top="1030" w:right="339" w:bottom="1440" w:gutter="0" w:footer="0" w:header="0"/>
          <w:type w:val="continuous"/>
        </w:sectPr>
      </w:pP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impact of strong market returns on our investment portfolio in the first quarter of 2021 compared with significant market losses in the first quarter of 2020 drove the increase in non-operating income. Our consolidated investment products and supplemental savings plan hedge portfolio comprised more than half of the net gains recognized during the first quarter of 2021. Our cash and discretionary investment portfolio also experienced net investment gains of $13.7 million in the first quarter of 2021.</w:t>
      </w:r>
    </w:p>
    <w:p>
      <w:pPr>
        <w:spacing w:after="0" w:line="231"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our interest in the consolidated 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redeemable non-controlling interests (unrelated third-party investors)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effective tax rate for the first quarter of 2021 was 23.2%, compared with 19.5% in the 2020 quarter. The increase in our effective tax rate for the first quarter of 2021 as compared to the first quarter of 2020 is primarily due to lower discrete tax benefits associated with option exercises as well as the impact of these benefits relative to the higher pre-tax income in the first quarter of 2021 as compared to the comparable 2020 quarter. These benefits were partially offset by higher net gains attributable to redeemable non-controlling interests held in the firm's consolidated investment products, which are not taxable to the firm despite being included in pre-tax income, and a lower state effective tax rate. The state effective rate in the first quarter of 2020 was unfavorably impacted by the remeasurement of deferred state tax assets and liabilities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25" w:name="page26"/>
    <w:bookmarkEnd w:id="25"/>
    <w:p>
      <w:pPr>
        <w:ind w:right="160"/>
        <w:spacing w:after="0" w:line="261" w:lineRule="auto"/>
        <w:rPr>
          <w:sz w:val="20"/>
          <w:szCs w:val="20"/>
          <w:color w:val="auto"/>
        </w:rPr>
      </w:pPr>
      <w:r>
        <w:rPr>
          <w:rFonts w:ascii="Arial" w:cs="Arial" w:eastAsia="Arial" w:hAnsi="Arial"/>
          <w:sz w:val="18"/>
          <w:szCs w:val="18"/>
          <w:color w:val="auto"/>
        </w:rPr>
        <w:t>The following table reconciles the statutory federal income tax rate to our effective tax rate for both the three months ended March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shd w:val="clear" w:color="auto" w:fill="CCEEFF"/>
          </w:tcPr>
          <w:p>
            <w:pPr>
              <w:spacing w:after="0"/>
              <w:rPr>
                <w:sz w:val="16"/>
                <w:szCs w:val="16"/>
                <w:color w:val="auto"/>
              </w:rPr>
            </w:pPr>
          </w:p>
        </w:tc>
        <w:tc>
          <w:tcPr>
            <w:tcW w:w="3240" w:type="dxa"/>
            <w:vAlign w:val="bottom"/>
            <w:tcBorders>
              <w:bottom w:val="single" w:sz="8" w:color="auto"/>
            </w:tcBorders>
            <w:gridSpan w:val="3"/>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0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3/31/2020</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00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60" w:type="dxa"/>
            <w:vAlign w:val="bottom"/>
          </w:tcPr>
          <w:p>
            <w:pPr>
              <w:jc w:val="right"/>
              <w:ind w:right="155"/>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6.4</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(8.1)</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8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discrete tax benefits recognized from option exercises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31"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increased to 23.7% in the first quarter of 2021 compared with 22.5% in first quarter of 2020, primarily due to lower discrete tax benefits associated with option exercises in the first quarter of 2021 as well as the impact of these benefits relative to the higher pre-tax income in the first quarter of 2021 as compared to the comparable 2020 quarter and a lower effective state tax rate. The firm continues to see the phased-in benefit of the 2018 Maryland state tax legislation in which we expect to reduce our effective state rate over the five-year phase-in period to less than 3% by the end of 2022.</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We currently estimate that our effective tax rate for the full year 2021, on a GAAP basis, will be in the range of 22% to 25%. On a non-GAAP basis, the range is </w:t>
      </w:r>
      <w:r>
        <w:rPr>
          <w:rFonts w:ascii="Arial" w:cs="Arial" w:eastAsia="Arial" w:hAnsi="Arial"/>
          <w:sz w:val="16"/>
          <w:szCs w:val="16"/>
          <w:color w:val="auto"/>
        </w:rPr>
        <w:t>23% to 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32" w:lineRule="exact"/>
        <w:rPr>
          <w:sz w:val="20"/>
          <w:szCs w:val="20"/>
          <w:color w:val="auto"/>
        </w:rPr>
      </w:pPr>
    </w:p>
    <w:p>
      <w:pPr>
        <w:ind w:right="324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March 31, 2021 and 2020.</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 ended 3/31/2021</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5"/>
                <w:szCs w:val="15"/>
                <w:color w:val="auto"/>
              </w:rPr>
            </w:pPr>
          </w:p>
        </w:tc>
        <w:tc>
          <w:tcPr>
            <w:tcW w:w="1020" w:type="dxa"/>
            <w:vAlign w:val="bottom"/>
          </w:tcPr>
          <w:p>
            <w:pPr>
              <w:jc w:val="right"/>
              <w:ind w:right="13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3/31/2020</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5"/>
                <w:szCs w:val="15"/>
                <w:color w:val="auto"/>
              </w:rPr>
            </w:pPr>
          </w:p>
        </w:tc>
        <w:tc>
          <w:tcPr>
            <w:tcW w:w="1040" w:type="dxa"/>
            <w:vAlign w:val="bottom"/>
          </w:tcPr>
          <w:p>
            <w:pPr>
              <w:jc w:val="right"/>
              <w:ind w:right="13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340" w:right="40" w:hanging="332"/>
        <w:spacing w:after="0" w:line="23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 T. Rowe Price investment products as we believe they impact the reader’s ability to understand our core operating results.</w:t>
      </w:r>
    </w:p>
    <w:p>
      <w:pPr>
        <w:spacing w:after="0" w:line="243" w:lineRule="exact"/>
        <w:rPr>
          <w:rFonts w:ascii="Arial" w:cs="Arial" w:eastAsia="Arial" w:hAnsi="Arial"/>
          <w:sz w:val="22"/>
          <w:szCs w:val="22"/>
          <w:color w:val="auto"/>
          <w:vertAlign w:val="superscript"/>
        </w:rPr>
      </w:pPr>
    </w:p>
    <w:p>
      <w:pPr>
        <w:ind w:left="340" w:right="40" w:hanging="332"/>
        <w:spacing w:after="0" w:line="23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340" w:right="280" w:hanging="332"/>
        <w:spacing w:after="0" w:line="238"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46" w:lineRule="exact"/>
        <w:rPr>
          <w:rFonts w:ascii="Arial" w:cs="Arial" w:eastAsia="Arial" w:hAnsi="Arial"/>
          <w:sz w:val="22"/>
          <w:szCs w:val="22"/>
          <w:color w:val="auto"/>
          <w:vertAlign w:val="superscript"/>
        </w:rPr>
      </w:pPr>
    </w:p>
    <w:p>
      <w:pPr>
        <w:ind w:left="340" w:right="180" w:hanging="332"/>
        <w:spacing w:after="0" w:line="21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The income tax impacts were calculated in order to achieve an overall non-GAAP effective tax rate of 23.7% for 2021 and 22.5% for 2020. We estimate that our effective tax rate for the full-year 2021 on a non-GAAP basis will be in the range of 23% to 25%.</w:t>
      </w:r>
    </w:p>
    <w:p>
      <w:pPr>
        <w:spacing w:after="0" w:line="242" w:lineRule="exact"/>
        <w:rPr>
          <w:rFonts w:ascii="Arial" w:cs="Arial" w:eastAsia="Arial" w:hAnsi="Arial"/>
          <w:sz w:val="22"/>
          <w:szCs w:val="22"/>
          <w:color w:val="auto"/>
          <w:vertAlign w:val="superscript"/>
        </w:rPr>
      </w:pPr>
    </w:p>
    <w:p>
      <w:pPr>
        <w:ind w:left="340" w:right="200" w:hanging="332"/>
        <w:spacing w:after="0" w:line="22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126"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7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80" w:type="dxa"/>
            <w:vAlign w:val="bottom"/>
            <w:gridSpan w:val="4"/>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79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3/31/2021</w:t>
            </w: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15"/>
                <w:szCs w:val="15"/>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8"/>
                <w:szCs w:val="18"/>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returned gains of $13.7 million in the three months ended March 31, 2021, as compared to investment losses of $61.2 million in the three months ended March 31, 2020. Cash and discretionary investments in T. Rowe Price products held by our subsidiaries outside the United States were $754.4 million at March 31, 2021 and $ 675.8 million at December 31, 2020. Given the availability of our financial resources and cash expected to be generated through future operations, we do not maintain an available external source of additional liquidity.</w:t>
      </w:r>
    </w:p>
    <w:p>
      <w:pPr>
        <w:spacing w:after="0" w:line="2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March 31,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w:t>
            </w: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Investments</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3/31/2021</w:t>
            </w:r>
          </w:p>
        </w:tc>
        <w:tc>
          <w:tcPr>
            <w:tcW w:w="0" w:type="dxa"/>
            <w:vAlign w:val="bottom"/>
          </w:tcPr>
          <w:p>
            <w:pPr>
              <w:spacing w:after="0"/>
              <w:rPr>
                <w:sz w:val="1"/>
                <w:szCs w:val="1"/>
                <w:color w:val="auto"/>
              </w:rPr>
            </w:pPr>
          </w:p>
        </w:tc>
      </w:tr>
      <w:tr>
        <w:trPr>
          <w:trHeight w:val="175"/>
        </w:trPr>
        <w:tc>
          <w:tcPr>
            <w:tcW w:w="50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right="77"/>
              <w:spacing w:after="0" w:line="176"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4,849.3</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188"/>
        </w:trPr>
        <w:tc>
          <w:tcPr>
            <w:tcW w:w="5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 Group</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6,860.5</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7,113.9</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8,126.8</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sheet at March 31, 2021</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60" w:hanging="172"/>
        <w:spacing w:after="0" w:line="233" w:lineRule="auto"/>
        <w:tabs>
          <w:tab w:leader="none" w:pos="158"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$109.1 million and the $771.1 million represent the total value at March 31, 2021 of our interest in the consolidated T. Rowe Price investment products. The total net assets of the T. Rowe Price investment products at March 31, 2021 of $1,893.1 million includes assets of $1,946.8 million, less liabilities of $53.7 million as reflected in our unaudited condensed consolidated balance sheets.</w:t>
      </w:r>
    </w:p>
    <w:p>
      <w:pPr>
        <w:spacing w:after="0" w:line="230"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8" w:name="page29"/>
    <w:bookmarkEnd w:id="28"/>
    <w:p>
      <w:pPr>
        <w:ind w:right="100"/>
        <w:spacing w:after="0" w:line="250" w:lineRule="auto"/>
        <w:rPr>
          <w:sz w:val="20"/>
          <w:szCs w:val="20"/>
          <w:color w:val="auto"/>
        </w:rPr>
      </w:pPr>
      <w:r>
        <w:rPr>
          <w:rFonts w:ascii="Arial" w:cs="Arial" w:eastAsia="Arial" w:hAnsi="Arial"/>
          <w:sz w:val="18"/>
          <w:szCs w:val="18"/>
          <w:color w:val="auto"/>
        </w:rPr>
        <w:t>cannot directly access or sell the assets held by the products to obtain cash for general operations. Additionally, the assets of these T. Rowe Price investment products are not available to our general creditors. Our interest in these</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increased our quarterly recurring dividend per common share in February 2021 by 20.0% to $ 1.08 per common share from $.90 per common share. Additionally, we expended $.3 billion in the first quarter of 2021 to repurchase 1.6 million shares, or 0.7%, of our outstanding common stock at an average price of $164.22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3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Since the end of 2018, we have returned $4.0 billion to stockholders through stock repurchases and our regular quarterly dividends,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76"/>
        </w:trPr>
        <w:tc>
          <w:tcPr>
            <w:tcW w:w="6700" w:type="dxa"/>
            <w:vAlign w:val="bottom"/>
            <w:vMerge w:val="continue"/>
            <w:shd w:val="clear" w:color="auto" w:fill="CCEEFF"/>
          </w:tcPr>
          <w:p>
            <w:pPr>
              <w:spacing w:after="0"/>
              <w:rPr>
                <w:sz w:val="15"/>
                <w:szCs w:val="15"/>
                <w:color w:val="auto"/>
              </w:rPr>
            </w:pPr>
          </w:p>
        </w:tc>
        <w:tc>
          <w:tcPr>
            <w:tcW w:w="1540" w:type="dxa"/>
            <w:vAlign w:val="bottom"/>
            <w:gridSpan w:val="3"/>
            <w:vMerge w:val="continue"/>
            <w:shd w:val="clear" w:color="auto" w:fill="CCEEFF"/>
          </w:tcPr>
          <w:p>
            <w:pPr>
              <w:spacing w:after="0"/>
              <w:rPr>
                <w:sz w:val="15"/>
                <w:szCs w:val="15"/>
                <w:color w:val="auto"/>
              </w:rPr>
            </w:pPr>
          </w:p>
        </w:tc>
        <w:tc>
          <w:tcPr>
            <w:tcW w:w="156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months ended 3/31/2021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anticipate property, equipment and other capital expenditures, including internal labor capitalization, for the full-year 2021 to be about $265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summarizes the cash flows for the three months ended March 31, 2021 and 2020, that are attributable to T. Rowe Price Group, our consolidated T. Rowe Price investment products,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3/31/2020</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1000" w:type="dxa"/>
            <w:vAlign w:val="bottom"/>
            <w:gridSpan w:val="3"/>
            <w:vMerge w:val="continue"/>
            <w:shd w:val="clear" w:color="auto" w:fill="CCEEFF"/>
          </w:tcPr>
          <w:p>
            <w:pPr>
              <w:spacing w:after="0"/>
              <w:rPr>
                <w:sz w:val="11"/>
                <w:szCs w:val="11"/>
                <w:color w:val="auto"/>
              </w:rPr>
            </w:pP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As</w:t>
            </w: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Elims</w:t>
            </w:r>
          </w:p>
        </w:tc>
        <w:tc>
          <w:tcPr>
            <w:tcW w:w="12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shd w:val="clear" w:color="auto" w:fill="CCEEFF"/>
          </w:tcPr>
          <w:p>
            <w:pPr>
              <w:spacing w:after="0"/>
              <w:rPr>
                <w:sz w:val="15"/>
                <w:szCs w:val="15"/>
                <w:color w:val="auto"/>
              </w:rPr>
            </w:pP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reported</w:t>
            </w:r>
          </w:p>
        </w:tc>
        <w:tc>
          <w:tcPr>
            <w:tcW w:w="9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5"/>
                <w:szCs w:val="15"/>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188"/>
        </w:trPr>
        <w:tc>
          <w:tcPr>
            <w:tcW w:w="3780" w:type="dxa"/>
            <w:vAlign w:val="bottom"/>
          </w:tcPr>
          <w:p>
            <w:pPr>
              <w:ind w:left="140"/>
              <w:spacing w:after="0" w:line="189" w:lineRule="exact"/>
              <w:rPr>
                <w:sz w:val="20"/>
                <w:szCs w:val="20"/>
                <w:color w:val="auto"/>
              </w:rPr>
            </w:pPr>
            <w:r>
              <w:rPr>
                <w:rFonts w:ascii="Arial" w:cs="Arial" w:eastAsia="Arial" w:hAnsi="Arial"/>
                <w:sz w:val="18"/>
                <w:szCs w:val="18"/>
                <w:color w:val="auto"/>
              </w:rPr>
              <w:t>Adjustments to reconcile net income to net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140"/>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(gains) losses recognized 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line="189" w:lineRule="exact"/>
              <w:rPr>
                <w:sz w:val="20"/>
                <w:szCs w:val="20"/>
                <w:color w:val="auto"/>
              </w:rPr>
            </w:pPr>
            <w:r>
              <w:rPr>
                <w:rFonts w:ascii="Arial" w:cs="Arial" w:eastAsia="Arial" w:hAnsi="Arial"/>
                <w:sz w:val="18"/>
                <w:szCs w:val="18"/>
                <w:color w:val="auto"/>
              </w:rPr>
              <w:t>Net change in T. Rowe Price investment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products used to economically hedge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220"/>
              <w:spacing w:after="0"/>
              <w:rPr>
                <w:sz w:val="20"/>
                <w:szCs w:val="20"/>
                <w:color w:val="auto"/>
              </w:rPr>
            </w:pPr>
            <w:r>
              <w:rPr>
                <w:rFonts w:ascii="Arial" w:cs="Arial" w:eastAsia="Arial" w:hAnsi="Arial"/>
                <w:sz w:val="18"/>
                <w:szCs w:val="18"/>
                <w:color w:val="auto"/>
              </w:rPr>
              <w:t>supplemental savings plan liability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trading securities held by</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T. Rowe Price investment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 in assets and liabilities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68"/>
        </w:trPr>
        <w:tc>
          <w:tcPr>
            <w:tcW w:w="37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(used in) investing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cash provided by (used in) financing</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cash equivalents of consolidated T. Rowe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Arial" w:cs="Arial" w:eastAsia="Arial" w:hAnsi="Arial"/>
                <w:sz w:val="18"/>
                <w:szCs w:val="18"/>
                <w:color w:val="auto"/>
              </w:rPr>
              <w:t>Price investment products</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8"/>
        </w:trPr>
        <w:tc>
          <w:tcPr>
            <w:tcW w:w="37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2,256.5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1,858.3</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2,913.8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1,680.1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activities attributable to T. Rowe Price Group during the first quarter of 2021 provided cash flows of $1,138.6 million as compared to $864.0 million during the first quarter of 2020. Operating cash flows attributable to T. Rowe Price Group increased $274.6 million, including a $406.3 million increase in net income from the first quarter of 2020 and timing differences on the cash settlement of our assets and liabilities of $237.9 million. These increases were partially offset by $400.5 million in lower non-cash adjustments, including unrealized investment gains/losses, depreciation, and stock-based compensation expense. The non-cash adjustments were primarily driven by a $402.6 million increase in net investment gains in the first quarter of 2021 compared with net investment losses in the first quarter of 2020. Additionally, in 2021, we had net proceeds of $22.0 million from certain investment products that economically hedge our supplemental savings plan liability, while we had net investments of $8.9 million in the same period of 2020.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provided by investing activities that are attributable to T. Rowe Price Group totaled $30.4 million in the first quarter of 2021 compared with $15.0 million of cash used by investing activities in the 2020 period. During 2021, we decreased the level of seed capital provided by $77.3 million. We eliminate our seed capital in those T. Rowe Price investment products we consolidate in preparing our unaudited condensed consolidated statement of cash flows. Partially offsetting this increase to cash provided by investing activities were lower net proceeds from the sale of certain of our discretionary investments of $47.8 million compared to net proceeds of $74.0 million during 2020. In addition, we increased our property and equipment expenditures by $12.8 million. The remaining $26.5 million change in reported cash flows from investing activities is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attributable to T. Rowe Price Group were $490.6 million in the first quarter of 2021 compared with</w:t>
      </w:r>
    </w:p>
    <w:p>
      <w:pPr>
        <w:spacing w:after="0" w:line="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$1,068.4 million in the 2020 period. During 2021, there was a $632.1 million decrease in cash paid for common stock repurchases as we repurchased 6.7 million less shares of common stock in the first quarter of 2021 as compared to the first quarter of 2020. Partially offsetting this decrease in cash used for financing activities was a $37.1 million increase in dividends paid in 2021 as a result of an 20.0% increase in our quarterly dividend per share. The remaining change in reported cash flows from financing activities is primarily attributable to a $107.0 million increase in net subscriptions received from redeemable non-controlling interest holders of our consolidated investment products during the first quarter of 2021 compared to the 2020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2020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including our announced plan to establish T. Rowe Price Investment Management as a separate registered investment adviser.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level of third party research costs,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2021. Based on that evaluation, our principal executive and principal financial officers have concluded that our disclosure controls and procedures as of March 31, 2021,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2021, and has concluded that there was no change during the first quarter of 2021 that have materially affected, or is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2021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00" w:type="dxa"/>
            <w:vAlign w:val="bottom"/>
            <w:vMerge w:val="restart"/>
            <w:shd w:val="clear" w:color="auto" w:fill="CCEEFF"/>
          </w:tcPr>
          <w:p>
            <w:pPr>
              <w:spacing w:after="0"/>
              <w:rPr>
                <w:sz w:val="11"/>
                <w:szCs w:val="11"/>
                <w:color w:val="auto"/>
              </w:rPr>
            </w:pPr>
          </w:p>
        </w:tc>
        <w:tc>
          <w:tcPr>
            <w:tcW w:w="188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January</w:t>
            </w:r>
          </w:p>
        </w:tc>
        <w:tc>
          <w:tcPr>
            <w:tcW w:w="1760" w:type="dxa"/>
            <w:vAlign w:val="bottom"/>
          </w:tcPr>
          <w:p>
            <w:pPr>
              <w:jc w:val="right"/>
              <w:spacing w:after="0"/>
              <w:rPr>
                <w:sz w:val="20"/>
                <w:szCs w:val="20"/>
                <w:color w:val="auto"/>
              </w:rPr>
            </w:pPr>
            <w:r>
              <w:rPr>
                <w:rFonts w:ascii="Arial" w:cs="Arial" w:eastAsia="Arial" w:hAnsi="Arial"/>
                <w:sz w:val="18"/>
                <w:szCs w:val="18"/>
                <w:color w:val="auto"/>
              </w:rPr>
              <w:t>178,193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142,551</w:t>
            </w:r>
          </w:p>
        </w:tc>
        <w:tc>
          <w:tcPr>
            <w:tcW w:w="1860" w:type="dxa"/>
            <w:vAlign w:val="bottom"/>
            <w:gridSpan w:val="2"/>
          </w:tcPr>
          <w:p>
            <w:pPr>
              <w:jc w:val="right"/>
              <w:ind w:right="8"/>
              <w:spacing w:after="0"/>
              <w:rPr>
                <w:sz w:val="20"/>
                <w:szCs w:val="20"/>
                <w:color w:val="auto"/>
              </w:rPr>
            </w:pPr>
            <w:r>
              <w:rPr>
                <w:rFonts w:ascii="Arial" w:cs="Arial" w:eastAsia="Arial" w:hAnsi="Arial"/>
                <w:sz w:val="18"/>
                <w:szCs w:val="18"/>
                <w:color w:val="auto"/>
              </w:rPr>
              <w:t>21,324,760</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799,129</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20,525,631</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March</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687,784</w:t>
            </w:r>
          </w:p>
        </w:tc>
        <w:tc>
          <w:tcPr>
            <w:tcW w:w="18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19,837,847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1,629,464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2021, 128,997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5400" w:type="dxa"/>
            <w:vAlign w:val="bottom"/>
            <w:vMerge w:val="restart"/>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vMerge w:val="restart"/>
            <w:shd w:val="clear" w:color="auto" w:fill="CCEEFF"/>
          </w:tcPr>
          <w:p>
            <w:pPr>
              <w:spacing w:after="0"/>
              <w:rPr>
                <w:sz w:val="11"/>
                <w:szCs w:val="11"/>
                <w:color w:val="auto"/>
              </w:rPr>
            </w:pPr>
          </w:p>
        </w:tc>
        <w:tc>
          <w:tcPr>
            <w:tcW w:w="1760" w:type="dxa"/>
            <w:vAlign w:val="bottom"/>
            <w:vMerge w:val="restart"/>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1/1/2021</w:t>
            </w:r>
          </w:p>
        </w:tc>
        <w:tc>
          <w:tcPr>
            <w:tcW w:w="120" w:type="dxa"/>
            <w:vAlign w:val="bottom"/>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17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5"/>
        </w:trPr>
        <w:tc>
          <w:tcPr>
            <w:tcW w:w="5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3/31/2021</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760" w:type="dxa"/>
            <w:vAlign w:val="bottom"/>
          </w:tcPr>
          <w:p>
            <w:pPr>
              <w:jc w:val="right"/>
              <w:spacing w:after="0"/>
              <w:rPr>
                <w:sz w:val="20"/>
                <w:szCs w:val="20"/>
                <w:color w:val="auto"/>
              </w:rPr>
            </w:pPr>
            <w:r>
              <w:rPr>
                <w:rFonts w:ascii="Arial" w:cs="Arial" w:eastAsia="Arial" w:hAnsi="Arial"/>
                <w:sz w:val="18"/>
                <w:szCs w:val="18"/>
                <w:color w:val="auto"/>
              </w:rPr>
              <w:t>6,467,311</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(1,629,464)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4,837,847</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21,467,311</w:t>
            </w:r>
          </w:p>
        </w:tc>
        <w:tc>
          <w:tcPr>
            <w:tcW w:w="1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(1,629,464)</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19,837,847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April 29, 2021, we issued an earnings release reporting our results of operations for the first quarter of 2021.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20"/>
          </w:cols>
          <w:pgMar w:left="320" w:top="908" w:right="35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300"/>
        <w:spacing w:after="0" w:line="227" w:lineRule="auto"/>
        <w:rPr>
          <w:rFonts w:ascii="Arial" w:cs="Arial" w:eastAsia="Arial" w:hAnsi="Arial"/>
          <w:sz w:val="18"/>
          <w:szCs w:val="18"/>
          <w:color w:val="auto"/>
        </w:rPr>
      </w:pPr>
      <w:hyperlink r:id="rId72">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reference from Form 10-Q Quarterly Report filed on July 25, 2018.)</w:t>
        </w:r>
      </w:hyperlink>
    </w:p>
    <w:p>
      <w:pPr>
        <w:spacing w:after="0" w:line="108" w:lineRule="exact"/>
        <w:rPr>
          <w:sz w:val="20"/>
          <w:szCs w:val="20"/>
          <w:color w:val="auto"/>
        </w:rPr>
      </w:pPr>
    </w:p>
    <w:p>
      <w:pPr>
        <w:ind w:right="60"/>
        <w:spacing w:after="0" w:line="227" w:lineRule="auto"/>
        <w:rPr>
          <w:rFonts w:ascii="Arial" w:cs="Arial" w:eastAsia="Arial" w:hAnsi="Arial"/>
          <w:sz w:val="18"/>
          <w:szCs w:val="18"/>
          <w:color w:val="auto"/>
        </w:rPr>
      </w:pPr>
      <w:hyperlink r:id="rId73">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Form 10-K Annual Report filed on February 11, 2021.)</w:t>
        </w:r>
      </w:hyperlink>
    </w:p>
    <w:p>
      <w:pPr>
        <w:spacing w:after="0" w:line="121" w:lineRule="exact"/>
        <w:rPr>
          <w:sz w:val="20"/>
          <w:szCs w:val="20"/>
          <w:color w:val="auto"/>
        </w:rPr>
      </w:pPr>
    </w:p>
    <w:p>
      <w:pPr>
        <w:spacing w:after="0"/>
        <w:rPr>
          <w:rFonts w:ascii="Arial" w:cs="Arial" w:eastAsia="Arial" w:hAnsi="Arial"/>
          <w:sz w:val="18"/>
          <w:szCs w:val="18"/>
          <w:color w:val="auto"/>
        </w:rPr>
      </w:pPr>
      <w:hyperlink w:anchor="page36">
        <w:r>
          <w:rPr>
            <w:rFonts w:ascii="Arial" w:cs="Arial" w:eastAsia="Arial" w:hAnsi="Arial"/>
            <w:sz w:val="18"/>
            <w:szCs w:val="18"/>
            <w:color w:val="auto"/>
          </w:rPr>
          <w:t>Report from KPMG LLP, independent registered public accounting firm, re unaudited interim financial information.</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37">
        <w:r>
          <w:rPr>
            <w:rFonts w:ascii="Arial" w:cs="Arial" w:eastAsia="Arial" w:hAnsi="Arial"/>
            <w:sz w:val="18"/>
            <w:szCs w:val="18"/>
            <w:color w:val="auto"/>
          </w:rPr>
          <w:t>Rule 13a-14(a) Certification of Principal Executive Officer.</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38">
        <w:r>
          <w:rPr>
            <w:rFonts w:ascii="Arial" w:cs="Arial" w:eastAsia="Arial" w:hAnsi="Arial"/>
            <w:sz w:val="18"/>
            <w:szCs w:val="18"/>
            <w:color w:val="auto"/>
          </w:rPr>
          <w:t>Rule 13a-14(a) Certification of Principal Financial Officer.</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39">
        <w:r>
          <w:rPr>
            <w:rFonts w:ascii="Arial" w:cs="Arial" w:eastAsia="Arial" w:hAnsi="Arial"/>
            <w:sz w:val="18"/>
            <w:szCs w:val="18"/>
            <w:color w:val="auto"/>
          </w:rPr>
          <w:t>Section 1350 Certifications.</w:t>
        </w:r>
      </w:hyperlink>
    </w:p>
    <w:p>
      <w:pPr>
        <w:spacing w:after="0" w:line="144" w:lineRule="exact"/>
        <w:rPr>
          <w:sz w:val="20"/>
          <w:szCs w:val="20"/>
          <w:color w:val="auto"/>
        </w:rPr>
      </w:pPr>
    </w:p>
    <w:p>
      <w:pPr>
        <w:spacing w:after="0"/>
        <w:rPr>
          <w:rFonts w:ascii="Arial" w:cs="Arial" w:eastAsia="Arial" w:hAnsi="Arial"/>
          <w:sz w:val="18"/>
          <w:szCs w:val="18"/>
          <w:color w:val="auto"/>
        </w:rPr>
      </w:pPr>
      <w:hyperlink w:anchor="page40">
        <w:r>
          <w:rPr>
            <w:rFonts w:ascii="Arial" w:cs="Arial" w:eastAsia="Arial" w:hAnsi="Arial"/>
            <w:sz w:val="18"/>
            <w:szCs w:val="18"/>
            <w:color w:val="auto"/>
          </w:rPr>
          <w:t>Earnings release issued April 29, 2021, reporting our results of operations for the first quarter of 2021.</w:t>
        </w:r>
      </w:hyperlink>
    </w:p>
    <w:p>
      <w:pPr>
        <w:spacing w:after="0" w:line="1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21" w:lineRule="exact"/>
        <w:rPr>
          <w:sz w:val="20"/>
          <w:szCs w:val="20"/>
          <w:color w:val="auto"/>
        </w:rPr>
      </w:pPr>
    </w:p>
    <w:p>
      <w:pPr>
        <w:sectPr>
          <w:pgSz w:w="11900" w:h="16838" w:orient="portrait"/>
          <w:cols w:equalWidth="0" w:num="2">
            <w:col w:w="1020" w:space="720"/>
            <w:col w:w="9480"/>
          </w:cols>
          <w:pgMar w:left="320" w:top="908" w:right="35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5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w:t>
            </w:r>
          </w:p>
        </w:tc>
      </w:tr>
      <w:tr>
        <w:trPr>
          <w:trHeight w:val="217"/>
        </w:trPr>
        <w:tc>
          <w:tcPr>
            <w:tcW w:w="122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are embedded within the Inline XBRL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Calculation Linkbase Document</w:t>
            </w:r>
          </w:p>
        </w:tc>
      </w:tr>
      <w:tr>
        <w:trPr>
          <w:trHeight w:val="364"/>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Label Linkbase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Presentation Linkbase Document</w:t>
            </w:r>
          </w:p>
        </w:tc>
      </w:tr>
      <w:tr>
        <w:trPr>
          <w:trHeight w:val="364"/>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29,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Vice President, Chief Operating Officer, Chief Financial Officer and Treasurer</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120"/>
          </w:cols>
          <w:pgMar w:left="320" w:top="886" w:right="459" w:bottom="1440" w:gutter="0" w:footer="0" w:header="0"/>
        </w:sectPr>
      </w:pPr>
    </w:p>
    <w:bookmarkStart w:id="35" w:name="page36"/>
    <w:bookmarkEnd w:id="35"/>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908"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2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29, 2021 related to our review of interim financial information.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908" w:right="339" w:bottom="1440" w:gutter="0" w:footer="0" w:header="0"/>
          <w:type w:val="continuous"/>
        </w:sectPr>
      </w:pPr>
    </w:p>
    <w:bookmarkStart w:id="36" w:name="page37"/>
    <w:bookmarkEnd w:id="36"/>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ectPr>
          <w:pgSz w:w="11900" w:h="16838" w:orient="portrait"/>
          <w:cols w:equalWidth="0" w:num="1">
            <w:col w:w="11220"/>
          </w:cols>
          <w:pgMar w:left="320" w:top="1003" w:right="359" w:bottom="1440" w:gutter="0" w:footer="0" w:header="0"/>
        </w:sectPr>
      </w:pPr>
    </w:p>
    <w:bookmarkStart w:id="37" w:name="page38"/>
    <w:bookmarkEnd w:id="37"/>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220"/>
          </w:cols>
          <w:pgMar w:left="320" w:top="1003" w:right="359" w:bottom="1440" w:gutter="0" w:footer="0" w:header="0"/>
        </w:sectPr>
      </w:pPr>
    </w:p>
    <w:bookmarkStart w:id="38" w:name="page39"/>
    <w:bookmarkEnd w:id="38"/>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2021, of T. Rowe Price Group, Inc., that:</w:t>
      </w:r>
    </w:p>
    <w:p>
      <w:pPr>
        <w:spacing w:after="0" w:line="76" w:lineRule="exact"/>
        <w:rPr>
          <w:sz w:val="20"/>
          <w:szCs w:val="20"/>
          <w:color w:val="auto"/>
        </w:rPr>
      </w:pPr>
    </w:p>
    <w:p>
      <w:pPr>
        <w:ind w:right="620" w:firstLine="8"/>
        <w:spacing w:after="0" w:line="261"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firstLine="8"/>
        <w:spacing w:after="0" w:line="261"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Chief Financial Officer and Treasurer</w:t>
      </w:r>
    </w:p>
    <w:p>
      <w:pPr>
        <w:sectPr>
          <w:pgSz w:w="11900" w:h="16838" w:orient="portrait"/>
          <w:cols w:equalWidth="0" w:num="1">
            <w:col w:w="11160"/>
          </w:cols>
          <w:pgMar w:left="320" w:top="1003" w:right="41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FIRST QUARTER 2021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BALTIMORE (April 29, 2021) - T. Rowe Price Group, Inc. (NASDAQ-GS: TROW) today reported its results for the first quarter of 2021.</w:t>
      </w:r>
    </w:p>
    <w:p>
      <w:pPr>
        <w:spacing w:after="0" w:line="10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$1.52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inflows of $1.2 billion for Q1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$1.8 billion for Q1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$3.17 for Q1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$3.01 for Q1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2"/>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Borders>
              <w:top w:val="single" w:sz="8" w:color="auto"/>
              <w:left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r>
      <w:tr>
        <w:trPr>
          <w:trHeight w:val="183"/>
        </w:trPr>
        <w:tc>
          <w:tcPr>
            <w:tcW w:w="5340" w:type="dxa"/>
            <w:vAlign w:val="bottom"/>
            <w:tcBorders>
              <w:left w:val="single" w:sz="8" w:color="auto"/>
              <w:bottom w:val="single" w:sz="8" w:color="CCEEFF"/>
            </w:tcBorders>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3/31/2020</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right w:val="single" w:sz="8" w:color="auto"/>
            </w:tcBorders>
          </w:tcPr>
          <w:p>
            <w:pPr>
              <w:jc w:val="right"/>
              <w:ind w:right="324"/>
              <w:spacing w:after="0"/>
              <w:rPr>
                <w:sz w:val="20"/>
                <w:szCs w:val="20"/>
                <w:color w:val="auto"/>
              </w:rPr>
            </w:pPr>
            <w:r>
              <w:rPr>
                <w:rFonts w:ascii="Arial" w:cs="Arial" w:eastAsia="Arial" w:hAnsi="Arial"/>
                <w:sz w:val="14"/>
                <w:szCs w:val="14"/>
                <w:color w:val="auto"/>
              </w:rPr>
              <w:t>% change</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12/31/2020</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4"/>
                <w:szCs w:val="14"/>
                <w:color w:val="auto"/>
              </w:rPr>
              <w:t>% change</w:t>
            </w:r>
          </w:p>
        </w:tc>
      </w:tr>
      <w:tr>
        <w:trPr>
          <w:trHeight w:val="88"/>
        </w:trPr>
        <w:tc>
          <w:tcPr>
            <w:tcW w:w="40" w:type="dxa"/>
            <w:vAlign w:val="bottom"/>
            <w:tcBorders>
              <w:left w:val="single" w:sz="8" w:color="auto"/>
            </w:tcBorders>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8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tcBorders>
              <w:right w:val="single" w:sz="8" w:color="auto"/>
            </w:tcBorders>
            <w:shd w:val="clear" w:color="auto" w:fill="CCEEFF"/>
          </w:tcPr>
          <w:p>
            <w:pPr>
              <w:spacing w:after="0"/>
              <w:rPr>
                <w:sz w:val="7"/>
                <w:szCs w:val="7"/>
                <w:color w:val="auto"/>
              </w:rPr>
            </w:pPr>
          </w:p>
        </w:tc>
      </w:tr>
      <w:tr>
        <w:trPr>
          <w:trHeight w:val="162"/>
        </w:trPr>
        <w:tc>
          <w:tcPr>
            <w:tcW w:w="5340" w:type="dxa"/>
            <w:vAlign w:val="bottom"/>
            <w:tcBorders>
              <w:left w:val="single" w:sz="8" w:color="auto"/>
            </w:tcBorders>
            <w:gridSpan w:val="5"/>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r>
      <w:tr>
        <w:trPr>
          <w:trHeight w:val="203"/>
        </w:trPr>
        <w:tc>
          <w:tcPr>
            <w:tcW w:w="534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1,327.8</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27.1 %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1,602.2</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5.3 %</w:t>
            </w:r>
          </w:p>
        </w:tc>
      </w:tr>
      <w:tr>
        <w:trPr>
          <w:trHeight w:val="198"/>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1,826.8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1,462.6</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24.9 %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1,732.9</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5.4 %</w:t>
            </w:r>
          </w:p>
        </w:tc>
      </w:tr>
      <w:tr>
        <w:trPr>
          <w:trHeight w:val="207"/>
        </w:trPr>
        <w:tc>
          <w:tcPr>
            <w:tcW w:w="534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755.4</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23.6 %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198"/>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893.2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707.2</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26.3 %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755.9</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18.2 %</w:t>
            </w:r>
          </w:p>
        </w:tc>
      </w:tr>
      <w:tr>
        <w:trPr>
          <w:trHeight w:val="206"/>
        </w:trPr>
        <w:tc>
          <w:tcPr>
            <w:tcW w:w="5340" w:type="dxa"/>
            <w:vAlign w:val="bottom"/>
            <w:tcBorders>
              <w:left w:val="single" w:sz="8" w:color="auto"/>
            </w:tcBorders>
            <w:gridSpan w:val="5"/>
            <w:shd w:val="clear" w:color="auto" w:fill="CCEEFF"/>
          </w:tcPr>
          <w:p>
            <w:pPr>
              <w:ind w:left="40"/>
              <w:spacing w:after="0" w:line="206" w:lineRule="exact"/>
              <w:rPr>
                <w:sz w:val="20"/>
                <w:szCs w:val="20"/>
                <w:color w:val="auto"/>
              </w:rPr>
            </w:pPr>
            <w:r>
              <w:rPr>
                <w:rFonts w:ascii="Arial" w:cs="Arial" w:eastAsia="Arial" w:hAnsi="Arial"/>
                <w:sz w:val="15"/>
                <w:szCs w:val="15"/>
                <w:color w:val="auto"/>
              </w:rPr>
              <w:t>Non-operating income (loss)</w:t>
            </w:r>
            <w:r>
              <w:rPr>
                <w:rFonts w:ascii="Arial" w:cs="Arial" w:eastAsia="Arial" w:hAnsi="Arial"/>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(500.3)</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390.1</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9"/>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749.4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343.1</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118.4 %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783.4</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206"/>
        </w:trPr>
        <w:tc>
          <w:tcPr>
            <w:tcW w:w="534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124.8 %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Weighted average common shares outstanding assuming dilution</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236.8</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229.2</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.3 %</w:t>
            </w:r>
          </w:p>
        </w:tc>
      </w:tr>
      <w:tr>
        <w:trPr>
          <w:trHeight w:val="112"/>
        </w:trPr>
        <w:tc>
          <w:tcPr>
            <w:tcW w:w="40" w:type="dxa"/>
            <w:vAlign w:val="bottom"/>
            <w:tcBorders>
              <w:left w:val="single" w:sz="8" w:color="auto"/>
            </w:tcBorders>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tcBorders>
              <w:right w:val="single" w:sz="8" w:color="auto"/>
            </w:tcBorders>
            <w:shd w:val="clear" w:color="auto" w:fill="CCEEFF"/>
          </w:tcPr>
          <w:p>
            <w:pPr>
              <w:spacing w:after="0"/>
              <w:rPr>
                <w:sz w:val="9"/>
                <w:szCs w:val="9"/>
                <w:color w:val="auto"/>
              </w:rPr>
            </w:pPr>
          </w:p>
        </w:tc>
      </w:tr>
      <w:tr>
        <w:trPr>
          <w:trHeight w:val="162"/>
        </w:trPr>
        <w:tc>
          <w:tcPr>
            <w:tcW w:w="5340" w:type="dxa"/>
            <w:vAlign w:val="bottom"/>
            <w:tcBorders>
              <w:left w:val="single" w:sz="8" w:color="auto"/>
            </w:tcBorders>
            <w:gridSpan w:val="5"/>
          </w:tcPr>
          <w:p>
            <w:pPr>
              <w:ind w:left="40"/>
              <w:spacing w:after="0" w:line="162"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18"/>
                <w:szCs w:val="18"/>
                <w:b w:val="1"/>
                <w:bCs w:val="1"/>
                <w:color w:val="auto"/>
                <w:vertAlign w:val="superscript"/>
              </w:rPr>
              <w:t>(2)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r>
      <w:tr>
        <w:trPr>
          <w:trHeight w:val="203"/>
        </w:trPr>
        <w:tc>
          <w:tcPr>
            <w:tcW w:w="534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817.9</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11.2 %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908.5</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.1 %</w:t>
            </w:r>
          </w:p>
        </w:tc>
      </w:tr>
      <w:tr>
        <w:trPr>
          <w:trHeight w:val="198"/>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918.9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647.2</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42.0 %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827.0</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11.1 %</w:t>
            </w:r>
          </w:p>
        </w:tc>
      </w:tr>
      <w:tr>
        <w:trPr>
          <w:trHeight w:val="207"/>
        </w:trPr>
        <w:tc>
          <w:tcPr>
            <w:tcW w:w="5340" w:type="dxa"/>
            <w:vAlign w:val="bottom"/>
            <w:tcBorders>
              <w:left w:val="single" w:sz="8" w:color="auto"/>
            </w:tcBorders>
            <w:gridSpan w:val="5"/>
            <w:shd w:val="clear" w:color="auto" w:fill="CCEEFF"/>
          </w:tcPr>
          <w:p>
            <w:pPr>
              <w:ind w:left="40"/>
              <w:spacing w:after="0" w:line="206" w:lineRule="exact"/>
              <w:rPr>
                <w:sz w:val="20"/>
                <w:szCs w:val="20"/>
                <w:color w:val="auto"/>
              </w:rPr>
            </w:pPr>
            <w:r>
              <w:rPr>
                <w:rFonts w:ascii="Arial" w:cs="Arial" w:eastAsia="Arial" w:hAnsi="Arial"/>
                <w:sz w:val="15"/>
                <w:szCs w:val="15"/>
                <w:color w:val="auto"/>
              </w:rPr>
              <w:t>Non-operating income (loss)</w:t>
            </w:r>
            <w:r>
              <w:rPr>
                <w:rFonts w:ascii="Arial" w:cs="Arial" w:eastAsia="Arial" w:hAnsi="Arial"/>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712.0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454.3</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56.7 %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680.2</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4.7 %</w:t>
            </w:r>
          </w:p>
        </w:tc>
      </w:tr>
      <w:tr>
        <w:trPr>
          <w:trHeight w:val="207"/>
        </w:trPr>
        <w:tc>
          <w:tcPr>
            <w:tcW w:w="534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61.0 %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108"/>
        </w:trPr>
        <w:tc>
          <w:tcPr>
            <w:tcW w:w="40" w:type="dxa"/>
            <w:vAlign w:val="bottom"/>
            <w:tcBorders>
              <w:lef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r>
      <w:tr>
        <w:trPr>
          <w:trHeight w:val="162"/>
        </w:trPr>
        <w:tc>
          <w:tcPr>
            <w:tcW w:w="5340" w:type="dxa"/>
            <w:vAlign w:val="bottom"/>
            <w:tcBorders>
              <w:left w:val="single" w:sz="8" w:color="auto"/>
            </w:tcBorders>
            <w:gridSpan w:val="5"/>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shd w:val="clear" w:color="auto" w:fill="CCEEFF"/>
          </w:tcPr>
          <w:p>
            <w:pPr>
              <w:spacing w:after="0"/>
              <w:rPr>
                <w:sz w:val="14"/>
                <w:szCs w:val="14"/>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auto"/>
            </w:tcBorders>
            <w:shd w:val="clear" w:color="auto" w:fill="CCEEFF"/>
          </w:tcPr>
          <w:p>
            <w:pPr>
              <w:spacing w:after="0" w:line="20" w:lineRule="exact"/>
              <w:rPr>
                <w:sz w:val="1"/>
                <w:szCs w:val="1"/>
                <w:color w:val="auto"/>
              </w:rPr>
            </w:pPr>
          </w:p>
        </w:tc>
      </w:tr>
      <w:tr>
        <w:trPr>
          <w:trHeight w:val="199"/>
        </w:trPr>
        <w:tc>
          <w:tcPr>
            <w:tcW w:w="534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Average assets under management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1,508.8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1,162.7</w:t>
            </w:r>
          </w:p>
        </w:tc>
        <w:tc>
          <w:tcPr>
            <w:tcW w:w="120" w:type="dxa"/>
            <w:vAlign w:val="bottom"/>
          </w:tcPr>
          <w:p>
            <w:pPr>
              <w:spacing w:after="0"/>
              <w:rPr>
                <w:sz w:val="17"/>
                <w:szCs w:val="17"/>
                <w:color w:val="auto"/>
              </w:rPr>
            </w:pPr>
          </w:p>
        </w:tc>
        <w:tc>
          <w:tcPr>
            <w:tcW w:w="1280" w:type="dxa"/>
            <w:vAlign w:val="bottom"/>
            <w:tcBorders>
              <w:right w:val="single" w:sz="8" w:color="auto"/>
            </w:tcBorders>
          </w:tcPr>
          <w:p>
            <w:pPr>
              <w:jc w:val="right"/>
              <w:ind w:right="84"/>
              <w:spacing w:after="0"/>
              <w:rPr>
                <w:sz w:val="20"/>
                <w:szCs w:val="20"/>
                <w:color w:val="auto"/>
              </w:rPr>
            </w:pPr>
            <w:r>
              <w:rPr>
                <w:rFonts w:ascii="Arial" w:cs="Arial" w:eastAsia="Arial" w:hAnsi="Arial"/>
                <w:sz w:val="15"/>
                <w:szCs w:val="15"/>
                <w:color w:val="auto"/>
              </w:rPr>
              <w:t>29.8 %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1,394.0</w:t>
            </w:r>
          </w:p>
        </w:tc>
        <w:tc>
          <w:tcPr>
            <w:tcW w:w="12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8.2 %</w:t>
            </w:r>
          </w:p>
        </w:tc>
      </w:tr>
      <w:tr>
        <w:trPr>
          <w:trHeight w:val="203"/>
        </w:trPr>
        <w:tc>
          <w:tcPr>
            <w:tcW w:w="5340" w:type="dxa"/>
            <w:vAlign w:val="bottom"/>
            <w:tcBorders>
              <w:left w:val="single" w:sz="8" w:color="auto"/>
              <w:bottom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Ending assets under management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1,518.0</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1,008.8</w:t>
            </w: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50.5 %</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1,470.5</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3.2 %</w:t>
            </w:r>
          </w:p>
        </w:tc>
      </w:tr>
    </w:tbl>
    <w:p>
      <w:pPr>
        <w:spacing w:after="0" w:line="5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80" w:right="180" w:hanging="172"/>
        <w:spacing w:after="0" w:line="223" w:lineRule="auto"/>
        <w:tabs>
          <w:tab w:leader="none" w:pos="153"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if any. The firm believes the non-GAAP financial measures provide relevant and meaningful information to investors about its core operating results. See the reconciliation to the comparable U.S. GAAP measures at the end of this earnings release.</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Management Commentary</w:t>
      </w:r>
    </w:p>
    <w:p>
      <w:pPr>
        <w:spacing w:after="0" w:line="126"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William J. Stromberg, chief executive officer, commented: “The first quarter of 2021 saw stocks in developed markets generate strong returns lifted by the accelerating rollout of coronavirus vaccines, ongoing monetary stimulus, and expectations for a new U.S. federal fiscal stimulus package. Small- and mid-cap stocks outpaced larger caps while cyclically oriented value stocks outperformed growth stocks. In bond markets, rising interest rates led to mixed results. T. Rowe Price’s long-term investment performance remained strong particularly across our asset allocation products.</w:t>
      </w:r>
    </w:p>
    <w:p>
      <w:pPr>
        <w:spacing w:after="0" w:line="234" w:lineRule="exact"/>
        <w:rPr>
          <w:sz w:val="20"/>
          <w:szCs w:val="20"/>
          <w:color w:val="auto"/>
        </w:rPr>
      </w:pPr>
    </w:p>
    <w:p>
      <w:pPr>
        <w:ind w:right="140"/>
        <w:spacing w:after="0" w:line="371" w:lineRule="auto"/>
        <w:rPr>
          <w:sz w:val="20"/>
          <w:szCs w:val="20"/>
          <w:color w:val="auto"/>
        </w:rPr>
      </w:pPr>
      <w:r>
        <w:rPr>
          <w:rFonts w:ascii="Arial" w:cs="Arial" w:eastAsia="Arial" w:hAnsi="Arial"/>
          <w:sz w:val="18"/>
          <w:szCs w:val="18"/>
          <w:color w:val="auto"/>
        </w:rPr>
        <w:t>“With continued strong equity markets, our revenues rose 25% and our net operating income increased 26% vs Q1 2020, leading to EPS of $3.17. These robust financials allowed us to push ahead with execution of our strategic initiatives. Highlights in the first quarter included:</w:t>
      </w:r>
    </w:p>
    <w:p>
      <w:pPr>
        <w:spacing w:after="0" w:line="224" w:lineRule="exact"/>
        <w:rPr>
          <w:sz w:val="20"/>
          <w:szCs w:val="20"/>
          <w:color w:val="auto"/>
        </w:rPr>
      </w:pPr>
    </w:p>
    <w:p>
      <w:pPr>
        <w:ind w:left="660" w:right="60" w:hanging="328"/>
        <w:spacing w:after="0" w:line="3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Positive flows of $1.2 billion for the first quarter were led by $4.5 billion of net flows into our target date products, as we saw retirement savers return to more typical levels of contributions and withdrawals versus last year. Our APAC and EMEA intermediary businesses continued to deliver healthy positive flows for the quarter. However, some institutional clients harvested the market gains in U.S. large-cap growth equities of 2020, which was a headwind to net flows.</w:t>
      </w:r>
    </w:p>
    <w:p>
      <w:pPr>
        <w:spacing w:after="0" w:line="232" w:lineRule="exact"/>
        <w:rPr>
          <w:rFonts w:ascii="Arial" w:cs="Arial" w:eastAsia="Arial" w:hAnsi="Arial"/>
          <w:sz w:val="18"/>
          <w:szCs w:val="18"/>
          <w:color w:val="auto"/>
        </w:rPr>
      </w:pPr>
    </w:p>
    <w:p>
      <w:pPr>
        <w:ind w:left="660" w:right="40" w:hanging="328"/>
        <w:spacing w:after="0" w:line="3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expanded our ESG product range with the launch of the T. Rowe Price Global Impact Equity Fund, our first fund with the dual goals of providing excess returns over its benchmark while positively impacting the environment and social equity issues. We plan to extend this range of impact products which complement our already launched range of Responsible SICAVs and OEICs that use an exclusion approach. In addition, we launched a UK Equity strategy and a China Growth Opportunities strategy.</w:t>
      </w:r>
    </w:p>
    <w:p>
      <w:pPr>
        <w:spacing w:after="0" w:line="232" w:lineRule="exact"/>
        <w:rPr>
          <w:rFonts w:ascii="Arial" w:cs="Arial" w:eastAsia="Arial" w:hAnsi="Arial"/>
          <w:sz w:val="18"/>
          <w:szCs w:val="18"/>
          <w:color w:val="auto"/>
        </w:rPr>
      </w:pPr>
    </w:p>
    <w:p>
      <w:pPr>
        <w:ind w:left="660" w:hanging="328"/>
        <w:spacing w:after="0" w:line="3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continued to make investments in support of the future growth of our APAC and EMEA businesses. We announced the relocation of our London office to a larger, more modern, and environmentally efficient building. Following the approval in December 2020 for our wholly foreign owned enterprise, T. Rowe Price Investment Consulting (Shanghai) Co, Ltd., we officially opened our Shanghai investment office in March 2021.</w:t>
      </w:r>
    </w:p>
    <w:p>
      <w:pPr>
        <w:spacing w:after="0" w:line="233" w:lineRule="exact"/>
        <w:rPr>
          <w:sz w:val="20"/>
          <w:szCs w:val="20"/>
          <w:color w:val="auto"/>
        </w:rPr>
      </w:pPr>
    </w:p>
    <w:p>
      <w:pPr>
        <w:ind w:right="120"/>
        <w:spacing w:after="0" w:line="371" w:lineRule="auto"/>
        <w:rPr>
          <w:sz w:val="20"/>
          <w:szCs w:val="20"/>
          <w:color w:val="auto"/>
        </w:rPr>
      </w:pPr>
      <w:r>
        <w:rPr>
          <w:rFonts w:ascii="Arial" w:cs="Arial" w:eastAsia="Arial" w:hAnsi="Arial"/>
          <w:sz w:val="18"/>
          <w:szCs w:val="18"/>
          <w:color w:val="auto"/>
        </w:rPr>
        <w:t>“Finally, I want to recognize our associates’ continued perseverance and resilience through this extended work from home environment. We look forward to being back in our global offices and seeing each other in person later this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Q1 2021, assets under management increased $47.5 billion to $1.52 trillion. Net cash inflows were</w:t>
      </w:r>
    </w:p>
    <w:p>
      <w:pPr>
        <w:spacing w:after="0" w:line="104" w:lineRule="exact"/>
        <w:rPr>
          <w:sz w:val="20"/>
          <w:szCs w:val="20"/>
          <w:color w:val="auto"/>
        </w:rPr>
      </w:pPr>
    </w:p>
    <w:p>
      <w:pPr>
        <w:ind w:right="380"/>
        <w:spacing w:after="0" w:line="365" w:lineRule="auto"/>
        <w:rPr>
          <w:sz w:val="20"/>
          <w:szCs w:val="20"/>
          <w:color w:val="auto"/>
        </w:rPr>
      </w:pPr>
      <w:r>
        <w:rPr>
          <w:rFonts w:ascii="Arial" w:cs="Arial" w:eastAsia="Arial" w:hAnsi="Arial"/>
          <w:sz w:val="18"/>
          <w:szCs w:val="18"/>
          <w:color w:val="auto"/>
        </w:rPr>
        <w:t>$1.2 billion, and clients transferred $5.6 billion in net assets from the U.S. mutual funds primarily to collective investment trusts and other investment products, of which $4.9 billion transferred into the retirement date trusts. The components of the change in assets under management, by vehicle and asset class, are shown in the tables below.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62"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9"/>
        </w:trPr>
        <w:tc>
          <w:tcPr>
            <w:tcW w:w="5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940" w:type="dxa"/>
            <w:vAlign w:val="bottom"/>
            <w:tcBorders>
              <w:bottom w:val="single" w:sz="8" w:color="auto"/>
            </w:tcBorders>
            <w:gridSpan w:val="6"/>
            <w:shd w:val="clear" w:color="auto" w:fill="CCEEFF"/>
          </w:tcPr>
          <w:p>
            <w:pPr>
              <w:ind w:left="340"/>
              <w:spacing w:after="0"/>
              <w:rPr>
                <w:sz w:val="20"/>
                <w:szCs w:val="20"/>
                <w:color w:val="auto"/>
              </w:rPr>
            </w:pPr>
            <w:r>
              <w:rPr>
                <w:rFonts w:ascii="Arial" w:cs="Arial" w:eastAsia="Arial" w:hAnsi="Arial"/>
                <w:sz w:val="14"/>
                <w:szCs w:val="14"/>
                <w:color w:val="auto"/>
              </w:rPr>
              <w:t>Three months ended 3/31/2021</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60"/>
              <w:spacing w:after="0" w:line="147" w:lineRule="exact"/>
              <w:rPr>
                <w:sz w:val="20"/>
                <w:szCs w:val="20"/>
                <w:color w:val="auto"/>
              </w:rPr>
            </w:pPr>
            <w:r>
              <w:rPr>
                <w:rFonts w:ascii="Arial" w:cs="Arial" w:eastAsia="Arial" w:hAnsi="Arial"/>
                <w:sz w:val="14"/>
                <w:szCs w:val="14"/>
                <w:color w:val="auto"/>
              </w:rPr>
              <w:t>Subadvised funds</w:t>
            </w:r>
          </w:p>
        </w:tc>
        <w:tc>
          <w:tcPr>
            <w:tcW w:w="15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rPr>
              <w:t>U.S. mutual funds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and separate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1"/>
                <w:szCs w:val="11"/>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color w:val="auto"/>
              </w:rPr>
              <w:t>accounts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Net market appreciation and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 under management at March 31, 2021</w:t>
            </w:r>
          </w:p>
        </w:tc>
        <w:tc>
          <w:tcPr>
            <w:tcW w:w="140" w:type="dxa"/>
            <w:vAlign w:val="bottom"/>
            <w:tcBorders>
              <w:top w:val="single" w:sz="8" w:color="CCEEFF"/>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816.4</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403.8</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940" w:type="dxa"/>
            <w:vAlign w:val="bottom"/>
            <w:tcBorders>
              <w:bottom w:val="single" w:sz="8" w:color="auto"/>
            </w:tcBorders>
            <w:gridSpan w:val="6"/>
            <w:shd w:val="clear" w:color="auto" w:fill="CCEEFF"/>
          </w:tcPr>
          <w:p>
            <w:pPr>
              <w:ind w:left="360"/>
              <w:spacing w:after="0"/>
              <w:rPr>
                <w:sz w:val="20"/>
                <w:szCs w:val="20"/>
                <w:color w:val="auto"/>
              </w:rPr>
            </w:pPr>
            <w:r>
              <w:rPr>
                <w:rFonts w:ascii="Arial" w:cs="Arial" w:eastAsia="Arial" w:hAnsi="Arial"/>
                <w:sz w:val="14"/>
                <w:szCs w:val="14"/>
                <w:color w:val="auto"/>
              </w:rPr>
              <w:t>Three months ended 3/31/2021</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20"/>
              <w:spacing w:after="0" w:line="147" w:lineRule="exact"/>
              <w:rPr>
                <w:sz w:val="20"/>
                <w:szCs w:val="20"/>
                <w:color w:val="auto"/>
              </w:rPr>
            </w:pPr>
            <w:r>
              <w:rPr>
                <w:rFonts w:ascii="Arial" w:cs="Arial" w:eastAsia="Arial" w:hAnsi="Arial"/>
                <w:sz w:val="14"/>
                <w:szCs w:val="14"/>
                <w:color w:val="auto"/>
              </w:rPr>
              <w:t>Fixed income,</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Equity</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including money</w:t>
            </w:r>
          </w:p>
        </w:tc>
        <w:tc>
          <w:tcPr>
            <w:tcW w:w="160" w:type="dxa"/>
            <w:vAlign w:val="bottom"/>
          </w:tcPr>
          <w:p>
            <w:pPr>
              <w:spacing w:after="0"/>
              <w:rPr>
                <w:sz w:val="11"/>
                <w:szCs w:val="11"/>
                <w:color w:val="auto"/>
              </w:rPr>
            </w:pPr>
          </w:p>
        </w:tc>
        <w:tc>
          <w:tcPr>
            <w:tcW w:w="1280" w:type="dxa"/>
            <w:vAlign w:val="bottom"/>
            <w:vMerge w:val="restart"/>
          </w:tcPr>
          <w:p>
            <w:pPr>
              <w:jc w:val="center"/>
              <w:ind w:right="60"/>
              <w:spacing w:after="0"/>
              <w:rPr>
                <w:sz w:val="20"/>
                <w:szCs w:val="20"/>
                <w:color w:val="auto"/>
              </w:rPr>
            </w:pPr>
            <w:r>
              <w:rPr>
                <w:rFonts w:ascii="Arial" w:cs="Arial" w:eastAsia="Arial" w:hAnsi="Arial"/>
                <w:sz w:val="14"/>
                <w:szCs w:val="14"/>
                <w:color w:val="auto"/>
              </w:rPr>
              <w:t>Multi-asset</w:t>
            </w:r>
            <w:r>
              <w:rPr>
                <w:rFonts w:ascii="Arial" w:cs="Arial" w:eastAsia="Arial" w:hAnsi="Arial"/>
                <w:sz w:val="9"/>
                <w:szCs w:val="9"/>
                <w:color w:val="auto"/>
              </w:rPr>
              <w:t>(1)</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market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and gains</w:t>
            </w:r>
            <w:r>
              <w:rPr>
                <w:rFonts w:ascii="Arial" w:cs="Arial" w:eastAsia="Arial" w:hAnsi="Arial"/>
                <w:sz w:val="21"/>
                <w:szCs w:val="21"/>
                <w:color w:val="auto"/>
                <w:vertAlign w:val="superscript"/>
              </w:rPr>
              <w:t>(2)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Assets under management at March 31, 2021</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ind w:left="140" w:hanging="132"/>
        <w:spacing w:after="0" w:line="198" w:lineRule="auto"/>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not reinvested.</w:t>
      </w:r>
    </w:p>
    <w:p>
      <w:pPr>
        <w:spacing w:after="0" w:line="200" w:lineRule="exact"/>
        <w:rPr>
          <w:sz w:val="20"/>
          <w:szCs w:val="20"/>
          <w:color w:val="auto"/>
        </w:rPr>
      </w:pPr>
    </w:p>
    <w:p>
      <w:pPr>
        <w:spacing w:after="0" w:line="342" w:lineRule="exact"/>
        <w:rPr>
          <w:sz w:val="20"/>
          <w:szCs w:val="20"/>
          <w:color w:val="auto"/>
        </w:rPr>
      </w:pPr>
    </w:p>
    <w:p>
      <w:pPr>
        <w:ind w:right="440"/>
        <w:spacing w:after="0" w:line="365"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$351.6 billion at March 31, 2021, compared with $332.2 billion at December 31, 2020. Net cash flows into these portfolios were $4.5 billion in Q1 2021.</w:t>
      </w:r>
    </w:p>
    <w:p>
      <w:pPr>
        <w:spacing w:after="0" w:line="230" w:lineRule="exact"/>
        <w:rPr>
          <w:sz w:val="20"/>
          <w:szCs w:val="20"/>
          <w:color w:val="auto"/>
        </w:rPr>
      </w:pPr>
    </w:p>
    <w:p>
      <w:pPr>
        <w:ind w:right="360"/>
        <w:spacing w:after="0" w:line="371" w:lineRule="auto"/>
        <w:rPr>
          <w:sz w:val="20"/>
          <w:szCs w:val="20"/>
          <w:color w:val="auto"/>
        </w:rPr>
      </w:pPr>
      <w:r>
        <w:rPr>
          <w:rFonts w:ascii="Arial" w:cs="Arial" w:eastAsia="Arial" w:hAnsi="Arial"/>
          <w:sz w:val="18"/>
          <w:szCs w:val="18"/>
          <w:color w:val="auto"/>
        </w:rPr>
        <w:t>Investors domiciled outside the United States accounted for 8.8% of the firm's assets under management at March 31, 2021 and 9.3% at December 31, 2020.</w:t>
      </w:r>
    </w:p>
    <w:p>
      <w:pPr>
        <w:spacing w:after="0" w:line="224" w:lineRule="exact"/>
        <w:rPr>
          <w:sz w:val="20"/>
          <w:szCs w:val="20"/>
          <w:color w:val="auto"/>
        </w:rPr>
      </w:pPr>
    </w:p>
    <w:p>
      <w:pPr>
        <w:ind w:right="80"/>
        <w:spacing w:after="0" w:line="360"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outside of the firm's complex. As of</w:t>
      </w:r>
    </w:p>
    <w:p>
      <w:pPr>
        <w:spacing w:after="0"/>
        <w:rPr>
          <w:sz w:val="20"/>
          <w:szCs w:val="20"/>
          <w:color w:val="auto"/>
        </w:rPr>
      </w:pPr>
      <w:r>
        <w:rPr>
          <w:rFonts w:ascii="Arial" w:cs="Arial" w:eastAsia="Arial" w:hAnsi="Arial"/>
          <w:sz w:val="18"/>
          <w:szCs w:val="18"/>
          <w:color w:val="auto"/>
        </w:rPr>
        <w:t>March 31, 2021, the firm's assets under administration were $248 billion, of which nearly $153 billion are assets we manage.</w:t>
      </w:r>
    </w:p>
    <w:p>
      <w:pPr>
        <w:spacing w:after="0" w:line="347" w:lineRule="exact"/>
        <w:rPr>
          <w:sz w:val="20"/>
          <w:szCs w:val="20"/>
          <w:color w:val="auto"/>
        </w:rPr>
      </w:pPr>
    </w:p>
    <w:p>
      <w:pPr>
        <w:ind w:right="220"/>
        <w:spacing w:after="0" w:line="363" w:lineRule="auto"/>
        <w:rPr>
          <w:sz w:val="20"/>
          <w:szCs w:val="20"/>
          <w:color w:val="auto"/>
        </w:rPr>
      </w:pPr>
      <w:r>
        <w:rPr>
          <w:rFonts w:ascii="Arial" w:cs="Arial" w:eastAsia="Arial" w:hAnsi="Arial"/>
          <w:sz w:val="18"/>
          <w:szCs w:val="18"/>
          <w:color w:val="auto"/>
        </w:rPr>
        <w:t>In recent years, the firm began offering non-discretionary advisory services through model delivery, which are managed accounts where portfolio holdings and trades in the portfolio are provided to sponsor platforms to implement for their clients. The firm records the revenue earned on these services in administrative fees. The assets under advisement in these portfolios, predominantly in the United States, were $3 billion at March 31,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5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ind w:right="140"/>
        <w:spacing w:after="0" w:line="37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Q1 2021 were $1.8 billion, up 24.9% from Q1 2020. Average assets under management in Q1 2021 were $1.51</w:t>
      </w:r>
      <w:r>
        <w:rPr>
          <w:rFonts w:ascii="Arial" w:cs="Arial" w:eastAsia="Arial" w:hAnsi="Arial"/>
          <w:sz w:val="18"/>
          <w:szCs w:val="18"/>
          <w:b w:val="1"/>
          <w:bCs w:val="1"/>
          <w:color w:val="auto"/>
        </w:rPr>
        <w:t xml:space="preserve"> </w:t>
      </w:r>
      <w:r>
        <w:rPr>
          <w:rFonts w:ascii="Arial" w:cs="Arial" w:eastAsia="Arial" w:hAnsi="Arial"/>
          <w:sz w:val="18"/>
          <w:szCs w:val="18"/>
          <w:color w:val="auto"/>
        </w:rPr>
        <w:t>trillion, an increase of 29.8% from Q1 2020. The firm voluntarily waived money market advisory fees in Q1 2021 of $15.0 million to continue to maintain positive yields for investors. The firm expects to continue to waive fees for all of 2021 and anticipates that the waivers in each of the next three quarters of 2021 will be at similar levels.</w:t>
      </w:r>
    </w:p>
    <w:p>
      <w:pPr>
        <w:spacing w:after="0" w:line="129" w:lineRule="exact"/>
        <w:rPr>
          <w:sz w:val="20"/>
          <w:szCs w:val="20"/>
          <w:color w:val="auto"/>
        </w:rPr>
      </w:pPr>
    </w:p>
    <w:p>
      <w:pPr>
        <w:ind w:left="660" w:right="140" w:hanging="328"/>
        <w:spacing w:after="0" w:line="333"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Investment advisory revenues earned in Q1 2021 from the firm's U.S. mutual funds were $1.1 billion, an increase of 19.9% from Q1 2020. Average assets under management in these funds increased 24.5% to $814.5 billion in Q1 2021 from Q1 2020.</w:t>
      </w:r>
    </w:p>
    <w:p>
      <w:pPr>
        <w:spacing w:after="0" w:line="279" w:lineRule="exact"/>
        <w:rPr>
          <w:rFonts w:ascii="Arial" w:cs="Arial" w:eastAsia="Arial" w:hAnsi="Arial"/>
          <w:sz w:val="22"/>
          <w:szCs w:val="22"/>
          <w:color w:val="40AEFF"/>
        </w:rPr>
      </w:pPr>
    </w:p>
    <w:p>
      <w:pPr>
        <w:ind w:left="660" w:right="140" w:hanging="328"/>
        <w:spacing w:after="0" w:line="336"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Investment advisory revenues earned in Q1 2021 from subadvised funds, separate accounts, collective investment trusts and other investment products were $637.6 million, an increase of 41.2% from Q1 2020. Average assets under management for these products increased 36.6% to $694.3 billion in Q1 2021 from Q1 2020.</w:t>
      </w:r>
    </w:p>
    <w:p>
      <w:pPr>
        <w:spacing w:after="0" w:line="294" w:lineRule="exact"/>
        <w:rPr>
          <w:rFonts w:ascii="Arial" w:cs="Arial" w:eastAsia="Arial" w:hAnsi="Arial"/>
          <w:sz w:val="22"/>
          <w:szCs w:val="22"/>
          <w:color w:val="40AEFF"/>
        </w:rPr>
      </w:pPr>
    </w:p>
    <w:p>
      <w:pPr>
        <w:ind w:left="660" w:right="60" w:hanging="328"/>
        <w:spacing w:after="0" w:line="349"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annualized effective fee rate of 45.4 basis points in Q1 2021 was down from 45.9 basis points earned in Q1 2020 and from 45.7 basis points earned in Q4 2020. In comparison to Q1 2020, the annualized effective fee rate decreased due to the impact of client transfers to lower fee vehicles or share classes within the complex over the last twelve months and money market fee waivers. In comparison to Q4 2020, the Q1 2021 annualized effective fee rate decreased primarily due to lower performance fees in Q1 2021. Over time, the firm's effective fee rate can be impacted by market or cash flow related shifts among asset and share classes, price changes in existing products, and asset level changes in products with tiered-fee structures.</w:t>
      </w:r>
    </w:p>
    <w:p>
      <w:pPr>
        <w:spacing w:after="0" w:line="287" w:lineRule="exact"/>
        <w:rPr>
          <w:rFonts w:ascii="Arial" w:cs="Arial" w:eastAsia="Arial" w:hAnsi="Arial"/>
          <w:sz w:val="22"/>
          <w:szCs w:val="22"/>
          <w:color w:val="40AEFF"/>
        </w:rPr>
      </w:pPr>
    </w:p>
    <w:p>
      <w:pPr>
        <w:ind w:left="660" w:hanging="328"/>
        <w:spacing w:after="0" w:line="343"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Q1 2021 were $139.0 million, an increase of 3.1% from Q1 2020. The increase was primarily attributable to higher transfer agent servicing activities provided to the T. Rowe Price mutual funds, higher model delivery revenue, as well as higher 12b-1 revenue earned on the R share class of the U.S. mutual funds as a result of increased assets under management in this share class.</w:t>
      </w:r>
    </w:p>
    <w:p>
      <w:pPr>
        <w:spacing w:after="0" w:line="228" w:lineRule="exact"/>
        <w:rPr>
          <w:sz w:val="20"/>
          <w:szCs w:val="20"/>
          <w:color w:val="auto"/>
        </w:rPr>
      </w:pPr>
    </w:p>
    <w:p>
      <w:pPr>
        <w:ind w:right="140"/>
        <w:spacing w:after="0" w:line="369"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Q1 2021 were $933.6 million, an increase of 23.6% compared to Q1 2020. Nearly half of the increase in the firm's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from Q1 2020 was due to an $85.9 million increase in expense related to the supplemental savings plan from higher market returns. The remaining increase was due primarily to higher compensation expenses as well as distribution and servicing costs. The expense related to the supplemental savings plan was almost entirely offset by the non-operating gains earned on the investments used to economically hedge the related liability.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6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On a non-GAAP basis, the firm's operating expenses in Q1 2021 were $909.2 million, an 11.2% increase over</w:t>
      </w:r>
    </w:p>
    <w:p>
      <w:pPr>
        <w:spacing w:after="0" w:line="104"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Q1 2020. The firm's non-GAAP operating expenses do not include the impact of the supplemental savings plan and consolidated sponsored products.</w:t>
      </w:r>
    </w:p>
    <w:p>
      <w:pPr>
        <w:spacing w:after="0" w:line="22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$583.5 million in Q1 2021, an increase of 32.4% compared to</w:t>
      </w:r>
    </w:p>
    <w:p>
      <w:pPr>
        <w:spacing w:after="0" w:line="107" w:lineRule="exact"/>
        <w:rPr>
          <w:rFonts w:ascii="Arial" w:cs="Arial" w:eastAsia="Arial" w:hAnsi="Arial"/>
          <w:sz w:val="22"/>
          <w:szCs w:val="22"/>
          <w:color w:val="40AEFF"/>
        </w:rPr>
      </w:pPr>
    </w:p>
    <w:p>
      <w:pPr>
        <w:ind w:left="660"/>
        <w:spacing w:after="0" w:line="362" w:lineRule="auto"/>
        <w:rPr>
          <w:rFonts w:ascii="Arial" w:cs="Arial" w:eastAsia="Arial" w:hAnsi="Arial"/>
          <w:sz w:val="22"/>
          <w:szCs w:val="22"/>
          <w:color w:val="40AEFF"/>
        </w:rPr>
      </w:pPr>
      <w:r>
        <w:rPr>
          <w:rFonts w:ascii="Arial" w:cs="Arial" w:eastAsia="Arial" w:hAnsi="Arial"/>
          <w:sz w:val="18"/>
          <w:szCs w:val="18"/>
          <w:color w:val="auto"/>
        </w:rPr>
        <w:t>Q1 2020. This increase was primarily related to $85.9 million in higher compensation expense related to the supplemental savings plan, as strong market returns in Q1 2021 increased the liability compared with the impact of market losses in Q1 2020, which decreased the liability. Also contributing to the increase in 2021 costs compared to Q1 2020, were a higher interim bonus accrual and higher salaries and benefits due to a 3.4% increase in our average staff size and modest increases in base salaries at the beginning of the year. The firm employed 7,697 associates at March 31, 2021, an increase of .2% from the end of 2020 and 3.0% from the end of Q1 2020.</w:t>
      </w:r>
    </w:p>
    <w:p>
      <w:pPr>
        <w:spacing w:after="0" w:line="237" w:lineRule="exact"/>
        <w:rPr>
          <w:rFonts w:ascii="Arial" w:cs="Arial" w:eastAsia="Arial" w:hAnsi="Arial"/>
          <w:sz w:val="22"/>
          <w:szCs w:val="22"/>
          <w:color w:val="40AEFF"/>
        </w:rPr>
      </w:pPr>
    </w:p>
    <w:p>
      <w:pPr>
        <w:ind w:left="660" w:hanging="328"/>
        <w:spacing w:after="0"/>
        <w:tabs>
          <w:tab w:leader="none" w:pos="660" w:val="left"/>
        </w:tabs>
        <w:numPr>
          <w:ilvl w:val="0"/>
          <w:numId w:val="27"/>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$85.6 million in Q1 2021, an increase of 30.3% from</w:t>
      </w:r>
    </w:p>
    <w:p>
      <w:pPr>
        <w:spacing w:after="0" w:line="107" w:lineRule="exact"/>
        <w:rPr>
          <w:rFonts w:ascii="Arial" w:cs="Arial" w:eastAsia="Arial" w:hAnsi="Arial"/>
          <w:sz w:val="22"/>
          <w:szCs w:val="22"/>
          <w:color w:val="40AEFF"/>
        </w:rPr>
      </w:pPr>
    </w:p>
    <w:p>
      <w:pPr>
        <w:ind w:left="660" w:right="100"/>
        <w:spacing w:after="0" w:line="363" w:lineRule="auto"/>
        <w:rPr>
          <w:rFonts w:ascii="Arial" w:cs="Arial" w:eastAsia="Arial" w:hAnsi="Arial"/>
          <w:sz w:val="22"/>
          <w:szCs w:val="22"/>
          <w:color w:val="40AEFF"/>
        </w:rPr>
      </w:pPr>
      <w:r>
        <w:rPr>
          <w:rFonts w:ascii="Arial" w:cs="Arial" w:eastAsia="Arial" w:hAnsi="Arial"/>
          <w:sz w:val="18"/>
          <w:szCs w:val="18"/>
          <w:color w:val="auto"/>
        </w:rPr>
        <w:t>the $65.7 million recognized in Q1 2020. The increase was primarily driven by higher distribution costs as a result of continued inflows and market appreciation in the firm's international products, including the Japanese Investment Trusts (ITMs) and SICAVs. These distribution costs, like those related to certain shares classes of the U.S. mutual funds, are offset entirely in net revenues. For the ITMs and SICAVs, the related revenue is recognized in investment advisory revenues.</w:t>
      </w:r>
    </w:p>
    <w:p>
      <w:pPr>
        <w:spacing w:after="0" w:line="251" w:lineRule="exact"/>
        <w:rPr>
          <w:rFonts w:ascii="Arial" w:cs="Arial" w:eastAsia="Arial" w:hAnsi="Arial"/>
          <w:sz w:val="22"/>
          <w:szCs w:val="22"/>
          <w:color w:val="40AEFF"/>
        </w:rPr>
      </w:pPr>
    </w:p>
    <w:p>
      <w:pPr>
        <w:ind w:left="660" w:right="200" w:hanging="328"/>
        <w:spacing w:after="0" w:line="347"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$18.9 million in Q1 2021, a decrease of 24.1% from Q1 2020. The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the timing of media-related spend as well as fewer conference and promotional events since the later part of Q1 2020 due to the coronavirus pandemic.</w:t>
      </w:r>
    </w:p>
    <w:p>
      <w:pPr>
        <w:spacing w:after="0" w:line="264" w:lineRule="exact"/>
        <w:rPr>
          <w:rFonts w:ascii="Arial" w:cs="Arial" w:eastAsia="Arial" w:hAnsi="Arial"/>
          <w:sz w:val="22"/>
          <w:szCs w:val="22"/>
          <w:color w:val="40AEFF"/>
        </w:rPr>
      </w:pPr>
    </w:p>
    <w:p>
      <w:pPr>
        <w:ind w:left="660" w:right="440" w:hanging="328"/>
        <w:spacing w:after="0" w:line="347"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$117.3 million in Q1 2021, an increase of 11.3% from the $105.4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Q1 2020. The increase was primarily due to the ongoing investment in the firm's technology capabilities, including hosted solution licenses and depreciation, and higher office lease costs.</w:t>
      </w:r>
    </w:p>
    <w:p>
      <w:pPr>
        <w:spacing w:after="0" w:line="264" w:lineRule="exact"/>
        <w:rPr>
          <w:rFonts w:ascii="Arial" w:cs="Arial" w:eastAsia="Arial" w:hAnsi="Arial"/>
          <w:sz w:val="22"/>
          <w:szCs w:val="22"/>
          <w:color w:val="40AEFF"/>
        </w:rPr>
      </w:pPr>
    </w:p>
    <w:p>
      <w:pPr>
        <w:ind w:left="660" w:right="40" w:hanging="328"/>
        <w:spacing w:after="0" w:line="372" w:lineRule="auto"/>
        <w:tabs>
          <w:tab w:leader="none" w:pos="656" w:val="left"/>
        </w:tabs>
        <w:numPr>
          <w:ilvl w:val="0"/>
          <w:numId w:val="27"/>
        </w:numPr>
        <w:rPr>
          <w:rFonts w:ascii="Arial" w:cs="Arial" w:eastAsia="Arial" w:hAnsi="Arial"/>
          <w:sz w:val="21"/>
          <w:szCs w:val="21"/>
          <w:i w:val="1"/>
          <w:iCs w:val="1"/>
          <w:color w:val="40AEFF"/>
        </w:rPr>
      </w:pPr>
      <w:r>
        <w:rPr>
          <w:rFonts w:ascii="Arial" w:cs="Arial" w:eastAsia="Arial" w:hAnsi="Arial"/>
          <w:sz w:val="17"/>
          <w:szCs w:val="17"/>
          <w:b w:val="1"/>
          <w:bCs w:val="1"/>
          <w:color w:val="auto"/>
        </w:rPr>
        <w:t xml:space="preserve">General, administrative, and other costs </w:t>
      </w:r>
      <w:r>
        <w:rPr>
          <w:rFonts w:ascii="Arial" w:cs="Arial" w:eastAsia="Arial" w:hAnsi="Arial"/>
          <w:sz w:val="17"/>
          <w:szCs w:val="17"/>
          <w:color w:val="auto"/>
        </w:rPr>
        <w:t>were $87.3 million in Q1 2021, an increase of 13.2% compared with the $77.1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Q1 2020. The timing of when certain general and administrative costs were incurred in Q1 2021 compared with Q1 2020 contributed to the higher costs. Lower travel-related expenses nearly offset increases in other general and administrative costs.</w:t>
      </w:r>
    </w:p>
    <w:p>
      <w:pPr>
        <w:spacing w:after="0" w:line="230" w:lineRule="exact"/>
        <w:rPr>
          <w:sz w:val="20"/>
          <w:szCs w:val="20"/>
          <w:color w:val="auto"/>
        </w:rPr>
      </w:pPr>
    </w:p>
    <w:p>
      <w:pPr>
        <w:ind w:right="340"/>
        <w:spacing w:after="0" w:line="365" w:lineRule="auto"/>
        <w:rPr>
          <w:sz w:val="20"/>
          <w:szCs w:val="20"/>
          <w:color w:val="auto"/>
        </w:rPr>
      </w:pPr>
      <w:r>
        <w:rPr>
          <w:rFonts w:ascii="Arial" w:cs="Arial" w:eastAsia="Arial" w:hAnsi="Arial"/>
          <w:sz w:val="18"/>
          <w:szCs w:val="18"/>
          <w:color w:val="auto"/>
        </w:rPr>
        <w:t>The firm updated its 2021 non-GAAP operating expense growth guidance from a range of 8%-12% to a range of 10%-14% to reflect an increase in the firm's expectations for AUM-related expenses. The firm could elect to further adjust its expense growth should unforeseen circumstances arise, including significant market movements.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27" w:right="339" w:bottom="1440" w:gutter="0" w:footer="0" w:header="0"/>
        </w:sectPr>
      </w:pPr>
    </w:p>
    <w:bookmarkStart w:id="44" w:name="page45"/>
    <w:bookmarkEnd w:id="44"/>
    <w:p>
      <w:pPr>
        <w:spacing w:after="0" w:line="369"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income was $102.1 million in Q1 2021, as compared to non-operating loss of $500.3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Q1 2020. The impact on the firm's investment portfolio of strong market returns in Q1 2021 compared with significant market losses in Q1 2021 drove the increase. For Q1 2021, the firm's consolidated investment products and supplemental savings plan hedge portfolio comprised more than half of the net gains recognized. The cash and discretionary investment portfolio added net investment gains of $13.7 million during Q1 2021. The components of non-operating income for Q1 2021 and Q1 2020 are included in the tables at the end of this release.</w:t>
      </w:r>
    </w:p>
    <w:p>
      <w:pPr>
        <w:spacing w:after="0" w:line="204" w:lineRule="exact"/>
        <w:rPr>
          <w:sz w:val="20"/>
          <w:szCs w:val="20"/>
          <w:color w:val="auto"/>
        </w:rPr>
      </w:pPr>
    </w:p>
    <w:p>
      <w:pPr>
        <w:ind w:right="48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23.2% in Q1 2021 and 19.5% in Q1 2020. The following reconciles the statutory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rate to the firm's effective tax rate for the first quarter of 2021 and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shd w:val="clear" w:color="auto" w:fill="CCEEFF"/>
          </w:tcPr>
          <w:p>
            <w:pPr>
              <w:spacing w:after="0"/>
              <w:rPr>
                <w:sz w:val="16"/>
                <w:szCs w:val="16"/>
                <w:color w:val="auto"/>
              </w:rPr>
            </w:pPr>
          </w:p>
        </w:tc>
        <w:tc>
          <w:tcPr>
            <w:tcW w:w="3220" w:type="dxa"/>
            <w:vAlign w:val="bottom"/>
            <w:tcBorders>
              <w:bottom w:val="single" w:sz="8" w:color="auto"/>
            </w:tcBorders>
            <w:gridSpan w:val="3"/>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3/31/2020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8020" w:type="dxa"/>
            <w:vAlign w:val="bottom"/>
          </w:tcPr>
          <w:p>
            <w:pPr>
              <w:ind w:left="20"/>
              <w:spacing w:after="0" w:line="216"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60" w:type="dxa"/>
            <w:vAlign w:val="bottom"/>
          </w:tcPr>
          <w:p>
            <w:pPr>
              <w:jc w:val="right"/>
              <w:ind w:right="1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6.4</w:t>
            </w:r>
          </w:p>
        </w:tc>
      </w:tr>
      <w:tr>
        <w:trPr>
          <w:trHeight w:val="216"/>
        </w:trPr>
        <w:tc>
          <w:tcPr>
            <w:tcW w:w="8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Net (income) losses attributable to redeemable non-controlling interests</w:t>
            </w:r>
            <w:r>
              <w:rPr>
                <w:rFonts w:ascii="Arial" w:cs="Arial" w:eastAsia="Arial" w:hAnsi="Arial"/>
                <w:sz w:val="21"/>
                <w:szCs w:val="21"/>
                <w:color w:val="auto"/>
                <w:vertAlign w:val="superscript"/>
              </w:rPr>
              <w:t>(2)</w:t>
            </w: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(8.1)</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23.2 %</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19.5 %</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15" w:lineRule="exact"/>
        <w:rPr>
          <w:rFonts w:ascii="Arial" w:cs="Arial" w:eastAsia="Arial" w:hAnsi="Arial"/>
          <w:sz w:val="9"/>
          <w:szCs w:val="9"/>
          <w:i w:val="1"/>
          <w:iCs w:val="1"/>
          <w:color w:val="auto"/>
        </w:rPr>
      </w:pPr>
    </w:p>
    <w:p>
      <w:pPr>
        <w:ind w:left="180" w:right="100" w:hanging="172"/>
        <w:spacing w:after="0" w:line="258" w:lineRule="auto"/>
        <w:tabs>
          <w:tab w:leader="none" w:pos="158"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69" w:lineRule="exact"/>
        <w:rPr>
          <w:sz w:val="20"/>
          <w:szCs w:val="20"/>
          <w:color w:val="auto"/>
        </w:rPr>
      </w:pPr>
    </w:p>
    <w:p>
      <w:pPr>
        <w:ind w:right="80"/>
        <w:spacing w:after="0" w:line="362"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the redeemable non-controlling interests. The firm's non-GAAP effective tax rate was 23.7% for Q1 2021. The rate was affected by lower discrete tax benefits associated with the settlement of stock-based awards as well as the impact of these benefits relative to the higher pre-tax income during the quarter, and a lower effective state tax rate as compared to Q1 2020. The firm continues to see the phased-in benefit of the 2018 Maryland state tax legislation in which we expect to reduce our effective state rate over the five-year phase-in period to less than 3% by the end of 2022.</w:t>
      </w:r>
    </w:p>
    <w:p>
      <w:pPr>
        <w:spacing w:after="0" w:line="233" w:lineRule="exact"/>
        <w:rPr>
          <w:sz w:val="20"/>
          <w:szCs w:val="20"/>
          <w:color w:val="auto"/>
        </w:rPr>
      </w:pPr>
    </w:p>
    <w:p>
      <w:pPr>
        <w:ind w:right="420"/>
        <w:spacing w:after="0" w:line="371" w:lineRule="auto"/>
        <w:rPr>
          <w:sz w:val="20"/>
          <w:szCs w:val="20"/>
          <w:color w:val="auto"/>
        </w:rPr>
      </w:pPr>
      <w:r>
        <w:rPr>
          <w:rFonts w:ascii="Arial" w:cs="Arial" w:eastAsia="Arial" w:hAnsi="Arial"/>
          <w:sz w:val="18"/>
          <w:szCs w:val="18"/>
          <w:color w:val="auto"/>
        </w:rPr>
        <w:t>The firm estimates that its effective tax rate for the full year 2021, on a GAAP basis, will be in the range of 22% to 25%. On a non-GAAP basis, the range is 23% to 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0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Capital Management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3/31/2021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2"/>
          <w:szCs w:val="22"/>
          <w:color w:val="40AEFF"/>
        </w:rPr>
      </w:pPr>
      <w:r>
        <w:rPr>
          <w:rFonts w:ascii="Arial" w:cs="Arial" w:eastAsia="Arial" w:hAnsi="Arial"/>
          <w:sz w:val="18"/>
          <w:szCs w:val="18"/>
          <w:color w:val="auto"/>
        </w:rPr>
        <w:t>The firm's common shares outstanding were 226.9 million at March 31, 2021, compared with 228.0 million at the end of 2020.</w:t>
      </w:r>
    </w:p>
    <w:p>
      <w:pPr>
        <w:spacing w:after="0" w:line="147" w:lineRule="exact"/>
        <w:rPr>
          <w:rFonts w:ascii="Arial" w:cs="Arial" w:eastAsia="Arial" w:hAnsi="Arial"/>
          <w:sz w:val="22"/>
          <w:szCs w:val="22"/>
          <w:color w:val="40AEFF"/>
        </w:rPr>
      </w:pPr>
    </w:p>
    <w:p>
      <w:pPr>
        <w:ind w:left="340" w:right="160" w:hanging="332"/>
        <w:spacing w:after="0" w:line="333" w:lineRule="auto"/>
        <w:tabs>
          <w:tab w:leader="none" w:pos="336" w:val="left"/>
        </w:tabs>
        <w:numPr>
          <w:ilvl w:val="0"/>
          <w:numId w:val="29"/>
        </w:numPr>
        <w:rPr>
          <w:rFonts w:ascii="Arial" w:cs="Arial" w:eastAsia="Arial" w:hAnsi="Arial"/>
          <w:sz w:val="22"/>
          <w:szCs w:val="22"/>
          <w:color w:val="40AEFF"/>
        </w:rPr>
      </w:pPr>
      <w:r>
        <w:rPr>
          <w:rFonts w:ascii="Arial" w:cs="Arial" w:eastAsia="Arial" w:hAnsi="Arial"/>
          <w:sz w:val="18"/>
          <w:szCs w:val="18"/>
          <w:color w:val="auto"/>
        </w:rPr>
        <w:t>In Q1 2021, the firm expended $267.6 million to repurchase 1.6 million shares, or .7%, of its outstanding common shares at an average price of $164.22.</w:t>
      </w:r>
    </w:p>
    <w:p>
      <w:pPr>
        <w:spacing w:after="0" w:line="36" w:lineRule="exact"/>
        <w:rPr>
          <w:rFonts w:ascii="Arial" w:cs="Arial" w:eastAsia="Arial" w:hAnsi="Arial"/>
          <w:sz w:val="22"/>
          <w:szCs w:val="22"/>
          <w:color w:val="40AEFF"/>
        </w:rPr>
      </w:pPr>
    </w:p>
    <w:p>
      <w:pPr>
        <w:ind w:left="340" w:right="280" w:hanging="332"/>
        <w:spacing w:after="0" w:line="336" w:lineRule="auto"/>
        <w:tabs>
          <w:tab w:leader="none" w:pos="336" w:val="left"/>
        </w:tabs>
        <w:numPr>
          <w:ilvl w:val="0"/>
          <w:numId w:val="29"/>
        </w:numPr>
        <w:rPr>
          <w:rFonts w:ascii="Arial" w:cs="Arial" w:eastAsia="Arial" w:hAnsi="Arial"/>
          <w:sz w:val="22"/>
          <w:szCs w:val="22"/>
          <w:color w:val="40AEFF"/>
        </w:rPr>
      </w:pPr>
      <w:r>
        <w:rPr>
          <w:rFonts w:ascii="Arial" w:cs="Arial" w:eastAsia="Arial" w:hAnsi="Arial"/>
          <w:sz w:val="18"/>
          <w:szCs w:val="18"/>
          <w:color w:val="auto"/>
        </w:rPr>
        <w:t>The firm invested $58.8 million during Q1 2021 in capitalized facilities and technology. The firm currently expects capital expenditures, including internal labor capitalization, for 2021 to be about $265 million, of which more than three-quarters is planned for technology initiatives. These expenditures are expected to continue to be funded from the firm's operating resources.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p>
    <w:p>
      <w:pPr>
        <w:spacing w:after="0" w:line="126" w:lineRule="exact"/>
        <w:rPr>
          <w:sz w:val="20"/>
          <w:szCs w:val="20"/>
          <w:color w:val="auto"/>
        </w:rPr>
      </w:pPr>
    </w:p>
    <w:p>
      <w:pPr>
        <w:ind w:right="60"/>
        <w:spacing w:after="0" w:line="349"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March 31, 2021. Past performance is no guarantee of future results.</w:t>
      </w:r>
    </w:p>
    <w:tbl>
      <w:tblPr>
        <w:tblLayout w:type="fixed"/>
        <w:tblInd w:w="0" w:type="dxa"/>
        <w:tblCellMar>
          <w:top w:w="0" w:type="dxa"/>
          <w:left w:w="0" w:type="dxa"/>
          <w:bottom w:w="0" w:type="dxa"/>
          <w:right w:w="0" w:type="dxa"/>
        </w:tblCellMar>
      </w:tblPr>
      <w:tr>
        <w:trPr>
          <w:trHeight w:val="218"/>
        </w:trPr>
        <w:tc>
          <w:tcPr>
            <w:tcW w:w="578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87%</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72%</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108"/>
        </w:trPr>
        <w:tc>
          <w:tcPr>
            <w:tcW w:w="3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0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bl>
    <w:p>
      <w:pPr>
        <w:spacing w:after="0" w:line="35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As of March 31, 2021, 80 of 123 (65.0%) of the firm's rated U.S. mutual funds (across primary share classes) received an overall rating of 4 or 5 stars. By comparison, 32.5% of Morningstar's fund population is given a rate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88%</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March 31, 2021 with an overall rating of 4 or 5 stars.</w:t>
      </w:r>
    </w:p>
    <w:p>
      <w:pPr>
        <w:spacing w:after="0" w:line="186" w:lineRule="exact"/>
        <w:rPr>
          <w:sz w:val="20"/>
          <w:szCs w:val="20"/>
          <w:color w:val="auto"/>
        </w:rPr>
      </w:pPr>
    </w:p>
    <w:p>
      <w:pPr>
        <w:ind w:right="200" w:firstLine="8"/>
        <w:spacing w:after="0" w:line="212" w:lineRule="auto"/>
        <w:tabs>
          <w:tab w:leader="none" w:pos="122" w:val="left"/>
        </w:tabs>
        <w:numPr>
          <w:ilvl w:val="0"/>
          <w:numId w:val="3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2021 Morningstar, Inc. All rights reserved. The information contained herein: 1) is proprietary to Morningstar and/or its content providers; 2) may not be copied or distributed; and 3) is not warranted to be accurate, complete, or timely.Neither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198" w:lineRule="auto"/>
        <w:tabs>
          <w:tab w:leader="none" w:pos="134" w:val="left"/>
        </w:tabs>
        <w:numPr>
          <w:ilvl w:val="0"/>
          <w:numId w:val="30"/>
        </w:numPr>
        <w:rPr>
          <w:rFonts w:ascii="Arial" w:cs="Arial" w:eastAsia="Arial" w:hAnsi="Arial"/>
          <w:sz w:val="15"/>
          <w:szCs w:val="15"/>
          <w:i w:val="1"/>
          <w:iCs w:val="1"/>
          <w:color w:val="auto"/>
          <w:vertAlign w:val="superscript"/>
        </w:rPr>
      </w:pPr>
      <w:r>
        <w:rPr>
          <w:rFonts w:ascii="Arial" w:cs="Arial" w:eastAsia="Arial" w:hAnsi="Arial"/>
          <w:sz w:val="12"/>
          <w:szCs w:val="12"/>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$503B for 1 year, $503B for 3 years, $503B for 5 years, and $493B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30"/>
        </w:numPr>
        <w:rPr>
          <w:rFonts w:ascii="Arial" w:cs="Arial" w:eastAsia="Arial" w:hAnsi="Arial"/>
          <w:sz w:val="15"/>
          <w:szCs w:val="15"/>
          <w:color w:val="auto"/>
          <w:vertAlign w:val="superscript"/>
        </w:rPr>
      </w:pPr>
      <w:r>
        <w:rPr>
          <w:rFonts w:ascii="Arial" w:cs="Arial" w:eastAsia="Arial" w:hAnsi="Arial"/>
          <w:sz w:val="12"/>
          <w:szCs w:val="12"/>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$491B for 1 year, $482B for 3 years, $439B for 5 years, and $416B for 10 years.</w:t>
      </w:r>
    </w:p>
    <w:p>
      <w:pPr>
        <w:ind w:right="20"/>
        <w:spacing w:after="0" w:line="184" w:lineRule="auto"/>
        <w:rPr>
          <w:rFonts w:ascii="Arial" w:cs="Arial" w:eastAsia="Arial" w:hAnsi="Arial"/>
          <w:sz w:val="15"/>
          <w:szCs w:val="15"/>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$1,392B for 1 year, $1,388B for 3 years, $1,364B for 5 years, and $1,316B for 10 years.</w:t>
      </w:r>
    </w:p>
    <w:p>
      <w:pPr>
        <w:spacing w:after="0" w:line="1" w:lineRule="exact"/>
        <w:rPr>
          <w:rFonts w:ascii="Arial" w:cs="Arial" w:eastAsia="Arial" w:hAnsi="Arial"/>
          <w:sz w:val="15"/>
          <w:szCs w:val="15"/>
          <w:color w:val="auto"/>
          <w:vertAlign w:val="superscript"/>
        </w:rPr>
      </w:pPr>
    </w:p>
    <w:p>
      <w:pPr>
        <w:jc w:val="both"/>
        <w:ind w:right="120" w:firstLine="8"/>
        <w:spacing w:after="0" w:line="211" w:lineRule="auto"/>
        <w:tabs>
          <w:tab w:leader="none" w:pos="135"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6" w:lineRule="exact"/>
        <w:rPr>
          <w:sz w:val="20"/>
          <w:szCs w:val="20"/>
          <w:color w:val="auto"/>
        </w:rPr>
      </w:pPr>
    </w:p>
    <w:p>
      <w:pPr>
        <w:ind w:right="42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2021 with the U.S. Securities and Exchange Commission later today. The Form 10-Q will include additional information on the firm's unaudited consolidated financial statements at March 31, 2021.</w:t>
      </w:r>
    </w:p>
    <w:p>
      <w:pPr>
        <w:spacing w:after="0" w:line="230"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49" w:right="339" w:bottom="1440" w:gutter="0" w:footer="0" w:header="0"/>
        </w:sectPr>
      </w:pPr>
    </w:p>
    <w:bookmarkStart w:id="47" w:name="page48"/>
    <w:bookmarkEnd w:id="47"/>
    <w:p>
      <w:pPr>
        <w:ind w:right="360"/>
        <w:spacing w:after="0" w:line="371" w:lineRule="auto"/>
        <w:rPr>
          <w:sz w:val="20"/>
          <w:szCs w:val="20"/>
          <w:color w:val="auto"/>
        </w:rPr>
      </w:pPr>
      <w:r>
        <w:rPr>
          <w:rFonts w:ascii="Arial" w:cs="Arial" w:eastAsia="Arial" w:hAnsi="Arial"/>
          <w:sz w:val="18"/>
          <w:szCs w:val="18"/>
          <w:color w:val="auto"/>
        </w:rPr>
        <w:t>pandemic, and other market conditions. For a discussion concerning risks and other factors that could affect future results, see the firm's 2020 Annual Report on Form 10-K.</w:t>
      </w:r>
    </w:p>
    <w:p>
      <w:pPr>
        <w:spacing w:after="0" w:line="202"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firm announced that it will hold its 2021 Investor Day on Wednesday, May 26, 2021 from 9:00 a.m. to 11:00 a.m. Eastern Standard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It will be a virtual event and registration will open soon on the firm's investor relations website at troweprice.gcs-web.com.</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4980" w:type="dxa"/>
            <w:vAlign w:val="bottom"/>
            <w:gridSpan w:val="3"/>
          </w:tcPr>
          <w:p>
            <w:pPr>
              <w:ind w:left="2260"/>
              <w:spacing w:after="0"/>
              <w:rPr>
                <w:sz w:val="20"/>
                <w:szCs w:val="20"/>
                <w:color w:val="auto"/>
              </w:rPr>
            </w:pPr>
            <w:r>
              <w:rPr>
                <w:rFonts w:ascii="Arial" w:cs="Arial" w:eastAsia="Arial" w:hAnsi="Arial"/>
                <w:sz w:val="18"/>
                <w:szCs w:val="18"/>
                <w:b w:val="1"/>
                <w:bCs w:val="1"/>
                <w:color w:val="054C70"/>
              </w:rPr>
              <w:t>Investor Relations</w:t>
            </w:r>
          </w:p>
        </w:tc>
      </w:tr>
      <w:tr>
        <w:trPr>
          <w:trHeight w:val="250"/>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700" w:type="dxa"/>
            <w:vAlign w:val="bottom"/>
          </w:tcPr>
          <w:p>
            <w:pPr>
              <w:spacing w:after="0"/>
              <w:rPr>
                <w:sz w:val="19"/>
                <w:szCs w:val="19"/>
                <w:color w:val="auto"/>
              </w:rPr>
            </w:pPr>
          </w:p>
        </w:tc>
        <w:tc>
          <w:tcPr>
            <w:tcW w:w="3820" w:type="dxa"/>
            <w:vAlign w:val="bottom"/>
            <w:gridSpan w:val="2"/>
          </w:tcPr>
          <w:p>
            <w:pPr>
              <w:ind w:left="226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4980" w:type="dxa"/>
            <w:vAlign w:val="bottom"/>
            <w:gridSpan w:val="3"/>
          </w:tcPr>
          <w:p>
            <w:pPr>
              <w:ind w:left="226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56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6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00"/>
          </w:cols>
          <w:pgMar w:left="320" w:top="1084" w:right="37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9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4"/>
                <w:szCs w:val="14"/>
                <w:color w:val="auto"/>
              </w:rPr>
              <w:t>Three months ended</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r>
      <w:tr>
        <w:trPr>
          <w:trHeight w:val="18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3/31/2020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12/31/2020</w:t>
            </w:r>
          </w:p>
        </w:tc>
      </w:tr>
      <w:tr>
        <w:trPr>
          <w:trHeight w:val="183"/>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1,687.8</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1,602.2</w:t>
            </w:r>
          </w:p>
        </w:tc>
      </w:tr>
      <w:tr>
        <w:trPr>
          <w:trHeight w:val="189"/>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w:t>
            </w:r>
          </w:p>
        </w:tc>
      </w:tr>
      <w:tr>
        <w:trPr>
          <w:trHeight w:val="183"/>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1,826.8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1,462.6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1,732.9</w:t>
            </w:r>
          </w:p>
        </w:tc>
      </w:tr>
      <w:tr>
        <w:trPr>
          <w:trHeight w:val="34"/>
        </w:trPr>
        <w:tc>
          <w:tcPr>
            <w:tcW w:w="6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92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640.4</w:t>
            </w:r>
          </w:p>
        </w:tc>
      </w:tr>
      <w:tr>
        <w:trPr>
          <w:trHeight w:val="189"/>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r>
      <w:tr>
        <w:trPr>
          <w:trHeight w:val="189"/>
        </w:trPr>
        <w:tc>
          <w:tcPr>
            <w:tcW w:w="692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9"/>
        </w:trPr>
        <w:tc>
          <w:tcPr>
            <w:tcW w:w="6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Product-related costs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89"/>
        </w:trPr>
        <w:tc>
          <w:tcPr>
            <w:tcW w:w="692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9"/>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r>
      <w:tr>
        <w:trPr>
          <w:trHeight w:val="183"/>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755.4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977.0</w:t>
            </w:r>
          </w:p>
        </w:tc>
      </w:tr>
      <w:tr>
        <w:trPr>
          <w:trHeight w:val="88"/>
        </w:trPr>
        <w:tc>
          <w:tcPr>
            <w:tcW w:w="6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893.2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707.2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755.9</w:t>
            </w:r>
          </w:p>
        </w:tc>
      </w:tr>
      <w:tr>
        <w:trPr>
          <w:trHeight w:val="108"/>
        </w:trPr>
        <w:tc>
          <w:tcPr>
            <w:tcW w:w="6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investments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r>
      <w:tr>
        <w:trPr>
          <w:trHeight w:val="189"/>
        </w:trPr>
        <w:tc>
          <w:tcPr>
            <w:tcW w:w="6920" w:type="dxa"/>
            <w:vAlign w:val="bottom"/>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238.3</w:t>
            </w:r>
          </w:p>
        </w:tc>
      </w:tr>
      <w:tr>
        <w:trPr>
          <w:trHeight w:val="189"/>
        </w:trPr>
        <w:tc>
          <w:tcPr>
            <w:tcW w:w="6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(loss)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3"/>
        </w:trPr>
        <w:tc>
          <w:tcPr>
            <w:tcW w:w="6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(500.3)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390.1</w:t>
            </w:r>
          </w:p>
        </w:tc>
      </w:tr>
      <w:tr>
        <w:trPr>
          <w:trHeight w:val="88"/>
        </w:trPr>
        <w:tc>
          <w:tcPr>
            <w:tcW w:w="6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995.3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1,146.0</w:t>
            </w: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w:t>
            </w:r>
          </w:p>
        </w:tc>
      </w:tr>
      <w:tr>
        <w:trPr>
          <w:trHeight w:val="183"/>
        </w:trPr>
        <w:tc>
          <w:tcPr>
            <w:tcW w:w="6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764.8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189"/>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r>
      <w:tr>
        <w:trPr>
          <w:trHeight w:val="183"/>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24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749.4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783.4</w:t>
            </w:r>
          </w:p>
        </w:tc>
      </w:tr>
      <w:tr>
        <w:trPr>
          <w:trHeight w:val="189"/>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83"/>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729.5</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333.7</w:t>
            </w: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762.2</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9"/>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6920" w:type="dxa"/>
            <w:vAlign w:val="bottom"/>
          </w:tcPr>
          <w:p>
            <w:pPr>
              <w:ind w:left="120"/>
              <w:spacing w:after="0"/>
              <w:rPr>
                <w:sz w:val="20"/>
                <w:szCs w:val="20"/>
                <w:color w:val="auto"/>
              </w:rPr>
            </w:pPr>
            <w:r>
              <w:rPr>
                <w:rFonts w:ascii="Arial" w:cs="Arial" w:eastAsia="Arial" w:hAnsi="Arial"/>
                <w:sz w:val="14"/>
                <w:szCs w:val="14"/>
                <w:b w:val="1"/>
                <w:bCs w:val="1"/>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3.17</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20" w:type="dxa"/>
            <w:vAlign w:val="bottom"/>
          </w:tcPr>
          <w:p>
            <w:pPr>
              <w:ind w:left="120"/>
              <w:spacing w:after="0"/>
              <w:rPr>
                <w:sz w:val="20"/>
                <w:szCs w:val="20"/>
                <w:color w:val="auto"/>
              </w:rPr>
            </w:pPr>
            <w:r>
              <w:rPr>
                <w:rFonts w:ascii="Arial" w:cs="Arial" w:eastAsia="Arial" w:hAnsi="Arial"/>
                <w:sz w:val="14"/>
                <w:szCs w:val="14"/>
                <w:color w:val="auto"/>
              </w:rPr>
              <w:t>Outstanding assuming dilution</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w:t>
            </w: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31" w:right="339" w:bottom="1440" w:gutter="0" w:footer="0" w:header="0"/>
        </w:sectPr>
      </w:pPr>
    </w:p>
    <w:bookmarkStart w:id="49" w:name="page50"/>
    <w:bookmarkEnd w:id="49"/>
    <w:p>
      <w:pPr>
        <w:ind w:right="180"/>
        <w:spacing w:after="0" w:line="365" w:lineRule="auto"/>
        <w:rPr>
          <w:sz w:val="20"/>
          <w:szCs w:val="20"/>
          <w:color w:val="auto"/>
        </w:rPr>
      </w:pPr>
      <w:r>
        <w:rPr>
          <w:rFonts w:ascii="Arial" w:cs="Arial" w:eastAsia="Arial" w:hAnsi="Arial"/>
          <w:sz w:val="18"/>
          <w:szCs w:val="18"/>
          <w:color w:val="auto"/>
        </w:rPr>
        <w:t>The following table presents investment advisory revenues for the three-month periods ended March 31, 2021 and 2020, including a separate break out of revenue earned from our multi-asset portfolios. Prior year amounts have been recast to conform with the current year presentation.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20" w:type="dxa"/>
            <w:vAlign w:val="bottom"/>
            <w:tcBorders>
              <w:bottom w:val="single" w:sz="8" w:color="auto"/>
            </w:tcBorders>
            <w:gridSpan w:val="4"/>
            <w:shd w:val="clear" w:color="auto" w:fill="CCEEFF"/>
          </w:tcPr>
          <w:p>
            <w:pPr>
              <w:jc w:val="right"/>
              <w:ind w:right="748"/>
              <w:spacing w:after="0"/>
              <w:rPr>
                <w:sz w:val="20"/>
                <w:szCs w:val="20"/>
                <w:color w:val="auto"/>
              </w:rPr>
            </w:pPr>
            <w:r>
              <w:rPr>
                <w:rFonts w:ascii="Arial" w:cs="Arial" w:eastAsia="Arial" w:hAnsi="Arial"/>
                <w:sz w:val="14"/>
                <w:szCs w:val="14"/>
                <w:color w:val="auto"/>
              </w:rPr>
              <w:t>Three months ended</w:t>
            </w:r>
          </w:p>
        </w:tc>
      </w:tr>
      <w:tr>
        <w:trPr>
          <w:trHeight w:val="183"/>
        </w:trPr>
        <w:tc>
          <w:tcPr>
            <w:tcW w:w="5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3/31/2020</w:t>
            </w:r>
          </w:p>
        </w:tc>
      </w:tr>
      <w:tr>
        <w:trPr>
          <w:trHeight w:val="16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5120" w:type="dxa"/>
            <w:vAlign w:val="bottom"/>
          </w:tcPr>
          <w:p>
            <w:pPr>
              <w:ind w:left="14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729.8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568.4</w:t>
            </w: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r>
      <w:tr>
        <w:trPr>
          <w:trHeight w:val="18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236.1</w:t>
            </w:r>
          </w:p>
        </w:tc>
      </w:tr>
      <w:tr>
        <w:trPr>
          <w:trHeight w:val="183"/>
        </w:trPr>
        <w:tc>
          <w:tcPr>
            <w:tcW w:w="5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876.2</w:t>
            </w:r>
          </w:p>
        </w:tc>
      </w:tr>
      <w:tr>
        <w:trPr>
          <w:trHeight w:val="169"/>
        </w:trPr>
        <w:tc>
          <w:tcPr>
            <w:tcW w:w="6640" w:type="dxa"/>
            <w:vAlign w:val="bottom"/>
            <w:gridSpan w:val="4"/>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r>
      <w:tr>
        <w:trPr>
          <w:trHeight w:val="189"/>
        </w:trPr>
        <w:tc>
          <w:tcPr>
            <w:tcW w:w="51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r>
      <w:tr>
        <w:trPr>
          <w:trHeight w:val="183"/>
        </w:trPr>
        <w:tc>
          <w:tcPr>
            <w:tcW w:w="5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451.6</w:t>
            </w:r>
          </w:p>
        </w:tc>
      </w:tr>
      <w:tr>
        <w:trPr>
          <w:trHeight w:val="2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240" w:type="dxa"/>
            <w:vAlign w:val="bottom"/>
            <w:tcBorders>
              <w:bottom w:val="single" w:sz="8" w:color="auto"/>
            </w:tcBorders>
            <w:shd w:val="clear" w:color="auto" w:fill="CCEEFF"/>
          </w:tcPr>
          <w:p>
            <w:pPr>
              <w:spacing w:after="0"/>
              <w:rPr>
                <w:sz w:val="16"/>
                <w:szCs w:val="16"/>
                <w:color w:val="auto"/>
              </w:rPr>
            </w:pPr>
          </w:p>
        </w:tc>
        <w:tc>
          <w:tcPr>
            <w:tcW w:w="2700" w:type="dxa"/>
            <w:vAlign w:val="bottom"/>
            <w:tcBorders>
              <w:bottom w:val="single" w:sz="8" w:color="auto"/>
            </w:tcBorders>
            <w:gridSpan w:val="4"/>
            <w:shd w:val="clear" w:color="auto" w:fill="CCEEFF"/>
          </w:tcPr>
          <w:p>
            <w:pPr>
              <w:jc w:val="center"/>
              <w:ind w:right="188"/>
              <w:spacing w:after="0"/>
              <w:rPr>
                <w:sz w:val="20"/>
                <w:szCs w:val="20"/>
                <w:color w:val="auto"/>
              </w:rPr>
            </w:pPr>
            <w:r>
              <w:rPr>
                <w:rFonts w:ascii="Arial" w:cs="Arial" w:eastAsia="Arial" w:hAnsi="Arial"/>
                <w:sz w:val="14"/>
                <w:szCs w:val="14"/>
                <w:color w:val="auto"/>
              </w:rPr>
              <w:t>Average during</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ind w:right="48"/>
              <w:spacing w:after="0"/>
              <w:rPr>
                <w:sz w:val="20"/>
                <w:szCs w:val="20"/>
                <w:color w:val="auto"/>
              </w:rPr>
            </w:pPr>
            <w:r>
              <w:rPr>
                <w:rFonts w:ascii="Arial" w:cs="Arial" w:eastAsia="Arial" w:hAnsi="Arial"/>
                <w:sz w:val="14"/>
                <w:szCs w:val="14"/>
                <w:color w:val="auto"/>
              </w:rPr>
              <w:t>As of</w:t>
            </w:r>
          </w:p>
        </w:tc>
        <w:tc>
          <w:tcPr>
            <w:tcW w:w="1200" w:type="dxa"/>
            <w:vAlign w:val="bottom"/>
          </w:tcPr>
          <w:p>
            <w:pPr>
              <w:spacing w:after="0"/>
              <w:rPr>
                <w:sz w:val="15"/>
                <w:szCs w:val="15"/>
                <w:color w:val="auto"/>
              </w:rPr>
            </w:pPr>
          </w:p>
        </w:tc>
      </w:tr>
      <w:tr>
        <w:trPr>
          <w:trHeight w:val="183"/>
        </w:trPr>
        <w:tc>
          <w:tcPr>
            <w:tcW w:w="5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3/31/2021</w:t>
            </w: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3/31/2020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3/31/2021</w:t>
            </w: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12/31/2020</w:t>
            </w: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388.3</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189"/>
        </w:trPr>
        <w:tc>
          <w:tcPr>
            <w:tcW w:w="51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79.4</w:t>
            </w: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190.3</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w:t>
            </w:r>
          </w:p>
        </w:tc>
      </w:tr>
      <w:tr>
        <w:trPr>
          <w:trHeight w:val="221"/>
        </w:trPr>
        <w:tc>
          <w:tcPr>
            <w:tcW w:w="5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794.6</w:t>
            </w:r>
          </w:p>
        </w:tc>
      </w:tr>
      <w:tr>
        <w:trPr>
          <w:trHeight w:val="153"/>
        </w:trPr>
        <w:tc>
          <w:tcPr>
            <w:tcW w:w="5120" w:type="dxa"/>
            <w:vAlign w:val="bottom"/>
            <w:tcBorders>
              <w:top w:val="single" w:sz="8" w:color="CCEEFF"/>
            </w:tcBorders>
          </w:tcPr>
          <w:p>
            <w:pPr>
              <w:ind w:left="20"/>
              <w:spacing w:after="0" w:line="153" w:lineRule="exact"/>
              <w:rPr>
                <w:sz w:val="20"/>
                <w:szCs w:val="20"/>
                <w:color w:val="auto"/>
              </w:rPr>
            </w:pPr>
            <w:r>
              <w:rPr>
                <w:rFonts w:ascii="Arial" w:cs="Arial" w:eastAsia="Arial" w:hAnsi="Arial"/>
                <w:sz w:val="14"/>
                <w:szCs w:val="14"/>
                <w:color w:val="auto"/>
              </w:rPr>
              <w:t>Subadvised funds, separate accounts, collective investment trusts, and other</w:t>
            </w:r>
          </w:p>
        </w:tc>
        <w:tc>
          <w:tcPr>
            <w:tcW w:w="24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8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color w:val="auto"/>
              </w:rPr>
              <w:t>investment products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277.5</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w:t>
            </w:r>
          </w:p>
        </w:tc>
      </w:tr>
      <w:tr>
        <w:trPr>
          <w:trHeight w:val="189"/>
        </w:trPr>
        <w:tc>
          <w:tcPr>
            <w:tcW w:w="51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189"/>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149.6</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183"/>
        </w:trPr>
        <w:tc>
          <w:tcPr>
            <w:tcW w:w="5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508.4</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675.9</w:t>
            </w:r>
          </w:p>
        </w:tc>
      </w:tr>
      <w:tr>
        <w:trPr>
          <w:trHeight w:val="20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1,162.7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mutual funds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Fixed income, including money market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Multi-asset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1" w:lineRule="exact"/>
        <w:rPr>
          <w:sz w:val="20"/>
          <w:szCs w:val="20"/>
          <w:color w:val="auto"/>
        </w:rPr>
      </w:pPr>
    </w:p>
    <w:p>
      <w:pPr>
        <w:ind w:left="140" w:right="2860" w:hanging="120"/>
        <w:spacing w:after="0" w:line="281" w:lineRule="auto"/>
        <w:rPr>
          <w:sz w:val="20"/>
          <w:szCs w:val="20"/>
          <w:color w:val="auto"/>
        </w:rPr>
      </w:pPr>
      <w:r>
        <w:rPr>
          <w:rFonts w:ascii="Arial" w:cs="Arial" w:eastAsia="Arial" w:hAnsi="Arial"/>
          <w:sz w:val="14"/>
          <w:szCs w:val="14"/>
          <w:color w:val="auto"/>
        </w:rPr>
        <w:t>Subadvised funds, separate accounts, collective investment trusts, and other investment products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Fixed income, including money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Multi-asset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cash flows after client transfers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3/31/2021</w:t>
      </w:r>
    </w:p>
    <w:p>
      <w:pPr>
        <w:spacing w:after="0" w:line="217" w:lineRule="exact"/>
        <w:rPr>
          <w:sz w:val="20"/>
          <w:szCs w:val="20"/>
          <w:color w:val="auto"/>
        </w:rPr>
      </w:pPr>
    </w:p>
    <w:p>
      <w:pPr>
        <w:ind w:left="1100" w:hanging="1093"/>
        <w:spacing w:after="0"/>
        <w:tabs>
          <w:tab w:leader="none" w:pos="11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(3.6)</w:t>
      </w:r>
    </w:p>
    <w:p>
      <w:pPr>
        <w:spacing w:after="0" w:line="28"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4"/>
          <w:szCs w:val="14"/>
          <w:color w:val="auto"/>
        </w:rPr>
        <w:t>3.6</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(3.6)</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9086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9086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w:t>
      </w:r>
    </w:p>
    <w:p>
      <w:pPr>
        <w:spacing w:after="0" w:line="42" w:lineRule="exact"/>
        <w:rPr>
          <w:sz w:val="20"/>
          <w:szCs w:val="20"/>
          <w:color w:val="auto"/>
        </w:rPr>
      </w:pPr>
    </w:p>
    <w:p>
      <w:pPr>
        <w:ind w:left="1160" w:hanging="1153"/>
        <w:spacing w:after="0"/>
        <w:tabs>
          <w:tab w:leader="none" w:pos="1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0" w:space="720"/>
            <w:col w:w="1420"/>
          </w:cols>
          <w:pgMar w:left="320" w:top="10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084"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60" w:type="dxa"/>
            <w:vAlign w:val="bottom"/>
            <w:tcBorders>
              <w:bottom w:val="single" w:sz="8" w:color="auto"/>
            </w:tcBorders>
            <w:shd w:val="clear" w:color="auto" w:fill="CCEEFF"/>
          </w:tcPr>
          <w:p>
            <w:pPr>
              <w:spacing w:after="0"/>
              <w:rPr>
                <w:sz w:val="16"/>
                <w:szCs w:val="16"/>
                <w:color w:val="auto"/>
              </w:rPr>
            </w:pPr>
          </w:p>
        </w:tc>
        <w:tc>
          <w:tcPr>
            <w:tcW w:w="2720" w:type="dxa"/>
            <w:vAlign w:val="bottom"/>
            <w:tcBorders>
              <w:bottom w:val="single" w:sz="8" w:color="auto"/>
            </w:tcBorders>
            <w:gridSpan w:val="4"/>
            <w:shd w:val="clear" w:color="auto" w:fill="CCEEFF"/>
          </w:tcPr>
          <w:p>
            <w:pPr>
              <w:jc w:val="right"/>
              <w:ind w:right="748"/>
              <w:spacing w:after="0"/>
              <w:rPr>
                <w:sz w:val="20"/>
                <w:szCs w:val="20"/>
                <w:color w:val="auto"/>
              </w:rPr>
            </w:pPr>
            <w:r>
              <w:rPr>
                <w:rFonts w:ascii="Arial" w:cs="Arial" w:eastAsia="Arial" w:hAnsi="Arial"/>
                <w:sz w:val="14"/>
                <w:szCs w:val="14"/>
                <w:color w:val="auto"/>
              </w:rPr>
              <w:t>Three months ended</w:t>
            </w:r>
          </w:p>
        </w:tc>
      </w:tr>
      <w:tr>
        <w:trPr>
          <w:trHeight w:val="183"/>
        </w:trPr>
        <w:tc>
          <w:tcPr>
            <w:tcW w:w="8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3/31/2020</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w:t>
            </w: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8260" w:type="dxa"/>
            <w:vAlign w:val="bottom"/>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 recognized upon deconsolidation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(163.0)</w:t>
            </w:r>
          </w:p>
        </w:tc>
      </w:tr>
      <w:tr>
        <w:trPr>
          <w:trHeight w:val="18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(154.6)</w:t>
            </w:r>
          </w:p>
        </w:tc>
      </w:tr>
    </w:tbl>
    <w:p>
      <w:pPr>
        <w:spacing w:after="0" w:line="18" w:lineRule="exact"/>
        <w:rPr>
          <w:sz w:val="20"/>
          <w:szCs w:val="20"/>
          <w:color w:val="auto"/>
        </w:rPr>
      </w:pPr>
    </w:p>
    <w:p>
      <w:pPr>
        <w:sectPr>
          <w:pgSz w:w="11900" w:h="16838" w:orient="portrait"/>
          <w:cols w:equalWidth="0" w:num="1">
            <w:col w:w="11240"/>
          </w:cols>
          <w:pgMar w:left="320" w:top="1152" w:right="339" w:bottom="1440" w:gutter="0" w:footer="0" w:header="0"/>
        </w:sectPr>
      </w:pPr>
    </w:p>
    <w:p>
      <w:pPr>
        <w:ind w:left="20" w:right="1300"/>
        <w:spacing w:after="0" w:line="298" w:lineRule="auto"/>
        <w:rPr>
          <w:sz w:val="20"/>
          <w:szCs w:val="20"/>
          <w:color w:val="auto"/>
        </w:rPr>
      </w:pPr>
      <w:r>
        <w:rPr>
          <w:rFonts w:ascii="Arial" w:cs="Arial" w:eastAsia="Arial" w:hAnsi="Arial"/>
          <w:sz w:val="14"/>
          <w:szCs w:val="14"/>
          <w:color w:val="auto"/>
        </w:rPr>
        <w:t>Net gains (losses) on consolidated sponsored investment portfolios Other income (loss), including foreign 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Non-operating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94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(330.3)</w:t>
            </w:r>
          </w:p>
        </w:tc>
      </w:tr>
      <w:tr>
        <w:trPr>
          <w:trHeight w:val="188"/>
        </w:trPr>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82"/>
        </w:trPr>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102.1</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(500.3)</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Three months ended</w:t>
      </w:r>
    </w:p>
    <w:p>
      <w:pPr>
        <w:spacing w:after="0" w:line="10" w:lineRule="exact"/>
        <w:rPr>
          <w:sz w:val="20"/>
          <w:szCs w:val="20"/>
          <w:color w:val="auto"/>
        </w:rPr>
      </w:pPr>
    </w:p>
    <w:p>
      <w:pPr>
        <w:sectPr>
          <w:pgSz w:w="11900" w:h="16838" w:orient="portrait"/>
          <w:cols w:equalWidth="0" w:num="2">
            <w:col w:w="5600" w:space="720"/>
            <w:col w:w="4920"/>
          </w:cols>
          <w:pgMar w:left="320"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right="40"/>
        <w:spacing w:after="0" w:line="215" w:lineRule="auto"/>
        <w:rPr>
          <w:sz w:val="20"/>
          <w:szCs w:val="20"/>
          <w:color w:val="auto"/>
        </w:rPr>
      </w:pPr>
      <w:r>
        <w:rPr>
          <w:rFonts w:ascii="Arial" w:cs="Arial" w:eastAsia="Arial" w:hAnsi="Arial"/>
          <w:sz w:val="14"/>
          <w:szCs w:val="14"/>
          <w:color w:val="auto"/>
        </w:rPr>
        <w:t>Cash provided by (used in) operating activities, including $57.5 of stock-based compensation expense and $49.0 of depreciation expense in 2021</w:t>
      </w:r>
    </w:p>
    <w:p>
      <w:pPr>
        <w:spacing w:after="0" w:line="17" w:lineRule="exact"/>
        <w:rPr>
          <w:sz w:val="20"/>
          <w:szCs w:val="20"/>
          <w:color w:val="auto"/>
        </w:rPr>
      </w:pPr>
    </w:p>
    <w:p>
      <w:pPr>
        <w:ind w:left="20"/>
        <w:spacing w:after="0" w:line="212" w:lineRule="auto"/>
        <w:rPr>
          <w:sz w:val="20"/>
          <w:szCs w:val="20"/>
          <w:color w:val="auto"/>
        </w:rPr>
      </w:pPr>
      <w:r>
        <w:rPr>
          <w:rFonts w:ascii="Arial" w:cs="Arial" w:eastAsia="Arial" w:hAnsi="Arial"/>
          <w:sz w:val="14"/>
          <w:szCs w:val="14"/>
          <w:color w:val="auto"/>
        </w:rPr>
        <w:t>Cash provided by (used in) investing activities, including $(58.8) for additions to property and equipment, $(12.5) of purchases and $60.3 of dispositions to T. Rowe Price investment products in 2021</w:t>
      </w:r>
    </w:p>
    <w:p>
      <w:pPr>
        <w:spacing w:after="0" w:line="18" w:lineRule="exact"/>
        <w:rPr>
          <w:sz w:val="20"/>
          <w:szCs w:val="20"/>
          <w:color w:val="auto"/>
        </w:rPr>
      </w:pPr>
    </w:p>
    <w:p>
      <w:pPr>
        <w:ind w:left="20" w:right="40"/>
        <w:spacing w:after="0" w:line="215" w:lineRule="auto"/>
        <w:rPr>
          <w:sz w:val="20"/>
          <w:szCs w:val="20"/>
          <w:color w:val="auto"/>
        </w:rPr>
      </w:pPr>
      <w:r>
        <w:rPr>
          <w:rFonts w:ascii="Arial" w:cs="Arial" w:eastAsia="Arial" w:hAnsi="Arial"/>
          <w:sz w:val="14"/>
          <w:szCs w:val="14"/>
          <w:color w:val="auto"/>
        </w:rPr>
        <w:t>Cash provided by (used in) financing activities, including T. Rowe Price Group common stock repurchases of $(259.2)* and dividends paid of $(252.3) in 2021</w:t>
      </w:r>
    </w:p>
    <w:p>
      <w:pPr>
        <w:spacing w:after="0" w:line="17"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7"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3/31/2021</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3/31/2020</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2"/>
                <w:szCs w:val="12"/>
                <w:color w:val="auto"/>
              </w:rPr>
            </w:pPr>
          </w:p>
        </w:tc>
        <w:tc>
          <w:tcPr>
            <w:tcW w:w="176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rPr>
              <w:t>consolidated</w:t>
            </w:r>
          </w:p>
        </w:tc>
        <w:tc>
          <w:tcPr>
            <w:tcW w:w="11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color w:val="auto"/>
              </w:rPr>
              <w:t>As reported 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rPr>
              <w:t>consolidated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35"/>
        </w:trPr>
        <w:tc>
          <w:tcPr>
            <w:tcW w:w="12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84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rPr>
              <w:t>T. Rowe Price investment</w:t>
            </w:r>
          </w:p>
        </w:tc>
        <w:tc>
          <w:tcPr>
            <w:tcW w:w="116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86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rPr>
              <w:t>T. Rowe Price investment</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color w:val="auto"/>
              </w:rPr>
              <w:t>statement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cash flows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575"/>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1,138.6</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994.7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864.0</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787.7</w:t>
            </w:r>
          </w:p>
        </w:tc>
        <w:tc>
          <w:tcPr>
            <w:tcW w:w="0" w:type="dxa"/>
            <w:vAlign w:val="bottom"/>
          </w:tcPr>
          <w:p>
            <w:pPr>
              <w:spacing w:after="0"/>
              <w:rPr>
                <w:sz w:val="1"/>
                <w:szCs w:val="1"/>
                <w:color w:val="auto"/>
              </w:rPr>
            </w:pPr>
          </w:p>
        </w:tc>
      </w:tr>
      <w:tr>
        <w:trPr>
          <w:trHeight w:val="729"/>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(1,068.4)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(992.3)</w:t>
            </w:r>
          </w:p>
        </w:tc>
        <w:tc>
          <w:tcPr>
            <w:tcW w:w="0" w:type="dxa"/>
            <w:vAlign w:val="bottom"/>
          </w:tcPr>
          <w:p>
            <w:pPr>
              <w:spacing w:after="0"/>
              <w:rPr>
                <w:sz w:val="1"/>
                <w:szCs w:val="1"/>
                <w:color w:val="auto"/>
              </w:rPr>
            </w:pPr>
          </w:p>
        </w:tc>
      </w:tr>
      <w:tr>
        <w:trPr>
          <w:trHeight w:val="322"/>
        </w:trPr>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1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657.3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-1645285</wp:posOffset>
            </wp:positionV>
            <wp:extent cx="7132320" cy="377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-805180</wp:posOffset>
            </wp:positionV>
            <wp:extent cx="7132320"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-222250</wp:posOffset>
            </wp:positionV>
            <wp:extent cx="713232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640" w:space="60"/>
            <w:col w:w="8540"/>
          </w:cols>
          <w:pgMar w:left="320" w:top="1152"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52" w:right="339" w:bottom="1440" w:gutter="0" w:footer="0" w:header="0"/>
          <w:type w:val="continuous"/>
        </w:sectPr>
      </w:pPr>
    </w:p>
    <w:bookmarkStart w:id="51" w:name="page52"/>
    <w:bookmarkEnd w:id="51"/>
    <w:p>
      <w:pPr>
        <w:ind w:left="1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6350</wp:posOffset>
            </wp:positionV>
            <wp:extent cx="1885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872" w:space="720"/>
            <w:col w:w="1620"/>
          </w:cols>
          <w:pgMar w:left="328" w:top="1152" w:right="359" w:bottom="1440" w:gutter="0" w:footer="0" w:header="0"/>
        </w:sectPr>
      </w:pPr>
    </w:p>
    <w:p>
      <w:pPr>
        <w:spacing w:after="0" w:line="202" w:lineRule="exact"/>
        <w:rPr>
          <w:sz w:val="20"/>
          <w:szCs w:val="20"/>
          <w:color w:val="auto"/>
        </w:rPr>
      </w:pPr>
    </w:p>
    <w:p>
      <w:pPr>
        <w:ind w:left="12"/>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12"/>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2"/>
        <w:spacing w:after="0"/>
        <w:rPr>
          <w:sz w:val="20"/>
          <w:szCs w:val="20"/>
          <w:color w:val="auto"/>
        </w:rPr>
      </w:pPr>
      <w:r>
        <w:rPr>
          <w:rFonts w:ascii="Arial" w:cs="Arial" w:eastAsia="Arial" w:hAnsi="Arial"/>
          <w:sz w:val="14"/>
          <w:szCs w:val="14"/>
          <w:color w:val="auto"/>
        </w:rPr>
        <w:t>Investments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2"/>
        <w:spacing w:after="0"/>
        <w:rPr>
          <w:sz w:val="20"/>
          <w:szCs w:val="20"/>
          <w:color w:val="auto"/>
        </w:rPr>
      </w:pPr>
      <w:r>
        <w:rPr>
          <w:rFonts w:ascii="Arial" w:cs="Arial" w:eastAsia="Arial" w:hAnsi="Arial"/>
          <w:sz w:val="14"/>
          <w:szCs w:val="14"/>
          <w:color w:val="auto"/>
        </w:rPr>
        <w:t>Operating lease assets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2"/>
        <w:spacing w:after="0"/>
        <w:rPr>
          <w:sz w:val="20"/>
          <w:szCs w:val="20"/>
          <w:color w:val="auto"/>
        </w:rPr>
      </w:pPr>
      <w:r>
        <w:rPr>
          <w:rFonts w:ascii="Arial" w:cs="Arial" w:eastAsia="Arial" w:hAnsi="Arial"/>
          <w:sz w:val="14"/>
          <w:szCs w:val="14"/>
          <w:color w:val="auto"/>
        </w:rPr>
        <w:t>Goodwill</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2"/>
        <w:spacing w:after="0"/>
        <w:rPr>
          <w:sz w:val="20"/>
          <w:szCs w:val="20"/>
          <w:color w:val="auto"/>
        </w:rPr>
      </w:pPr>
      <w:r>
        <w:rPr>
          <w:rFonts w:ascii="Arial" w:cs="Arial" w:eastAsia="Arial" w:hAnsi="Arial"/>
          <w:sz w:val="14"/>
          <w:szCs w:val="14"/>
          <w:color w:val="auto"/>
        </w:rPr>
        <w:t>Total assets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12"/>
        <w:spacing w:after="0" w:line="229" w:lineRule="auto"/>
        <w:rPr>
          <w:sz w:val="20"/>
          <w:szCs w:val="20"/>
          <w:color w:val="auto"/>
        </w:rPr>
      </w:pPr>
      <w:r>
        <w:rPr>
          <w:rFonts w:ascii="Arial" w:cs="Arial" w:eastAsia="Arial" w:hAnsi="Arial"/>
          <w:sz w:val="14"/>
          <w:szCs w:val="14"/>
          <w:color w:val="auto"/>
        </w:rPr>
        <w:t>Total other liabilities, includes $53.7 at March 31, 2021, and $57.7 at December 31, 2020, from consolidated T. Rowe Price investment products</w:t>
      </w:r>
    </w:p>
    <w:p>
      <w:pPr>
        <w:spacing w:after="0" w:line="17" w:lineRule="exact"/>
        <w:rPr>
          <w:sz w:val="20"/>
          <w:szCs w:val="20"/>
          <w:color w:val="auto"/>
        </w:rPr>
      </w:pPr>
    </w:p>
    <w:p>
      <w:pPr>
        <w:ind w:left="12"/>
        <w:spacing w:after="0"/>
        <w:rPr>
          <w:sz w:val="20"/>
          <w:szCs w:val="20"/>
          <w:color w:val="auto"/>
        </w:rPr>
      </w:pPr>
      <w:r>
        <w:rPr>
          <w:rFonts w:ascii="Arial" w:cs="Arial" w:eastAsia="Arial" w:hAnsi="Arial"/>
          <w:sz w:val="14"/>
          <w:szCs w:val="14"/>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12" w:right="340"/>
        <w:spacing w:after="0" w:line="229" w:lineRule="auto"/>
        <w:rPr>
          <w:sz w:val="20"/>
          <w:szCs w:val="20"/>
          <w:color w:val="auto"/>
        </w:rPr>
      </w:pPr>
      <w:r>
        <w:rPr>
          <w:rFonts w:ascii="Arial" w:cs="Arial" w:eastAsia="Arial" w:hAnsi="Arial"/>
          <w:sz w:val="14"/>
          <w:szCs w:val="14"/>
          <w:color w:val="auto"/>
        </w:rPr>
        <w:t>Stockholders' equity, 226.9 common shares outstanding at March 31, 2021 and 228.0 common shares outstanding at December 31, 2020</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4"/>
          <w:szCs w:val="14"/>
          <w:color w:val="auto"/>
        </w:rPr>
        <w:t>3/31/2021</w:t>
      </w:r>
    </w:p>
    <w:p>
      <w:pPr>
        <w:spacing w:after="0" w:line="42"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2,830.1</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885.9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3,403.6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1,946.8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110.2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703.9</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218.2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10,764.4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769.9</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973.4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1,012.9</w:t>
      </w:r>
    </w:p>
    <w:p>
      <w:pPr>
        <w:spacing w:after="0" w:line="136"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8,008.2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908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4"/>
          <w:szCs w:val="14"/>
          <w:color w:val="auto"/>
        </w:rPr>
        <w:t>12/31/2020</w:t>
      </w:r>
    </w:p>
    <w:p>
      <w:pPr>
        <w:spacing w:after="0" w:line="42" w:lineRule="exact"/>
        <w:rPr>
          <w:sz w:val="20"/>
          <w:szCs w:val="20"/>
          <w:color w:val="auto"/>
        </w:rPr>
      </w:pPr>
    </w:p>
    <w:p>
      <w:pPr>
        <w:ind w:left="880" w:hanging="873"/>
        <w:spacing w:after="0"/>
        <w:tabs>
          <w:tab w:leader="none" w:pos="8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2,151.7</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863.1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3,250.8</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2,695.5</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117.6</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695.4</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219.2</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10,659.0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772.2</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618.1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1,561.7</w:t>
      </w:r>
    </w:p>
    <w:p>
      <w:pPr>
        <w:spacing w:after="0" w:line="136" w:lineRule="exact"/>
        <w:rPr>
          <w:sz w:val="20"/>
          <w:szCs w:val="20"/>
          <w:color w:val="auto"/>
        </w:rPr>
      </w:pPr>
    </w:p>
    <w:p>
      <w:pPr>
        <w:ind w:left="880" w:hanging="873"/>
        <w:spacing w:after="0"/>
        <w:tabs>
          <w:tab w:leader="none" w:pos="8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7,707.0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7812" w:space="460"/>
            <w:col w:w="1360" w:space="180"/>
            <w:col w:w="1400"/>
          </w:cols>
          <w:pgMar w:left="328" w:top="1152" w:right="359" w:bottom="1440" w:gutter="0" w:footer="0" w:header="0"/>
          <w:type w:val="continuous"/>
        </w:sectPr>
      </w:pPr>
    </w:p>
    <w:p>
      <w:pPr>
        <w:spacing w:after="0" w:line="271"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Net assets of</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consolidated T.</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4,849.3</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771.1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w:t>
            </w:r>
          </w:p>
        </w:tc>
        <w:tc>
          <w:tcPr>
            <w:tcW w:w="0" w:type="dxa"/>
            <w:vAlign w:val="bottom"/>
          </w:tcPr>
          <w:p>
            <w:pPr>
              <w:spacing w:after="0"/>
              <w:rPr>
                <w:sz w:val="1"/>
                <w:szCs w:val="1"/>
                <w:color w:val="auto"/>
              </w:rPr>
            </w:pPr>
          </w:p>
        </w:tc>
      </w:tr>
      <w:tr>
        <w:trPr>
          <w:trHeight w:val="128"/>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2,830.1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3,150.2</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880.2</w:t>
            </w: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6,860.5</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Price Group</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UTI and other investments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2,830.1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3,403.6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880.2</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7,113.9</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0" w:type="dxa"/>
            <w:vAlign w:val="bottom"/>
          </w:tcPr>
          <w:p>
            <w:pPr>
              <w:spacing w:after="0"/>
              <w:rPr>
                <w:sz w:val="1"/>
                <w:szCs w:val="1"/>
                <w:color w:val="auto"/>
              </w:rPr>
            </w:pPr>
          </w:p>
        </w:tc>
      </w:tr>
      <w:tr>
        <w:trPr>
          <w:trHeight w:val="129"/>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As reported on unaudited condensed consolidated balance sheet at March 31,</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2,830.1</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3,403.6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1,893.1</w:t>
            </w:r>
          </w:p>
        </w:tc>
        <w:tc>
          <w:tcPr>
            <w:tcW w:w="14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8,126.8</w:t>
            </w:r>
          </w:p>
        </w:tc>
        <w:tc>
          <w:tcPr>
            <w:tcW w:w="0" w:type="dxa"/>
            <w:vAlign w:val="bottom"/>
          </w:tcPr>
          <w:p>
            <w:pPr>
              <w:spacing w:after="0"/>
              <w:rPr>
                <w:sz w:val="1"/>
                <w:szCs w:val="1"/>
                <w:color w:val="auto"/>
              </w:rPr>
            </w:pPr>
          </w:p>
        </w:tc>
      </w:tr>
      <w:tr>
        <w:trPr>
          <w:trHeight w:val="153"/>
        </w:trPr>
        <w:tc>
          <w:tcPr>
            <w:tcW w:w="5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8" w:right="440" w:firstLine="8"/>
        <w:spacing w:after="0" w:line="303" w:lineRule="auto"/>
        <w:tabs>
          <w:tab w:leader="none" w:pos="76" w:val="left"/>
        </w:tabs>
        <w:numPr>
          <w:ilvl w:val="0"/>
          <w:numId w:val="38"/>
        </w:numPr>
        <w:rPr>
          <w:rFonts w:ascii="Arial" w:cs="Arial" w:eastAsia="Arial" w:hAnsi="Arial"/>
          <w:sz w:val="12"/>
          <w:szCs w:val="12"/>
          <w:i w:val="1"/>
          <w:iCs w:val="1"/>
          <w:color w:val="auto"/>
        </w:rPr>
      </w:pPr>
      <w:r>
        <w:rPr>
          <w:rFonts w:ascii="Arial" w:cs="Arial" w:eastAsia="Arial" w:hAnsi="Arial"/>
          <w:sz w:val="12"/>
          <w:szCs w:val="12"/>
          <w:i w:val="1"/>
          <w:iCs w:val="1"/>
          <w:color w:val="auto"/>
        </w:rPr>
        <w:t>The $109.1 million and $771.1 million represent the total value at December 31, 2020, of T. Rowe Price's interest in the consolidated T. Rowe Price investment products. The total net assets of $1,893.1 million at March 31, 2021, includes assets of $1,946.8 million less liabilities of $53.7 million as reflected in the unaudited condensed consolidated balance sheet information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12"/>
          </w:cols>
          <w:pgMar w:left="328" w:top="1152"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36" w:lineRule="exact"/>
        <w:rPr>
          <w:sz w:val="20"/>
          <w:szCs w:val="20"/>
          <w:color w:val="auto"/>
        </w:rPr>
      </w:pPr>
    </w:p>
    <w:p>
      <w:pPr>
        <w:jc w:val="both"/>
        <w:ind w:right="20"/>
        <w:spacing w:after="0" w:line="356"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58" w:lineRule="exact"/>
        <w:rPr>
          <w:sz w:val="20"/>
          <w:szCs w:val="20"/>
          <w:color w:val="auto"/>
        </w:rPr>
      </w:pPr>
    </w:p>
    <w:p>
      <w:pPr>
        <w:ind w:right="220"/>
        <w:spacing w:after="0" w:line="383" w:lineRule="auto"/>
        <w:rPr>
          <w:sz w:val="20"/>
          <w:szCs w:val="20"/>
          <w:color w:val="auto"/>
        </w:rPr>
      </w:pPr>
      <w:r>
        <w:rPr>
          <w:rFonts w:ascii="Arial" w:cs="Arial" w:eastAsia="Arial" w:hAnsi="Arial"/>
          <w:sz w:val="16"/>
          <w:szCs w:val="16"/>
          <w:color w:val="auto"/>
        </w:rPr>
        <w:t>The following schedules reconcile U.S. GAAP financial measures to non-GAAP financial measures for the three months ended March 31, 2021 and 2020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06374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ectPr>
          <w:pgSz w:w="11900" w:h="16838" w:orient="portrait"/>
          <w:cols w:equalWidth="0" w:num="1">
            <w:col w:w="11180"/>
          </w:cols>
          <w:pgMar w:left="320" w:top="10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U.S. GAAP Basis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Non-GAAP adjustments: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Consolidated T. Rowe Price</w:t>
      </w:r>
    </w:p>
    <w:p>
      <w:pPr>
        <w:ind w:left="200"/>
        <w:spacing w:after="0" w:line="209" w:lineRule="auto"/>
        <w:rPr>
          <w:sz w:val="20"/>
          <w:szCs w:val="20"/>
          <w:color w:val="auto"/>
        </w:rPr>
      </w:pPr>
      <w:r>
        <w:rPr>
          <w:rFonts w:ascii="Arial" w:cs="Arial" w:eastAsia="Arial" w:hAnsi="Arial"/>
          <w:sz w:val="14"/>
          <w:szCs w:val="14"/>
          <w:color w:val="auto"/>
        </w:rPr>
        <w:t>investment products</w:t>
      </w:r>
      <w:r>
        <w:rPr>
          <w:rFonts w:ascii="Arial" w:cs="Arial" w:eastAsia="Arial" w:hAnsi="Arial"/>
          <w:sz w:val="18"/>
          <w:szCs w:val="18"/>
          <w:color w:val="auto"/>
          <w:vertAlign w:val="superscript"/>
        </w:rPr>
        <w:t>(1)</w:t>
      </w:r>
    </w:p>
    <w:p>
      <w:pPr>
        <w:ind w:left="200"/>
        <w:spacing w:after="0" w:line="219" w:lineRule="auto"/>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(2)</w:t>
      </w:r>
    </w:p>
    <w:p>
      <w:pPr>
        <w:ind w:left="20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(3)</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23"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26" w:lineRule="auto"/>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ind w:left="220"/>
        <w:spacing w:after="0" w:line="231"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23"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26" w:lineRule="auto"/>
        <w:rPr>
          <w:sz w:val="20"/>
          <w:szCs w:val="20"/>
          <w:color w:val="auto"/>
        </w:rPr>
      </w:pPr>
      <w:r>
        <w:rPr>
          <w:rFonts w:ascii="Arial" w:cs="Arial" w:eastAsia="Arial" w:hAnsi="Arial"/>
          <w:sz w:val="15"/>
          <w:szCs w:val="15"/>
          <w:color w:val="auto"/>
        </w:rPr>
        <w:t>Supplemental savings plan liability</w:t>
      </w:r>
      <w:r>
        <w:rPr>
          <w:rFonts w:ascii="Arial" w:cs="Arial" w:eastAsia="Arial" w:hAnsi="Arial"/>
          <w:sz w:val="20"/>
          <w:szCs w:val="20"/>
          <w:color w:val="auto"/>
          <w:vertAlign w:val="superscript"/>
        </w:rPr>
        <w:t>(2)</w:t>
      </w:r>
    </w:p>
    <w:p>
      <w:pPr>
        <w:ind w:left="220"/>
        <w:spacing w:after="0" w:line="231"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Three months ended 3/31/2021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8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933.6</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918.9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rPr>
              <w:t>Three months ended 3/31/2020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707.2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647.2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rPr>
              <w:t>Three months ended 12/31/2020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977.0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755.9</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783.4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827.0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680.2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-4011295</wp:posOffset>
            </wp:positionV>
            <wp:extent cx="706374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-3762375</wp:posOffset>
            </wp:positionV>
            <wp:extent cx="70637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63740" cy="20574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-3436620</wp:posOffset>
            </wp:positionV>
            <wp:extent cx="706374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-2974340</wp:posOffset>
            </wp:positionV>
            <wp:extent cx="706374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-2553970</wp:posOffset>
            </wp:positionV>
            <wp:extent cx="706374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-2279650</wp:posOffset>
            </wp:positionV>
            <wp:extent cx="706374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-1902460</wp:posOffset>
            </wp:positionV>
            <wp:extent cx="70637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-1370965</wp:posOffset>
            </wp:positionV>
            <wp:extent cx="706374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-950595</wp:posOffset>
            </wp:positionV>
            <wp:extent cx="70637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-676910</wp:posOffset>
            </wp:positionV>
            <wp:extent cx="706374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-299720</wp:posOffset>
            </wp:positionV>
            <wp:extent cx="70637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720"/>
            <w:col w:w="7540"/>
          </w:cols>
          <w:pgMar w:left="320" w:top="1084" w:right="399" w:bottom="1440" w:gutter="0" w:footer="0" w:header="0"/>
          <w:type w:val="continuous"/>
        </w:sectPr>
      </w:pPr>
    </w:p>
    <w:p>
      <w:pPr>
        <w:spacing w:after="0" w:line="153" w:lineRule="exact"/>
        <w:rPr>
          <w:sz w:val="20"/>
          <w:szCs w:val="20"/>
          <w:color w:val="auto"/>
        </w:rPr>
      </w:pPr>
    </w:p>
    <w:p>
      <w:pPr>
        <w:ind w:left="340" w:right="80" w:hanging="332"/>
        <w:spacing w:after="0" w:line="218"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084" w:right="399" w:bottom="1440" w:gutter="0" w:footer="0" w:header="0"/>
          <w:type w:val="continuous"/>
        </w:sectPr>
      </w:pPr>
    </w:p>
    <w:bookmarkStart w:id="53" w:name="page54"/>
    <w:bookmarkEnd w:id="53"/>
    <w:p>
      <w:pPr>
        <w:ind w:left="340" w:right="60"/>
        <w:spacing w:after="0" w:line="251" w:lineRule="auto"/>
        <w:rPr>
          <w:sz w:val="20"/>
          <w:szCs w:val="20"/>
          <w:color w:val="auto"/>
        </w:rPr>
      </w:pPr>
      <w:r>
        <w:rPr>
          <w:rFonts w:ascii="Arial" w:cs="Arial" w:eastAsia="Arial" w:hAnsi="Arial"/>
          <w:sz w:val="16"/>
          <w:szCs w:val="16"/>
          <w:color w:val="auto"/>
        </w:rPr>
        <w:t>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29" w:lineRule="exact"/>
        <w:rPr>
          <w:sz w:val="20"/>
          <w:szCs w:val="20"/>
          <w:color w:val="auto"/>
        </w:rPr>
      </w:pPr>
    </w:p>
    <w:p>
      <w:pPr>
        <w:ind w:left="340" w:hanging="332"/>
        <w:spacing w:after="0" w:line="235"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340" w:right="40" w:hanging="332"/>
        <w:spacing w:after="0"/>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06" w:lineRule="exact"/>
        <w:rPr>
          <w:rFonts w:ascii="Arial" w:cs="Arial" w:eastAsia="Arial" w:hAnsi="Arial"/>
          <w:sz w:val="22"/>
          <w:szCs w:val="22"/>
          <w:color w:val="auto"/>
          <w:vertAlign w:val="superscript"/>
        </w:rPr>
      </w:pPr>
    </w:p>
    <w:p>
      <w:pPr>
        <w:ind w:left="340" w:right="120" w:hanging="332"/>
        <w:spacing w:after="0" w:line="218"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23.7% for 2021, 22.5% for Q1 2020, and 21.8% for Q4 2020. The firm estimates that its effective tax rate for the full-year 2021 on a non-GAAP basis will be in the range of 23% to 25%.</w:t>
      </w:r>
    </w:p>
    <w:p>
      <w:pPr>
        <w:spacing w:after="0" w:line="237" w:lineRule="exact"/>
        <w:rPr>
          <w:rFonts w:ascii="Arial" w:cs="Arial" w:eastAsia="Arial" w:hAnsi="Arial"/>
          <w:sz w:val="22"/>
          <w:szCs w:val="22"/>
          <w:color w:val="auto"/>
          <w:vertAlign w:val="superscript"/>
        </w:rPr>
      </w:pPr>
    </w:p>
    <w:p>
      <w:pPr>
        <w:ind w:left="340" w:right="280" w:hanging="332"/>
        <w:spacing w:after="0" w:line="226"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64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r>
      <w:tr>
        <w:trPr>
          <w:trHeight w:val="182"/>
        </w:trPr>
        <w:tc>
          <w:tcPr>
            <w:tcW w:w="64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3/31/2020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12/31/2020</w:t>
            </w:r>
          </w:p>
        </w:tc>
      </w:tr>
      <w:tr>
        <w:trPr>
          <w:trHeight w:val="19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680.2</w:t>
            </w:r>
          </w:p>
        </w:tc>
      </w:tr>
      <w:tr>
        <w:trPr>
          <w:trHeight w:val="177"/>
        </w:trPr>
        <w:tc>
          <w:tcPr>
            <w:tcW w:w="648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 stock unit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1"/>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holders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03"/>
        </w:trPr>
        <w:tc>
          <w:tcPr>
            <w:tcW w:w="64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240"/>
      </w:cols>
      <w:pgMar w:left="320" w:top="10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72" Type="http://schemas.openxmlformats.org/officeDocument/2006/relationships/hyperlink" Target="http://www.sec.gov/Archives/edgar/data/1113169/000111316918000018/articlesofrestatementfin.htm" TargetMode="External"/><Relationship Id="rId73"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2021-04-29T10:18:09Z</dcterms:created>
  <dcterms:modified xsi:type="dcterms:W3CDTF">2021-04-29T10:18:09Z</dcterms:modified>
</cp:coreProperties>
</file>