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2009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 ROWE PRICE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1522730</wp:posOffset>
            </wp:positionH>
            <wp:positionV relativeFrom="paragraph">
              <wp:posOffset>39370</wp:posOffset>
            </wp:positionV>
            <wp:extent cx="4210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-130175</wp:posOffset>
            </wp:positionV>
            <wp:extent cx="3044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2" w:right="239" w:bottom="1440" w:gutter="0" w:footer="0" w:header="0"/>
        </w:sectPr>
      </w:pPr>
    </w:p>
    <w:p>
      <w:pPr>
        <w:spacing w:after="0" w:line="154"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4"/>
          <w:szCs w:val="24"/>
          <w:color w:val="auto"/>
        </w:rPr>
      </w:pPr>
    </w:p>
    <w:p>
      <w:pPr>
        <w:sectPr>
          <w:pgSz w:w="11900" w:h="16838" w:orient="portrait"/>
          <w:cols w:equalWidth="0" w:num="4">
            <w:col w:w="2040" w:space="720"/>
            <w:col w:w="1360" w:space="720"/>
            <w:col w:w="3720" w:space="720"/>
            <w:col w:w="2140"/>
          </w:cols>
          <w:pgMar w:left="240" w:top="522"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No</w:t>
      </w:r>
    </w:p>
    <w:p>
      <w:pPr>
        <w:spacing w:after="0" w:line="157" w:lineRule="exact"/>
        <w:rPr>
          <w:sz w:val="24"/>
          <w:szCs w:val="24"/>
          <w:color w:val="auto"/>
        </w:rPr>
      </w:pPr>
    </w:p>
    <w:p>
      <w:pPr>
        <w:sectPr>
          <w:pgSz w:w="11900" w:h="16838" w:orient="portrait"/>
          <w:cols w:equalWidth="0" w:num="2">
            <w:col w:w="8620" w:space="100"/>
            <w:col w:w="2700"/>
          </w:cols>
          <w:pgMar w:left="240" w:top="5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22, 2009, is 256,122,935</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06/30/2009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619.1</w:t>
            </w:r>
          </w:p>
        </w:tc>
        <w:tc>
          <w:tcPr>
            <w:tcW w:w="3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2,819.4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86.8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$.20 par value — authorized 750,000,000; issued 256,856,000 shares in 2008 and 256,022,000 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363.7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2,086.8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2,488.8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2,819.4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6/30/2008</w:t>
            </w:r>
          </w:p>
        </w:tc>
        <w:tc>
          <w:tcPr>
            <w:tcW w:w="3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6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6/30/2008</w:t>
            </w: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495.3</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360.3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965.4</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1,148.1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1,145.6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826.7</w:t>
            </w:r>
          </w:p>
        </w:tc>
        <w:tc>
          <w:tcPr>
            <w:tcW w:w="0" w:type="dxa"/>
            <w:vAlign w:val="bottom"/>
          </w:tcPr>
          <w:p>
            <w:pPr>
              <w:spacing w:after="0"/>
              <w:rPr>
                <w:sz w:val="1"/>
                <w:szCs w:val="1"/>
                <w:color w:val="auto"/>
              </w:rPr>
            </w:pP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199.7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288.3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153.9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264.5</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197.1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162.2</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313.7</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148.2</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6"/>
              </w:rPr>
              <w:t>The accompanying notes are an integral part of these statements.</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60" w:type="dxa"/>
            <w:vAlign w:val="bottom"/>
            <w:gridSpan w:val="2"/>
          </w:tcPr>
          <w:p>
            <w:pPr>
              <w:jc w:val="right"/>
              <w:ind w:right="687"/>
              <w:spacing w:after="0"/>
              <w:rPr>
                <w:sz w:val="20"/>
                <w:szCs w:val="20"/>
                <w:color w:val="auto"/>
              </w:rPr>
            </w:pPr>
            <w:r>
              <w:rPr>
                <w:rFonts w:ascii="Arial" w:cs="Arial" w:eastAsia="Arial" w:hAnsi="Arial"/>
                <w:sz w:val="18"/>
                <w:szCs w:val="18"/>
                <w:color w:val="auto"/>
              </w:rPr>
              <w:t>Page 3</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6/30/2008</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313.7</w:t>
            </w:r>
          </w:p>
        </w:tc>
        <w:tc>
          <w:tcPr>
            <w:tcW w:w="340" w:type="dxa"/>
            <w:vAlign w:val="bottom"/>
          </w:tcPr>
          <w:p>
            <w:pPr>
              <w:spacing w:after="0"/>
              <w:rPr>
                <w:sz w:val="18"/>
                <w:szCs w:val="18"/>
                <w:color w:val="auto"/>
              </w:rPr>
            </w:pPr>
          </w:p>
        </w:tc>
        <w:tc>
          <w:tcPr>
            <w:tcW w:w="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68.5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debt securities held by savings bank subsidiary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(369.7)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(188.4)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(513.9)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change during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(103.9)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color w:val="auto"/>
              </w:rPr>
              <w:t>Additional</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Common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capital in</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shares</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5"/>
              </w:rPr>
              <w:t>Common</w:t>
            </w:r>
          </w:p>
        </w:tc>
        <w:tc>
          <w:tcPr>
            <w:tcW w:w="1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w w:val="97"/>
              </w:rPr>
              <w:t>excess of</w:t>
            </w:r>
          </w:p>
        </w:tc>
        <w:tc>
          <w:tcPr>
            <w:tcW w:w="30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Retained</w:t>
            </w:r>
          </w:p>
        </w:tc>
        <w:tc>
          <w:tcPr>
            <w:tcW w:w="1820" w:type="dxa"/>
            <w:vAlign w:val="bottom"/>
            <w:gridSpan w:val="4"/>
          </w:tcPr>
          <w:p>
            <w:pPr>
              <w:jc w:val="center"/>
              <w:ind w:right="3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outstanding</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91"/>
              </w:rPr>
              <w:t>stock</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par value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earnings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income (loss)</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256,856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$ 2,086.8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rPr>
              <w:t>Common stock-based compensation plans</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activity</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upon option exercises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Restricted shares issued</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Shares issued on vesting of restricted</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units</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Forfeiture of restricted awards</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tax benefits</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148.2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200"/>
              <w:spacing w:after="0" w:line="201" w:lineRule="exact"/>
              <w:rPr>
                <w:sz w:val="20"/>
                <w:szCs w:val="20"/>
                <w:color w:val="auto"/>
              </w:rPr>
            </w:pPr>
            <w:r>
              <w:rPr>
                <w:rFonts w:ascii="Arial" w:cs="Arial" w:eastAsia="Arial" w:hAnsi="Arial"/>
                <w:sz w:val="18"/>
                <w:szCs w:val="18"/>
                <w:color w:val="auto"/>
              </w:rPr>
              <w:t>Net unrealized holding gains (including</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400"/>
              <w:spacing w:after="0"/>
              <w:rPr>
                <w:sz w:val="20"/>
                <w:szCs w:val="20"/>
                <w:color w:val="auto"/>
              </w:rPr>
            </w:pPr>
            <w:r>
              <w:rPr>
                <w:rFonts w:ascii="Arial" w:cs="Arial" w:eastAsia="Arial" w:hAnsi="Arial"/>
                <w:sz w:val="18"/>
                <w:szCs w:val="18"/>
                <w:color w:val="auto"/>
              </w:rPr>
              <w:t>$52.8 million in the second quarter)</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2</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$ 2,083.6</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that are, in the opinion of management, necessary to a fair statement of our results for the interim periods presented. All such adjustments are of a normal recurring nature. We evaluated all subsequent events through the time that we filed these financial statements in our Form 10-Q Report with the Securities and Exchange Commission on July 24, 2009.</w:t>
      </w:r>
    </w:p>
    <w:p>
      <w:pPr>
        <w:spacing w:after="0" w:line="7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2008 Annual Report.</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second quarter of 2009, we implemented new financial reporting guidance that changed the recognition guidance for other-than-temporary-impairments of debt securities and expanded our interim disclosures for all financial instruments. The adoption of the new recognition guidance did not have a material impact on our condensed consolidated financial statements. Appropriate interim disclosures are included in Notes 3, 4, and 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$95.0 million at December 31, 2008, and $106.5 million at June 30, 2009.</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6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6/30/2008</w:t>
            </w: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296.8</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195.3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579.2</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357.3</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103.2</w:t>
            </w: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248.8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460.5</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111.5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282.3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206.6</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360.3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667.1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25"/>
              <w:spacing w:after="0"/>
              <w:rPr>
                <w:sz w:val="20"/>
                <w:szCs w:val="20"/>
                <w:color w:val="auto"/>
              </w:rPr>
            </w:pPr>
            <w:r>
              <w:rPr>
                <w:rFonts w:ascii="Arial" w:cs="Arial" w:eastAsia="Arial" w:hAnsi="Arial"/>
                <w:sz w:val="14"/>
                <w:szCs w:val="14"/>
                <w:color w:val="auto"/>
              </w:rPr>
              <w:t>Average during</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second quarter</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color w:val="auto"/>
              </w:rPr>
              <w:t>the first half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w w:val="89"/>
              </w:rPr>
              <w:t>2009</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194.4</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130.0</w:t>
            </w: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189.5</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color w:val="auto"/>
                <w:w w:val="94"/>
              </w:rPr>
              <w:t>12/31/2008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24"/>
                <w:szCs w:val="2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117.9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While investors that we serve are primarily domiciled in the United States of America, investment advisory clients outside the United States account for 10% of our assets under management at June 30, 2009.</w:t>
      </w:r>
    </w:p>
    <w:p>
      <w:pPr>
        <w:spacing w:after="0" w:line="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Fees for advisory-related administrative services provided to our sponsored mutual funds during the first half of the year were $144.5 million in 2008 and $125.8 million in 2009. Fees for these services during the second quarter were $72.5 million in 2008 and $64.1 million in 2009.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4"/>
                <w:szCs w:val="14"/>
                <w:color w:val="auto"/>
              </w:rPr>
              <w:t>Unrealized holding</w:t>
            </w: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3"/>
              </w:rPr>
              <w:t>cost</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Gains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0"/>
              </w:rPr>
              <w:t>Losses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2008</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5"/>
              </w:rPr>
              <w:t>June 30, 2009</w:t>
            </w:r>
          </w:p>
        </w:tc>
        <w:tc>
          <w:tcPr>
            <w:tcW w:w="552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u w:val="single" w:color="auto"/>
                <w:color w:val="auto"/>
              </w:rPr>
              <w:t>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Unrealized holding losses that are temporary are attributable to fund holdings with an aggregate fair value of $195.2 million at December 31, 2008, and $24.8 million at June 30, 2009. All of the unrealized holding losses at June 30, 2009, were incurred in the second quarter of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June 30, 2009.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Unrealized holding</w:t>
            </w:r>
          </w:p>
        </w:tc>
      </w:tr>
      <w:tr>
        <w:trPr>
          <w:trHeight w:val="167"/>
        </w:trPr>
        <w:tc>
          <w:tcPr>
            <w:tcW w:w="88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gains (losses)</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 (50 securities) of</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888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23"/>
        </w:trPr>
        <w:tc>
          <w:tcPr>
            <w:tcW w:w="8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8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estimated fair value of our customer deposit liability, based on discounting expected cash outflows at maturity dates that range up to five years, using current interest rates offered for deposits with the same dates of maturity, was $172.9 million at June 30,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June 30, 2009 include: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Sponsored mutual fund investments held as trading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580" w:right="140" w:hanging="324"/>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left="580" w:right="300" w:hanging="324"/>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360"/>
        <w:spacing w:after="0" w:line="342" w:lineRule="auto"/>
        <w:rPr>
          <w:sz w:val="20"/>
          <w:szCs w:val="20"/>
          <w:color w:val="auto"/>
        </w:rPr>
      </w:pPr>
      <w:r>
        <w:rPr>
          <w:rFonts w:ascii="Arial" w:cs="Arial" w:eastAsia="Arial" w:hAnsi="Arial"/>
          <w:sz w:val="16"/>
          <w:szCs w:val="16"/>
          <w:color w:val="auto"/>
        </w:rPr>
        <w:t>These levels are not necessarily an indication of the risk or liquidity associated with the investments. The following table summarizes our investments (in millions) at June 30, 2009, that are recognized in our balance sheet using fair value measurements determined based on the differing levels of inputs.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7"/>
              </w:rPr>
              <w:t>Level 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Held as available-for-sale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Held as trading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1,152.9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7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grants.</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February 2009, our executive compensation committee of the board of directors reviewed our equity grant program for associates. The annual grant was bifurcated to achieve the retention and other objectives of the program and align the interests of our associates with those of our common stockholders. The following table summarizes the status of and changes in our stock option grants during the first half of 2009.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39,037,741</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Semiannual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3,133,170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241,638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New hire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(1,547,784)</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Forfeited or expired</w:t>
            </w:r>
          </w:p>
        </w:tc>
        <w:tc>
          <w:tcPr>
            <w:tcW w:w="3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(753,174)</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40,118,591</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2009</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vMerge w:val="restart"/>
          </w:tcPr>
          <w:p>
            <w:pPr>
              <w:ind w:left="76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line="20" w:lineRule="exact"/>
              <w:rPr>
                <w:sz w:val="1"/>
                <w:szCs w:val="1"/>
                <w:color w:val="auto"/>
              </w:rPr>
            </w:pPr>
          </w:p>
        </w:tc>
      </w:tr>
      <w:tr>
        <w:trPr>
          <w:trHeight w:val="210"/>
        </w:trPr>
        <w:tc>
          <w:tcPr>
            <w:tcW w:w="8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21,875,361</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half of 2009.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Restricted</w:t>
            </w:r>
          </w:p>
        </w:tc>
        <w:tc>
          <w:tcPr>
            <w:tcW w:w="48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Arial" w:cs="Arial" w:eastAsia="Arial" w:hAnsi="Arial"/>
                <w:sz w:val="14"/>
                <w:szCs w:val="14"/>
                <w:color w:val="auto"/>
                <w:w w:val="99"/>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Restricted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480" w:type="dxa"/>
            <w:vAlign w:val="bottom"/>
          </w:tcPr>
          <w:p>
            <w:pPr>
              <w:spacing w:after="0"/>
              <w:rPr>
                <w:sz w:val="12"/>
                <w:szCs w:val="12"/>
                <w:color w:val="auto"/>
              </w:rPr>
            </w:pPr>
          </w:p>
        </w:tc>
        <w:tc>
          <w:tcPr>
            <w:tcW w:w="1300" w:type="dxa"/>
            <w:vAlign w:val="bottom"/>
          </w:tcPr>
          <w:p>
            <w:pPr>
              <w:ind w:left="360"/>
              <w:spacing w:after="0" w:line="149" w:lineRule="exact"/>
              <w:rPr>
                <w:sz w:val="20"/>
                <w:szCs w:val="20"/>
                <w:color w:val="auto"/>
              </w:rPr>
            </w:pPr>
            <w:r>
              <w:rPr>
                <w:rFonts w:ascii="Arial" w:cs="Arial" w:eastAsia="Arial" w:hAnsi="Arial"/>
                <w:sz w:val="14"/>
                <w:szCs w:val="14"/>
                <w:color w:val="auto"/>
              </w:rPr>
              <w:t>grant-date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4"/>
              </w:rPr>
              <w:t>units</w:t>
            </w:r>
          </w:p>
        </w:tc>
        <w:tc>
          <w:tcPr>
            <w:tcW w:w="480" w:type="dxa"/>
            <w:vAlign w:val="bottom"/>
          </w:tcPr>
          <w:p>
            <w:pPr>
              <w:spacing w:after="0"/>
              <w:rPr>
                <w:sz w:val="14"/>
                <w:szCs w:val="14"/>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2009</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475,194</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233,539</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129,950</w:t>
            </w:r>
          </w:p>
        </w:tc>
        <w:tc>
          <w:tcPr>
            <w:tcW w:w="1680" w:type="dxa"/>
            <w:vAlign w:val="bottom"/>
            <w:gridSpan w:val="4"/>
          </w:tcPr>
          <w:p>
            <w:pPr>
              <w:jc w:val="right"/>
              <w:ind w:right="300"/>
              <w:spacing w:after="0"/>
              <w:rPr>
                <w:sz w:val="20"/>
                <w:szCs w:val="20"/>
                <w:color w:val="auto"/>
              </w:rPr>
            </w:pPr>
            <w:r>
              <w:rPr>
                <w:rFonts w:ascii="Arial" w:cs="Arial" w:eastAsia="Arial" w:hAnsi="Arial"/>
                <w:sz w:val="18"/>
                <w:szCs w:val="18"/>
                <w:color w:val="auto"/>
              </w:rPr>
              <w:t>83,700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(5,525)</w:t>
            </w:r>
          </w:p>
        </w:tc>
        <w:tc>
          <w:tcPr>
            <w:tcW w:w="16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(7,850)</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(18,413)</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(8,500)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581,206</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300,889</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jc w:val="both"/>
        <w:ind w:right="74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June 30, 2009.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2009</w:t>
            </w:r>
          </w:p>
        </w:tc>
        <w:tc>
          <w:tcPr>
            <w:tcW w:w="4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Fourth quarter 2009</w:t>
            </w: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2011 through 2014</w:t>
            </w:r>
          </w:p>
        </w:tc>
        <w:tc>
          <w:tcPr>
            <w:tcW w:w="4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8 — INVESTMENT GAINS (LOSSES) AND 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our net unrealized holding gains (in millions) for the first half of 2009 to that recognized in other comprehensive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color w:val="auto"/>
              </w:rPr>
              <w:t>Investments in</w:t>
            </w:r>
          </w:p>
        </w:tc>
        <w:tc>
          <w:tcPr>
            <w:tcW w:w="1560" w:type="dxa"/>
            <w:vAlign w:val="bottom"/>
            <w:gridSpan w:val="3"/>
          </w:tcPr>
          <w:p>
            <w:pPr>
              <w:jc w:val="right"/>
              <w:ind w:right="680"/>
              <w:spacing w:after="0"/>
              <w:rPr>
                <w:sz w:val="20"/>
                <w:szCs w:val="20"/>
                <w:color w:val="auto"/>
              </w:rPr>
            </w:pPr>
            <w:r>
              <w:rPr>
                <w:rFonts w:ascii="Arial" w:cs="Arial" w:eastAsia="Arial" w:hAnsi="Arial"/>
                <w:sz w:val="14"/>
                <w:szCs w:val="14"/>
                <w:color w:val="auto"/>
                <w:w w:val="92"/>
              </w:rPr>
              <w:t>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640" w:type="dxa"/>
            <w:vAlign w:val="bottom"/>
            <w:gridSpan w:val="4"/>
          </w:tcPr>
          <w:p>
            <w:pPr>
              <w:ind w:left="980"/>
              <w:spacing w:after="0" w:line="149" w:lineRule="exact"/>
              <w:rPr>
                <w:sz w:val="20"/>
                <w:szCs w:val="20"/>
                <w:color w:val="auto"/>
              </w:rPr>
            </w:pPr>
            <w:r>
              <w:rPr>
                <w:rFonts w:ascii="Arial" w:cs="Arial" w:eastAsia="Arial" w:hAnsi="Arial"/>
                <w:sz w:val="14"/>
                <w:szCs w:val="14"/>
                <w:color w:val="auto"/>
              </w:rPr>
              <w:t>sponsored mutual</w:t>
            </w:r>
          </w:p>
        </w:tc>
        <w:tc>
          <w:tcPr>
            <w:tcW w:w="156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w w:val="91"/>
              </w:rPr>
              <w:t>held by savings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color w:val="auto"/>
              </w:rPr>
              <w:t>funds</w:t>
            </w:r>
          </w:p>
        </w:tc>
        <w:tc>
          <w:tcPr>
            <w:tcW w:w="640" w:type="dxa"/>
            <w:vAlign w:val="bottom"/>
          </w:tcPr>
          <w:p>
            <w:pPr>
              <w:spacing w:after="0"/>
              <w:rPr>
                <w:sz w:val="14"/>
                <w:szCs w:val="14"/>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4"/>
                <w:szCs w:val="14"/>
                <w:color w:val="auto"/>
                <w:w w:val="92"/>
              </w:rPr>
              <w:t>bank subsidiary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Reconciling amounts recognized in non-operating investment income (loss)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than temporary impairments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36.1</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Net losses (gains) realized on dispositions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income</w:t>
            </w:r>
          </w:p>
        </w:tc>
        <w:tc>
          <w:tcPr>
            <w:tcW w:w="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6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(33.5)</w:t>
            </w:r>
          </w:p>
        </w:tc>
        <w:tc>
          <w:tcPr>
            <w:tcW w:w="3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income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3"/>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80" w:type="dxa"/>
            <w:vAlign w:val="bottom"/>
            <w:gridSpan w:val="6"/>
          </w:tcPr>
          <w:p>
            <w:pPr>
              <w:spacing w:after="0"/>
              <w:rPr>
                <w:sz w:val="20"/>
                <w:szCs w:val="20"/>
                <w:color w:val="auto"/>
              </w:rPr>
            </w:pPr>
            <w:r>
              <w:rPr>
                <w:rFonts w:ascii="Arial" w:cs="Arial" w:eastAsia="Arial" w:hAnsi="Arial"/>
                <w:sz w:val="18"/>
                <w:szCs w:val="18"/>
                <w:color w:val="auto"/>
                <w:w w:val="99"/>
              </w:rPr>
              <w:t>The components of accumulated other comprehensive income (in millions) at June 30, 2009, are presented below.</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on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u w:val="single" w:color="auto"/>
                <w:color w:val="auto"/>
              </w:rPr>
              <w:t>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9 — EARNINGS PER SHARE.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January 1, 2009, new financial reporting guidance modified our earnings per share calculations to recognize our outstanding restricted stock and stock units, on which we pay non-forfeitable dividends, as if they were a separate class of stock. The new guidance does not materially change our basic and dilutive earnings per share on our common stock; however, the retrospective application did reduce dilutive earnings per share for the second quarter and the full year 2008 by $0.01 from those amounts that we previously reported.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shares (in millions) now used in calculating basic and dilutive earnings per share on our common stock follow.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Six months ended</w:t>
            </w:r>
          </w:p>
        </w:tc>
      </w:tr>
      <w:tr>
        <w:trPr>
          <w:trHeight w:val="142"/>
        </w:trPr>
        <w:tc>
          <w:tcPr>
            <w:tcW w:w="5700" w:type="dxa"/>
            <w:vAlign w:val="bottom"/>
          </w:tcPr>
          <w:p>
            <w:pPr>
              <w:spacing w:after="0"/>
              <w:rPr>
                <w:sz w:val="12"/>
                <w:szCs w:val="12"/>
                <w:color w:val="auto"/>
              </w:rPr>
            </w:pPr>
          </w:p>
        </w:tc>
        <w:tc>
          <w:tcPr>
            <w:tcW w:w="106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3"/>
              </w:rPr>
              <w:t>6/30/2008</w:t>
            </w:r>
          </w:p>
        </w:tc>
        <w:tc>
          <w:tcPr>
            <w:tcW w:w="1560" w:type="dxa"/>
            <w:vAlign w:val="bottom"/>
            <w:gridSpan w:val="4"/>
          </w:tcPr>
          <w:p>
            <w:pPr>
              <w:jc w:val="center"/>
              <w:ind w:left="416"/>
              <w:spacing w:after="0" w:line="142" w:lineRule="exact"/>
              <w:rPr>
                <w:sz w:val="20"/>
                <w:szCs w:val="20"/>
                <w:color w:val="auto"/>
              </w:rPr>
            </w:pPr>
            <w:r>
              <w:rPr>
                <w:rFonts w:ascii="Arial" w:cs="Arial" w:eastAsia="Arial" w:hAnsi="Arial"/>
                <w:sz w:val="14"/>
                <w:szCs w:val="14"/>
                <w:color w:val="auto"/>
                <w:w w:val="93"/>
              </w:rPr>
              <w:t>6/30/2009</w:t>
            </w:r>
          </w:p>
        </w:tc>
        <w:tc>
          <w:tcPr>
            <w:tcW w:w="500" w:type="dxa"/>
            <w:vAlign w:val="bottom"/>
          </w:tcPr>
          <w:p>
            <w:pPr>
              <w:spacing w:after="0"/>
              <w:rPr>
                <w:sz w:val="12"/>
                <w:szCs w:val="12"/>
                <w:color w:val="auto"/>
              </w:rPr>
            </w:pPr>
          </w:p>
        </w:tc>
        <w:tc>
          <w:tcPr>
            <w:tcW w:w="104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6"/>
              </w:rPr>
              <w:t>6/30/2008</w:t>
            </w:r>
          </w:p>
        </w:tc>
        <w:tc>
          <w:tcPr>
            <w:tcW w:w="1560" w:type="dxa"/>
            <w:vAlign w:val="bottom"/>
            <w:gridSpan w:val="4"/>
          </w:tcPr>
          <w:p>
            <w:pPr>
              <w:jc w:val="center"/>
              <w:ind w:left="416"/>
              <w:spacing w:after="0" w:line="142" w:lineRule="exact"/>
              <w:rPr>
                <w:sz w:val="20"/>
                <w:szCs w:val="20"/>
                <w:color w:val="auto"/>
              </w:rPr>
            </w:pPr>
            <w:r>
              <w:rPr>
                <w:rFonts w:ascii="Arial" w:cs="Arial" w:eastAsia="Arial" w:hAnsi="Arial"/>
                <w:sz w:val="14"/>
                <w:szCs w:val="14"/>
                <w:color w:val="auto"/>
                <w:w w:val="93"/>
              </w:rPr>
              <w:t>6/30/2009</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8"/>
              </w:rPr>
              <w:t>259.</w:t>
            </w:r>
            <w:r>
              <w:rPr>
                <w:rFonts w:ascii="Arial" w:cs="Arial" w:eastAsia="Arial" w:hAnsi="Arial"/>
                <w:sz w:val="18"/>
                <w:szCs w:val="18"/>
                <w:u w:val="single" w:color="auto"/>
                <w:color w:val="auto"/>
                <w:w w:val="88"/>
              </w:rPr>
              <w:t>6</w:t>
            </w:r>
          </w:p>
        </w:tc>
        <w:tc>
          <w:tcPr>
            <w:tcW w:w="1220" w:type="dxa"/>
            <w:vAlign w:val="bottom"/>
            <w:gridSpan w:val="3"/>
          </w:tcPr>
          <w:p>
            <w:pPr>
              <w:jc w:val="center"/>
              <w:ind w:left="736"/>
              <w:spacing w:after="0"/>
              <w:rPr>
                <w:sz w:val="20"/>
                <w:szCs w:val="20"/>
                <w:color w:val="auto"/>
              </w:rPr>
            </w:pPr>
            <w:r>
              <w:rPr>
                <w:rFonts w:ascii="Arial" w:cs="Arial" w:eastAsia="Arial" w:hAnsi="Arial"/>
                <w:sz w:val="18"/>
                <w:szCs w:val="18"/>
                <w:color w:val="auto"/>
                <w:w w:val="88"/>
              </w:rPr>
              <w:t>255.</w:t>
            </w:r>
            <w:r>
              <w:rPr>
                <w:rFonts w:ascii="Arial" w:cs="Arial" w:eastAsia="Arial" w:hAnsi="Arial"/>
                <w:sz w:val="18"/>
                <w:szCs w:val="18"/>
                <w:u w:val="single" w:color="auto"/>
                <w:color w:val="auto"/>
                <w:w w:val="88"/>
              </w:rPr>
              <w:t>2</w:t>
            </w:r>
          </w:p>
        </w:tc>
        <w:tc>
          <w:tcPr>
            <w:tcW w:w="34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260.</w:t>
            </w:r>
            <w:r>
              <w:rPr>
                <w:rFonts w:ascii="Arial" w:cs="Arial" w:eastAsia="Arial" w:hAnsi="Arial"/>
                <w:sz w:val="18"/>
                <w:szCs w:val="18"/>
                <w:u w:val="single" w:color="auto"/>
                <w:color w:val="auto"/>
                <w:w w:val="88"/>
              </w:rPr>
              <w:t>7</w:t>
            </w:r>
          </w:p>
        </w:tc>
        <w:tc>
          <w:tcPr>
            <w:tcW w:w="1240" w:type="dxa"/>
            <w:vAlign w:val="bottom"/>
            <w:gridSpan w:val="3"/>
          </w:tcPr>
          <w:p>
            <w:pPr>
              <w:jc w:val="center"/>
              <w:ind w:left="756"/>
              <w:spacing w:after="0"/>
              <w:rPr>
                <w:sz w:val="20"/>
                <w:szCs w:val="20"/>
                <w:color w:val="auto"/>
              </w:rPr>
            </w:pPr>
            <w:r>
              <w:rPr>
                <w:rFonts w:ascii="Arial" w:cs="Arial" w:eastAsia="Arial" w:hAnsi="Arial"/>
                <w:sz w:val="18"/>
                <w:szCs w:val="18"/>
                <w:color w:val="auto"/>
                <w:w w:val="88"/>
              </w:rPr>
              <w:t>255.</w:t>
            </w:r>
            <w:r>
              <w:rPr>
                <w:rFonts w:ascii="Arial" w:cs="Arial" w:eastAsia="Arial" w:hAnsi="Arial"/>
                <w:sz w:val="18"/>
                <w:szCs w:val="18"/>
                <w:u w:val="single" w:color="auto"/>
                <w:color w:val="auto"/>
                <w:w w:val="88"/>
              </w:rPr>
              <w:t>3</w:t>
            </w:r>
          </w:p>
        </w:tc>
        <w:tc>
          <w:tcPr>
            <w:tcW w:w="3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assuming dilution</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272.</w:t>
            </w:r>
            <w:r>
              <w:rPr>
                <w:rFonts w:ascii="Arial" w:cs="Arial" w:eastAsia="Arial" w:hAnsi="Arial"/>
                <w:sz w:val="18"/>
                <w:szCs w:val="18"/>
                <w:u w:val="single" w:color="auto"/>
                <w:color w:val="auto"/>
                <w:w w:val="88"/>
              </w:rPr>
              <w:t>2</w:t>
            </w:r>
          </w:p>
        </w:tc>
        <w:tc>
          <w:tcPr>
            <w:tcW w:w="1220" w:type="dxa"/>
            <w:vAlign w:val="bottom"/>
            <w:gridSpan w:val="3"/>
            <w:shd w:val="clear" w:color="auto" w:fill="CCEEFF"/>
          </w:tcPr>
          <w:p>
            <w:pPr>
              <w:jc w:val="center"/>
              <w:ind w:left="736"/>
              <w:spacing w:after="0"/>
              <w:rPr>
                <w:sz w:val="20"/>
                <w:szCs w:val="20"/>
                <w:color w:val="auto"/>
              </w:rPr>
            </w:pPr>
            <w:r>
              <w:rPr>
                <w:rFonts w:ascii="Arial" w:cs="Arial" w:eastAsia="Arial" w:hAnsi="Arial"/>
                <w:sz w:val="18"/>
                <w:szCs w:val="18"/>
                <w:color w:val="auto"/>
                <w:w w:val="88"/>
              </w:rPr>
              <w:t>261.</w:t>
            </w:r>
            <w:r>
              <w:rPr>
                <w:rFonts w:ascii="Arial" w:cs="Arial" w:eastAsia="Arial" w:hAnsi="Arial"/>
                <w:sz w:val="18"/>
                <w:szCs w:val="18"/>
                <w:u w:val="single" w:color="auto"/>
                <w:color w:val="auto"/>
                <w:w w:val="88"/>
              </w:rPr>
              <w:t>7</w:t>
            </w:r>
          </w:p>
        </w:tc>
        <w:tc>
          <w:tcPr>
            <w:tcW w:w="3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center"/>
              <w:ind w:left="410"/>
              <w:spacing w:after="0"/>
              <w:rPr>
                <w:sz w:val="20"/>
                <w:szCs w:val="20"/>
                <w:color w:val="auto"/>
              </w:rPr>
            </w:pPr>
            <w:r>
              <w:rPr>
                <w:rFonts w:ascii="Arial" w:cs="Arial" w:eastAsia="Arial" w:hAnsi="Arial"/>
                <w:sz w:val="18"/>
                <w:szCs w:val="18"/>
                <w:color w:val="auto"/>
                <w:w w:val="88"/>
              </w:rPr>
              <w:t>272.</w:t>
            </w:r>
            <w:r>
              <w:rPr>
                <w:rFonts w:ascii="Arial" w:cs="Arial" w:eastAsia="Arial" w:hAnsi="Arial"/>
                <w:sz w:val="18"/>
                <w:szCs w:val="18"/>
                <w:u w:val="single" w:color="auto"/>
                <w:color w:val="auto"/>
                <w:w w:val="88"/>
              </w:rPr>
              <w:t>8</w:t>
            </w:r>
          </w:p>
        </w:tc>
        <w:tc>
          <w:tcPr>
            <w:tcW w:w="1240" w:type="dxa"/>
            <w:vAlign w:val="bottom"/>
            <w:gridSpan w:val="3"/>
            <w:shd w:val="clear" w:color="auto" w:fill="CCEEFF"/>
          </w:tcPr>
          <w:p>
            <w:pPr>
              <w:jc w:val="center"/>
              <w:ind w:left="756"/>
              <w:spacing w:after="0"/>
              <w:rPr>
                <w:sz w:val="20"/>
                <w:szCs w:val="20"/>
                <w:color w:val="auto"/>
              </w:rPr>
            </w:pPr>
            <w:r>
              <w:rPr>
                <w:rFonts w:ascii="Arial" w:cs="Arial" w:eastAsia="Arial" w:hAnsi="Arial"/>
                <w:sz w:val="18"/>
                <w:szCs w:val="18"/>
                <w:color w:val="auto"/>
                <w:w w:val="88"/>
              </w:rPr>
              <w:t>260.</w:t>
            </w:r>
            <w:r>
              <w:rPr>
                <w:rFonts w:ascii="Arial" w:cs="Arial" w:eastAsia="Arial" w:hAnsi="Arial"/>
                <w:sz w:val="18"/>
                <w:szCs w:val="18"/>
                <w:u w:val="single" w:color="auto"/>
                <w:color w:val="auto"/>
                <w:w w:val="88"/>
              </w:rPr>
              <w:t>2</w:t>
            </w:r>
          </w:p>
        </w:tc>
        <w:tc>
          <w:tcPr>
            <w:tcW w:w="32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reviewed the condensed consolidated balance sheet of T. Rowe Price Group, Inc. and subsidiaries as of June 30, 2009, the related condensed consolidated statements of income for the three- and six-month periods ended June 30, 2008 and 2009, the related condensed consolidated statements of cash flows for the six-month periods ended June 30, 2008 and 2009, and the related condensed consolidated statement of stockholders’ equity for the six-month period ended June 30, 2009. These condensed consolidated financial statements are the responsibility of the Company’s management.</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2008, and the related consolidated statements of income, cash flows, and stockholders’ equity for the year then ended (not presented herein); and in our report dated February 5, 2009, we expressed an unqualified opinion on those consolidated financial statements. In our opinion, the information set forth in the accompanying condensed consolidated balance sheet as of December 31, 2008,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10% of our assets under management at June 30, 2009.</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remain debt-free with substantial liquidity and resources that are available to help us ride through the current market crises while prudently managing the firm for the long-term. Our financial stability allows us to take advantage of attractive growth opportunities, invest in key capabilities including investment professionals and technologies and, most importantly, provide our clients with strong investment management expertise and service both now and in the future. We believe that the second half of 2009 will likely continue to be challenging for both consumers and companies around the world; nevertheless, investors should be encouraged about the prospects for a gradual return to longer-term financial stability and global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severe downturn in global financial markets during 2008 and through much of the first half of 2009 has had a dramatic effect on investor returns and our financial results. Although we have not experienced a fundamental change in our business model like many other financial services companies, the global market decline has significantly reduced our assets under management, related advisory revenues, the value of our corporate mutual fund investments, and our net income. While we are always vigilant in controlling our expenses, we initiated a series of expense reduction measures that were accelerated with the equity market’s steep decline in the fourth quarter of 2008 and first quarter of 2009. These efforts included the April 2009 decision to reduce our workforce by 288 associates, or 5.5%. The short-term cost of our workforce reduction was $3 million of lower operating earnings in the second quarter of 2009. However, we expect to realize net savings of approximately $17 million over the next four quarters as a result of the workforce reduction, net of a decrease in our administrative fee revenues of about $6 million, which in turn saves our sponsored mutual funds a similar amount of annual expenses. Through year-to-date attrition, retirements and the workforce reduction, our number of associates is now down 9.5% from the 5,385 employed at the beginning of the year. Given the current market environment, we presently expect that our cost savings efforts could reduce our 2009 operating expenses by as much as $115 million from our 2008 level of spending.</w:t>
      </w:r>
    </w:p>
    <w:p>
      <w:pPr>
        <w:spacing w:after="0" w:line="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rally in U.S. equity markets, which began in early March, continued into the second quarter as investor sentiment improved amid signs that the extreme weakness in the economy was abating and the federal government’s measures to stabilize the banks and the financial markets were starting to restore confidence. Credit markets loosened somewhat as new Federal Reserve programs introduced earlier in the year began to allow businesses to again raise cash to fund operations, refinance debt and strengthen their balance sheets. The Federal Reserve kept the target funds rate in the range of 0% to .25%, the lowest in history. The rally began to lose steam in the early part of June as weaker than expected economic data, particularly related to the labor markets and consumer spending, continued to weigh on investors. U.S. stock indexes nevertheless posted their best quarter since 2003 and their returns moved into positive territory for the first half of 2009. However, the broad indexes remain about 35% to 40% below their 2007 highs, clear evidence of the continuing impact of the economic crisis.</w:t>
      </w:r>
    </w:p>
    <w:p>
      <w:pPr>
        <w:spacing w:after="0" w:line="8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S&amp;P 500 Index of large-cap companies in leading industries of the U.S. economy returned 15.9% in the second quarter while the NASDAQ Composite Index, which is heavily weighted with technology companies, was up 20.0% (excluding dividends). For the first six months of 2009, these indexes were up 3.2% and 16.4%, respectively.</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Stocks outside the United States had even better performance in the second quarter of 2009 due in part to the weakening U.S. dollar. Emerging markets, led by countries in emerging Europe and Latin America, outperformed all others. The MSCI EAFE Index, which measures the performance of mostly large-cap stocks in Europe, Australasia and the Far East, returned 25.9%, while the MSCI Emerging Markets Index returned 34.8% for the quarter. For the first six months of 2009, these indexes returned 8.4% and 36.2%, respectively.</w:t>
      </w:r>
    </w:p>
    <w:p>
      <w:pPr>
        <w:spacing w:after="0" w:line="7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U.S. Treasury yields continued to rise in the second quarter of 2009 causing the yield curve to steepen further as supply and fears of future inflation continued to grow. The yield on the benchmark 10-year U.S. Treasuries was 3.5% at June 30, 2009, up 82 basis points from March 31, 2009, and 128 basis points from the end of 2008. On the shortest side of the yield curve, the annual yield for one-month treasury bills was .17%.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240"/>
        <w:spacing w:after="0" w:line="257" w:lineRule="auto"/>
        <w:rPr>
          <w:sz w:val="20"/>
          <w:szCs w:val="20"/>
          <w:color w:val="auto"/>
        </w:rPr>
      </w:pPr>
      <w:r>
        <w:rPr>
          <w:rFonts w:ascii="Arial" w:cs="Arial" w:eastAsia="Arial" w:hAnsi="Arial"/>
          <w:sz w:val="18"/>
          <w:szCs w:val="18"/>
          <w:color w:val="auto"/>
        </w:rPr>
        <w:t>Returns for other fixed income securities across the globe were positive in the second quarter of 2009. High-yield issues saw significant gains as investors sought securities with higher yields, even with the added credit risk. The Credit Suisse High Yield Index gained 20.2% in the second quarter and 27.2% for the first six months of 2009. Though not as significant, municipal bonds, investment-grade corporate bonds, and emerging markets bonds (in U.S. dollar terms) all saw gains. The Barclays Capital Municipal Bond Index gained 2.1%, while the Barclays Capital U.S. Aggregate Index gained 1.8% and the J.P. Morgan Emerging Markets Index Plus gained 10.0%.</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this unsettled financial environment, investors entrusted net inflows of $8.0 billion to our management during the first half of 2009, including $3.5 billion in the second quarter. Assets under our management totaled $315.6 billion at June 30, 2009, up 17.4% from March 31, 2009 and 14.2% from the beginning of the year. The changes (in billions) in 2009 have occurred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color w:val="auto"/>
              </w:rPr>
              <w:t>Quarter ended</w:t>
            </w:r>
          </w:p>
        </w:tc>
        <w:tc>
          <w:tcPr>
            <w:tcW w:w="1760" w:type="dxa"/>
            <w:vAlign w:val="bottom"/>
            <w:gridSpan w:val="4"/>
          </w:tcPr>
          <w:p>
            <w:pPr>
              <w:ind w:left="300"/>
              <w:spacing w:after="0"/>
              <w:rPr>
                <w:sz w:val="20"/>
                <w:szCs w:val="20"/>
                <w:color w:val="auto"/>
              </w:rPr>
            </w:pPr>
            <w:r>
              <w:rPr>
                <w:rFonts w:ascii="Arial" w:cs="Arial" w:eastAsia="Arial" w:hAnsi="Arial"/>
                <w:sz w:val="14"/>
                <w:szCs w:val="14"/>
                <w:color w:val="auto"/>
              </w:rPr>
              <w:t>Quarter ended</w:t>
            </w:r>
          </w:p>
        </w:tc>
        <w:tc>
          <w:tcPr>
            <w:tcW w:w="1000" w:type="dxa"/>
            <w:vAlign w:val="bottom"/>
            <w:gridSpan w:val="3"/>
          </w:tcPr>
          <w:p>
            <w:pPr>
              <w:spacing w:after="0"/>
              <w:rPr>
                <w:sz w:val="20"/>
                <w:szCs w:val="20"/>
                <w:color w:val="auto"/>
              </w:rPr>
            </w:pPr>
            <w:r>
              <w:rPr>
                <w:rFonts w:ascii="Arial" w:cs="Arial" w:eastAsia="Arial" w:hAnsi="Arial"/>
                <w:sz w:val="14"/>
                <w:szCs w:val="14"/>
                <w:color w:val="auto"/>
              </w:rPr>
              <w:t>First half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3"/>
              </w:rPr>
              <w:t>3/31/2009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3"/>
              </w:rPr>
              <w:t>6/30/2009</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6"/>
              </w:rPr>
              <w:t>6/30/2009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Assets under management at June 30, 2009, include $227.8 billion in stock and blended asset investment portfolios and $87.8 billion in fixed income investment portfolios. The investment portfolios that we manage consist of $189.0 billion in the T. Rowe Price mutual funds distributed in the United States and $126.6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2009 versus second quarter 2008.</w:t>
      </w:r>
    </w:p>
    <w:p>
      <w:pPr>
        <w:spacing w:after="0" w:line="117"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Investment advisory revenues decreased 27%, or $135.0 million, to $360.3 million in the second quarter of 2009 as average assets under our management decreased $98.6 billion to $301.4 billion. The average annualized fee rate earned on our assets under management was 47.9 basis points during the second quarter of 2009, down from the 49.8 basis points earned in the second quarter of 2008, as lower equity market valuations resulted in a greater percentage of our assets under management being attributable to lower fee fixed income portfolios. The persistence of current market conditions will likely result in lower investment advisory fees in the third quarter of 2009 as compared to the comparable 2008 period.</w:t>
      </w:r>
    </w:p>
    <w:p>
      <w:pPr>
        <w:spacing w:after="0" w:line="6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Net revenues decreased $144.3 million, or nearly 25%, to $442.2 million. Operating expenses fell $39.6 million to $288.3 million in the second quarter of 2009, down 12% from the comparable 2008 quarter. Overall, net operating income for the second quarter of 2009 decreased $104.7 million, or 40.5%, to $153.9 million. Higher market valuations, which increased our assets under management and advisory revenues, and operating expense reductions boosted our operating margin in the second quarter of 2009 to 34.8% from 28.8% in the first quarter of the year. Net income decreased $62.2 million, or 38%, to $100.0 million and diluted earnings per share on our common stock decreased to $.38, down nearly 36% from $.59 in the 2008 quarter. We previously reported diluted earnings per share of $.60 for the 2008 second quarter. This retrospective change in diluted earnings per share is discussed in Note 9 to the accompanying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decreased 29%, or $100.7 million, to</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$248.8 million. Average mutual fund assets in the second quarter of 2009 were $179.6 billion, a decrease of 26% from the average for the comparable 2008 quarter. Mutual fund assets at June 30, 2009 were $189.0 billion, up $30.2 billion from the end of March 2009, and $9.4 billion higher than the second quarter 2009 average.</w:t>
      </w:r>
    </w:p>
    <w:p>
      <w:pPr>
        <w:spacing w:after="0" w:line="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inflows to the mutual funds were $4.1 billion during the second quarter of 2009. Our U.S. stock and blended asset funds had net inflows of $1.9 billion, our bond and money market funds added $1.3 billion, and our international and global stock funds added $.9 billion. The New Asia and New Income funds together attracted net inflows of $.9 billion. Higher market valuations and income increased our mutual fund assets under management by $26.1 billion during the 2009 quarter. During the second quarter of 2009, $1.6 billion of net fund inflows originated in our target-date Retirement Funds, which in turn invest in the other T. Rowe Price funds.</w:t>
      </w:r>
    </w:p>
    <w:p>
      <w:pPr>
        <w:spacing w:after="0" w:line="8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Investment advisory revenues earned on the other investment portfolios that we manage decreased $34.3 million, or 23.5%, to $111.5 million. Average assets in these portfolios were $121.8 billion during the second quarter of 2009, down $35.6 billion or nearly 23% from the 2008 quarter. Higher market valuations and income increased our assets under management in these portfolios by $17.2 billion during the second quarter of 2009. Net outflows were $.6 billion.</w:t>
      </w:r>
    </w:p>
    <w:p>
      <w:pPr>
        <w:spacing w:after="0" w:line="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Administrative fees decreased $9.6 million to $81.3 million from the second quarter of 2008. The change in these revenues includes a $2.4 million reduction in 12b-1 distribution and service fees recognized on lower assets under management in the Advisor and R classes of our sponsored mutual funds. The balance of the change is attributable to a decrease in the revenues from our servicing activities for the mutual funds and their related investors, which are generally offset by a similar change in the related operating expenses that are incurred to provide these services.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80"/>
        <w:spacing w:after="0" w:line="297" w:lineRule="auto"/>
        <w:rPr>
          <w:sz w:val="20"/>
          <w:szCs w:val="20"/>
          <w:color w:val="auto"/>
        </w:rPr>
      </w:pPr>
      <w:r>
        <w:rPr>
          <w:rFonts w:ascii="Arial" w:cs="Arial" w:eastAsia="Arial" w:hAnsi="Arial"/>
          <w:sz w:val="16"/>
          <w:szCs w:val="16"/>
          <w:color w:val="auto"/>
        </w:rPr>
        <w:t>Our largest expense, compensation and related costs, decreased $18.3 million, or more than 8% compared to the second quarter of 2008. This decrease includes a reduction in our annual bonus pool of $15.7 million from the 2008 quarter in response to the unfavorable financial market conditions that have negatively impacted our operating results. At June 30, 2009, we employed 4,875 associates, down 9.5% from the end of 2008 due to year-to-date attrition, retirements and our workforce reduction in April 2009. Our second quarter 2009 costs include $3.6 million of severance and related costs associated with the workforce reduction. Reductions in employee benefits and other employment expenses account for the balance of the change from the 2008 period.</w:t>
      </w:r>
    </w:p>
    <w:p>
      <w:pPr>
        <w:spacing w:after="0" w:line="5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Advertising and promotion expenditures were down 32%, or $6.5 million, compared to the second quarter of 2008. We reduced advertising and promotion expense in response to the change of investor sentiment in this uncertain and volatile market environment. We currently estimate that our advertising and promotion expenditures for the third quarter to be comparable to the 2008 third quarter. We vary our level of spending based on market conditions and investor demand as well as our efforts to expand our investor base in the United States and abroad.</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Other operating expenses decreased $15.3 million, or 31% from the comparable 2008 quarter, including a decline of $2.4 million in distribution and service expenses recognized on lower assets under management in our Advisor and R classes of mutual fund shares that are sourced from financial intermediaries. These costs are offset by an equal decrease in our administrative revenues recognized from the 12b-1 fees discussed above. Our cost control efforts resulted in the remaining expense reductions, including lower professional fees, travel and related costs, and other third party services.</w:t>
      </w:r>
    </w:p>
    <w:p>
      <w:pPr>
        <w:spacing w:after="0" w:line="6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non-operating investment activity, which includes interest income as well as the recognition of investment gains and losses, was virtually unchanged from the second quarter of 2008. A $3.0 million decrease in income from our money market funds resulting from lower interest rates was offset by greater foreign currency gains earned in the second quarter of 2009.</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second quarter 2009 provision for income taxes as a percentage of pretax income is 38.2%, up slightly from our prior estimate for the full year 2009 of 38.0%. We are presently estimating our effective tax rate for the full year to be 37.9%.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half 2009 versus first half 2008.</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Investment advisory revenues were down 31%, or $298.3 million, to $667.1 million in the first half of 2009 as average assets under our management decreased $106.3 billion to $283.2 billion. The average annualized fee rate earned on our assets under management was 47.5 basis points during the first six months of 2009, down from the 49.8 basis points earned during the comparable 2008 period, as lower equity market valuations resulted in a greater percentage of our assets under management being attributable to lower fee fixed income portfolios.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Net revenues decreased 28%, or $318.9 million, to $826.7 million. Operating expenses fell $94.7 million to $562.2 million in the first six months of 2009,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down more than 14% from the comparable 2008 period. Overall, net operating income for the first half of 2009 decreased $224.2 million, or 46%,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$264.5 million. Our operating margin for the first half of 2009 declined to 32.0% from 42.7% in the comparable 2008 period as the impact of lower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valuations, which decreased our assets under management and advisory revenues, was dampened by the savings from our cost reduction efforts. 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fell 53% or $165.5 million to $148.2 million. Diluted earnings per share on our common stock also decreased to $.57, down more than 50% or $.58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six months of 2008.</w:t>
      </w:r>
    </w:p>
    <w:p>
      <w:pPr>
        <w:spacing w:after="0" w:line="10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decreased nearly 33%, or $222.6 million, to $460.5 million. Year-to-date 2009 average mutual fund assets were $168.5 billion, down 29% from the average for the comparable 2008 period.</w:t>
      </w:r>
    </w:p>
    <w:p>
      <w:pPr>
        <w:spacing w:after="0" w:line="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inflows to the mutual funds were $5.9 billion during the first six months of 2009. The stock and blended asset funds saw net inflows of $4.0 billion, including $1.0 billion to the Equity Index 500 Fund and $.6 billion to the Value Fund. Bond and money funds added $1.9 billion of net inflows, including $.6 billion to each of the High Yield and Short Term Bond funds. During the 2009 period, net fund inflows of $3.4 billion originated in our target-date Retirement Funds, which in turn invest in the other T. Rowe Price funds. Higher market valuations and income increased fund assets under management by $18.7 billion.</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decreased $75.7 million, or 27%, to $206.6 million. Average assets in these portfolios were $114.7 billion during the first six months of 2009, down $37.9 billion or nearly 25% from the 2008 period. Other investment portfolio assets increased $14.7 billion during the first half of 2009, including $12.6 billion in market gains and income and $2.1 billion of net inflows, primarily from U.S. and international institutional investors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right="220"/>
        <w:spacing w:after="0" w:line="312" w:lineRule="auto"/>
        <w:rPr>
          <w:sz w:val="20"/>
          <w:szCs w:val="20"/>
          <w:color w:val="auto"/>
        </w:rPr>
      </w:pPr>
      <w:r>
        <w:rPr>
          <w:rFonts w:ascii="Arial" w:cs="Arial" w:eastAsia="Arial" w:hAnsi="Arial"/>
          <w:sz w:val="16"/>
          <w:szCs w:val="16"/>
          <w:color w:val="auto"/>
        </w:rPr>
        <w:t>Administrative fees decreased $21 million to $158.7 million during the first six months of 2009. The change in these revenues includes a $4.8 million reduction of 12b-1 distribution and service fees recognized on lower assets under management in the Advisor and R classes of our sponsored mutual funds. The balance of the change is attributable to a decrease in the costs of our servicing activities for the mutual funds and their related investors.</w:t>
      </w:r>
    </w:p>
    <w:p>
      <w:pPr>
        <w:spacing w:after="0" w:line="39"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Our largest expense, compensation and related costs, decreased $50.3 million, or 12% compared to the first six months of 2009. The largest part of this decrease is attributable to a $44.0 million reduction in our interim accrual for annual bonuses. Higher non-cash stock based compensation expense of $4.7 million due primarily to the timing of our 2009 grants, was more than offset by lower employee benefits and other employment expenses.</w:t>
      </w:r>
    </w:p>
    <w:p>
      <w:pPr>
        <w:spacing w:after="0" w:line="3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Advertising and promotion expenditures were down $20.3 million, or 36%, versus the 2008 period. While market conditions will dictate our future spending, we presently expect that our advertising and promotion expenditures for the full year 2009 will be about 25% lower than in 2008.</w:t>
      </w:r>
    </w:p>
    <w:p>
      <w:pPr>
        <w:spacing w:after="0" w:line="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$2.5 million compared to the first half of 2008. We have recently expanded and improved our facilities to accommodate business demands, though these initiatives have been moderated in 2009.</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non-operating investment activity resulted in a net loss of $28.1 million in the first six months of 2009 versus a net gain of $22.1 million in the comparable 2008 period. This change of $50.2 million is primarily attributable to greater other than temporary impairments recognized on our investments in sponsored mutual funds thus far in 2009. We recognize other than temporary impairments when an investment’s fair value has been below cost for an extended period. The significant declines in fair value that have occurred over the last twelve months are generally attributable to the ongoing adverse market conditions discussed in the Background section above. See also the market risk discussion below in Item 3. The following table details our related mutual fund investment gains and losses (in millions) during the first six months of the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than temporary impairments recognized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Capital gain distributions received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gain realized on fund dispositions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gain (loss) recognized on fund holdings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Lower income from our money market holdings due to the significantly lower interest rate environment and losses in our other investments account for the balance of the change.</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first half 2009 provision for income taxes as a percentage of pretax income is 37.3%, primarily reflecting certain adjustments made to our prior years’ tax accruals during the first quarter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activities during the first half of 2009 provided cash flows of $269.8 million, down $183.4 million from 2008, including a $165.5 million decrease in net income. The increase of $35.3 million in other than temporary impairments of our investments in sponsored mutual funds was more than offset by timing differences of $60.5 million in the cash settlement of our assets and liabilities. Our interim operating cash outflows do not include bonus compensation that is accrued throughout the year before being substantially paid out in December.</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investing activities totaled $64.5 million, up $21.3 million from the 2008 period. Net dispositions from our mutual fund holdings were $18.5 million more in the 2009 period. Proceeds from increased deposits at our savings bank subsidiary provided the capital for net investments in debt securities by the bank that were $14.2 million more than in the 2008 period. The first half of 2008 included $15 million of proceeds from the maturity of U.S. Treasury Note holdings, the balance of which matured or were sold prior to the end of 2008.</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cash used in financing activities was $157.0 million in the six months of 2009, down $356.9 million from the 2008 period. Compared to the first six months of 2008, we expended $310.8 million less to repurchase our common shares in the first half of 2009. In 2008, we changed our policy regarding the timing of dividend payments such that our quarterly dividends are declared and paid in the same quarter. Accordingly, our cash outflows during the first half of 2008 included the payout of dividends for the fourth quarter 2007 and for the first two quarters of 2008. This resulted in our dividends paid in 2009 decreasing $60.4 million from the 2008 period.</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cash and mutual fund investments at June 30, 2009, were more than $1.2 billion, and we have no debt. Given the availability of these financial resources, we do not maintain an available external source of liquidity. We have lowered our anticipated property and equipment expenditures for the full year 2009 to about $170 million and expect to fund these additions from our cash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have considered all newly issued accounting guidance that is applicable to our operations and the preparation of our consolidated statements, including that which we have not yet adopted. We do not believe that any will have a material effect on our financial position or results of operation.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and possible expense savings; our estimated effective income tax rate;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2008.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our success in implementing and realizing upon existing and planned cost reduction efforts;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Our revenues and net income are based primarily on the value of assets under our management. Accordingly, declines in financial market values like those recently experienced directly and negatively impact our investment advisory revenues, as well as our investment income and net income.</w:t>
      </w:r>
    </w:p>
    <w:p>
      <w:pPr>
        <w:spacing w:after="0" w:line="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Because our sponsored mutual fund holdings are considered available-for-sale securities, we recognize unrealized losses that are considered temporary in other comprehensive income. We review the carrying amount of each investment on a quarterly basis and recognize an impairment charge in non-operating investment income whenever an unrealized loss is considered other than temporary. A mutual fund holding with an impairment that has persisted daily throughout the six months between quarter-ends is generally presumed to have an other than temporary impairment unless there is persuasive evidence, such as an increase in value subsequent to quarter-end, to overcome that presumption. It is possible that we will determine at a future quarter end that continuous unrealized losses in one or more of our mutual fund investments have become other-than-temporary impairments. We could also sell our fund positions during a subsequent period and recognize previously unrealized losses as well as gains. The amount and timing of any subsequent charge will be dependent on our holdings and future market performance.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Reference should be made to the additional information provided in Item 7A of our Form 10-K Annual Report for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2009. Based on that evaluation, our principal executive and principal financial officers have concluded that our disclosure controls and procedures as of June 30, 2009,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2009, and has concluded that there was no change during the second quarter of 2009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right="2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 activity during the second quarter of 2009 conducted pursuant to the Board of Directors’ June 5, 2008, authorization occurred only during the month of June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5"/>
              </w:rPr>
              <w:t>Total Number of</w:t>
            </w:r>
          </w:p>
        </w:tc>
        <w:tc>
          <w:tcPr>
            <w:tcW w:w="3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6"/>
              </w:rPr>
              <w:t>Maximum Number of</w:t>
            </w:r>
          </w:p>
        </w:tc>
      </w:tr>
      <w:tr>
        <w:trPr>
          <w:trHeight w:val="149"/>
        </w:trPr>
        <w:tc>
          <w:tcPr>
            <w:tcW w:w="3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 as</w:t>
            </w:r>
          </w:p>
        </w:tc>
        <w:tc>
          <w:tcPr>
            <w:tcW w:w="3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1"/>
              </w:rPr>
              <w:t>Shares that May Yet</w:t>
            </w:r>
          </w:p>
        </w:tc>
      </w:tr>
      <w:tr>
        <w:trPr>
          <w:trHeight w:val="149"/>
        </w:trPr>
        <w:tc>
          <w:tcPr>
            <w:tcW w:w="3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360" w:type="dxa"/>
            <w:vAlign w:val="bottom"/>
          </w:tcPr>
          <w:p>
            <w:pPr>
              <w:spacing w:after="0"/>
              <w:rPr>
                <w:sz w:val="12"/>
                <w:szCs w:val="12"/>
                <w:color w:val="auto"/>
              </w:rPr>
            </w:pPr>
          </w:p>
        </w:tc>
        <w:tc>
          <w:tcPr>
            <w:tcW w:w="1360" w:type="dxa"/>
            <w:vAlign w:val="bottom"/>
          </w:tcPr>
          <w:p>
            <w:pPr>
              <w:ind w:left="140"/>
              <w:spacing w:after="0" w:line="149" w:lineRule="exact"/>
              <w:rPr>
                <w:sz w:val="20"/>
                <w:szCs w:val="20"/>
                <w:color w:val="auto"/>
              </w:rPr>
            </w:pPr>
            <w:r>
              <w:rPr>
                <w:rFonts w:ascii="Arial" w:cs="Arial" w:eastAsia="Arial" w:hAnsi="Arial"/>
                <w:sz w:val="14"/>
                <w:szCs w:val="14"/>
                <w:color w:val="auto"/>
              </w:rPr>
              <w:t>Average Price Paid</w:t>
            </w:r>
          </w:p>
        </w:tc>
        <w:tc>
          <w:tcPr>
            <w:tcW w:w="3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6"/>
              </w:rPr>
              <w:t>Part of Publicly</w:t>
            </w:r>
          </w:p>
        </w:tc>
        <w:tc>
          <w:tcPr>
            <w:tcW w:w="3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0"/>
              </w:rPr>
              <w:t>Be Purchased Under</w:t>
            </w:r>
          </w:p>
        </w:tc>
      </w:tr>
      <w:tr>
        <w:trPr>
          <w:trHeight w:val="16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Month</w:t>
            </w:r>
          </w:p>
        </w:tc>
        <w:tc>
          <w:tcPr>
            <w:tcW w:w="36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Shares Purchased</w:t>
            </w:r>
          </w:p>
        </w:tc>
        <w:tc>
          <w:tcPr>
            <w:tcW w:w="360" w:type="dxa"/>
            <w:vAlign w:val="bottom"/>
          </w:tcPr>
          <w:p>
            <w:pPr>
              <w:spacing w:after="0"/>
              <w:rPr>
                <w:sz w:val="14"/>
                <w:szCs w:val="14"/>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per Share</w:t>
            </w:r>
          </w:p>
        </w:tc>
        <w:tc>
          <w:tcPr>
            <w:tcW w:w="36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Announced Program</w:t>
            </w:r>
          </w:p>
        </w:tc>
        <w:tc>
          <w:tcPr>
            <w:tcW w:w="38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the Program</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6"/>
              </w:rPr>
              <w:t>June</w:t>
            </w:r>
          </w:p>
        </w:tc>
        <w:tc>
          <w:tcPr>
            <w:tcW w:w="3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360" w:type="dxa"/>
            <w:vAlign w:val="bottom"/>
          </w:tcPr>
          <w:p>
            <w:pPr>
              <w:spacing w:after="0"/>
              <w:rPr>
                <w:sz w:val="19"/>
                <w:szCs w:val="19"/>
                <w:color w:val="auto"/>
              </w:rPr>
            </w:pPr>
          </w:p>
        </w:tc>
        <w:tc>
          <w:tcPr>
            <w:tcW w:w="1360" w:type="dxa"/>
            <w:vAlign w:val="bottom"/>
          </w:tcPr>
          <w:p>
            <w:pPr>
              <w:ind w:left="400"/>
              <w:spacing w:after="0"/>
              <w:rPr>
                <w:sz w:val="20"/>
                <w:szCs w:val="20"/>
                <w:color w:val="auto"/>
              </w:rPr>
            </w:pPr>
            <w:r>
              <w:rPr>
                <w:rFonts w:ascii="Arial" w:cs="Arial" w:eastAsia="Arial" w:hAnsi="Arial"/>
                <w:sz w:val="18"/>
                <w:szCs w:val="18"/>
                <w:color w:val="auto"/>
              </w:rPr>
              <w:t>$39.84</w:t>
            </w:r>
          </w:p>
        </w:tc>
        <w:tc>
          <w:tcPr>
            <w:tcW w:w="3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100,000</w:t>
            </w:r>
          </w:p>
        </w:tc>
        <w:tc>
          <w:tcPr>
            <w:tcW w:w="3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12,659,110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annual meeting of our stockholders was held on April 8, 2009. The proxy statement and solicitation pertaining to this meeting were previously filed with the Commission. Shares eligible to vote were 255,943,130 at the record date of February 6, 2009. The nine nominees for the Board of Directors were elected to hold office until the next annual meeting of stockholders and until their respective successors are elected and qualify. The tabulation of votes was: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20" w:type="dxa"/>
            <w:vAlign w:val="bottom"/>
            <w:tcBorders>
              <w:bottom w:val="single" w:sz="8" w:color="auto"/>
            </w:tcBorders>
          </w:tcPr>
          <w:p>
            <w:pPr>
              <w:ind w:left="3140"/>
              <w:spacing w:after="0"/>
              <w:rPr>
                <w:sz w:val="20"/>
                <w:szCs w:val="20"/>
                <w:color w:val="auto"/>
              </w:rPr>
            </w:pPr>
            <w:r>
              <w:rPr>
                <w:rFonts w:ascii="Arial" w:cs="Arial" w:eastAsia="Arial" w:hAnsi="Arial"/>
                <w:sz w:val="14"/>
                <w:szCs w:val="14"/>
                <w:color w:val="auto"/>
              </w:rPr>
              <w:t>Nominee</w:t>
            </w:r>
          </w:p>
        </w:tc>
        <w:tc>
          <w:tcPr>
            <w:tcW w:w="5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540" w:type="dxa"/>
            <w:vAlign w:val="bottom"/>
          </w:tcPr>
          <w:p>
            <w:pPr>
              <w:spacing w:after="0"/>
              <w:rPr>
                <w:sz w:val="14"/>
                <w:szCs w:val="14"/>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Against</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Abstain</w:t>
            </w: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Edward C. Bernard</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218,764,780</w:t>
            </w:r>
          </w:p>
        </w:tc>
        <w:tc>
          <w:tcPr>
            <w:tcW w:w="1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4,961,422</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388,793</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James T. Brady</w:t>
            </w:r>
          </w:p>
        </w:tc>
        <w:tc>
          <w:tcPr>
            <w:tcW w:w="16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221,329,549</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2,408,570</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376,877</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J. Alfred Broaddus, Jr.</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221,813,573</w:t>
            </w:r>
          </w:p>
        </w:tc>
        <w:tc>
          <w:tcPr>
            <w:tcW w:w="1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1,920,745</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380,677</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Donald B. Hebb, Jr.</w:t>
            </w:r>
          </w:p>
        </w:tc>
        <w:tc>
          <w:tcPr>
            <w:tcW w:w="16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206,788,673</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16,985,330</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340,993</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James A.C. Kennedy</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219,066,093</w:t>
            </w:r>
          </w:p>
        </w:tc>
        <w:tc>
          <w:tcPr>
            <w:tcW w:w="1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4,739,001</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309,902</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Brian C. Rogers</w:t>
            </w:r>
          </w:p>
        </w:tc>
        <w:tc>
          <w:tcPr>
            <w:tcW w:w="16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218,661,436</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5,081,431</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372,129</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Dr. Alfred Sommer</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222,046,022</w:t>
            </w:r>
          </w:p>
        </w:tc>
        <w:tc>
          <w:tcPr>
            <w:tcW w:w="1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1,666,433</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402,541</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Dwight S. Taylor</w:t>
            </w:r>
          </w:p>
        </w:tc>
        <w:tc>
          <w:tcPr>
            <w:tcW w:w="16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221,963,324</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1,761,550</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2"/>
              </w:rPr>
              <w:t>390,121</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Anne Marie Whittemore</w:t>
            </w:r>
          </w:p>
        </w:tc>
        <w:tc>
          <w:tcPr>
            <w:tcW w:w="16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215,712,682</w:t>
            </w:r>
          </w:p>
        </w:tc>
        <w:tc>
          <w:tcPr>
            <w:tcW w:w="1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8,082,714</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2"/>
              </w:rPr>
              <w:t>319,599</w:t>
            </w:r>
          </w:p>
        </w:tc>
      </w:tr>
    </w:tbl>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appointment of KPMG LLP as the company’s independent registered public accounting firm for 2009 was ratified by a vote of 216,475,715 for; 7,327,990 against; and 311,290 abstentions.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24, 2009, we issued a press release reporting our results of operations for the second quarter of 2009. A copy of that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3(i).1</w:t>
            </w:r>
          </w:p>
        </w:tc>
        <w:tc>
          <w:tcPr>
            <w:tcW w:w="10360" w:type="dxa"/>
            <w:vAlign w:val="bottom"/>
          </w:tcPr>
          <w:p>
            <w:pPr>
              <w:ind w:left="340"/>
              <w:spacing w:after="0"/>
              <w:rPr>
                <w:sz w:val="20"/>
                <w:szCs w:val="20"/>
                <w:color w:val="auto"/>
              </w:rPr>
            </w:pPr>
            <w:r>
              <w:rPr>
                <w:rFonts w:ascii="Arial" w:cs="Arial" w:eastAsia="Arial" w:hAnsi="Arial"/>
                <w:sz w:val="18"/>
                <w:szCs w:val="18"/>
                <w:color w:val="auto"/>
                <w:w w:val="95"/>
              </w:rPr>
              <w:t>Charter of T. Rowe Price Group, Inc., as Amended by Articles of Amendment dated April 10, 2008. (Incorporated by reference from</w:t>
            </w:r>
          </w:p>
        </w:tc>
      </w:tr>
      <w:tr>
        <w:trPr>
          <w:trHeight w:val="230"/>
        </w:trPr>
        <w:tc>
          <w:tcPr>
            <w:tcW w:w="82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Form 10-Q Report for the quarterly period ended March 31, 2008; Accession No. 0000950133-08-001597.)</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3(ii)</w:t>
            </w:r>
          </w:p>
        </w:tc>
        <w:tc>
          <w:tcPr>
            <w:tcW w:w="10360" w:type="dxa"/>
            <w:vAlign w:val="bottom"/>
          </w:tcPr>
          <w:p>
            <w:pPr>
              <w:ind w:left="340"/>
              <w:spacing w:after="0"/>
              <w:rPr>
                <w:sz w:val="20"/>
                <w:szCs w:val="20"/>
                <w:color w:val="auto"/>
              </w:rPr>
            </w:pPr>
            <w:r>
              <w:rPr>
                <w:rFonts w:ascii="Arial" w:cs="Arial" w:eastAsia="Arial" w:hAnsi="Arial"/>
                <w:sz w:val="18"/>
                <w:szCs w:val="18"/>
                <w:color w:val="auto"/>
                <w:w w:val="90"/>
              </w:rPr>
              <w:t>Amended and Restated By-Laws of T. Rowe Price Group, Inc. as of February 12, 2009. (Incorporated by reference from Form 8-K Current</w:t>
            </w:r>
          </w:p>
        </w:tc>
      </w:tr>
      <w:tr>
        <w:trPr>
          <w:trHeight w:val="230"/>
        </w:trPr>
        <w:tc>
          <w:tcPr>
            <w:tcW w:w="82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Report as of February 17, 2009; Accession No. 0000950133-09-000369.)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10.03</w:t>
            </w:r>
          </w:p>
        </w:tc>
        <w:tc>
          <w:tcPr>
            <w:tcW w:w="10360" w:type="dxa"/>
            <w:vAlign w:val="bottom"/>
          </w:tcPr>
          <w:p>
            <w:pPr>
              <w:ind w:left="340"/>
              <w:spacing w:after="0"/>
              <w:rPr>
                <w:sz w:val="20"/>
                <w:szCs w:val="20"/>
                <w:color w:val="auto"/>
              </w:rPr>
            </w:pPr>
            <w:r>
              <w:rPr>
                <w:rFonts w:ascii="Arial" w:cs="Arial" w:eastAsia="Arial" w:hAnsi="Arial"/>
                <w:sz w:val="18"/>
                <w:szCs w:val="18"/>
                <w:color w:val="auto"/>
                <w:w w:val="94"/>
              </w:rPr>
              <w:t>Transfer Agency and Service Agreement as of January 1, 2009, between T. Rowe Price Services, Inc. and the T. Rowe Price Funds.</w:t>
            </w:r>
          </w:p>
        </w:tc>
      </w:tr>
      <w:tr>
        <w:trPr>
          <w:trHeight w:val="230"/>
        </w:trPr>
        <w:tc>
          <w:tcPr>
            <w:tcW w:w="82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(Incorporated by reference from Form 485BPOS; Accession No. 0000887147-09-000006.)</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10.04</w:t>
            </w:r>
          </w:p>
        </w:tc>
        <w:tc>
          <w:tcPr>
            <w:tcW w:w="10360" w:type="dxa"/>
            <w:vAlign w:val="bottom"/>
          </w:tcPr>
          <w:p>
            <w:pPr>
              <w:ind w:left="340"/>
              <w:spacing w:after="0"/>
              <w:rPr>
                <w:sz w:val="20"/>
                <w:szCs w:val="20"/>
                <w:color w:val="auto"/>
              </w:rPr>
            </w:pPr>
            <w:r>
              <w:rPr>
                <w:rFonts w:ascii="Arial" w:cs="Arial" w:eastAsia="Arial" w:hAnsi="Arial"/>
                <w:sz w:val="18"/>
                <w:szCs w:val="18"/>
                <w:color w:val="auto"/>
                <w:w w:val="96"/>
              </w:rPr>
              <w:t>Agreement as of January 1, 2009, between T. Rowe Price Retirement Plan Services, Inc. and certain of the T. Rowe Price Funds.</w:t>
            </w:r>
          </w:p>
        </w:tc>
      </w:tr>
      <w:tr>
        <w:trPr>
          <w:trHeight w:val="230"/>
        </w:trPr>
        <w:tc>
          <w:tcPr>
            <w:tcW w:w="82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(Incorporated by reference from Form 485BPOS; Accession No. 0000887147-09-000006.)</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15</w:t>
            </w:r>
          </w:p>
        </w:tc>
        <w:tc>
          <w:tcPr>
            <w:tcW w:w="10360" w:type="dxa"/>
            <w:vAlign w:val="bottom"/>
          </w:tcPr>
          <w:p>
            <w:pPr>
              <w:ind w:left="34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31(i).1</w:t>
            </w:r>
          </w:p>
        </w:tc>
        <w:tc>
          <w:tcPr>
            <w:tcW w:w="10360" w:type="dxa"/>
            <w:vAlign w:val="bottom"/>
          </w:tcPr>
          <w:p>
            <w:pPr>
              <w:ind w:left="34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31(i).2</w:t>
            </w:r>
          </w:p>
        </w:tc>
        <w:tc>
          <w:tcPr>
            <w:tcW w:w="10360" w:type="dxa"/>
            <w:vAlign w:val="bottom"/>
          </w:tcPr>
          <w:p>
            <w:pPr>
              <w:ind w:left="34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360" w:type="dxa"/>
            <w:vAlign w:val="bottom"/>
          </w:tcPr>
          <w:p>
            <w:pPr>
              <w:ind w:left="340"/>
              <w:spacing w:after="0"/>
              <w:rPr>
                <w:sz w:val="20"/>
                <w:szCs w:val="20"/>
                <w:color w:val="auto"/>
              </w:rPr>
            </w:pPr>
            <w:r>
              <w:rPr>
                <w:rFonts w:ascii="Arial" w:cs="Arial" w:eastAsia="Arial" w:hAnsi="Arial"/>
                <w:sz w:val="18"/>
                <w:szCs w:val="18"/>
                <w:color w:val="auto"/>
              </w:rPr>
              <w:t>Section 1350 Certifications.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99</w:t>
            </w:r>
          </w:p>
        </w:tc>
        <w:tc>
          <w:tcPr>
            <w:tcW w:w="10360" w:type="dxa"/>
            <w:vAlign w:val="bottom"/>
          </w:tcPr>
          <w:p>
            <w:pPr>
              <w:ind w:left="340"/>
              <w:spacing w:after="0"/>
              <w:rPr>
                <w:sz w:val="20"/>
                <w:szCs w:val="20"/>
                <w:color w:val="auto"/>
              </w:rPr>
            </w:pPr>
            <w:r>
              <w:rPr>
                <w:rFonts w:ascii="Arial" w:cs="Arial" w:eastAsia="Arial" w:hAnsi="Arial"/>
                <w:sz w:val="18"/>
                <w:szCs w:val="18"/>
                <w:color w:val="auto"/>
              </w:rPr>
              <w:t>Press release issued July 24, 2009, reporting our results of operations for the second quarter and first half of 2009.</w:t>
            </w:r>
          </w:p>
        </w:tc>
      </w:tr>
    </w:tbl>
    <w:p>
      <w:pPr>
        <w:spacing w:after="0" w:line="202" w:lineRule="exact"/>
        <w:rPr>
          <w:sz w:val="20"/>
          <w:szCs w:val="20"/>
          <w:color w:val="auto"/>
        </w:rPr>
      </w:pPr>
    </w:p>
    <w:p>
      <w:pPr>
        <w:jc w:val="both"/>
        <w:ind w:left="1160" w:hanging="1152"/>
        <w:spacing w:after="0" w:line="264"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397"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6680" w:type="dxa"/>
            <w:vAlign w:val="bottom"/>
          </w:tcPr>
          <w:p>
            <w:pPr>
              <w:ind w:left="240"/>
              <w:spacing w:after="0"/>
              <w:rPr>
                <w:sz w:val="20"/>
                <w:szCs w:val="20"/>
                <w:color w:val="auto"/>
              </w:rPr>
            </w:pPr>
            <w:r>
              <w:rPr>
                <w:rFonts w:ascii="Arial" w:cs="Arial" w:eastAsia="Arial" w:hAnsi="Arial"/>
                <w:sz w:val="18"/>
                <w:szCs w:val="18"/>
                <w:color w:val="auto"/>
              </w:rPr>
              <w:t>XBRL Instance Document (File name: trow-20090630.xml)</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66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 (File name: trow-20090630.xsd)</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6680" w:type="dxa"/>
            <w:vAlign w:val="bottom"/>
          </w:tcPr>
          <w:p>
            <w:pPr>
              <w:ind w:left="240"/>
              <w:spacing w:after="0"/>
              <w:rPr>
                <w:sz w:val="20"/>
                <w:szCs w:val="20"/>
                <w:color w:val="auto"/>
              </w:rPr>
            </w:pPr>
            <w:r>
              <w:rPr>
                <w:rFonts w:ascii="Arial" w:cs="Arial" w:eastAsia="Arial" w:hAnsi="Arial"/>
                <w:sz w:val="18"/>
                <w:szCs w:val="18"/>
                <w:color w:val="auto"/>
                <w:w w:val="93"/>
              </w:rPr>
              <w:t>XBRL Taxonomy Calculation Linkbase Document (File name: trow-20090630_cal.xml)</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6680" w:type="dxa"/>
            <w:vAlign w:val="bottom"/>
          </w:tcPr>
          <w:p>
            <w:pPr>
              <w:ind w:left="240"/>
              <w:spacing w:after="0"/>
              <w:rPr>
                <w:sz w:val="20"/>
                <w:szCs w:val="20"/>
                <w:color w:val="auto"/>
              </w:rPr>
            </w:pPr>
            <w:r>
              <w:rPr>
                <w:rFonts w:ascii="Arial" w:cs="Arial" w:eastAsia="Arial" w:hAnsi="Arial"/>
                <w:sz w:val="18"/>
                <w:szCs w:val="18"/>
                <w:color w:val="auto"/>
                <w:w w:val="95"/>
              </w:rPr>
              <w:t>XBRL Taxonomy Definition Linkbase Document (File name: trow-20090630_def.xml)</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6680" w:type="dxa"/>
            <w:vAlign w:val="bottom"/>
          </w:tcPr>
          <w:p>
            <w:pPr>
              <w:ind w:left="240"/>
              <w:spacing w:after="0"/>
              <w:rPr>
                <w:sz w:val="20"/>
                <w:szCs w:val="20"/>
                <w:color w:val="auto"/>
              </w:rPr>
            </w:pPr>
            <w:r>
              <w:rPr>
                <w:rFonts w:ascii="Arial" w:cs="Arial" w:eastAsia="Arial" w:hAnsi="Arial"/>
                <w:sz w:val="18"/>
                <w:szCs w:val="18"/>
                <w:color w:val="auto"/>
                <w:w w:val="99"/>
              </w:rPr>
              <w:t>XBRL Taxonomy Label Linkbase Document (File name: trow-20090630_lab.xml)</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6680" w:type="dxa"/>
            <w:vAlign w:val="bottom"/>
          </w:tcPr>
          <w:p>
            <w:pPr>
              <w:ind w:left="240"/>
              <w:spacing w:after="0"/>
              <w:rPr>
                <w:sz w:val="20"/>
                <w:szCs w:val="20"/>
                <w:color w:val="auto"/>
              </w:rPr>
            </w:pPr>
            <w:r>
              <w:rPr>
                <w:rFonts w:ascii="Arial" w:cs="Arial" w:eastAsia="Arial" w:hAnsi="Arial"/>
                <w:sz w:val="18"/>
                <w:szCs w:val="18"/>
                <w:color w:val="auto"/>
                <w:w w:val="91"/>
              </w:rPr>
              <w:t>XBRL Taxonomy Presentation Linkbase Document (File name: trow-20090630_pre.xml)</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101.REF</w:t>
            </w:r>
          </w:p>
        </w:tc>
        <w:tc>
          <w:tcPr>
            <w:tcW w:w="6680" w:type="dxa"/>
            <w:vAlign w:val="bottom"/>
          </w:tcPr>
          <w:p>
            <w:pPr>
              <w:ind w:left="240"/>
              <w:spacing w:after="0"/>
              <w:rPr>
                <w:sz w:val="20"/>
                <w:szCs w:val="20"/>
                <w:color w:val="auto"/>
              </w:rPr>
            </w:pPr>
            <w:r>
              <w:rPr>
                <w:rFonts w:ascii="Arial" w:cs="Arial" w:eastAsia="Arial" w:hAnsi="Arial"/>
                <w:sz w:val="18"/>
                <w:szCs w:val="18"/>
                <w:color w:val="auto"/>
                <w:w w:val="94"/>
              </w:rPr>
              <w:t>XBRL Taxonomy Reference Linkbase Document (File name: trow-20090630_ref.xml)</w:t>
            </w:r>
          </w:p>
        </w:tc>
      </w:tr>
    </w:tbl>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24,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80"/>
          </w:cols>
          <w:pgMar w:left="240" w:top="931"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 xml:space="preserve">Exhibit 15 Letter from KPMG LLP, independent registered public accounting firm, </w:t>
      </w:r>
      <w:r>
        <w:rPr>
          <w:rFonts w:ascii="Arial" w:cs="Arial" w:eastAsia="Arial" w:hAnsi="Arial"/>
          <w:sz w:val="18"/>
          <w:szCs w:val="18"/>
          <w:b w:val="1"/>
          <w:bCs w:val="1"/>
          <w:color w:val="auto"/>
        </w:rPr>
        <w:t>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and No. 333-142092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24, 2009 related to our review of interim financial information.</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ectPr>
          <w:pgSz w:w="11900" w:h="16838" w:orient="portrait"/>
          <w:cols w:equalWidth="0" w:num="1">
            <w:col w:w="11380"/>
          </w:cols>
          <w:pgMar w:left="240" w:top="121" w:right="279" w:bottom="1440" w:gutter="0" w:footer="0" w:header="0"/>
        </w:sectPr>
      </w:pPr>
    </w:p>
    <w:bookmarkStart w:id="18" w:name="page19"/>
    <w:bookmarkEnd w:id="18"/>
    <w:p>
      <w:pPr>
        <w:ind w:right="5680"/>
        <w:spacing w:after="0" w:line="378" w:lineRule="auto"/>
        <w:rPr>
          <w:sz w:val="20"/>
          <w:szCs w:val="20"/>
          <w:color w:val="auto"/>
        </w:rPr>
      </w:pPr>
      <w:r>
        <w:rPr>
          <w:rFonts w:ascii="Arial" w:cs="Arial" w:eastAsia="Arial" w:hAnsi="Arial"/>
          <w:sz w:val="18"/>
          <w:szCs w:val="18"/>
          <w:b w:val="1"/>
          <w:bCs w:val="1"/>
          <w:color w:val="auto"/>
        </w:rPr>
        <w:t xml:space="preserve">Exhibit 31(i).1 Rule 13a-14(a) Certification of Principal Executive Officer </w:t>
      </w:r>
      <w:r>
        <w:rPr>
          <w:rFonts w:ascii="Arial" w:cs="Arial" w:eastAsia="Arial" w:hAnsi="Arial"/>
          <w:sz w:val="18"/>
          <w:szCs w:val="18"/>
          <w:color w:val="auto"/>
        </w:rPr>
        <w:t>I, James A. C. Kennedy, certify that:</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2009, of T. Rowe Price Group, Inc.;</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2009, of T. Rowe Price Group, Inc.;</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0" w:name="page21"/>
    <w:bookmarkEnd w:id="20"/>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2009, of T. Rowe Price Group, Inc., that:</w:t>
      </w:r>
    </w:p>
    <w:p>
      <w:pPr>
        <w:spacing w:after="0" w:line="6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220980</wp:posOffset>
            </wp:positionV>
            <wp:extent cx="6637655" cy="80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765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5460"/>
        <w:spacing w:after="0" w:line="400" w:lineRule="auto"/>
        <w:rPr>
          <w:sz w:val="20"/>
          <w:szCs w:val="20"/>
          <w:color w:val="auto"/>
        </w:rPr>
      </w:pPr>
      <w:r>
        <w:rPr>
          <w:rFonts w:ascii="Arial" w:cs="Arial" w:eastAsia="Arial" w:hAnsi="Arial"/>
          <w:sz w:val="17"/>
          <w:szCs w:val="17"/>
          <w:b w:val="1"/>
          <w:bCs w:val="1"/>
          <w:color w:val="auto"/>
        </w:rPr>
        <w:t xml:space="preserve">T. ROWE PRICE GROUP REPORTS SECOND QUARTER 2009 RESULTS </w:t>
      </w:r>
      <w:r>
        <w:rPr>
          <w:rFonts w:ascii="Arial" w:cs="Arial" w:eastAsia="Arial" w:hAnsi="Arial"/>
          <w:sz w:val="17"/>
          <w:szCs w:val="17"/>
          <w:b w:val="1"/>
          <w:bCs w:val="1"/>
          <w:i w:val="1"/>
          <w:iCs w:val="1"/>
          <w:color w:val="auto"/>
        </w:rPr>
        <w:t>Assets Under Management up 17.4% During Quarter to $315.6 Billion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BALTIMORE (July 24, 2009) — T. Rowe Price Group, Inc. (NASDAQ-GS: TROW) today reported its second quarter 2009 results, including net revenues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$442.2 million, net income of $100.0 million, and diluted earnings per share on common stock of $.38. Net revenues in the second quarter of 2008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$586.5 million when net income was $162.2 million and diluted earnings per share was $.59. The previously reported 2008 second quarter diluted earnings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share on common stock of $.60 was adjusted to reflect the retrospective application of new financial reporting guidance.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advisory revenues were down 27%, or $135 million, from the comparable 2008 quarter. Assets under management increased from $268.8 billion at March 31, 2009, to $315.6 billion at June 30, including $189.0 billion in the T. Rowe Price mutual funds distributed in the United States and $126.6 billion in other managed investment portfolios. Net cash inflows in the second quarter of 2009 totaled $3.5 billion. Higher market valuations and income added $43.3 billion to assets under management in the 2009 quarter.</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Results for the first half of 2009 include net revenues of $826.7 million, net income of $148.2 million, and diluted earnings per share of common stock of $.57, down just over 50% from $1.15 per share in the first half of 2008. Assets under management are up $39.3 billion, or 14% from the beginning of 2009. Net cash inflows from investors totaled $8.0 billion, and net market appreciation and income added $31.3 billion, during the year-to-date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Relative to the second quarter of 2008, investment advisory revenues earned from the T. Rowe Price mutual funds distributed in the United States decreased 29%, or $100.7 million, to $248.8 million. Average mutual fund assets in the second quarter of 2009 were $179.6 billion, a decrease of 26% from the average for the comparable 2008 quarter. Mutual fund assets at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June 30, 2009 were $189.0 billion, up $30.2 billion from the end of March 2009, and $9.4 billion higher than the second quarter 2009 average.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inflows to the mutual funds were $4.1 billion during the second quarter of 2009. U.S. stock and blended asset funds had net inflows of $1.9 billion, the bond and money market funds added $1.3 billion, and the international and global stock funds added $.9 billion. The New Asia and New Income funds together attracted net inflows of $.9 billion. Higher market valuations and income increased mutual fund assets under management by $26.1 billion during the 2009 quarter.</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Investment advisory revenues earned from other managed investment portfolios, consisting of institutional separate accounts, sub-advised funds, sponsored investment funds which are offered to investors outside the U.S., and variable insurance portfolios, were $111.5 million in the 2009 quarter, a decrease of more than $34 million from the comparable 2008 quarter. Higher market valuations and income increased the assets under management in these portfolios by $17.2 billion during the second quarter of 2009, offset by modest net outflows of $.6 billion. Investors outside the United States account for 10% of the firm’s assets under management.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target-date retirement investment portfolios continue to be a significant source of assets under management. During the 2009 quarter, net inflows of</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$1.8 billion originated in these portfolios. Assets in the target-date retirement portfolios were $33.1 billion at June 30, 2009, accounting for 10% of the firm’s assets under management and 17% of its mutual fund assets.</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expenses were $288.3 million in the second quarter of 2009, down $39.6 million from the 2008 quarter. Compensation and related costs decreased $18.3 million, or more than 8%, from the comparable 2008 quarter, primarily due to a reduction in the interim accrual for the expected annual bonus compensation program. At June 30, 2009, the firm employed 4,875 associates, down 9.5% from the end of 2008 due to year-to-date attrition, retirements and the workforce reduction in April 2009.</w:t>
      </w:r>
    </w:p>
    <w:p>
      <w:pPr>
        <w:spacing w:after="0" w:line="7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Advertising and promotion expenditures were down 32%, or $6.5 million, compared to the second quarter of 2008. The firm has reduced advertising and promotion expense in response to the change of investor sentiment in this uncertain and volatile market environment. Advertising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color w:val="auto"/>
        </w:rPr>
        <w:t>and promotion spending for the third quarter is expected to be comparable to the third quarter of 2008, and full year 2009 spending is expected to be about 25% lower than in 2008.</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Other operating expenses decreased $15.3 million, or 31% from the comparable 2008 quarter. The firm’s cost control efforts have resulted in expense reductions across the board, including in professional fees, travel and related costs, and other third party services.</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Overall, net operating income for the second quarter of 2009 decreased $104.7 million, or 40.5%, to $153.9 million from the comparable 2008 quarter. Net operating income in the second quarter of 2009 includes a net cost of $3 million for the workforce reduction in April 2009. However, the firm expects to realize a net savings of approximately $17 million over the subsequent four quarters from the workforce reduction, and roughly $6 million in annualized expenses will be saved for the firm’s sponsored mutual funds from these actions.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second quarter of 2009, the firm recognized $2.3 million of capital gains on the disposition of certain corporate mutual fund holdings and $.5 million of other than temporary impairments. Unrealized losses of $.7 million remain in the firm’s mutual fund investment portfolio at June 30, 2009.</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second quarter 2009 provision for income taxes as a percentage of pretax income is 38.2%, up slightly from the prior estimate for the full year 2009 of 38.0%. The new estimate of the effective tax rate for the full year 2009 is 37.9%.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James A.C. Kennedy, the company’s Chief Executive Officer and President, commented: “The firm’s investment advisory results relative to our peers remain strong, with at least 84% of the T. Rowe Price funds across their share classes surpassing their comparable Lipper averages on a total return basis for the one-, three- and five-year periods ended June 30, 2009, and 78% outperforming for the 10-year period. In addition, T. Rowe Price stock, bond and blended asset funds that ended the quarter with an overall rating of four or five stars from Morningstar account for more than 67% of our rated funds’ assets under management.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120"/>
        <w:spacing w:after="0" w:line="257" w:lineRule="auto"/>
        <w:rPr>
          <w:sz w:val="20"/>
          <w:szCs w:val="20"/>
          <w:color w:val="auto"/>
        </w:rPr>
      </w:pPr>
      <w:r>
        <w:rPr>
          <w:rFonts w:ascii="Arial" w:cs="Arial" w:eastAsia="Arial" w:hAnsi="Arial"/>
          <w:sz w:val="18"/>
          <w:szCs w:val="18"/>
          <w:color w:val="auto"/>
        </w:rPr>
        <w:t>“Our second quarter results were achieved during an improving investment environment, with the market rally which began in early March signaling that we may have passed the bottom in the markets. Nevertheless, the severe downturn in global financial markets since mid-2008 has had a dramatic effect on our comparative financial results. Although we have not experienced a fundamental change in our business model like many other financial services companies, the global market declines have significantly reduced our assets under management, related advisory revenues, the value of our corporate mutual fund investments, and our net income.</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remain debt-free with substantial liquidity, including cash and mutual fund investment holdings of $1.2 billion that affords us the opportunity to invest for the future. We have expended $55 million so far this year to repurchase 2.0 million of our common shares. Based on current strategic projects and plans, the firm’s property and equipment additions for all of 2009 are estimated to be $170 million, including $65 million already invested this year. These cash expenditures have been funded from our available liquid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Commentary</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worldwide government efforts to mitigate the fallout from the financial crisis begin to take hold, credit markets continue to revive, and the economy slowly begins to stabilize and recover, we are cautiously optimistic that the worst of the global economic and market downturn is behind us,” Mr. Kennedy said. “Our optimism, however, is tempered given that economic recovery will likely be uneven and varying in degree across the globe. The second half of 2009 will likely continue to be challenging for both consumers and companies around the world; nevertheless, investors should be encouraged about the prospects for a gradual return to longer-term financial stability and global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Comment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closing, Mr. Kennedy said: “Although the dislocation in the financial markets has affected us, our very strong financial position has helped us manage through the crisis and enabled us to stay focused on our clients. While we continue to be vigilant about controlling expenses, our financial stability allows us to take advantage of attractive growth opportunities, invest in key capabilities including investment professionals and technologies and, most importantly, continue to provide our clients with investment management expertise and high-quality service. We are encouraged by continued investor interest and demand across our diversified investment strategies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right="80"/>
        <w:spacing w:after="0" w:line="342" w:lineRule="auto"/>
        <w:rPr>
          <w:sz w:val="20"/>
          <w:szCs w:val="20"/>
          <w:color w:val="auto"/>
        </w:rPr>
      </w:pPr>
      <w:r>
        <w:rPr>
          <w:rFonts w:ascii="Arial" w:cs="Arial" w:eastAsia="Arial" w:hAnsi="Arial"/>
          <w:sz w:val="16"/>
          <w:szCs w:val="16"/>
          <w:color w:val="auto"/>
        </w:rPr>
        <w:t>distribution channels. Despite the challenges of the past year, the long-term outlook for T. Rowe Price remains strong. Our time-tested disciplined investment process, consistent and competitive performance over time, and dedicated associates continue to add value for our clients and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Quarterly Report for the second quarter of 2009 with the U.S. Securities and Exchange Commission later today. The Form 10-Q will include more information on the company’s unaudited financial results and sponsored fund investments. It will also include our financial information in the XBRL data format.</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Certain statements in this press release may represent “forward-looking information,” including information relating to anticipated changes in revenues, net income and earnings per share on common stock, anticipated changes in the amount and composition of assets under management, anticipated expense levels and expense savings, estimated tax rates, and expectations regarding financial and other market conditions. For a discussion concerning risks and other factors that could affect future results, see the company’s 2008 Form 10-K and 2009 Form 10-Q reports.</w:t>
      </w:r>
    </w:p>
    <w:p>
      <w:pPr>
        <w:spacing w:after="0" w:line="6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www.troweprice.com.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6/30/2008</w:t>
            </w:r>
          </w:p>
        </w:tc>
        <w:tc>
          <w:tcPr>
            <w:tcW w:w="3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6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6/30/2008</w:t>
            </w: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495.3</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360.3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965.4</w:t>
            </w:r>
          </w:p>
        </w:tc>
        <w:tc>
          <w:tcPr>
            <w:tcW w:w="5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1,148.1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1,145.6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826.7</w:t>
            </w:r>
          </w:p>
        </w:tc>
        <w:tc>
          <w:tcPr>
            <w:tcW w:w="0" w:type="dxa"/>
            <w:vAlign w:val="bottom"/>
          </w:tcPr>
          <w:p>
            <w:pPr>
              <w:spacing w:after="0"/>
              <w:rPr>
                <w:sz w:val="1"/>
                <w:szCs w:val="1"/>
                <w:color w:val="auto"/>
              </w:rPr>
            </w:pP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199.7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288.3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153.9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non-operating investment income (loss)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197.1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148.2</w:t>
            </w:r>
          </w:p>
        </w:tc>
        <w:tc>
          <w:tcPr>
            <w:tcW w:w="0" w:type="dxa"/>
            <w:vAlign w:val="bottom"/>
          </w:tcPr>
          <w:p>
            <w:pPr>
              <w:spacing w:after="0"/>
              <w:rPr>
                <w:sz w:val="1"/>
                <w:szCs w:val="1"/>
                <w:color w:val="auto"/>
              </w:rPr>
            </w:pP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color w:val="auto"/>
              </w:rPr>
              <w:t>Earnings per share on common stock</w:t>
            </w:r>
          </w:p>
        </w:tc>
        <w:tc>
          <w:tcPr>
            <w:tcW w:w="1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on common stock</w:t>
            </w: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255.2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261.7</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vMerge w:val="restart"/>
          </w:tcPr>
          <w:p>
            <w:pPr>
              <w:jc w:val="right"/>
              <w:ind w:right="63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6/30/2008</w:t>
            </w:r>
          </w:p>
        </w:tc>
        <w:tc>
          <w:tcPr>
            <w:tcW w:w="34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6/30/2008</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1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296.8</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195.3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248.8</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portfolios</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advisory fees</w:t>
            </w:r>
          </w:p>
        </w:tc>
        <w:tc>
          <w:tcPr>
            <w:tcW w:w="1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495.3</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360.3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965.4</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194.4</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130.0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189.5</w:t>
            </w:r>
          </w:p>
        </w:tc>
        <w:tc>
          <w:tcPr>
            <w:tcW w:w="340" w:type="dxa"/>
            <w:vAlign w:val="bottom"/>
          </w:tcPr>
          <w:p>
            <w:pPr>
              <w:spacing w:after="0"/>
              <w:rPr>
                <w:sz w:val="18"/>
                <w:szCs w:val="18"/>
                <w:color w:val="auto"/>
              </w:rPr>
            </w:pP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179.6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121.8</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301.4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117.9</w:t>
            </w: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portfolios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111.9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c>
          <w:tcPr>
            <w:tcW w:w="340" w:type="dxa"/>
            <w:vAlign w:val="bottom"/>
          </w:tcPr>
          <w:p>
            <w:pPr>
              <w:spacing w:after="0"/>
              <w:rPr>
                <w:sz w:val="24"/>
                <w:szCs w:val="24"/>
                <w:color w:val="auto"/>
              </w:rPr>
            </w:pP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6/30/2008</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Condensed Consolidated Cash Flows Information (in millions)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7"/>
          </w:tcPr>
          <w:p>
            <w:pPr>
              <w:spacing w:after="0" w:line="201" w:lineRule="exact"/>
              <w:rPr>
                <w:sz w:val="20"/>
                <w:szCs w:val="20"/>
                <w:color w:val="auto"/>
              </w:rPr>
            </w:pPr>
            <w:r>
              <w:rPr>
                <w:rFonts w:ascii="Arial" w:cs="Arial" w:eastAsia="Arial" w:hAnsi="Arial"/>
                <w:sz w:val="18"/>
                <w:szCs w:val="18"/>
                <w:color w:val="auto"/>
                <w:w w:val="90"/>
              </w:rPr>
              <w:t>Cash provided by operating activities, including $44.0 of stock-based compensation and $36.1 of impairments on</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mutual fund investments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453.2</w:t>
            </w:r>
          </w:p>
        </w:tc>
        <w:tc>
          <w:tcPr>
            <w:tcW w:w="340" w:type="dxa"/>
            <w:vAlign w:val="bottom"/>
          </w:tcPr>
          <w:p>
            <w:pPr>
              <w:spacing w:after="0"/>
              <w:rPr>
                <w:sz w:val="20"/>
                <w:szCs w:val="20"/>
                <w:color w:val="auto"/>
              </w:rPr>
            </w:pP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Cash used in investing activities, including ($65.3) for additions to property and equipment in 2009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tcPr>
          <w:p>
            <w:pPr>
              <w:spacing w:after="0" w:line="201" w:lineRule="exact"/>
              <w:rPr>
                <w:sz w:val="20"/>
                <w:szCs w:val="20"/>
                <w:color w:val="auto"/>
              </w:rPr>
            </w:pPr>
            <w:r>
              <w:rPr>
                <w:rFonts w:ascii="Arial" w:cs="Arial" w:eastAsia="Arial" w:hAnsi="Arial"/>
                <w:sz w:val="18"/>
                <w:szCs w:val="18"/>
                <w:color w:val="auto"/>
                <w:w w:val="97"/>
              </w:rPr>
              <w:t>Cash used in financing activities, including common stock repurchases of ($58.9) and dividends paid of ($128.0) in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(513.9)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(103.9)</w:t>
            </w: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6/30/2009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Condensed Consolidated Balance Sheet Information (in millions)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619.1</w:t>
            </w:r>
          </w:p>
        </w:tc>
        <w:tc>
          <w:tcPr>
            <w:tcW w:w="340" w:type="dxa"/>
            <w:vAlign w:val="bottom"/>
          </w:tcPr>
          <w:p>
            <w:pPr>
              <w:spacing w:after="0"/>
              <w:rPr>
                <w:sz w:val="18"/>
                <w:szCs w:val="18"/>
                <w:color w:val="auto"/>
              </w:rPr>
            </w:pP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Accounts receivable and other assets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2,819.4</w:t>
            </w:r>
          </w:p>
        </w:tc>
        <w:tc>
          <w:tcPr>
            <w:tcW w:w="3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 liabilities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330.6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7"/>
              </w:rPr>
              <w:t>Stockholders’ equity, 256.0 common shares outstanding in 2009, including net unrealized holding gains of $50.3 in</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$ 2,488.8</w:t>
            </w:r>
          </w:p>
        </w:tc>
        <w:tc>
          <w:tcPr>
            <w:tcW w:w="34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$ 2,580.1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vMerge w:val="restart"/>
          </w:tcPr>
          <w:p>
            <w:pPr>
              <w:jc w:val="right"/>
              <w:ind w:right="6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decimal"/>
      <w:start w:val="10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2019-12-10T20:07:08Z</dcterms:created>
  <dcterms:modified xsi:type="dcterms:W3CDTF">2019-12-10T20:07:08Z</dcterms:modified>
</cp:coreProperties>
</file>