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 10-K</w:t>
      </w:r>
    </w:p>
    <w:p>
      <w:pPr>
        <w:spacing w:after="0" w:line="115" w:lineRule="exact"/>
        <w:rPr>
          <w:sz w:val="24"/>
          <w:szCs w:val="24"/>
          <w:color w:val="auto"/>
        </w:rPr>
      </w:pPr>
    </w:p>
    <w:p>
      <w:pPr>
        <w:jc w:val="center"/>
        <w:ind w:left="5500" w:right="1240" w:hanging="4146"/>
        <w:spacing w:after="0" w:line="258" w:lineRule="auto"/>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 OR</w:t>
      </w:r>
    </w:p>
    <w:p>
      <w:pPr>
        <w:ind w:left="1340" w:hanging="192"/>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9" w:lineRule="exact"/>
        <w:rPr>
          <w:sz w:val="24"/>
          <w:szCs w:val="24"/>
          <w:color w:val="auto"/>
        </w:rPr>
      </w:pPr>
    </w:p>
    <w:p>
      <w:pPr>
        <w:spacing w:after="0"/>
        <w:rPr>
          <w:sz w:val="20"/>
          <w:szCs w:val="20"/>
          <w:color w:val="auto"/>
        </w:rPr>
      </w:pPr>
      <w:r>
        <w:rPr>
          <w:rFonts w:ascii="Arial" w:cs="Arial" w:eastAsia="Arial" w:hAnsi="Arial"/>
          <w:sz w:val="17"/>
          <w:szCs w:val="17"/>
          <w:color w:val="auto"/>
        </w:rPr>
        <w:t>For the fiscal year ended December 31, 2022</w:t>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000-32191</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 ROWE PRICE GROUP,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(Exact name of registrant as specified in its charter)</w:t>
      </w:r>
    </w:p>
    <w:p>
      <w:pPr>
        <w:spacing w:after="0" w:line="169" w:lineRule="exact"/>
        <w:rPr>
          <w:sz w:val="24"/>
          <w:szCs w:val="24"/>
          <w:color w:val="auto"/>
        </w:rPr>
      </w:pPr>
    </w:p>
    <w:tbl>
      <w:tblPr>
        <w:tblLayout w:type="fixed"/>
        <w:tblInd w:w="188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Maryland</w:t>
            </w:r>
          </w:p>
        </w:tc>
        <w:tc>
          <w:tcPr>
            <w:tcW w:w="232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7"/>
                <w:szCs w:val="17"/>
                <w:b w:val="1"/>
                <w:bCs w:val="1"/>
                <w:color w:val="auto"/>
              </w:rPr>
              <w:t>52-2264646</w:t>
            </w:r>
          </w:p>
        </w:tc>
        <w:tc>
          <w:tcPr>
            <w:tcW w:w="72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3520" w:type="dxa"/>
            <w:vAlign w:val="bottom"/>
            <w:gridSpan w:val="3"/>
          </w:tcPr>
          <w:p>
            <w:pPr>
              <w:jc w:val="center"/>
              <w:ind w:right="1880"/>
              <w:spacing w:after="0"/>
              <w:rPr>
                <w:sz w:val="20"/>
                <w:szCs w:val="20"/>
                <w:color w:val="auto"/>
              </w:rPr>
            </w:pPr>
            <w:r>
              <w:rPr>
                <w:rFonts w:ascii="Arial" w:cs="Arial" w:eastAsia="Arial" w:hAnsi="Arial"/>
                <w:sz w:val="17"/>
                <w:szCs w:val="17"/>
                <w:color w:val="auto"/>
              </w:rPr>
              <w:t>State of incorporation</w:t>
            </w:r>
          </w:p>
        </w:tc>
        <w:tc>
          <w:tcPr>
            <w:tcW w:w="4280" w:type="dxa"/>
            <w:vAlign w:val="bottom"/>
            <w:gridSpan w:val="3"/>
          </w:tcPr>
          <w:p>
            <w:pPr>
              <w:jc w:val="center"/>
              <w:ind w:left="1815"/>
              <w:spacing w:after="0"/>
              <w:rPr>
                <w:sz w:val="20"/>
                <w:szCs w:val="20"/>
                <w:color w:val="auto"/>
              </w:rPr>
            </w:pPr>
            <w:r>
              <w:rPr>
                <w:rFonts w:ascii="Arial" w:cs="Arial" w:eastAsia="Arial" w:hAnsi="Arial"/>
                <w:sz w:val="17"/>
                <w:szCs w:val="17"/>
                <w:color w:val="auto"/>
              </w:rPr>
              <w:t>IRS Employer Identification No.</w:t>
            </w:r>
          </w:p>
        </w:tc>
      </w:tr>
    </w:tbl>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100 East Pratt Street, Baltimore, Maryland 21202</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(410) 345-2000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Registrant’s telephone number, including area code</w:t>
      </w:r>
    </w:p>
    <w:p>
      <w:pPr>
        <w:spacing w:after="0" w:line="45"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7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Common stock, $.20 par value per share</w:t>
            </w:r>
          </w:p>
        </w:tc>
        <w:tc>
          <w:tcPr>
            <w:tcW w:w="920" w:type="dxa"/>
            <w:vAlign w:val="bottom"/>
          </w:tcPr>
          <w:p>
            <w:pPr>
              <w:spacing w:after="0"/>
              <w:rPr>
                <w:sz w:val="16"/>
                <w:szCs w:val="16"/>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rPr>
              <w:t>TROW</w:t>
            </w:r>
          </w:p>
        </w:tc>
        <w:tc>
          <w:tcPr>
            <w:tcW w:w="3600" w:type="dxa"/>
            <w:vAlign w:val="bottom"/>
            <w:gridSpan w:val="5"/>
          </w:tcPr>
          <w:p>
            <w:pPr>
              <w:jc w:val="center"/>
              <w:ind w:left="579"/>
              <w:spacing w:after="0"/>
              <w:rPr>
                <w:sz w:val="20"/>
                <w:szCs w:val="20"/>
                <w:color w:val="auto"/>
              </w:rPr>
            </w:pPr>
            <w:r>
              <w:rPr>
                <w:rFonts w:ascii="Arial" w:cs="Arial" w:eastAsia="Arial" w:hAnsi="Arial"/>
                <w:sz w:val="16"/>
                <w:szCs w:val="16"/>
                <w:b w:val="1"/>
                <w:bCs w:val="1"/>
                <w:color w:val="auto"/>
              </w:rPr>
              <w:t>The NASDAQ Stock Market LLC</w:t>
            </w:r>
          </w:p>
        </w:tc>
      </w:tr>
      <w:tr>
        <w:trPr>
          <w:trHeight w:val="20"/>
        </w:trPr>
        <w:tc>
          <w:tcPr>
            <w:tcW w:w="7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4"/>
        </w:trPr>
        <w:tc>
          <w:tcPr>
            <w:tcW w:w="7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rPr>
              <w:t>(Title of class)</w:t>
            </w:r>
          </w:p>
        </w:tc>
        <w:tc>
          <w:tcPr>
            <w:tcW w:w="620" w:type="dxa"/>
            <w:vAlign w:val="bottom"/>
          </w:tcPr>
          <w:p>
            <w:pPr>
              <w:spacing w:after="0"/>
              <w:rPr>
                <w:sz w:val="20"/>
                <w:szCs w:val="20"/>
                <w:color w:val="auto"/>
              </w:rPr>
            </w:pPr>
          </w:p>
        </w:tc>
        <w:tc>
          <w:tcPr>
            <w:tcW w:w="2400" w:type="dxa"/>
            <w:vAlign w:val="bottom"/>
            <w:gridSpan w:val="3"/>
          </w:tcPr>
          <w:p>
            <w:pPr>
              <w:jc w:val="center"/>
              <w:ind w:right="60"/>
              <w:spacing w:after="0"/>
              <w:rPr>
                <w:sz w:val="20"/>
                <w:szCs w:val="20"/>
                <w:color w:val="auto"/>
              </w:rPr>
            </w:pPr>
            <w:r>
              <w:rPr>
                <w:rFonts w:ascii="Arial" w:cs="Arial" w:eastAsia="Arial" w:hAnsi="Arial"/>
                <w:sz w:val="16"/>
                <w:szCs w:val="16"/>
                <w:color w:val="auto"/>
              </w:rPr>
              <w:t>(Ticker symbol)</w:t>
            </w:r>
          </w:p>
        </w:tc>
        <w:tc>
          <w:tcPr>
            <w:tcW w:w="3600" w:type="dxa"/>
            <w:vAlign w:val="bottom"/>
            <w:gridSpan w:val="5"/>
          </w:tcPr>
          <w:p>
            <w:pPr>
              <w:jc w:val="center"/>
              <w:ind w:left="599"/>
              <w:spacing w:after="0"/>
              <w:rPr>
                <w:sz w:val="20"/>
                <w:szCs w:val="20"/>
                <w:color w:val="auto"/>
              </w:rPr>
            </w:pPr>
            <w:r>
              <w:rPr>
                <w:rFonts w:ascii="Arial" w:cs="Arial" w:eastAsia="Arial" w:hAnsi="Arial"/>
                <w:sz w:val="16"/>
                <w:szCs w:val="16"/>
                <w:color w:val="auto"/>
              </w:rPr>
              <w:t>(Name of exchange on which registered)</w:t>
            </w:r>
          </w:p>
        </w:tc>
      </w:tr>
      <w:tr>
        <w:trPr>
          <w:trHeight w:val="293"/>
        </w:trPr>
        <w:tc>
          <w:tcPr>
            <w:tcW w:w="8040" w:type="dxa"/>
            <w:vAlign w:val="bottom"/>
            <w:gridSpan w:val="8"/>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4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Yes</w:t>
            </w:r>
          </w:p>
        </w:tc>
        <w:tc>
          <w:tcPr>
            <w:tcW w:w="1740" w:type="dxa"/>
            <w:vAlign w:val="bottom"/>
            <w:gridSpan w:val="2"/>
          </w:tcPr>
          <w:p>
            <w:pPr>
              <w:jc w:val="center"/>
              <w:ind w:right="12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r>
      <w:tr>
        <w:trPr>
          <w:trHeight w:val="297"/>
        </w:trPr>
        <w:tc>
          <w:tcPr>
            <w:tcW w:w="8040" w:type="dxa"/>
            <w:vAlign w:val="bottom"/>
            <w:gridSpan w:val="8"/>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640" w:type="dxa"/>
            <w:vAlign w:val="bottom"/>
          </w:tcPr>
          <w:p>
            <w:pPr>
              <w:ind w:left="1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tc>
        <w:tc>
          <w:tcPr>
            <w:tcW w:w="1740" w:type="dxa"/>
            <w:vAlign w:val="bottom"/>
            <w:gridSpan w:val="2"/>
          </w:tcPr>
          <w:p>
            <w:pPr>
              <w:ind w:left="1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No</w:t>
            </w:r>
          </w:p>
        </w:tc>
      </w:tr>
    </w:tbl>
    <w:p>
      <w:pPr>
        <w:spacing w:after="0" w:line="69" w:lineRule="exact"/>
        <w:rPr>
          <w:sz w:val="24"/>
          <w:szCs w:val="24"/>
          <w:color w:val="auto"/>
        </w:rPr>
      </w:pPr>
    </w:p>
    <w:p>
      <w:pPr>
        <w:ind w:right="320"/>
        <w:spacing w:after="0" w:line="20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0" w:lineRule="exact"/>
        <w:rPr>
          <w:sz w:val="24"/>
          <w:szCs w:val="24"/>
          <w:color w:val="auto"/>
        </w:rPr>
      </w:pPr>
    </w:p>
    <w:p>
      <w:pPr>
        <w:ind w:right="20"/>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9" w:lineRule="exact"/>
        <w:rPr>
          <w:sz w:val="24"/>
          <w:szCs w:val="24"/>
          <w:color w:val="auto"/>
        </w:rPr>
      </w:pPr>
    </w:p>
    <w:p>
      <w:pPr>
        <w:ind w:right="600"/>
        <w:spacing w:after="0" w:line="28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48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6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3660" w:type="dxa"/>
            <w:vAlign w:val="bottom"/>
          </w:tcPr>
          <w:p>
            <w:pPr>
              <w:ind w:left="120"/>
              <w:spacing w:after="0"/>
              <w:rPr>
                <w:sz w:val="20"/>
                <w:szCs w:val="20"/>
                <w:color w:val="auto"/>
              </w:rPr>
            </w:pPr>
            <w:r>
              <w:rPr>
                <w:rFonts w:ascii="Arial" w:cs="Arial" w:eastAsia="Arial" w:hAnsi="Arial"/>
                <w:sz w:val="15"/>
                <w:szCs w:val="15"/>
                <w:color w:val="auto"/>
              </w:rPr>
              <w:t>Accelerated filer</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1"/>
        </w:trPr>
        <w:tc>
          <w:tcPr>
            <w:tcW w:w="4820" w:type="dxa"/>
            <w:vAlign w:val="bottom"/>
          </w:tcPr>
          <w:p>
            <w:pPr>
              <w:spacing w:after="0"/>
              <w:rPr>
                <w:sz w:val="24"/>
                <w:szCs w:val="24"/>
                <w:color w:val="auto"/>
              </w:rPr>
            </w:pPr>
          </w:p>
        </w:tc>
        <w:tc>
          <w:tcPr>
            <w:tcW w:w="6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3660" w:type="dxa"/>
            <w:vAlign w:val="bottom"/>
          </w:tcPr>
          <w:p>
            <w:pPr>
              <w:ind w:left="120"/>
              <w:spacing w:after="0"/>
              <w:rPr>
                <w:sz w:val="20"/>
                <w:szCs w:val="20"/>
                <w:color w:val="auto"/>
              </w:rPr>
            </w:pPr>
            <w:r>
              <w:rPr>
                <w:rFonts w:ascii="Arial" w:cs="Arial" w:eastAsia="Arial" w:hAnsi="Arial"/>
                <w:sz w:val="15"/>
                <w:szCs w:val="15"/>
                <w:color w:val="auto"/>
              </w:rPr>
              <w:t>Smaller reporting company</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4820" w:type="dxa"/>
            <w:vAlign w:val="bottom"/>
          </w:tcPr>
          <w:p>
            <w:pPr>
              <w:spacing w:after="0"/>
              <w:rPr>
                <w:sz w:val="20"/>
                <w:szCs w:val="20"/>
                <w:color w:val="auto"/>
              </w:rPr>
            </w:pPr>
            <w:r>
              <w:rPr>
                <w:rFonts w:ascii="Arial" w:cs="Arial" w:eastAsia="Arial" w:hAnsi="Arial"/>
                <w:sz w:val="15"/>
                <w:szCs w:val="15"/>
                <w:color w:val="auto"/>
              </w:rPr>
              <w:t>Non-accelerated filer (do not check if smaller reporting company)</w:t>
            </w:r>
          </w:p>
        </w:tc>
        <w:tc>
          <w:tcPr>
            <w:tcW w:w="66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5"/>
                <w:szCs w:val="15"/>
                <w:color w:val="auto"/>
              </w:rPr>
              <w:t>Emerging growth company</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37" w:lineRule="exact"/>
        <w:rPr>
          <w:sz w:val="24"/>
          <w:szCs w:val="24"/>
          <w:color w:val="auto"/>
        </w:rPr>
      </w:pPr>
    </w:p>
    <w:p>
      <w:pPr>
        <w:jc w:val="both"/>
        <w:ind w:right="200"/>
        <w:spacing w:after="0" w:line="195" w:lineRule="exact"/>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83" w:lineRule="exact"/>
        <w:rPr>
          <w:sz w:val="24"/>
          <w:szCs w:val="24"/>
          <w:color w:val="auto"/>
        </w:rPr>
      </w:pPr>
    </w:p>
    <w:p>
      <w:pPr>
        <w:ind w:right="320"/>
        <w:spacing w:after="0" w:line="189"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56" w:lineRule="exact"/>
        <w:rPr>
          <w:sz w:val="24"/>
          <w:szCs w:val="24"/>
          <w:color w:val="auto"/>
        </w:rPr>
      </w:pPr>
    </w:p>
    <w:p>
      <w:pPr>
        <w:ind w:right="180"/>
        <w:spacing w:after="0" w:line="182"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43" w:lineRule="exact"/>
        <w:rPr>
          <w:sz w:val="24"/>
          <w:szCs w:val="24"/>
          <w:color w:val="auto"/>
        </w:rPr>
      </w:pPr>
    </w:p>
    <w:p>
      <w:pPr>
        <w:ind w:right="20"/>
        <w:spacing w:after="0" w:line="188"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73" w:lineRule="exact"/>
        <w:tabs>
          <w:tab w:leader="none" w:pos="70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23" w:lineRule="exact"/>
        <w:rPr>
          <w:sz w:val="24"/>
          <w:szCs w:val="24"/>
          <w:color w:val="auto"/>
        </w:rPr>
      </w:pPr>
    </w:p>
    <w:p>
      <w:pPr>
        <w:spacing w:after="0" w:line="301" w:lineRule="auto"/>
        <w:rPr>
          <w:sz w:val="20"/>
          <w:szCs w:val="20"/>
          <w:color w:val="auto"/>
        </w:rPr>
      </w:pPr>
      <w:r>
        <w:rPr>
          <w:rFonts w:ascii="Arial" w:cs="Arial" w:eastAsia="Arial" w:hAnsi="Arial"/>
          <w:sz w:val="15"/>
          <w:szCs w:val="15"/>
          <w:color w:val="auto"/>
        </w:rPr>
        <w:t>The aggregate market value of the common equity (all voting) held by non-affiliates (excludes executive officers and directors) computed using $113.61 per share (the NASDAQ Official Closing Price on June 30, 2022, the last business day of the registrant’s most recently completed second fiscal quarter) was $25.2 billion.</w:t>
      </w:r>
    </w:p>
    <w:p>
      <w:pPr>
        <w:spacing w:after="0" w:line="53"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as of the latest practicable date, February 13, 2023, is 224,398,924.</w:t>
      </w:r>
    </w:p>
    <w:p>
      <w:pPr>
        <w:spacing w:after="0" w:line="111" w:lineRule="exact"/>
        <w:rPr>
          <w:sz w:val="24"/>
          <w:szCs w:val="24"/>
          <w:color w:val="auto"/>
        </w:rPr>
      </w:pPr>
    </w:p>
    <w:p>
      <w:pPr>
        <w:ind w:right="20"/>
        <w:spacing w:after="0" w:line="301" w:lineRule="auto"/>
        <w:rPr>
          <w:sz w:val="20"/>
          <w:szCs w:val="20"/>
          <w:color w:val="auto"/>
        </w:rPr>
      </w:pPr>
      <w:r>
        <w:rPr>
          <w:rFonts w:ascii="Arial" w:cs="Arial" w:eastAsia="Arial" w:hAnsi="Arial"/>
          <w:sz w:val="15"/>
          <w:szCs w:val="15"/>
          <w:color w:val="auto"/>
        </w:rPr>
        <w:t>DOCUMENTS INCORPORATED BY REFERENCE: Certain portions of the registrant's Definitive Proxy Statement for the 2023 Annual Meeting of Stockholders, to be filed pursuant to Regulation 14A of the general rules and regulations under the Act, are incorporated by reference into Part III of this report.</w:t>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Exhibit index begins on page 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3"/>
          </w:tcPr>
          <w:p>
            <w:pPr>
              <w:spacing w:after="0"/>
              <w:rPr>
                <w:sz w:val="20"/>
                <w:szCs w:val="20"/>
                <w:color w:val="auto"/>
              </w:rPr>
            </w:pPr>
            <w:r>
              <w:rPr>
                <w:rFonts w:ascii="Arial" w:cs="Arial" w:eastAsia="Arial" w:hAnsi="Arial"/>
                <w:sz w:val="18"/>
                <w:szCs w:val="18"/>
                <w:color w:val="006EB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00" w:type="dxa"/>
            <w:vAlign w:val="bottom"/>
            <w:tcBorders>
              <w:top w:val="single" w:sz="8" w:color="006EBF"/>
            </w:tcBorders>
          </w:tcPr>
          <w:p>
            <w:pPr>
              <w:spacing w:after="0"/>
              <w:rPr>
                <w:sz w:val="24"/>
                <w:szCs w:val="24"/>
                <w:color w:val="auto"/>
              </w:rPr>
            </w:pPr>
          </w:p>
        </w:tc>
        <w:tc>
          <w:tcPr>
            <w:tcW w:w="200" w:type="dxa"/>
            <w:vAlign w:val="bottom"/>
            <w:tcBorders>
              <w:top w:val="single" w:sz="8" w:color="006EBF"/>
            </w:tcBorders>
          </w:tcPr>
          <w:p>
            <w:pPr>
              <w:spacing w:after="0"/>
              <w:rPr>
                <w:sz w:val="24"/>
                <w:szCs w:val="24"/>
                <w:color w:val="auto"/>
              </w:rPr>
            </w:pPr>
          </w:p>
        </w:tc>
        <w:tc>
          <w:tcPr>
            <w:tcW w:w="93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300" w:type="dxa"/>
            <w:vAlign w:val="bottom"/>
          </w:tcPr>
          <w:p>
            <w:pPr>
              <w:jc w:val="center"/>
              <w:ind w:right="810"/>
              <w:spacing w:after="0"/>
              <w:rPr>
                <w:sz w:val="20"/>
                <w:szCs w:val="20"/>
                <w:color w:val="auto"/>
              </w:rPr>
            </w:pPr>
            <w:r>
              <w:rPr>
                <w:rFonts w:ascii="Arial" w:cs="Arial" w:eastAsia="Arial" w:hAnsi="Arial"/>
                <w:sz w:val="18"/>
                <w:szCs w:val="18"/>
                <w:color w:val="auto"/>
                <w:w w:val="96"/>
              </w:rPr>
              <w:t>PART I</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Risk Factors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1B.</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Unresolved Staff Comments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Properties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3.</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Legal Proceedings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4.</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Information about our Executive Officers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90"/>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10"/>
              <w:spacing w:after="0"/>
              <w:rPr>
                <w:sz w:val="20"/>
                <w:szCs w:val="20"/>
                <w:color w:val="auto"/>
              </w:rPr>
            </w:pPr>
            <w:r>
              <w:rPr>
                <w:rFonts w:ascii="Arial" w:cs="Arial" w:eastAsia="Arial" w:hAnsi="Arial"/>
                <w:sz w:val="18"/>
                <w:szCs w:val="18"/>
                <w:color w:val="auto"/>
                <w:w w:val="95"/>
              </w:rPr>
              <w:t>PART II</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1"/>
        </w:trPr>
        <w:tc>
          <w:tcPr>
            <w:tcW w:w="1200" w:type="dxa"/>
            <w:vAlign w:val="bottom"/>
          </w:tcPr>
          <w:p>
            <w:pPr>
              <w:ind w:left="20"/>
              <w:spacing w:after="0" w:line="181" w:lineRule="exact"/>
              <w:rPr>
                <w:sz w:val="20"/>
                <w:szCs w:val="20"/>
                <w:color w:val="auto"/>
              </w:rPr>
            </w:pPr>
            <w:r>
              <w:rPr>
                <w:rFonts w:ascii="Arial" w:cs="Arial" w:eastAsia="Arial" w:hAnsi="Arial"/>
                <w:sz w:val="18"/>
                <w:szCs w:val="18"/>
                <w:color w:val="auto"/>
              </w:rPr>
              <w:t>ITEM 5.</w:t>
            </w:r>
          </w:p>
        </w:tc>
        <w:tc>
          <w:tcPr>
            <w:tcW w:w="950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Market for Registrant’s Common Equity, Related Stockholder Matters and Issuer Purchases of Equity</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Securities</w:t>
            </w:r>
          </w:p>
        </w:tc>
        <w:tc>
          <w:tcPr>
            <w:tcW w:w="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6.</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7.</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7A.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8.</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Financial Statements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9A.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Controls and Procedures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9B.</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Other Information</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9"/>
        </w:trPr>
        <w:tc>
          <w:tcPr>
            <w:tcW w:w="1200" w:type="dxa"/>
            <w:vAlign w:val="bottom"/>
          </w:tcPr>
          <w:p>
            <w:pPr>
              <w:ind w:left="20"/>
              <w:spacing w:after="0"/>
              <w:rPr>
                <w:sz w:val="20"/>
                <w:szCs w:val="20"/>
                <w:color w:val="auto"/>
              </w:rPr>
            </w:pPr>
            <w:r>
              <w:rPr>
                <w:rFonts w:ascii="Arial" w:cs="Arial" w:eastAsia="Arial" w:hAnsi="Arial"/>
                <w:sz w:val="18"/>
                <w:szCs w:val="18"/>
                <w:color w:val="auto"/>
              </w:rPr>
              <w:t>ITEM 9C.</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90"/>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30"/>
              <w:spacing w:after="0"/>
              <w:rPr>
                <w:sz w:val="20"/>
                <w:szCs w:val="20"/>
                <w:color w:val="auto"/>
              </w:rPr>
            </w:pPr>
            <w:r>
              <w:rPr>
                <w:rFonts w:ascii="Arial" w:cs="Arial" w:eastAsia="Arial" w:hAnsi="Arial"/>
                <w:sz w:val="18"/>
                <w:szCs w:val="18"/>
                <w:color w:val="auto"/>
                <w:w w:val="96"/>
              </w:rPr>
              <w:t>PART III</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10.</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11.</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Executive Compensation</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12.</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13.</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9"/>
        </w:trPr>
        <w:tc>
          <w:tcPr>
            <w:tcW w:w="1200" w:type="dxa"/>
            <w:vAlign w:val="bottom"/>
          </w:tcPr>
          <w:p>
            <w:pPr>
              <w:ind w:left="20"/>
              <w:spacing w:after="0"/>
              <w:rPr>
                <w:sz w:val="20"/>
                <w:szCs w:val="20"/>
                <w:color w:val="auto"/>
              </w:rPr>
            </w:pPr>
            <w:r>
              <w:rPr>
                <w:rFonts w:ascii="Arial" w:cs="Arial" w:eastAsia="Arial" w:hAnsi="Arial"/>
                <w:sz w:val="18"/>
                <w:szCs w:val="18"/>
                <w:color w:val="auto"/>
              </w:rPr>
              <w:t>ITEM 14.</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Principal Accountant Fees and Services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490"/>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10"/>
              <w:spacing w:after="0"/>
              <w:rPr>
                <w:sz w:val="20"/>
                <w:szCs w:val="20"/>
                <w:color w:val="auto"/>
              </w:rPr>
            </w:pPr>
            <w:r>
              <w:rPr>
                <w:rFonts w:ascii="Arial" w:cs="Arial" w:eastAsia="Arial" w:hAnsi="Arial"/>
                <w:sz w:val="18"/>
                <w:szCs w:val="18"/>
                <w:color w:val="auto"/>
                <w:w w:val="97"/>
              </w:rPr>
              <w:t>PART IV</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15.</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Exhibits, Financial Statement Schedules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16.</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Form 10-K Summary</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0" w:type="dxa"/>
            <w:vAlign w:val="bottom"/>
          </w:tcPr>
          <w:p>
            <w:pPr>
              <w:ind w:left="20"/>
              <w:spacing w:after="0"/>
              <w:rPr>
                <w:sz w:val="20"/>
                <w:szCs w:val="20"/>
                <w:color w:val="auto"/>
              </w:rPr>
            </w:pPr>
            <w:r>
              <w:rPr>
                <w:rFonts w:ascii="Arial" w:cs="Arial" w:eastAsia="Arial" w:hAnsi="Arial"/>
                <w:sz w:val="18"/>
                <w:szCs w:val="18"/>
                <w:color w:val="auto"/>
                <w:w w:val="99"/>
              </w:rPr>
              <w:t>SIGNATURES</w:t>
            </w:r>
          </w:p>
        </w:tc>
        <w:tc>
          <w:tcPr>
            <w:tcW w:w="20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5"/>
        </w:trPr>
        <w:tc>
          <w:tcPr>
            <w:tcW w:w="1200" w:type="dxa"/>
            <w:vAlign w:val="bottom"/>
          </w:tcPr>
          <w:p>
            <w:pPr>
              <w:spacing w:after="0"/>
              <w:rPr>
                <w:sz w:val="24"/>
                <w:szCs w:val="24"/>
                <w:color w:val="auto"/>
              </w:rPr>
            </w:pPr>
          </w:p>
        </w:tc>
        <w:tc>
          <w:tcPr>
            <w:tcW w:w="9500" w:type="dxa"/>
            <w:vAlign w:val="bottom"/>
            <w:gridSpan w:val="2"/>
          </w:tcPr>
          <w:p>
            <w:pPr>
              <w:ind w:left="4320"/>
              <w:spacing w:after="0"/>
              <w:rPr>
                <w:sz w:val="20"/>
                <w:szCs w:val="20"/>
                <w:color w:val="auto"/>
              </w:rPr>
            </w:pPr>
            <w:r>
              <w:rPr>
                <w:rFonts w:ascii="Arial" w:cs="Arial" w:eastAsia="Arial" w:hAnsi="Arial"/>
                <w:sz w:val="18"/>
                <w:szCs w:val="18"/>
                <w:b w:val="1"/>
                <w:bCs w:val="1"/>
                <w:color w:val="FFFFFF"/>
              </w:rPr>
              <w:t>20</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300" w:type="dxa"/>
            <w:vAlign w:val="bottom"/>
          </w:tcPr>
          <w:p>
            <w:pPr>
              <w:ind w:left="3940"/>
              <w:spacing w:after="0"/>
              <w:rPr>
                <w:sz w:val="20"/>
                <w:szCs w:val="20"/>
                <w:color w:val="auto"/>
              </w:rPr>
            </w:pPr>
            <w:r>
              <w:rPr>
                <w:rFonts w:ascii="Arial" w:cs="Arial" w:eastAsia="Arial" w:hAnsi="Arial"/>
                <w:sz w:val="18"/>
                <w:szCs w:val="18"/>
                <w:color w:val="auto"/>
              </w:rPr>
              <w:t>Page 1</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 Rowe Price Group, Inc. ("T. Rowe Price", "we", "us", or "our") is a financial services holding company that provides global investment management services through its subsidiaries to investors worldwide. We provide an array of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We are focused on delivering global investment management excellence to help clients around the world achieve their long-term investment goals.</w:t>
      </w:r>
    </w:p>
    <w:p>
      <w:pPr>
        <w:spacing w:after="0" w:line="20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late Thomas Rowe Price, Jr., founded our firm in 1937, and the common stock of T. Rowe Price Associates, Inc. was first offered to the public in 1986. The T. Rowe Price Group, Inc. corporate holding company structure was established in 2000.</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The acquisition accelerates our expansion into alternative investment markets and complements our existing global platform and ongoing strategic initiatives in our core investments and distribution capabilities. Alternative credit strategies continue to be in demand from institutional and retail investors across the globe seeking attractive yields and risk-adjusted returns. As of December 31, 2022, OHA had $57 billion of capital under management (which includes net asset value, portfolio value and/or unfunded capital).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Core Capabilities</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core capabilities have enabled us to deliver excellent operating results since our initial public offering. We maintain a strong corporate culture that is focused on delivering strong long-term investment performance and world-class service to our clients. We distribute our broad array of active investment strategies through a diverse set of distribution channels and vehicles to meet the needs of our clients globally. Our ongoing financial strength and discipline has allowed us to take advantage of attractive growth opportunities and invest in key capabilities. Our strategic investments have been focused on increasing our investment professional headcount globally, expanding our product offerings, expanding our global distribution footprint to strengthen our regional relationships and brand, and investing in new technology and the core infrastructure of the firm.</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industry in which we operate has been evolving and a number of headwinds have arisen over the last few years, including passive investments taking market share from traditional active strategies; continued downward fee pressure; demand for new investment vehicles to meet client needs; capacity challenges with some of our mutual funds and portfolios and an ever-changing regulatory landscape.</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Despite the headwinds, we believe there are significant opportunities that align to our core capabilities. As such, we have been responding with several strategic, multi-year initiatives that are designed to strengthen our long-term competitive position and to:</w:t>
      </w:r>
    </w:p>
    <w:p>
      <w:pPr>
        <w:spacing w:after="0" w:line="18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Access growth through improved investment vehicles, technology, sales and content.</w:t>
      </w:r>
    </w:p>
    <w:p>
      <w:pPr>
        <w:spacing w:after="0" w:line="27"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 on further growth in countries where we have an existing business by investing more in resources, products, and marketing in high opportunity countries.</w:t>
      </w:r>
    </w:p>
    <w:p>
      <w:pPr>
        <w:ind w:left="660" w:right="88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Deepen client relationships and renew our individual client base by innovating and investing in our capabilities to deliver a differentiated offer to clients.</w:t>
      </w:r>
    </w:p>
    <w:p>
      <w:pPr>
        <w:ind w:left="660" w:right="48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Broaden our reach in the private and alternatives market by leveraging our distribution channels and organically expanding our investment capabilities.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 our distribution technology to enhance the digital client experience and client reporting.</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top talent, enable effective hybrid collaboration, and deliver on our expanded diversity, equity, and inclusion goals.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 strong financial results and balance sheet strength for our stockholders over the long term.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 / Assets Under Management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2022, we derived the vast majority of our consolidated net revenues and net income from investment advisory services provided by our subsidiaries, primarily T. Rowe Price Associates, T. Rowe Price International Ltd., and OHA. In March 2022, we established and launched T. Rowe Price Investment Management, a separate SEC-registered investment advisor, to support our continued focus on generating strong investment results for clients. Since its launch in March 2022, services related to this investment advisor have been included in our consolidated net revenue and net income.</w:t>
      </w:r>
    </w:p>
    <w:p>
      <w:pPr>
        <w:spacing w:after="0" w:line="20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Our revenues depend largely on the total value and composition of our assets under management. Accordingly, fluctuations in financial markets and in the composition of assets under management impact our revenues and results of operations.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December 31, 2022, we had $1,274.7 billion in assets under management, including $627.8 billion in U.S. mutual funds, $320.5 billion in subadvised funds and separately managed accounts, $288.9 billion in collective investment trusts and other sponsored investment products, and $37.5 billion in private investment funds and CLOs.</w:t>
      </w:r>
    </w:p>
    <w:p>
      <w:pPr>
        <w:spacing w:after="0" w:line="1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Assets under management decreased $413.1 billion from the end of 2021. This decrease was primarily driven by market depreciation and losses, including distributions not reinvested, of $351.4 billion and net cash outflows of $61.7 billion.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our assets under management by vehicle, asset class, distribution channel, and account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 billions)</w:t>
            </w:r>
          </w:p>
        </w:tc>
        <w:tc>
          <w:tcPr>
            <w:tcW w:w="8300" w:type="dxa"/>
            <w:vAlign w:val="bottom"/>
            <w:tcBorders>
              <w:bottom w:val="single" w:sz="8" w:color="CCEEFF"/>
            </w:tcBorders>
            <w:gridSpan w:val="5"/>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2021</w:t>
            </w:r>
          </w:p>
        </w:tc>
      </w:tr>
      <w:tr>
        <w:trPr>
          <w:trHeight w:val="169"/>
        </w:trPr>
        <w:tc>
          <w:tcPr>
            <w:tcW w:w="20" w:type="dxa"/>
            <w:vAlign w:val="bottom"/>
          </w:tcPr>
          <w:p>
            <w:pPr>
              <w:spacing w:after="0"/>
              <w:rPr>
                <w:sz w:val="14"/>
                <w:szCs w:val="14"/>
                <w:color w:val="auto"/>
              </w:rPr>
            </w:pPr>
          </w:p>
        </w:tc>
        <w:tc>
          <w:tcPr>
            <w:tcW w:w="9000" w:type="dxa"/>
            <w:vAlign w:val="bottom"/>
            <w:gridSpan w:val="6"/>
          </w:tcPr>
          <w:p>
            <w:pPr>
              <w:spacing w:after="0" w:line="169" w:lineRule="exact"/>
              <w:rPr>
                <w:sz w:val="20"/>
                <w:szCs w:val="20"/>
                <w:color w:val="auto"/>
              </w:rPr>
            </w:pPr>
            <w:r>
              <w:rPr>
                <w:rFonts w:ascii="Arial" w:cs="Arial" w:eastAsia="Arial" w:hAnsi="Arial"/>
                <w:sz w:val="18"/>
                <w:szCs w:val="18"/>
                <w:color w:val="auto"/>
              </w:rPr>
              <w:t>Assets under management by vehicle</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U.S. mutual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r>
      <w:tr>
        <w:trPr>
          <w:trHeight w:val="230"/>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Subadvised and separately managed accounts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437.1</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 Rowe Price collective investment trusts and other sponsored investment products: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0" w:type="dxa"/>
            <w:vAlign w:val="bottom"/>
            <w:gridSpan w:val="6"/>
          </w:tcPr>
          <w:p>
            <w:pPr>
              <w:ind w:left="100"/>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Stable value, variable annuity products, and exchange-traded funds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SICAVs and other sponsored funds regulated outside the U.S.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T. Rowe Price collective investment trusts and other sponsored investment products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Affiliated private investment funds and CLOs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9"/>
              </w:rPr>
              <w:t>Assets under management by asset class</w:t>
            </w:r>
          </w:p>
        </w:tc>
        <w:tc>
          <w:tcPr>
            <w:tcW w:w="566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992.7</w:t>
            </w:r>
          </w:p>
        </w:tc>
      </w:tr>
      <w:tr>
        <w:trPr>
          <w:trHeight w:val="230"/>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income, including money market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29"/>
        </w:trPr>
        <w:tc>
          <w:tcPr>
            <w:tcW w:w="20" w:type="dxa"/>
            <w:vAlign w:val="bottom"/>
          </w:tcPr>
          <w:p>
            <w:pPr>
              <w:spacing w:after="0"/>
              <w:rPr>
                <w:sz w:val="19"/>
                <w:szCs w:val="19"/>
                <w:color w:val="auto"/>
              </w:rPr>
            </w:pPr>
          </w:p>
        </w:tc>
        <w:tc>
          <w:tcPr>
            <w:tcW w:w="9000" w:type="dxa"/>
            <w:vAlign w:val="bottom"/>
            <w:gridSpan w:val="6"/>
          </w:tcPr>
          <w:p>
            <w:pPr>
              <w:spacing w:after="0" w:line="230" w:lineRule="exact"/>
              <w:rPr>
                <w:sz w:val="20"/>
                <w:szCs w:val="20"/>
                <w:color w:val="auto"/>
              </w:rPr>
            </w:pPr>
            <w:r>
              <w:rPr>
                <w:rFonts w:ascii="Arial" w:cs="Arial" w:eastAsia="Arial" w:hAnsi="Arial"/>
                <w:sz w:val="18"/>
                <w:szCs w:val="18"/>
                <w:color w:val="auto"/>
              </w:rPr>
              <w:t>Multi-Asset</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477.7</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Alternatives</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000" w:type="dxa"/>
            <w:vAlign w:val="bottom"/>
            <w:gridSpan w:val="6"/>
          </w:tcPr>
          <w:p>
            <w:pPr>
              <w:spacing w:after="0" w:line="189" w:lineRule="exact"/>
              <w:rPr>
                <w:sz w:val="20"/>
                <w:szCs w:val="20"/>
                <w:color w:val="auto"/>
              </w:rPr>
            </w:pPr>
            <w:r>
              <w:rPr>
                <w:rFonts w:ascii="Arial" w:cs="Arial" w:eastAsia="Arial" w:hAnsi="Arial"/>
                <w:sz w:val="18"/>
                <w:szCs w:val="18"/>
                <w:color w:val="auto"/>
              </w:rPr>
              <w:t>Assets under management by distribution channel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Global financial intermediaries</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r>
      <w:tr>
        <w:trPr>
          <w:trHeight w:val="230"/>
        </w:trPr>
        <w:tc>
          <w:tcPr>
            <w:tcW w:w="20" w:type="dxa"/>
            <w:vAlign w:val="bottom"/>
          </w:tcPr>
          <w:p>
            <w:pPr>
              <w:spacing w:after="0"/>
              <w:rPr>
                <w:sz w:val="19"/>
                <w:szCs w:val="19"/>
                <w:color w:val="auto"/>
              </w:rPr>
            </w:pPr>
          </w:p>
        </w:tc>
        <w:tc>
          <w:tcPr>
            <w:tcW w:w="9000" w:type="dxa"/>
            <w:vAlign w:val="bottom"/>
            <w:gridSpan w:val="6"/>
          </w:tcPr>
          <w:p>
            <w:pPr>
              <w:spacing w:after="0" w:line="230" w:lineRule="exact"/>
              <w:rPr>
                <w:sz w:val="20"/>
                <w:szCs w:val="20"/>
                <w:color w:val="auto"/>
              </w:rPr>
            </w:pPr>
            <w:r>
              <w:rPr>
                <w:rFonts w:ascii="Arial" w:cs="Arial" w:eastAsia="Arial" w:hAnsi="Arial"/>
                <w:sz w:val="18"/>
                <w:szCs w:val="18"/>
                <w:color w:val="auto"/>
              </w:rPr>
              <w:t>Global institutions</w:t>
            </w:r>
            <w:r>
              <w:rPr>
                <w:rFonts w:ascii="Arial" w:cs="Arial" w:eastAsia="Arial" w:hAnsi="Arial"/>
                <w:sz w:val="23"/>
                <w:szCs w:val="23"/>
                <w:color w:val="auto"/>
                <w:vertAlign w:val="superscript"/>
              </w:rPr>
              <w:t>(3)(4)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403.8</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Individual U.S. investors on a direct basis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30"/>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U.S. retirement plan sponsors - full service recordkeeping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09"/>
        </w:trPr>
        <w:tc>
          <w:tcPr>
            <w:tcW w:w="20" w:type="dxa"/>
            <w:vAlign w:val="bottom"/>
            <w:shd w:val="clear" w:color="auto" w:fill="CCEEFF"/>
          </w:tcPr>
          <w:p>
            <w:pPr>
              <w:spacing w:after="0"/>
              <w:rPr>
                <w:sz w:val="18"/>
                <w:szCs w:val="18"/>
                <w:color w:val="auto"/>
              </w:rPr>
            </w:pPr>
          </w:p>
        </w:tc>
        <w:tc>
          <w:tcPr>
            <w:tcW w:w="9000" w:type="dxa"/>
            <w:vAlign w:val="bottom"/>
            <w:gridSpan w:val="6"/>
            <w:shd w:val="clear" w:color="auto" w:fill="CCEEFF"/>
          </w:tcPr>
          <w:p>
            <w:pPr>
              <w:spacing w:after="0" w:line="189" w:lineRule="exact"/>
              <w:rPr>
                <w:sz w:val="20"/>
                <w:szCs w:val="20"/>
                <w:color w:val="auto"/>
              </w:rPr>
            </w:pPr>
            <w:r>
              <w:rPr>
                <w:rFonts w:ascii="Arial" w:cs="Arial" w:eastAsia="Arial" w:hAnsi="Arial"/>
                <w:sz w:val="17"/>
                <w:szCs w:val="17"/>
                <w:color w:val="auto"/>
              </w:rPr>
              <w:t>Assets under management by account type</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Defined contribution retirement assets:</w:t>
            </w:r>
          </w:p>
        </w:tc>
        <w:tc>
          <w:tcPr>
            <w:tcW w:w="554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Defined contribution - investment only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30"/>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Defined contribution - full-service recordkeeping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defined contribution retirement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Deferred annuity and direct retail retirement assets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defined contribution, deferred annuity, and direct retail retirement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80" w:right="180" w:hanging="161"/>
        <w:spacing w:after="0" w:line="234"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rows.</w:t>
      </w:r>
    </w:p>
    <w:p>
      <w:pPr>
        <w:ind w:left="180" w:hanging="161"/>
        <w:spacing w:after="0" w:line="269"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The alternatives asset class includes strategies authorized to invest more than 50% of its holdings in private credit, leveraged loans,</w:t>
      </w:r>
      <w:r>
        <w:rPr>
          <w:sz w:val="20"/>
          <w:szCs w:val="20"/>
          <w:color w:val="auto"/>
        </w:rPr>
        <w:t xml:space="preserve"> </w:t>
      </w:r>
      <w:r>
        <w:rPr>
          <w:rFonts w:ascii="Arial" w:cs="Arial" w:eastAsia="Arial" w:hAnsi="Arial"/>
          <w:sz w:val="14"/>
          <w:szCs w:val="14"/>
          <w:i w:val="1"/>
          <w:iCs w:val="1"/>
          <w:color w:val="auto"/>
        </w:rPr>
        <w:t>mezzanine, real assets/CRE, structured products, stressed / distressed, non-investment grade CLOs, special situations, or have absolute return as its investment objective. Generally, only those strategies with longer than daily liquidity are included.</w:t>
      </w:r>
    </w:p>
    <w:p>
      <w:pPr>
        <w:spacing w:after="0" w:line="15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Americas, Europe, Middle East and Africa ("EMEA"), and Asia Pacific ("APAC").</w:t>
      </w:r>
    </w:p>
    <w:p>
      <w:pPr>
        <w:ind w:left="180" w:right="440" w:hanging="172"/>
        <w:spacing w:after="0" w:line="229" w:lineRule="auto"/>
        <w:tabs>
          <w:tab w:leader="none" w:pos="158"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seed investments in proprietary products, assets of the T. Rowe Price employee benefit plans, Private Asset Management accounts, and other as well as OHA products.</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2022, our target date retirement products experienced net cash inflows of $11.3 billion. The assets under management in our target date retirement products totaled $334.2 billion at December 31, 2022, or 26.2% of our managed assets at December 31, 2022, compared with 23.2% at the end of 2021.</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MANAGEMENT SERVICES.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Channels and Products</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distribute our products across three broad geographical regions: Americas; Europe, Middle East and Africa ("EMEA"); and Asia Pacific ("APAC"). We service clients in 55 countries around the world. Investors domiciled outside the U.S. represented about 9% of total assets under management at the end of 2022.</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accumulate our assets under management from a diversified client base across five primary distribution channels: Americas financial intermediaries, EMEA &amp; APAC financial intermediaries, individual U.S. investors on a direct basis, U.S. retirement plan sponsors for which we provide recordkeeping services, and global institutions. The following table outlines the types of products within each distribution channel through which our assets under management are sourced as of December 31, 2022.</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Americas financial</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EMEA &amp; APAC financial</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Individual U.S. investors on a</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U.S. retirement plan sponsors</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Global institutions</w:t>
            </w:r>
          </w:p>
        </w:tc>
        <w:tc>
          <w:tcPr>
            <w:tcW w:w="0" w:type="dxa"/>
            <w:vAlign w:val="bottom"/>
          </w:tcPr>
          <w:p>
            <w:pPr>
              <w:spacing w:after="0"/>
              <w:rPr>
                <w:sz w:val="1"/>
                <w:szCs w:val="1"/>
                <w:color w:val="auto"/>
              </w:rPr>
            </w:pPr>
          </w:p>
        </w:tc>
      </w:tr>
      <w:tr>
        <w:trPr>
          <w:trHeight w:val="185"/>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direct basis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 full service recordkeeping</w:t>
            </w:r>
          </w:p>
        </w:tc>
        <w:tc>
          <w:tcPr>
            <w:tcW w:w="2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1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U.S. Mutual Funds</w:t>
            </w:r>
          </w:p>
        </w:tc>
        <w:tc>
          <w:tcPr>
            <w:tcW w:w="226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3"/>
              </w:rPr>
              <w:t>SICAVs</w:t>
            </w:r>
            <w:r>
              <w:rPr>
                <w:rFonts w:ascii="Arial" w:cs="Arial" w:eastAsia="Arial" w:hAnsi="Arial"/>
                <w:sz w:val="23"/>
                <w:szCs w:val="23"/>
                <w:color w:val="auto"/>
                <w:w w:val="93"/>
                <w:vertAlign w:val="superscript"/>
              </w:rPr>
              <w:t>(2)</w:t>
            </w:r>
            <w:r>
              <w:rPr>
                <w:rFonts w:ascii="Arial" w:cs="Arial" w:eastAsia="Arial" w:hAnsi="Arial"/>
                <w:sz w:val="18"/>
                <w:szCs w:val="18"/>
                <w:color w:val="auto"/>
                <w:w w:val="93"/>
              </w:rPr>
              <w:t xml:space="preserve"> / FCPs</w:t>
            </w:r>
            <w:r>
              <w:rPr>
                <w:rFonts w:ascii="Arial" w:cs="Arial" w:eastAsia="Arial" w:hAnsi="Arial"/>
                <w:sz w:val="23"/>
                <w:szCs w:val="23"/>
                <w:color w:val="auto"/>
                <w:w w:val="93"/>
                <w:vertAlign w:val="superscript"/>
              </w:rPr>
              <w:t>(3)</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U.S. Mutual Funds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U.S. Mutual Funds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 Mutual Funds</w:t>
            </w:r>
          </w:p>
        </w:tc>
        <w:tc>
          <w:tcPr>
            <w:tcW w:w="0" w:type="dxa"/>
            <w:vAlign w:val="bottom"/>
          </w:tcPr>
          <w:p>
            <w:pPr>
              <w:spacing w:after="0"/>
              <w:rPr>
                <w:sz w:val="1"/>
                <w:szCs w:val="1"/>
                <w:color w:val="auto"/>
              </w:rPr>
            </w:pPr>
          </w:p>
        </w:tc>
      </w:tr>
      <w:tr>
        <w:trPr>
          <w:trHeight w:val="175"/>
        </w:trPr>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rPr>
              <w:t>Collective Investment</w:t>
            </w:r>
          </w:p>
        </w:tc>
        <w:tc>
          <w:tcPr>
            <w:tcW w:w="22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8"/>
              </w:rPr>
              <w:t>Australian Unit Trusts</w:t>
            </w:r>
          </w:p>
        </w:tc>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Separate Accounts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Collective Investment</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9"/>
              </w:rPr>
              <w:t>Collective Investment</w:t>
            </w:r>
          </w:p>
        </w:tc>
        <w:tc>
          <w:tcPr>
            <w:tcW w:w="0" w:type="dxa"/>
            <w:vAlign w:val="bottom"/>
          </w:tcPr>
          <w:p>
            <w:pPr>
              <w:spacing w:after="0"/>
              <w:rPr>
                <w:sz w:val="1"/>
                <w:szCs w:val="1"/>
                <w:color w:val="auto"/>
              </w:rPr>
            </w:pPr>
          </w:p>
        </w:tc>
      </w:tr>
      <w:tr>
        <w:trPr>
          <w:trHeight w:val="241"/>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Trusts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("AUTs")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Trusts</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Trusts</w:t>
            </w:r>
          </w:p>
        </w:tc>
        <w:tc>
          <w:tcPr>
            <w:tcW w:w="0" w:type="dxa"/>
            <w:vAlign w:val="bottom"/>
          </w:tcPr>
          <w:p>
            <w:pPr>
              <w:spacing w:after="0"/>
              <w:rPr>
                <w:sz w:val="1"/>
                <w:szCs w:val="1"/>
                <w:color w:val="auto"/>
              </w:rPr>
            </w:pPr>
          </w:p>
        </w:tc>
      </w:tr>
      <w:tr>
        <w:trPr>
          <w:trHeight w:val="232"/>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Subadvised Accounts</w:t>
            </w:r>
          </w:p>
        </w:tc>
        <w:tc>
          <w:tcPr>
            <w:tcW w:w="2260" w:type="dxa"/>
            <w:vAlign w:val="bottom"/>
            <w:gridSpan w:val="2"/>
            <w:shd w:val="clear" w:color="auto" w:fill="CCEEFF"/>
          </w:tcPr>
          <w:p>
            <w:pPr>
              <w:jc w:val="center"/>
              <w:ind w:right="120"/>
              <w:spacing w:after="0" w:line="232" w:lineRule="exact"/>
              <w:rPr>
                <w:sz w:val="20"/>
                <w:szCs w:val="20"/>
                <w:color w:val="auto"/>
              </w:rPr>
            </w:pPr>
            <w:r>
              <w:rPr>
                <w:rFonts w:ascii="Arial" w:cs="Arial" w:eastAsia="Arial" w:hAnsi="Arial"/>
                <w:sz w:val="18"/>
                <w:szCs w:val="18"/>
                <w:color w:val="auto"/>
                <w:w w:val="91"/>
              </w:rPr>
              <w:t>OEICs</w:t>
            </w:r>
            <w:r>
              <w:rPr>
                <w:rFonts w:ascii="Arial" w:cs="Arial" w:eastAsia="Arial" w:hAnsi="Arial"/>
                <w:sz w:val="23"/>
                <w:szCs w:val="23"/>
                <w:color w:val="auto"/>
                <w:w w:val="91"/>
                <w:vertAlign w:val="superscript"/>
              </w:rPr>
              <w:t>(4)</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College Savings Plans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Separate Accounts</w:t>
            </w:r>
          </w:p>
        </w:tc>
        <w:tc>
          <w:tcPr>
            <w:tcW w:w="2180" w:type="dxa"/>
            <w:vAlign w:val="bottom"/>
            <w:shd w:val="clear" w:color="auto" w:fill="CCEEFF"/>
          </w:tcPr>
          <w:p>
            <w:pPr>
              <w:jc w:val="center"/>
              <w:spacing w:after="0" w:line="232" w:lineRule="exact"/>
              <w:rPr>
                <w:sz w:val="20"/>
                <w:szCs w:val="20"/>
                <w:color w:val="auto"/>
              </w:rPr>
            </w:pPr>
            <w:r>
              <w:rPr>
                <w:rFonts w:ascii="Arial" w:cs="Arial" w:eastAsia="Arial" w:hAnsi="Arial"/>
                <w:sz w:val="18"/>
                <w:szCs w:val="18"/>
                <w:color w:val="auto"/>
                <w:w w:val="93"/>
              </w:rPr>
              <w:t>SICAVs</w:t>
            </w:r>
            <w:r>
              <w:rPr>
                <w:rFonts w:ascii="Arial" w:cs="Arial" w:eastAsia="Arial" w:hAnsi="Arial"/>
                <w:sz w:val="23"/>
                <w:szCs w:val="23"/>
                <w:color w:val="auto"/>
                <w:w w:val="93"/>
                <w:vertAlign w:val="superscript"/>
              </w:rPr>
              <w:t>(2)</w:t>
            </w:r>
            <w:r>
              <w:rPr>
                <w:rFonts w:ascii="Arial" w:cs="Arial" w:eastAsia="Arial" w:hAnsi="Arial"/>
                <w:sz w:val="18"/>
                <w:szCs w:val="18"/>
                <w:color w:val="auto"/>
                <w:w w:val="93"/>
              </w:rPr>
              <w:t xml:space="preserve"> / FCPs</w:t>
            </w:r>
            <w:r>
              <w:rPr>
                <w:rFonts w:ascii="Arial" w:cs="Arial" w:eastAsia="Arial" w:hAnsi="Arial"/>
                <w:sz w:val="23"/>
                <w:szCs w:val="23"/>
                <w:color w:val="auto"/>
                <w:w w:val="93"/>
                <w:vertAlign w:val="superscript"/>
              </w:rPr>
              <w:t>(3)</w:t>
            </w:r>
          </w:p>
        </w:tc>
        <w:tc>
          <w:tcPr>
            <w:tcW w:w="0" w:type="dxa"/>
            <w:vAlign w:val="bottom"/>
          </w:tcPr>
          <w:p>
            <w:pPr>
              <w:spacing w:after="0"/>
              <w:rPr>
                <w:sz w:val="1"/>
                <w:szCs w:val="1"/>
                <w:color w:val="auto"/>
              </w:rPr>
            </w:pPr>
          </w:p>
        </w:tc>
      </w:tr>
      <w:tr>
        <w:trPr>
          <w:trHeight w:val="176"/>
        </w:trPr>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Managed Accounts /</w:t>
            </w:r>
          </w:p>
        </w:tc>
        <w:tc>
          <w:tcPr>
            <w:tcW w:w="22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rPr>
              <w:t>Subadvised Accounts</w:t>
            </w:r>
          </w:p>
        </w:tc>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6"/>
                <w:szCs w:val="16"/>
                <w:color w:val="auto"/>
              </w:rPr>
              <w:t>Model Portfolios</w:t>
            </w:r>
            <w:r>
              <w:rPr>
                <w:rFonts w:ascii="Arial" w:cs="Arial" w:eastAsia="Arial" w:hAnsi="Arial"/>
                <w:sz w:val="20"/>
                <w:szCs w:val="20"/>
                <w:color w:val="auto"/>
                <w:vertAlign w:val="superscript"/>
              </w:rPr>
              <w:t>(6)</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9"/>
              </w:rPr>
              <w:t>Separate / Subadvised</w:t>
            </w:r>
          </w:p>
        </w:tc>
        <w:tc>
          <w:tcPr>
            <w:tcW w:w="0" w:type="dxa"/>
            <w:vAlign w:val="bottom"/>
          </w:tcPr>
          <w:p>
            <w:pPr>
              <w:spacing w:after="0"/>
              <w:rPr>
                <w:sz w:val="1"/>
                <w:szCs w:val="1"/>
                <w:color w:val="auto"/>
              </w:rPr>
            </w:pPr>
          </w:p>
        </w:tc>
      </w:tr>
      <w:tr>
        <w:trPr>
          <w:trHeight w:val="241"/>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rPr>
              <w:t>Model Delivery</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Accounts</w:t>
            </w:r>
          </w:p>
        </w:tc>
        <w:tc>
          <w:tcPr>
            <w:tcW w:w="0" w:type="dxa"/>
            <w:vAlign w:val="bottom"/>
          </w:tcPr>
          <w:p>
            <w:pPr>
              <w:spacing w:after="0"/>
              <w:rPr>
                <w:sz w:val="1"/>
                <w:szCs w:val="1"/>
                <w:color w:val="auto"/>
              </w:rPr>
            </w:pPr>
          </w:p>
        </w:tc>
      </w:tr>
      <w:tr>
        <w:trPr>
          <w:trHeight w:val="178"/>
        </w:trPr>
        <w:tc>
          <w:tcPr>
            <w:tcW w:w="2240" w:type="dxa"/>
            <w:vAlign w:val="bottom"/>
            <w:gridSpan w:val="2"/>
            <w:shd w:val="clear" w:color="auto" w:fill="CCEEFF"/>
          </w:tcPr>
          <w:p>
            <w:pPr>
              <w:jc w:val="center"/>
              <w:ind w:right="120"/>
              <w:spacing w:after="0" w:line="178" w:lineRule="exact"/>
              <w:rPr>
                <w:sz w:val="20"/>
                <w:szCs w:val="20"/>
                <w:color w:val="auto"/>
              </w:rPr>
            </w:pPr>
            <w:r>
              <w:rPr>
                <w:rFonts w:ascii="Arial" w:cs="Arial" w:eastAsia="Arial" w:hAnsi="Arial"/>
                <w:sz w:val="16"/>
                <w:szCs w:val="16"/>
                <w:color w:val="auto"/>
              </w:rPr>
              <w:t>Model Portfolios</w:t>
            </w:r>
            <w:r>
              <w:rPr>
                <w:rFonts w:ascii="Arial" w:cs="Arial" w:eastAsia="Arial" w:hAnsi="Arial"/>
                <w:sz w:val="20"/>
                <w:szCs w:val="20"/>
                <w:color w:val="auto"/>
                <w:vertAlign w:val="superscript"/>
              </w:rPr>
              <w:t>(1)</w:t>
            </w:r>
          </w:p>
        </w:tc>
        <w:tc>
          <w:tcPr>
            <w:tcW w:w="2260" w:type="dxa"/>
            <w:vAlign w:val="bottom"/>
            <w:gridSpan w:val="2"/>
            <w:shd w:val="clear" w:color="auto" w:fill="CCEEFF"/>
          </w:tcPr>
          <w:p>
            <w:pPr>
              <w:jc w:val="center"/>
              <w:ind w:right="120"/>
              <w:spacing w:after="0" w:line="178" w:lineRule="exact"/>
              <w:rPr>
                <w:sz w:val="20"/>
                <w:szCs w:val="20"/>
                <w:color w:val="auto"/>
              </w:rPr>
            </w:pPr>
            <w:r>
              <w:rPr>
                <w:rFonts w:ascii="Arial" w:cs="Arial" w:eastAsia="Arial" w:hAnsi="Arial"/>
                <w:sz w:val="16"/>
                <w:szCs w:val="16"/>
                <w:color w:val="auto"/>
              </w:rPr>
              <w:t>Japanese ITMs</w:t>
            </w:r>
            <w:r>
              <w:rPr>
                <w:rFonts w:ascii="Arial" w:cs="Arial" w:eastAsia="Arial" w:hAnsi="Arial"/>
                <w:sz w:val="20"/>
                <w:szCs w:val="20"/>
                <w:color w:val="auto"/>
                <w:vertAlign w:val="superscript"/>
              </w:rPr>
              <w:t>(5)</w:t>
            </w:r>
          </w:p>
        </w:tc>
        <w:tc>
          <w:tcPr>
            <w:tcW w:w="2240" w:type="dxa"/>
            <w:vAlign w:val="bottom"/>
            <w:gridSpan w:val="2"/>
            <w:shd w:val="clear" w:color="auto" w:fill="CCEEFF"/>
          </w:tcPr>
          <w:p>
            <w:pPr>
              <w:jc w:val="center"/>
              <w:ind w:right="120"/>
              <w:spacing w:after="0" w:line="177" w:lineRule="exact"/>
              <w:rPr>
                <w:sz w:val="20"/>
                <w:szCs w:val="20"/>
                <w:color w:val="auto"/>
              </w:rPr>
            </w:pPr>
            <w:r>
              <w:rPr>
                <w:rFonts w:ascii="Arial" w:cs="Arial" w:eastAsia="Arial" w:hAnsi="Arial"/>
                <w:sz w:val="18"/>
                <w:szCs w:val="18"/>
                <w:color w:val="auto"/>
                <w:w w:val="99"/>
              </w:rPr>
              <w:t>Active Exchange-Traded</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rPr>
              <w:t>Canadian Pooled Funds</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Funds</w:t>
            </w: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College Savings Plans</w:t>
            </w:r>
          </w:p>
        </w:tc>
        <w:tc>
          <w:tcPr>
            <w:tcW w:w="226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Managed Accounts /</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6"/>
                <w:szCs w:val="16"/>
                <w:color w:val="auto"/>
              </w:rPr>
              <w:t>Japanese ITMs</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41"/>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Model Delivery</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Canadian Pooled Funds</w:t>
            </w: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Private Funds</w:t>
            </w:r>
          </w:p>
        </w:tc>
        <w:tc>
          <w:tcPr>
            <w:tcW w:w="0" w:type="dxa"/>
            <w:vAlign w:val="bottom"/>
          </w:tcPr>
          <w:p>
            <w:pPr>
              <w:spacing w:after="0"/>
              <w:rPr>
                <w:sz w:val="1"/>
                <w:szCs w:val="1"/>
                <w:color w:val="auto"/>
              </w:rPr>
            </w:pPr>
          </w:p>
        </w:tc>
      </w:tr>
      <w:tr>
        <w:trPr>
          <w:trHeight w:val="175"/>
        </w:trPr>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Active Exchange-Traded</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Funds</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Mutual fund models delivered to a third-party program sponsor,</w:t>
      </w:r>
      <w:r>
        <w:rPr>
          <w:rFonts w:ascii="Arial" w:cs="Arial" w:eastAsia="Arial" w:hAnsi="Arial"/>
          <w:sz w:val="17"/>
          <w:szCs w:val="17"/>
          <w:color w:val="auto"/>
          <w:vertAlign w:val="superscript"/>
        </w:rPr>
        <w:t>. (2)</w:t>
      </w:r>
      <w:r>
        <w:rPr>
          <w:rFonts w:ascii="Arial" w:cs="Arial" w:eastAsia="Arial" w:hAnsi="Arial"/>
          <w:sz w:val="14"/>
          <w:szCs w:val="14"/>
          <w:color w:val="auto"/>
        </w:rPr>
        <w:t xml:space="preserve">Société d'Investissement à Capital Variable (Luxembourg), </w:t>
      </w:r>
      <w:r>
        <w:rPr>
          <w:rFonts w:ascii="Arial" w:cs="Arial" w:eastAsia="Arial" w:hAnsi="Arial"/>
          <w:sz w:val="17"/>
          <w:szCs w:val="17"/>
          <w:color w:val="auto"/>
          <w:vertAlign w:val="superscript"/>
        </w:rPr>
        <w:t>(3)</w:t>
      </w:r>
      <w:r>
        <w:rPr>
          <w:rFonts w:ascii="Arial" w:cs="Arial" w:eastAsia="Arial" w:hAnsi="Arial"/>
          <w:sz w:val="14"/>
          <w:szCs w:val="14"/>
          <w:color w:val="auto"/>
        </w:rPr>
        <w:t>Fonds Commun de Placement (Luxembourg),</w:t>
      </w:r>
    </w:p>
    <w:p>
      <w:pPr>
        <w:spacing w:after="0"/>
        <w:rPr>
          <w:rFonts w:ascii="Arial" w:cs="Arial" w:eastAsia="Arial" w:hAnsi="Arial"/>
          <w:sz w:val="18"/>
          <w:szCs w:val="18"/>
          <w:color w:val="auto"/>
          <w:vertAlign w:val="superscript"/>
        </w:rPr>
      </w:pPr>
      <w:r>
        <w:rPr>
          <w:rFonts w:ascii="Arial" w:cs="Arial" w:eastAsia="Arial" w:hAnsi="Arial"/>
          <w:sz w:val="9"/>
          <w:szCs w:val="9"/>
          <w:color w:val="auto"/>
        </w:rPr>
        <w:t>(4)</w:t>
      </w:r>
      <w:r>
        <w:rPr>
          <w:rFonts w:ascii="Arial" w:cs="Arial" w:eastAsia="Arial" w:hAnsi="Arial"/>
          <w:sz w:val="14"/>
          <w:szCs w:val="14"/>
          <w:color w:val="auto"/>
        </w:rPr>
        <w:t>Open-Ended Investment Company (U.K.),</w:t>
      </w:r>
      <w:r>
        <w:rPr>
          <w:rFonts w:ascii="Arial" w:cs="Arial" w:eastAsia="Arial" w:hAnsi="Arial"/>
          <w:sz w:val="9"/>
          <w:szCs w:val="9"/>
          <w:color w:val="auto"/>
        </w:rPr>
        <w:t xml:space="preserve"> (5)</w:t>
      </w:r>
      <w:r>
        <w:rPr>
          <w:rFonts w:ascii="Arial" w:cs="Arial" w:eastAsia="Arial" w:hAnsi="Arial"/>
          <w:sz w:val="14"/>
          <w:szCs w:val="14"/>
          <w:color w:val="auto"/>
        </w:rPr>
        <w:t>Japanese Investment Trust Management Funds,</w:t>
      </w:r>
      <w:r>
        <w:rPr>
          <w:rFonts w:ascii="Arial" w:cs="Arial" w:eastAsia="Arial" w:hAnsi="Arial"/>
          <w:sz w:val="9"/>
          <w:szCs w:val="9"/>
          <w:color w:val="auto"/>
        </w:rPr>
        <w:t xml:space="preserve"> (6)</w:t>
      </w:r>
      <w:r>
        <w:rPr>
          <w:rFonts w:ascii="Arial" w:cs="Arial" w:eastAsia="Arial" w:hAnsi="Arial"/>
          <w:sz w:val="14"/>
          <w:szCs w:val="14"/>
          <w:color w:val="auto"/>
        </w:rPr>
        <w:t>Provided through our ActivePlus and Retirement Advisory Service Portfolios.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Capabilities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manage a broad range of investment strategies in equity, fixed income, multi-asset, and alternatives across sectors, styles and regions. Our strategies are designed to meet the varied and changing needs and objectives of investors and are delivered across a range of vehicles. The alternatives asset class includes strategies authorized to invest more than 50% of its holdings in private credit, leveraged loans, mezzanine, real assets, structured products, stressed/distressed, non-investment grade CLOs, special situations, or have absolute returns as its investment objective. Generally, only those strategies with longer than daily liquidity are included. We also offer specialized advisory services, including management of stable value investment contracts, modeled multi-asset solutions, and a distribution management service for the disposition of equity securities our clients receive from third-party venture capital investment pools.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broad investment capabilities as of December 31, 2022.</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40" w:type="dxa"/>
            <w:vAlign w:val="bottom"/>
            <w:tcBorders>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3300" w:type="dxa"/>
            <w:vAlign w:val="bottom"/>
            <w:tcBorders>
              <w:top w:val="single" w:sz="8" w:color="auto"/>
              <w:bottom w:val="single" w:sz="8" w:color="auto"/>
              <w:right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rPr>
              <w:t>Equity</w:t>
            </w: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3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Growth</w:t>
            </w:r>
          </w:p>
        </w:tc>
        <w:tc>
          <w:tcPr>
            <w:tcW w:w="1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Core</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Value</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Concentrated</w:t>
            </w:r>
          </w:p>
        </w:tc>
        <w:tc>
          <w:tcPr>
            <w:tcW w:w="1640" w:type="dxa"/>
            <w:vAlign w:val="bottom"/>
            <w:tcBorders>
              <w:right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b w:val="1"/>
                <w:bCs w:val="1"/>
                <w:i w:val="1"/>
                <w:iCs w:val="1"/>
                <w:color w:val="auto"/>
              </w:rPr>
              <w:t>Integrated</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Impact</w:t>
            </w:r>
          </w:p>
        </w:tc>
        <w:tc>
          <w:tcPr>
            <w:tcW w:w="0" w:type="dxa"/>
            <w:vAlign w:val="bottom"/>
          </w:tcPr>
          <w:p>
            <w:pPr>
              <w:spacing w:after="0"/>
              <w:rPr>
                <w:sz w:val="1"/>
                <w:szCs w:val="1"/>
                <w:color w:val="auto"/>
              </w:rPr>
            </w:pPr>
          </w:p>
        </w:tc>
      </w:tr>
      <w:tr>
        <w:trPr>
          <w:trHeight w:val="162"/>
        </w:trPr>
        <w:tc>
          <w:tcPr>
            <w:tcW w:w="13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continue"/>
            <w:shd w:val="clear" w:color="auto" w:fill="CCEEFF"/>
          </w:tcPr>
          <w:p>
            <w:pPr>
              <w:spacing w:after="0"/>
              <w:rPr>
                <w:sz w:val="14"/>
                <w:szCs w:val="14"/>
                <w:color w:val="auto"/>
              </w:rPr>
            </w:pPr>
          </w:p>
        </w:tc>
        <w:tc>
          <w:tcPr>
            <w:tcW w:w="1620" w:type="dxa"/>
            <w:vAlign w:val="bottom"/>
            <w:tcBorders>
              <w:right w:val="single" w:sz="8" w:color="auto"/>
            </w:tcBorders>
            <w:vMerge w:val="continue"/>
            <w:shd w:val="clear" w:color="auto" w:fill="CCEEFF"/>
          </w:tcPr>
          <w:p>
            <w:pPr>
              <w:spacing w:after="0"/>
              <w:rPr>
                <w:sz w:val="14"/>
                <w:szCs w:val="14"/>
                <w:color w:val="auto"/>
              </w:rPr>
            </w:pPr>
          </w:p>
        </w:tc>
        <w:tc>
          <w:tcPr>
            <w:tcW w:w="1660" w:type="dxa"/>
            <w:vAlign w:val="bottom"/>
            <w:tcBorders>
              <w:right w:val="single" w:sz="8" w:color="auto"/>
            </w:tcBorders>
            <w:vMerge w:val="continue"/>
            <w:shd w:val="clear" w:color="auto" w:fill="CCEEFF"/>
          </w:tcPr>
          <w:p>
            <w:pPr>
              <w:spacing w:after="0"/>
              <w:rPr>
                <w:sz w:val="14"/>
                <w:szCs w:val="14"/>
                <w:color w:val="auto"/>
              </w:rPr>
            </w:pPr>
          </w:p>
        </w:tc>
        <w:tc>
          <w:tcPr>
            <w:tcW w:w="1640" w:type="dxa"/>
            <w:vAlign w:val="bottom"/>
            <w:tcBorders>
              <w:right w:val="single" w:sz="8" w:color="auto"/>
            </w:tcBorders>
            <w:vMerge w:val="continue"/>
            <w:shd w:val="clear" w:color="auto" w:fill="CCEEFF"/>
          </w:tcPr>
          <w:p>
            <w:pPr>
              <w:spacing w:after="0"/>
              <w:rPr>
                <w:sz w:val="14"/>
                <w:szCs w:val="14"/>
                <w:color w:val="auto"/>
              </w:rPr>
            </w:pPr>
          </w:p>
        </w:tc>
        <w:tc>
          <w:tcPr>
            <w:tcW w:w="1640" w:type="dxa"/>
            <w:vAlign w:val="bottom"/>
            <w:tcBorders>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6"/>
                <w:szCs w:val="16"/>
                <w:b w:val="1"/>
                <w:bCs w:val="1"/>
                <w:i w:val="1"/>
                <w:iCs w:val="1"/>
                <w:color w:val="auto"/>
              </w:rPr>
              <w:t>(Quantitative &amp;</w:t>
            </w:r>
          </w:p>
        </w:tc>
        <w:tc>
          <w:tcPr>
            <w:tcW w:w="166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c>
          <w:tcPr>
            <w:tcW w:w="1640" w:type="dxa"/>
            <w:vAlign w:val="bottom"/>
            <w:tcBorders>
              <w:bottom w:val="single" w:sz="8" w:color="auto"/>
              <w:right w:val="single" w:sz="8" w:color="auto"/>
            </w:tcBorders>
            <w:shd w:val="clear" w:color="auto" w:fill="CCEEFF"/>
          </w:tcPr>
          <w:p>
            <w:pPr>
              <w:spacing w:after="0"/>
              <w:rPr>
                <w:sz w:val="18"/>
                <w:szCs w:val="18"/>
                <w:color w:val="auto"/>
              </w:rPr>
            </w:pP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Fundamental)</w:t>
            </w: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Large-Cap (Growth &amp;</w:t>
            </w:r>
          </w:p>
        </w:tc>
        <w:tc>
          <w:tcPr>
            <w:tcW w:w="1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6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(Value)</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Value, Lower</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Mid-Cap, Small-Cap,</w:t>
            </w:r>
          </w:p>
        </w:tc>
        <w:tc>
          <w:tcPr>
            <w:tcW w:w="162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Sectors</w:t>
            </w:r>
          </w:p>
        </w:tc>
        <w:tc>
          <w:tcPr>
            <w:tcW w:w="16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Small-Cap</w:t>
            </w:r>
          </w:p>
        </w:tc>
        <w:tc>
          <w:tcPr>
            <w:tcW w:w="16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Small-Cap</w:t>
            </w:r>
          </w:p>
        </w:tc>
        <w:tc>
          <w:tcPr>
            <w:tcW w:w="1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Volatility), Multi-Cap,</w:t>
            </w: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Small-Cap</w:t>
            </w: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16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tcBorders>
              <w:left w:val="single" w:sz="8" w:color="auto"/>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Small-Cap, Sectors,</w:t>
            </w: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 Regional</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 Regional</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 (Core)</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0" w:type="dxa"/>
            <w:vAlign w:val="bottom"/>
          </w:tcPr>
          <w:p>
            <w:pPr>
              <w:spacing w:after="0"/>
              <w:rPr>
                <w:sz w:val="1"/>
                <w:szCs w:val="1"/>
                <w:color w:val="auto"/>
              </w:rPr>
            </w:pPr>
          </w:p>
        </w:tc>
      </w:tr>
      <w:tr>
        <w:trPr>
          <w:trHeight w:val="80"/>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340" w:type="dxa"/>
            <w:vAlign w:val="bottom"/>
            <w:tcBorders>
              <w:left w:val="single" w:sz="8" w:color="auto"/>
              <w:right w:val="single" w:sz="8" w:color="auto"/>
            </w:tcBorders>
            <w:vMerge w:val="continue"/>
          </w:tcPr>
          <w:p>
            <w:pPr>
              <w:spacing w:after="0"/>
              <w:rPr>
                <w:sz w:val="11"/>
                <w:szCs w:val="11"/>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Regional</w:t>
            </w:r>
          </w:p>
        </w:tc>
        <w:tc>
          <w:tcPr>
            <w:tcW w:w="16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40" w:type="dxa"/>
            <w:vAlign w:val="bottom"/>
            <w:tcBorders>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3300" w:type="dxa"/>
            <w:vAlign w:val="bottom"/>
            <w:tcBorders>
              <w:top w:val="single" w:sz="8" w:color="auto"/>
              <w:bottom w:val="single" w:sz="8" w:color="auto"/>
              <w:right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Fixed Income</w:t>
            </w: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3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Cash</w:t>
            </w:r>
          </w:p>
        </w:tc>
        <w:tc>
          <w:tcPr>
            <w:tcW w:w="1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Low Duration</w:t>
            </w:r>
          </w:p>
        </w:tc>
        <w:tc>
          <w:tcPr>
            <w:tcW w:w="1660" w:type="dxa"/>
            <w:vAlign w:val="bottom"/>
            <w:tcBorders>
              <w:right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b w:val="1"/>
                <w:bCs w:val="1"/>
                <w:i w:val="1"/>
                <w:iCs w:val="1"/>
                <w:color w:val="auto"/>
              </w:rPr>
              <w:t>High Yield / Bank</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Government</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Securitized</w:t>
            </w:r>
          </w:p>
        </w:tc>
        <w:tc>
          <w:tcPr>
            <w:tcW w:w="1660" w:type="dxa"/>
            <w:vAlign w:val="bottom"/>
            <w:tcBorders>
              <w:right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b w:val="1"/>
                <w:bCs w:val="1"/>
                <w:i w:val="1"/>
                <w:iCs w:val="1"/>
                <w:color w:val="auto"/>
              </w:rPr>
              <w:t>Investment Grade</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continue"/>
            <w:shd w:val="clear" w:color="auto" w:fill="CCEEFF"/>
          </w:tcPr>
          <w:p>
            <w:pPr>
              <w:spacing w:after="0"/>
              <w:rPr>
                <w:sz w:val="12"/>
                <w:szCs w:val="12"/>
                <w:color w:val="auto"/>
              </w:rPr>
            </w:pPr>
          </w:p>
        </w:tc>
        <w:tc>
          <w:tcPr>
            <w:tcW w:w="1620" w:type="dxa"/>
            <w:vAlign w:val="bottom"/>
            <w:tcBorders>
              <w:right w:val="single" w:sz="8" w:color="auto"/>
            </w:tcBorders>
            <w:vMerge w:val="continue"/>
            <w:shd w:val="clear" w:color="auto" w:fill="CCEEFF"/>
          </w:tcPr>
          <w:p>
            <w:pPr>
              <w:spacing w:after="0"/>
              <w:rPr>
                <w:sz w:val="12"/>
                <w:szCs w:val="12"/>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Loans</w:t>
            </w:r>
          </w:p>
        </w:tc>
        <w:tc>
          <w:tcPr>
            <w:tcW w:w="1640" w:type="dxa"/>
            <w:vAlign w:val="bottom"/>
            <w:tcBorders>
              <w:right w:val="single" w:sz="8" w:color="auto"/>
            </w:tcBorders>
            <w:vMerge w:val="continue"/>
            <w:shd w:val="clear" w:color="auto" w:fill="CCEEFF"/>
          </w:tcPr>
          <w:p>
            <w:pPr>
              <w:spacing w:after="0"/>
              <w:rPr>
                <w:sz w:val="12"/>
                <w:szCs w:val="12"/>
                <w:color w:val="auto"/>
              </w:rPr>
            </w:pPr>
          </w:p>
        </w:tc>
        <w:tc>
          <w:tcPr>
            <w:tcW w:w="1640" w:type="dxa"/>
            <w:vAlign w:val="bottom"/>
            <w:tcBorders>
              <w:right w:val="single" w:sz="8" w:color="auto"/>
            </w:tcBorders>
            <w:vMerge w:val="continue"/>
            <w:shd w:val="clear" w:color="auto" w:fill="CCEEFF"/>
          </w:tcPr>
          <w:p>
            <w:pPr>
              <w:spacing w:after="0"/>
              <w:rPr>
                <w:sz w:val="12"/>
                <w:szCs w:val="12"/>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Credit</w:t>
            </w:r>
          </w:p>
        </w:tc>
        <w:tc>
          <w:tcPr>
            <w:tcW w:w="0" w:type="dxa"/>
            <w:vAlign w:val="bottom"/>
          </w:tcPr>
          <w:p>
            <w:pPr>
              <w:spacing w:after="0"/>
              <w:rPr>
                <w:sz w:val="1"/>
                <w:szCs w:val="1"/>
                <w:color w:val="auto"/>
              </w:rPr>
            </w:pPr>
          </w:p>
        </w:tc>
      </w:tr>
      <w:tr>
        <w:trPr>
          <w:trHeight w:val="75"/>
        </w:trPr>
        <w:tc>
          <w:tcPr>
            <w:tcW w:w="13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shd w:val="clear" w:color="auto" w:fill="CCEEFF"/>
          </w:tcPr>
          <w:p>
            <w:pPr>
              <w:spacing w:after="0"/>
              <w:rPr>
                <w:sz w:val="6"/>
                <w:szCs w:val="6"/>
                <w:color w:val="auto"/>
              </w:rPr>
            </w:pPr>
          </w:p>
        </w:tc>
        <w:tc>
          <w:tcPr>
            <w:tcW w:w="1620" w:type="dxa"/>
            <w:vAlign w:val="bottom"/>
            <w:tcBorders>
              <w:bottom w:val="single" w:sz="8" w:color="auto"/>
              <w:right w:val="single" w:sz="8" w:color="auto"/>
            </w:tcBorders>
            <w:shd w:val="clear" w:color="auto" w:fill="CCEEFF"/>
          </w:tcPr>
          <w:p>
            <w:pPr>
              <w:spacing w:after="0"/>
              <w:rPr>
                <w:sz w:val="6"/>
                <w:szCs w:val="6"/>
                <w:color w:val="auto"/>
              </w:rPr>
            </w:pPr>
          </w:p>
        </w:tc>
        <w:tc>
          <w:tcPr>
            <w:tcW w:w="166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1640" w:type="dxa"/>
            <w:vAlign w:val="bottom"/>
            <w:tcBorders>
              <w:bottom w:val="single" w:sz="8" w:color="auto"/>
              <w:right w:val="single" w:sz="8" w:color="auto"/>
            </w:tcBorders>
            <w:shd w:val="clear" w:color="auto" w:fill="CCEEFF"/>
          </w:tcPr>
          <w:p>
            <w:pPr>
              <w:spacing w:after="0"/>
              <w:rPr>
                <w:sz w:val="6"/>
                <w:szCs w:val="6"/>
                <w:color w:val="auto"/>
              </w:rPr>
            </w:pPr>
          </w:p>
        </w:tc>
        <w:tc>
          <w:tcPr>
            <w:tcW w:w="1640" w:type="dxa"/>
            <w:vAlign w:val="bottom"/>
            <w:tcBorders>
              <w:bottom w:val="single" w:sz="8" w:color="auto"/>
              <w:right w:val="single" w:sz="8" w:color="auto"/>
            </w:tcBorders>
            <w:shd w:val="clear" w:color="auto" w:fill="CCEEFF"/>
          </w:tcPr>
          <w:p>
            <w:pPr>
              <w:spacing w:after="0"/>
              <w:rPr>
                <w:sz w:val="6"/>
                <w:szCs w:val="6"/>
                <w:color w:val="auto"/>
              </w:rPr>
            </w:pPr>
          </w:p>
        </w:tc>
        <w:tc>
          <w:tcPr>
            <w:tcW w:w="166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Stable Value, Short-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Credit Opportunities,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US Inflation</w:t>
            </w:r>
          </w:p>
        </w:tc>
        <w:tc>
          <w:tcPr>
            <w:tcW w:w="164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Taxable Money, Tax-</w:t>
            </w: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Term Bond, Short</w:t>
            </w:r>
          </w:p>
        </w:tc>
        <w:tc>
          <w:tcPr>
            <w:tcW w:w="1660" w:type="dxa"/>
            <w:vAlign w:val="bottom"/>
            <w:tcBorders>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Securitized Credit,</w:t>
            </w: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i w:val="1"/>
                <w:iCs w:val="1"/>
                <w:color w:val="auto"/>
              </w:rPr>
              <w:t>U.S.:</w:t>
            </w:r>
          </w:p>
        </w:tc>
        <w:tc>
          <w:tcPr>
            <w:tcW w:w="16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Duration Income,</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Floating Rate, US</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Protection, US</w:t>
            </w:r>
          </w:p>
        </w:tc>
        <w:tc>
          <w:tcPr>
            <w:tcW w:w="164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US Investment Grade</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Exempt Money</w:t>
            </w:r>
          </w:p>
        </w:tc>
        <w:tc>
          <w:tcPr>
            <w:tcW w:w="16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CLO, GNMA</w:t>
            </w: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Ultra-Short Term</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High Yield</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Treasury</w:t>
            </w:r>
          </w:p>
        </w:tc>
        <w:tc>
          <w:tcPr>
            <w:tcW w:w="164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340" w:type="dxa"/>
            <w:vAlign w:val="bottom"/>
            <w:tcBorders>
              <w:left w:val="single" w:sz="8" w:color="auto"/>
              <w:right w:val="single" w:sz="8" w:color="auto"/>
            </w:tcBorders>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vMerge w:val="continue"/>
          </w:tcPr>
          <w:p>
            <w:pPr>
              <w:spacing w:after="0"/>
              <w:rPr>
                <w:sz w:val="2"/>
                <w:szCs w:val="2"/>
                <w:color w:val="auto"/>
              </w:rPr>
            </w:pPr>
          </w:p>
        </w:tc>
        <w:tc>
          <w:tcPr>
            <w:tcW w:w="1660" w:type="dxa"/>
            <w:vAlign w:val="bottom"/>
            <w:tcBorders>
              <w:right w:val="single" w:sz="8" w:color="auto"/>
            </w:tcBorders>
            <w:vMerge w:val="continue"/>
          </w:tcPr>
          <w:p>
            <w:pPr>
              <w:spacing w:after="0"/>
              <w:rPr>
                <w:sz w:val="2"/>
                <w:szCs w:val="2"/>
                <w:color w:val="auto"/>
              </w:rPr>
            </w:pPr>
          </w:p>
        </w:tc>
        <w:tc>
          <w:tcPr>
            <w:tcW w:w="1640" w:type="dxa"/>
            <w:vAlign w:val="bottom"/>
            <w:tcBorders>
              <w:right w:val="single" w:sz="8" w:color="auto"/>
            </w:tcBorders>
            <w:vMerge w:val="continue"/>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Bond</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Global Government</w:t>
            </w:r>
          </w:p>
        </w:tc>
        <w:tc>
          <w:tcPr>
            <w:tcW w:w="164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Investment</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Euro High Yield, High</w:t>
            </w: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Bond, Global</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66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Government Bond ex-</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Grade Corporate,</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Income, Global High</w:t>
            </w:r>
          </w:p>
        </w:tc>
        <w:tc>
          <w:tcPr>
            <w:tcW w:w="1640" w:type="dxa"/>
            <w:vAlign w:val="bottom"/>
            <w:tcBorders>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jc w:val="center"/>
              <w:spacing w:after="0" w:line="81" w:lineRule="exact"/>
              <w:rPr>
                <w:sz w:val="20"/>
                <w:szCs w:val="20"/>
                <w:color w:val="auto"/>
              </w:rPr>
            </w:pPr>
            <w:r>
              <w:rPr>
                <w:rFonts w:ascii="Arial" w:cs="Arial" w:eastAsia="Arial" w:hAnsi="Arial"/>
                <w:sz w:val="9"/>
                <w:szCs w:val="9"/>
                <w:i w:val="1"/>
                <w:iCs w:val="1"/>
                <w:color w:val="auto"/>
              </w:rPr>
              <w:t>International:</w:t>
            </w:r>
          </w:p>
        </w:tc>
        <w:tc>
          <w:tcPr>
            <w:tcW w:w="16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Yield</w:t>
            </w:r>
          </w:p>
        </w:tc>
        <w:tc>
          <w:tcPr>
            <w:tcW w:w="16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Japan, Global</w:t>
            </w: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Euro Investment</w:t>
            </w: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Government Bond</w:t>
            </w:r>
          </w:p>
        </w:tc>
        <w:tc>
          <w:tcPr>
            <w:tcW w:w="16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Grade Corporate</w:t>
            </w:r>
          </w:p>
        </w:tc>
        <w:tc>
          <w:tcPr>
            <w:tcW w:w="0" w:type="dxa"/>
            <w:vAlign w:val="bottom"/>
          </w:tcPr>
          <w:p>
            <w:pPr>
              <w:spacing w:after="0"/>
              <w:rPr>
                <w:sz w:val="1"/>
                <w:szCs w:val="1"/>
                <w:color w:val="auto"/>
              </w:rPr>
            </w:pPr>
          </w:p>
        </w:tc>
      </w:tr>
      <w:tr>
        <w:trPr>
          <w:trHeight w:val="28"/>
        </w:trPr>
        <w:tc>
          <w:tcPr>
            <w:tcW w:w="1340" w:type="dxa"/>
            <w:vAlign w:val="bottom"/>
            <w:tcBorders>
              <w:left w:val="single" w:sz="8" w:color="auto"/>
              <w:right w:val="single" w:sz="8" w:color="auto"/>
            </w:tcBorders>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1640" w:type="dxa"/>
            <w:vAlign w:val="bottom"/>
            <w:tcBorders>
              <w:right w:val="single" w:sz="8" w:color="auto"/>
            </w:tcBorders>
            <w:vMerge w:val="continue"/>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6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High Quality</w:t>
            </w: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0"/>
                <w:szCs w:val="20"/>
                <w:color w:val="auto"/>
              </w:rPr>
            </w:pPr>
            <w:r>
              <w:rPr>
                <w:rFonts w:ascii="Arial" w:cs="Arial" w:eastAsia="Arial" w:hAnsi="Arial"/>
                <w:sz w:val="14"/>
                <w:szCs w:val="14"/>
                <w:i w:val="1"/>
                <w:iCs w:val="1"/>
                <w:color w:val="auto"/>
              </w:rPr>
              <w:t>N/R - Not relevant</w:t>
            </w: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40" w:type="dxa"/>
            <w:vAlign w:val="bottom"/>
            <w:tcBorders>
              <w:right w:val="single" w:sz="8" w:color="auto"/>
            </w:tcBorders>
          </w:tcPr>
          <w:p>
            <w:pPr>
              <w:spacing w:after="0"/>
              <w:rPr>
                <w:sz w:val="22"/>
                <w:szCs w:val="22"/>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Fixed Income, cont'd</w:t>
            </w:r>
          </w:p>
        </w:tc>
        <w:tc>
          <w:tcPr>
            <w:tcW w:w="196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3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Multi-Sector</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Dynamic Suite</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Emerging Markets</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Municipal</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Impact</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right w:val="single" w:sz="8" w:color="auto"/>
            </w:tcBorders>
          </w:tcPr>
          <w:p>
            <w:pPr>
              <w:spacing w:after="0"/>
              <w:rPr>
                <w:sz w:val="13"/>
                <w:szCs w:val="13"/>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QM US Bond, US Core</w:t>
            </w:r>
          </w:p>
        </w:tc>
        <w:tc>
          <w:tcPr>
            <w:tcW w:w="198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9"/>
              </w:rPr>
              <w:t>Tax-Free High Yield,</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96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Intermediate Tax-Free</w:t>
            </w: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Bond, US Core Plus, US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High Yield, Muni</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0" w:type="dxa"/>
            <w:vAlign w:val="bottom"/>
          </w:tcPr>
          <w:p>
            <w:pPr>
              <w:spacing w:after="0"/>
              <w:rPr>
                <w:sz w:val="1"/>
                <w:szCs w:val="1"/>
                <w:color w:val="auto"/>
              </w:rPr>
            </w:pPr>
          </w:p>
        </w:tc>
      </w:tr>
      <w:tr>
        <w:trPr>
          <w:trHeight w:val="133"/>
        </w:trPr>
        <w:tc>
          <w:tcPr>
            <w:tcW w:w="134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Investment Grade Core,</w:t>
            </w: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Intermediate, Tax-Free</w:t>
            </w: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4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US Total Return</w:t>
            </w:r>
          </w:p>
        </w:tc>
        <w:tc>
          <w:tcPr>
            <w:tcW w:w="198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8"/>
              </w:rPr>
              <w:t>Long-Term, Tax-Free</w:t>
            </w: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Short/Intermediate</w:t>
            </w: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Multi-Sector,</w:t>
            </w:r>
          </w:p>
        </w:tc>
        <w:tc>
          <w:tcPr>
            <w:tcW w:w="19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Dynamic Credit, Dynamic</w:t>
            </w:r>
          </w:p>
        </w:tc>
        <w:tc>
          <w:tcPr>
            <w:tcW w:w="19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EM Bond, EM Corporate,</w:t>
            </w:r>
          </w:p>
        </w:tc>
        <w:tc>
          <w:tcPr>
            <w:tcW w:w="196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Global Bond, Dynamic</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EM Corporate High Yield,</w:t>
            </w: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i w:val="1"/>
                <w:iCs w:val="1"/>
                <w:color w:val="auto"/>
                <w:w w:val="97"/>
              </w:rPr>
              <w:t>Global /</w:t>
            </w: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Global Aggregate,</w:t>
            </w: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Global Bond Investment</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EM Corporate Investment</w:t>
            </w: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N/R</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Global Impact Credit</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International Bond, Euro</w:t>
            </w: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96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Grade, Dynamic Emerging</w:t>
            </w:r>
          </w:p>
        </w:tc>
        <w:tc>
          <w:tcPr>
            <w:tcW w:w="1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Grade, EM Local Bond,</w:t>
            </w:r>
          </w:p>
        </w:tc>
        <w:tc>
          <w:tcPr>
            <w:tcW w:w="1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Aggregate</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Markets Bond</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Asia Credit</w:t>
            </w:r>
          </w:p>
        </w:tc>
        <w:tc>
          <w:tcPr>
            <w:tcW w:w="1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vMerge w:val="continue"/>
          </w:tcPr>
          <w:p>
            <w:pPr>
              <w:spacing w:after="0"/>
              <w:rPr>
                <w:sz w:val="4"/>
                <w:szCs w:val="4"/>
                <w:color w:val="auto"/>
              </w:rPr>
            </w:pPr>
          </w:p>
        </w:tc>
        <w:tc>
          <w:tcPr>
            <w:tcW w:w="1980" w:type="dxa"/>
            <w:vAlign w:val="bottom"/>
            <w:tcBorders>
              <w:bottom w:val="single" w:sz="8" w:color="auto"/>
              <w:right w:val="single" w:sz="8" w:color="auto"/>
            </w:tcBorders>
            <w:vMerge w:val="continue"/>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14"/>
                <w:szCs w:val="14"/>
                <w:i w:val="1"/>
                <w:iCs w:val="1"/>
                <w:color w:val="auto"/>
              </w:rPr>
              <w:t>N/R - Not relevant</w:t>
            </w:r>
          </w:p>
        </w:tc>
        <w:tc>
          <w:tcPr>
            <w:tcW w:w="19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40" w:type="dxa"/>
            <w:vAlign w:val="bottom"/>
            <w:tcBorders>
              <w:bottom w:val="single" w:sz="8" w:color="auto"/>
              <w:right w:val="single" w:sz="8" w:color="auto"/>
            </w:tcBorders>
          </w:tcPr>
          <w:p>
            <w:pPr>
              <w:spacing w:after="0"/>
              <w:rPr>
                <w:sz w:val="21"/>
                <w:szCs w:val="21"/>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Multi-Asset</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spacing w:after="0"/>
              <w:rPr>
                <w:sz w:val="14"/>
                <w:szCs w:val="14"/>
                <w:color w:val="auto"/>
              </w:rPr>
            </w:pPr>
          </w:p>
        </w:tc>
        <w:tc>
          <w:tcPr>
            <w:tcW w:w="19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Target Date, Custom</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Target Allocation</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Allocation</w:t>
            </w:r>
          </w:p>
        </w:tc>
        <w:tc>
          <w:tcPr>
            <w:tcW w:w="19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6"/>
                <w:szCs w:val="16"/>
                <w:color w:val="auto"/>
              </w:rPr>
              <w:t>Global Income</w:t>
            </w:r>
          </w:p>
        </w:tc>
        <w:tc>
          <w:tcPr>
            <w:tcW w:w="19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133"/>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 / Global /</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Target Date</w:t>
            </w: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4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340" w:type="dxa"/>
            <w:vAlign w:val="bottom"/>
            <w:tcBorders>
              <w:left w:val="single" w:sz="8" w:color="auto"/>
              <w:right w:val="single" w:sz="8" w:color="auto"/>
            </w:tcBorders>
            <w:vMerge w:val="continue"/>
          </w:tcPr>
          <w:p>
            <w:pPr>
              <w:spacing w:after="0"/>
              <w:rPr>
                <w:sz w:val="14"/>
                <w:szCs w:val="14"/>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Custom Solutions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Real Assets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Retirement Income</w:t>
            </w:r>
          </w:p>
        </w:tc>
        <w:tc>
          <w:tcPr>
            <w:tcW w:w="1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60" w:type="dxa"/>
            <w:vAlign w:val="bottom"/>
            <w:tcBorders>
              <w:bottom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Alternatives</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136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Private Credit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Leveraged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Mezzanine</w:t>
            </w:r>
          </w:p>
        </w:tc>
        <w:tc>
          <w:tcPr>
            <w:tcW w:w="19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Real Assets / CRE</w:t>
            </w:r>
          </w:p>
        </w:tc>
        <w:tc>
          <w:tcPr>
            <w:tcW w:w="19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Structured Products</w:t>
            </w:r>
          </w:p>
        </w:tc>
        <w:tc>
          <w:tcPr>
            <w:tcW w:w="0" w:type="dxa"/>
            <w:vAlign w:val="bottom"/>
          </w:tcPr>
          <w:p>
            <w:pPr>
              <w:spacing w:after="0"/>
              <w:rPr>
                <w:sz w:val="1"/>
                <w:szCs w:val="1"/>
                <w:color w:val="auto"/>
              </w:rPr>
            </w:pPr>
          </w:p>
        </w:tc>
      </w:tr>
      <w:tr>
        <w:trPr>
          <w:trHeight w:val="110"/>
        </w:trPr>
        <w:tc>
          <w:tcPr>
            <w:tcW w:w="1360" w:type="dxa"/>
            <w:vAlign w:val="bottom"/>
            <w:tcBorders>
              <w:left w:val="single" w:sz="8" w:color="auto"/>
              <w:right w:val="single" w:sz="8" w:color="auto"/>
            </w:tcBorders>
            <w:vMerge w:val="restart"/>
          </w:tcPr>
          <w:p>
            <w:pPr>
              <w:jc w:val="center"/>
              <w:spacing w:after="0" w:line="165" w:lineRule="exact"/>
              <w:rPr>
                <w:sz w:val="20"/>
                <w:szCs w:val="20"/>
                <w:color w:val="auto"/>
              </w:rPr>
            </w:pPr>
            <w:r>
              <w:rPr>
                <w:rFonts w:ascii="Arial" w:cs="Arial" w:eastAsia="Arial" w:hAnsi="Arial"/>
                <w:sz w:val="16"/>
                <w:szCs w:val="16"/>
                <w:i w:val="1"/>
                <w:iCs w:val="1"/>
                <w:color w:val="auto"/>
              </w:rPr>
              <w:t>U.S. / Global /</w:t>
            </w:r>
          </w:p>
        </w:tc>
        <w:tc>
          <w:tcPr>
            <w:tcW w:w="194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360" w:type="dxa"/>
            <w:vAlign w:val="bottom"/>
            <w:tcBorders>
              <w:left w:val="single" w:sz="8" w:color="auto"/>
              <w:right w:val="single" w:sz="8" w:color="auto"/>
            </w:tcBorders>
            <w:vMerge w:val="continue"/>
          </w:tcPr>
          <w:p>
            <w:pPr>
              <w:spacing w:after="0"/>
              <w:rPr>
                <w:sz w:val="3"/>
                <w:szCs w:val="3"/>
                <w:color w:val="auto"/>
              </w:rPr>
            </w:pPr>
          </w:p>
        </w:tc>
        <w:tc>
          <w:tcPr>
            <w:tcW w:w="1940" w:type="dxa"/>
            <w:vAlign w:val="bottom"/>
            <w:tcBorders>
              <w:right w:val="single" w:sz="8" w:color="auto"/>
            </w:tcBorders>
          </w:tcPr>
          <w:p>
            <w:pPr>
              <w:spacing w:after="0"/>
              <w:rPr>
                <w:sz w:val="3"/>
                <w:szCs w:val="3"/>
                <w:color w:val="auto"/>
              </w:rPr>
            </w:pPr>
          </w:p>
        </w:tc>
        <w:tc>
          <w:tcPr>
            <w:tcW w:w="1980" w:type="dxa"/>
            <w:vAlign w:val="bottom"/>
            <w:tcBorders>
              <w:right w:val="single" w:sz="8" w:color="auto"/>
            </w:tcBorders>
          </w:tcPr>
          <w:p>
            <w:pPr>
              <w:spacing w:after="0"/>
              <w:rPr>
                <w:sz w:val="3"/>
                <w:szCs w:val="3"/>
                <w:color w:val="auto"/>
              </w:rPr>
            </w:pPr>
          </w:p>
        </w:tc>
        <w:tc>
          <w:tcPr>
            <w:tcW w:w="1980" w:type="dxa"/>
            <w:vAlign w:val="bottom"/>
            <w:tcBorders>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9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rPr>
              <w:t>International:</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Stressed / Distressed</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CLOs - Non-Investment</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Special Situations</w:t>
            </w:r>
          </w:p>
        </w:tc>
        <w:tc>
          <w:tcPr>
            <w:tcW w:w="19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36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Grade</w:t>
            </w:r>
          </w:p>
        </w:tc>
        <w:tc>
          <w:tcPr>
            <w:tcW w:w="19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60" w:type="dxa"/>
            <w:vAlign w:val="bottom"/>
            <w:tcBorders>
              <w:left w:val="single" w:sz="8" w:color="auto"/>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36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financials and other information, and field checks with suppliers and competitors in the same industry and particular business sector. Our dedicated, in-house research analysts consider tangible investment factors, such as financial information, valuation, and macroeconomics in tandem with intangible environmental, social, and corporate governance investment factors.</w:t>
      </w:r>
    </w:p>
    <w:p>
      <w:pPr>
        <w:spacing w:after="0" w:line="209"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Our research staff operates primarily from offices located in the U.S. and U.K. with additional staff based in Australia, China, Hong Kong, Japan, Singapore, and Switzerland.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introduce new strategies, investment vehicles, and other products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to investors over a long period. In 2022, we introduced five new strategies and several new share classes of existing strategies.</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typically provide seed capital for new investment products to enable the portfolio manager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We attempt to ensure that the new investment product has a sustainable level of assets from unrelated shareholders before we consider redemption of our seed capital investment in order to not negatively impact the new investment product's net asset value or its investment performance record. We also provide seed capital for new investment products in the alternative asset class. The length of time we hold our seed investment is dependent on the terms of each investment. At December 31, 2022, we had seed capital investments in our products of $1.1 billion.</w:t>
      </w:r>
    </w:p>
    <w:p>
      <w:pPr>
        <w:spacing w:after="0" w:line="2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may also close or limit new investments to new investors across sponsored investment products in order to maintain the integrity of the investment strategy and to protect the interests of its existing shareholders and investors. At present, the following strategies, which represent about 10% of total assets under management at December 31, 2022, are generally closed to new investors: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p>
        </w:tc>
        <w:tc>
          <w:tcPr>
            <w:tcW w:w="4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closed</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High Yield Bond</w:t>
            </w:r>
          </w:p>
        </w:tc>
        <w:tc>
          <w:tcPr>
            <w:tcW w:w="47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Small-Cap Growth</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U.S. Small-Cap Core</w:t>
            </w:r>
          </w:p>
        </w:tc>
        <w:tc>
          <w:tcPr>
            <w:tcW w:w="47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Appreciation</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Emerging Markets Growth</w:t>
            </w:r>
          </w:p>
        </w:tc>
        <w:tc>
          <w:tcPr>
            <w:tcW w:w="474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Small-Cap Growth</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Fees</w:t>
      </w:r>
    </w:p>
    <w:p>
      <w:pPr>
        <w:spacing w:after="0" w:line="25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investment advisory fees are earned pursuant to agreements with our funds and/or clients, including investment products for which we provide sub-advisory services. Our advisory fees are generally based as a percentage of AUM pursuant to such contractual arrangements. The fee rate will vary depending on the services provided, the asset class and/or vehicle.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Through our subsidiaries, we provide investment advisory services to the U.S. mutual funds; clients on a subadvised or separately managed account basis; collective investment trusts; and other T. Rowe Price products. The other T. Rowe Price products include: open-ended investment products offered to investors outside the U.S., products offered through variable annuity life insurance plans in the U.S., affiliated private investment funds and collateralized loan obligations. Nearly 58% of our investment advisory fees are earned from our U.S. mutual funds, while about 42% of our investment advisory fees are earned from our other investment portfolios.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Mutual Funds</w:t>
      </w:r>
    </w:p>
    <w:p>
      <w:pPr>
        <w:spacing w:after="0" w:line="25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At December 31, 2022, assets under our management in the U.S. mutual funds aggregated $627.8 billion, a decrease of 28.0% from the beginning of the year. Investment advisory services are provided to each U.S. mutual fund under individual investment management agreements that grant the fund the right to use the</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 Rowe Price name. The Boards of the respective funds, including a majority of directors who are not interested persons of the funds or of T. Rowe Price Group (as defined in the Investment Company Act of 1940), must approve the investment management agreements annually and regularly review their fee structures. Fund shareholders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advisory fee paid monthly by each of the U.S. mutual funds is computed on a daily basis by multiplying a fund’s net assets by its effective fee rate. A fund’s fee rate is either an all-in fee rate, an individual fund fee rate, or the sum of an individual fund fee rate and the tiered group fee rate. The individual fund rates are generally flat rates that are set based on the fund’s specific investment objective. Several funds have tiered individual fund rates that reduce their individual flat fee rates based on certain asset levels of the fund as described in their prospectus. The tiered group rate is based on the combined net assets of nearly all of the U.S. mutual funds. If the combined net assets of these U.S. mutual funds exceed $845 billion, the weighted-average fee across pricing tiers is 28.1 basis points for the first $845 billion of net assets plus 26.0 basis points for net assets in excess of $845 billion. The tiered group fee component will fluctuate with movements in our net asset value within the U.S. mutual funds. An all-in fee covers both the investment management fee and ordinary operating expenses incurred by the fund.</w:t>
      </w:r>
    </w:p>
    <w:p>
      <w:pPr>
        <w:spacing w:after="0" w:line="20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Investment management fees are waived or voluntarily reduced at times when a new fund is established. These waivers or reductions are based on a specified percentage of its net asset value during the agreed upon period. We may recover some or all of the waived fees, but such recovery is not assured.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Subadvised funds, separate accounts, collective investment trusts, and other investment products</w:t>
      </w:r>
    </w:p>
    <w:p>
      <w:pPr>
        <w:spacing w:after="0" w:line="2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subadvised, separate accounts, collective investment trusts, and other investment products had assets under management of $609.4 billion at December 31, 2022, a decrease of 21.9% from the beginning of the year. Other investment products include open-ended investment products offered to investors outside the U.S. and products offered through variable annuity life insurance plans in the U.S. We earn investment management fees from these clients based on, among other things, the specific investment services to be provided, and these investment management fees are computed using the value of assets under management at a contracted annual fee rate or the products' effective fee rate for those with a tiered-fee rate structure. The majority of assets under management within these products are based on daily valuation.</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these products, the agreement typically provides for termination upon relatively short notice with little or no penalty. We currently also earn performance-based investment advisory fees on certain separately managed accounts. These fees are currently immaterial to our total investment advisory fees and are only recognized when the performance condition has been met. This recognition criteria can lead to uneven recognition of performance-based revenue throughout the year.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services provided by certain of our subsidiaries based on our non-U.S. global investment products: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color w:val="auto"/>
              </w:rPr>
              <w:t>T. Rowe Price Subsidiary</w:t>
            </w:r>
          </w:p>
        </w:tc>
        <w:tc>
          <w:tcPr>
            <w:tcW w:w="288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Products</w:t>
            </w:r>
          </w:p>
        </w:tc>
        <w:tc>
          <w:tcPr>
            <w:tcW w:w="3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Services Provided</w:t>
            </w:r>
          </w:p>
        </w:tc>
      </w:tr>
      <w:tr>
        <w:trPr>
          <w:trHeight w:val="223"/>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 Rowe Price (Luxembourg) Management Sàrl</w:t>
            </w:r>
          </w:p>
        </w:tc>
        <w:tc>
          <w:tcPr>
            <w:tcW w:w="100" w:type="dxa"/>
            <w:vAlign w:val="bottom"/>
          </w:tcPr>
          <w:p>
            <w:pPr>
              <w:spacing w:after="0"/>
              <w:rPr>
                <w:sz w:val="19"/>
                <w:szCs w:val="19"/>
                <w:color w:val="auto"/>
              </w:rPr>
            </w:pP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SICAVs / FCPs</w:t>
            </w:r>
          </w:p>
        </w:tc>
        <w:tc>
          <w:tcPr>
            <w:tcW w:w="14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Management company</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Australia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AUTs</w:t>
            </w: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w:t>
            </w: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UK</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OEICs</w:t>
            </w:r>
          </w:p>
        </w:tc>
        <w:tc>
          <w:tcPr>
            <w:tcW w:w="3320" w:type="dxa"/>
            <w:vAlign w:val="bottom"/>
          </w:tcPr>
          <w:p>
            <w:pPr>
              <w:ind w:left="20"/>
              <w:spacing w:after="0"/>
              <w:rPr>
                <w:sz w:val="20"/>
                <w:szCs w:val="20"/>
                <w:color w:val="auto"/>
              </w:rPr>
            </w:pPr>
            <w:r>
              <w:rPr>
                <w:rFonts w:ascii="Arial" w:cs="Arial" w:eastAsia="Arial" w:hAnsi="Arial"/>
                <w:sz w:val="18"/>
                <w:szCs w:val="18"/>
                <w:color w:val="auto"/>
              </w:rPr>
              <w:t>Authorized corporate director</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(Canada)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Pooled Funds</w:t>
            </w: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w:t>
            </w:r>
          </w:p>
        </w:tc>
      </w:tr>
      <w:tr>
        <w:trPr>
          <w:trHeight w:val="23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Japan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Japanese ITMs</w:t>
            </w:r>
          </w:p>
        </w:tc>
        <w:tc>
          <w:tcPr>
            <w:tcW w:w="3320" w:type="dxa"/>
            <w:vAlign w:val="bottom"/>
          </w:tcPr>
          <w:p>
            <w:pPr>
              <w:ind w:left="20"/>
              <w:spacing w:after="0"/>
              <w:rPr>
                <w:sz w:val="20"/>
                <w:szCs w:val="20"/>
                <w:color w:val="auto"/>
              </w:rPr>
            </w:pPr>
            <w:r>
              <w:rPr>
                <w:rFonts w:ascii="Arial" w:cs="Arial" w:eastAsia="Arial" w:hAnsi="Arial"/>
                <w:sz w:val="18"/>
                <w:szCs w:val="18"/>
                <w:color w:val="auto"/>
              </w:rPr>
              <w:t>Investment management</w:t>
            </w:r>
          </w:p>
        </w:tc>
      </w:tr>
    </w:tbl>
    <w:p>
      <w:pPr>
        <w:spacing w:after="0" w:line="29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distribute the products listed in the table above outside the U.S. through distribution agents and other financial intermediaries. The fees we earn for distributing and marketing these products are part of our overall investment management fees for managing the product assets. We currently recognize any related distribution fees paid to these financial intermediaries in distribution and servicing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investment funds and CLOs</w:t>
      </w:r>
    </w:p>
    <w:p>
      <w:pPr>
        <w:spacing w:after="0" w:line="2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also provide investment advisory services to private investment funds, CLOs and other private accounts in exchange for an investment advisory fee. At December 31, 2022, fee basis assets under management for these vehicles totaled $37.5 billion, an increase of $1.5 billion from the beginning of the year. Investment advisory fees from private investment funds are determined either monthly or quarterly, and are generally based on the private investment fund’s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 Investment advisory fees from private accounts are determined either monthly or quarterly and are generally based upon the net asset value of the account.</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recognize performance-based fees related to these products. In connection with the management contracts from certain private accounts, we are entitled to receive performance-based incentive fees when investment returns exceed a certain performance hurdle. In such arrangements, incentive fees are recognized when the performance benchmark has been achieved, which is generally measured on an annual basis. Incentive fees are considered a form of variable consideration, and as such, these fees are subject to potential reversal up until the end of the measurement period (which is generally one year) when the performance-based incentive fees become fixed, determinable, and not subject to significant reversal. Incentive fees are generally paid within 90 days of the end of the private account’s measurement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DISTRIBUTION, AND SERVICING FEES.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U.S. mutual funds; recordkeeping services for defined contribution retirement plans investing in mutual funds outside the T. Rowe Price complex; brokerage; trust services; and non-discretionary advisory services.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 Rowe Price Services provides the U.S. mutual funds transfer agency and shareholder services, including the staff, facilities, technology, and other equipment to respond to inquiries from fund shareholders. The U.S. mutual funds contract directly with BNY Mellon to provide mutual fund accounting services, including maintenance of financial records, preparation of financial statements and reports, daily valuation of portfolio securities, and computation of each mutual fund's daily net asset value per share.</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 Rowe Price Retirement Plan Services provides participant accounting and plan administration for defined contribution retirement plans that invest in the U.S. mutual funds, the T. Rowe Price collective investment trusts,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funds outside the T. Rowe Price complex. On August 1, 2021, T. Rowe Price Retirement Plan Services expanded its relationship with FIS, a global technology leader, in which FIS assumed responsibility for managing retirement technology development and core operations for our full-service recordkeeping offering. T. Rowe Price Retirement Plan Services also provides transfer agent services to the U.S. mutual funds. The pricing on these transfer agent services is based on basis points of the related assets under management. Plan sponsors and participants compensate us for some of the administrative services while the U.S. mutual funds and outside fund families compensate us for maintaining and administering the individual participant accounts for those plans that invest in the respective funds. As of December 31, 2022, we provided recordkeeping services for $214 billion in assets under administration, of which nearly $133 billion are assets we manage.</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 Rowe Price Trust Company also provides administrative trustee services. Through this entity, which is a Maryland-chartered limited service trust company, we serve as trustee for employer sponsored retirement plans and other retirement products. T. Rowe Price Trust Company may not accept deposits and cannot make personal or commercial loans. Our trust vehicles are not mutual funds. As such, trust requirements can result in lower compliance and administrative costs over other vehicles with a similar investment strategy. Our trust vehicles include investments in equity, fixed income and multi-asset assets.</w:t>
      </w:r>
    </w:p>
    <w:p>
      <w:pPr>
        <w:spacing w:after="0" w:line="206"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We also provide discretionary and non-discretionary advisory planning services to individual investors through our subsidiary T. Rowe Price Advisory Services, Inc. These services are limited in scope, and advice recommendations consist solely of mutual funds advised by T. Rowe Price Associates or its affiliates that have been selected for inclusion in these services. These services include, but are not limited to, point-in-time financial planning, asset allocation advice, and discretionary advice through a solely digital experience.</w:t>
      </w:r>
    </w:p>
    <w:p>
      <w:pPr>
        <w:spacing w:after="0" w:line="203"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Certain T. Rowe Price subsidiaries also provide non-discretionary advisory services to model delivered managed accounts. For these model delivered managed accounts, we provide the holdings and trades of the portfolio to the sponsor platforms to implement for their clients. The assets under advisement in these portfolios, predominantly in the United States, was $8 billion at December 31, 2022. The revenue earned on these services is recorded in administrative fees.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and Servicing</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subsidiary, T. Rowe Price Investment Services ("TRPIS"), is the principal distributor of the U.S. mutual funds and contracts with third-party financial intermediaries who distribute these share classes. TRPIS enters into agreements with each intermediary under which each fund is responsible to pay the distribution and service fees directly to the applicable intermediaries. The Investor Class of all U.S. mutual funds can be purchased in the U.S. on a no-load basis, without a sales commission or 12b-1 fee. No-load mutual fund shares offer investors a low-cost and relatively easy method of directly investing in a variety of equity, fixed income, and multi-asset strategies. The I Class of certain U.S. mutual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non-extraordinary expenses) to 5 basis points for a period of time and there are no external 12b-1 or administrative fee payments.</w:t>
      </w:r>
    </w:p>
    <w:p>
      <w:pPr>
        <w:spacing w:after="0" w:line="20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Certain of the U.S. mutual funds also offer Advisor Class and R Class shares that are distributed to investors and defined contribution retirement plans, respectively. These share classes pay 12b-1 fees of 25 and 50 basis points, respectively, for distribution, administration, and personal services. In addition, those U.S. mutual funds offered to investors through variable annuity life insurance plans have a share class that pays a 12b-1 fee of 25 basis points.</w:t>
      </w:r>
    </w:p>
    <w:p>
      <w:pPr>
        <w:spacing w:after="0" w:line="20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Advertising and promotion expenses associated with the distribution of our investment products are recognized when incurred and include advertising and direct mail communications to potential shareholders, as well as substantial staff and communications capabilities to respond to investor inquiries. Marketing and promotional efforts are focused in print media, television, and digital and social media.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ALLOCATION-BASED INCOME.</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recognize income earned from interests in general partners of certain affiliated private investment funds that are entitled to a disproportionate allocation of income, which is also referred to as carried interest. We record our proportionate share of the investment funds' income assuming the funds were liquidated as of each reporting date pursuant to each investment fund's governing agreements. A portion of this income is allocated to non-controlling interest holders and is reflected as compensation expense. Capital allocation-based income will fluctuate period-to-period to reflect the adjustment to accrued carried interest for the change in value of the affiliated funds' underlying investments assuming the value was realized as of the end of the period, regardless of whether the fund's underlying investments have been realized. The realization of accrued carried interest occurs over a number of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REGULATION.</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aspects of our business are subject to extensive federal, state, and foreign laws and regulations. These laws and regulations are primarily intended to benefit or protect our clients and product shareholders. They generally grant supervisory agencies and bodies broad administrative powers, including the power to limit or restrict the conduct of our business if we fail to comply with laws and regulations. Possible sanctions that may be imposed on us, if we fail to comply, include the suspension of individual employees, limitations on engaging in certain business activities for specified periods of time, revocation of our investment adviser and other registrations, censures, and fines. Furthermore, the regulations to which we are subject continue to change over time, resulting in uncertainty for our business as we must adapt to new laws and regulatory regimes.</w:t>
      </w: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global company which offers its products to customers in a variety of jurisdictions, our subsidiaries are registered with or licensed by various U.S. and/or non-U.S. regulators. We are subject to various securities/financial services, compliance, corporate governance, disclosure, privacy, cybersecurity, technology, anti-bribery and anti-corruption, anti-money laundering, anti-terrorist financing, and economic, trade and sanctions laws and regulations, both domestically and internationally, as well as to various cross-border rules and regulations, and the data protection laws and regulations of numerous jurisdictions, including the General Data Protection Regulation (“GDPR”) of the European Union (“EU”). We also must comply with complex and changing tax regimes in the jurisdictions where we operate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securities and financial services regulator to certain of our subsidiaries: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Regulator</w:t>
            </w:r>
          </w:p>
        </w:tc>
        <w:tc>
          <w:tcPr>
            <w:tcW w:w="316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 Rowe Price Entity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tcPr>
          <w:p>
            <w:pPr>
              <w:spacing w:after="0" w:line="182" w:lineRule="exact"/>
              <w:rPr>
                <w:sz w:val="20"/>
                <w:szCs w:val="20"/>
                <w:color w:val="auto"/>
              </w:rPr>
            </w:pPr>
            <w:r>
              <w:rPr>
                <w:rFonts w:ascii="Arial" w:cs="Arial" w:eastAsia="Arial" w:hAnsi="Arial"/>
                <w:sz w:val="18"/>
                <w:szCs w:val="18"/>
                <w:b w:val="1"/>
                <w:bCs w:val="1"/>
                <w:i w:val="1"/>
                <w:iCs w:val="1"/>
                <w:color w:val="auto"/>
              </w:rPr>
              <w:t>Within the U.S.</w:t>
            </w: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&amp; Exchange Commission</w:t>
            </w:r>
          </w:p>
        </w:tc>
        <w:tc>
          <w:tcPr>
            <w:tcW w:w="3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T. Rowe Price Associates</w:t>
            </w:r>
          </w:p>
        </w:tc>
        <w:tc>
          <w:tcPr>
            <w:tcW w:w="820" w:type="dxa"/>
            <w:vAlign w:val="bottom"/>
            <w:shd w:val="clear" w:color="auto" w:fill="CCEEFF"/>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T. Rowe Price Hong Kong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160" w:type="dxa"/>
            <w:vAlign w:val="bottom"/>
          </w:tcPr>
          <w:p>
            <w:pPr>
              <w:ind w:left="500"/>
              <w:spacing w:after="0"/>
              <w:rPr>
                <w:sz w:val="20"/>
                <w:szCs w:val="20"/>
                <w:color w:val="auto"/>
              </w:rPr>
            </w:pPr>
            <w:r>
              <w:rPr>
                <w:rFonts w:ascii="Arial" w:cs="Arial" w:eastAsia="Arial" w:hAnsi="Arial"/>
                <w:sz w:val="18"/>
                <w:szCs w:val="18"/>
                <w:color w:val="auto"/>
              </w:rPr>
              <w:t>- T. Rowe Price International</w:t>
            </w:r>
          </w:p>
        </w:tc>
        <w:tc>
          <w:tcPr>
            <w:tcW w:w="8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 T. Rowe Price Japan</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T. Rowe Price Australia</w:t>
            </w:r>
          </w:p>
        </w:tc>
        <w:tc>
          <w:tcPr>
            <w:tcW w:w="820" w:type="dxa"/>
            <w:vAlign w:val="bottom"/>
            <w:shd w:val="clear" w:color="auto" w:fill="CCEEFF"/>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T. Rowe Price Singapore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160" w:type="dxa"/>
            <w:vAlign w:val="bottom"/>
          </w:tcPr>
          <w:p>
            <w:pPr>
              <w:ind w:left="500"/>
              <w:spacing w:after="0"/>
              <w:rPr>
                <w:sz w:val="20"/>
                <w:szCs w:val="20"/>
                <w:color w:val="auto"/>
              </w:rPr>
            </w:pPr>
            <w:r>
              <w:rPr>
                <w:rFonts w:ascii="Arial" w:cs="Arial" w:eastAsia="Arial" w:hAnsi="Arial"/>
                <w:sz w:val="18"/>
                <w:szCs w:val="18"/>
                <w:color w:val="auto"/>
              </w:rPr>
              <w:t>- T. Rowe Price (Canada)</w:t>
            </w:r>
          </w:p>
        </w:tc>
        <w:tc>
          <w:tcPr>
            <w:tcW w:w="8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 T. Rowe Price Advisory Services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T. Rowe Price Investment Management</w:t>
            </w: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Oak Hill Advisors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160" w:type="dxa"/>
            <w:vAlign w:val="bottom"/>
          </w:tcPr>
          <w:p>
            <w:pPr>
              <w:ind w:left="500"/>
              <w:spacing w:after="0"/>
              <w:rPr>
                <w:sz w:val="20"/>
                <w:szCs w:val="20"/>
                <w:color w:val="auto"/>
              </w:rPr>
            </w:pPr>
            <w:r>
              <w:rPr>
                <w:rFonts w:ascii="Arial" w:cs="Arial" w:eastAsia="Arial" w:hAnsi="Arial"/>
                <w:sz w:val="18"/>
                <w:szCs w:val="18"/>
                <w:color w:val="auto"/>
              </w:rPr>
              <w:t>- Oak Hill Advisors (Europe)</w:t>
            </w:r>
          </w:p>
        </w:tc>
        <w:tc>
          <w:tcPr>
            <w:tcW w:w="8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 OHA (UK)</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-OHA Private Credit Advisors</w:t>
            </w:r>
          </w:p>
        </w:tc>
        <w:tc>
          <w:tcPr>
            <w:tcW w:w="820" w:type="dxa"/>
            <w:vAlign w:val="bottom"/>
            <w:shd w:val="clear" w:color="auto" w:fill="CCEEFF"/>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OHA Private Credit Advisors II</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9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900" w:type="dxa"/>
            <w:vAlign w:val="bottom"/>
            <w:gridSpan w:val="3"/>
            <w:shd w:val="clear" w:color="auto" w:fill="CCEEFF"/>
          </w:tcPr>
          <w:p>
            <w:pPr>
              <w:ind w:left="460"/>
              <w:spacing w:after="0" w:line="164" w:lineRule="exact"/>
              <w:rPr>
                <w:sz w:val="20"/>
                <w:szCs w:val="20"/>
                <w:color w:val="auto"/>
              </w:rPr>
            </w:pPr>
            <w:r>
              <w:rPr>
                <w:rFonts w:ascii="Arial" w:cs="Arial" w:eastAsia="Arial" w:hAnsi="Arial"/>
                <w:sz w:val="16"/>
                <w:szCs w:val="16"/>
                <w:i w:val="1"/>
                <w:iCs w:val="1"/>
                <w:color w:val="auto"/>
              </w:rPr>
              <w:t>All entities above are registered as investment advisers under the Investment Advisers Act of 1940,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900" w:type="dxa"/>
            <w:vAlign w:val="bottom"/>
            <w:gridSpan w:val="3"/>
            <w:shd w:val="clear" w:color="auto" w:fill="CCEEFF"/>
          </w:tcPr>
          <w:p>
            <w:pPr>
              <w:ind w:left="460"/>
              <w:spacing w:after="0" w:line="162" w:lineRule="exact"/>
              <w:rPr>
                <w:sz w:val="20"/>
                <w:szCs w:val="20"/>
                <w:color w:val="auto"/>
              </w:rPr>
            </w:pPr>
            <w:r>
              <w:rPr>
                <w:rFonts w:ascii="Arial" w:cs="Arial" w:eastAsia="Arial" w:hAnsi="Arial"/>
                <w:sz w:val="16"/>
                <w:szCs w:val="16"/>
                <w:i w:val="1"/>
                <w:iCs w:val="1"/>
                <w:color w:val="auto"/>
              </w:rPr>
              <w:t>which imposes substantive regulation around, among other things, fiduciary duties to clients,</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900" w:type="dxa"/>
            <w:vAlign w:val="bottom"/>
            <w:gridSpan w:val="3"/>
            <w:shd w:val="clear" w:color="auto" w:fill="CCEEFF"/>
          </w:tcPr>
          <w:p>
            <w:pPr>
              <w:ind w:left="460"/>
              <w:spacing w:after="0" w:line="162" w:lineRule="exact"/>
              <w:rPr>
                <w:sz w:val="20"/>
                <w:szCs w:val="20"/>
                <w:color w:val="auto"/>
              </w:rPr>
            </w:pPr>
            <w:r>
              <w:rPr>
                <w:rFonts w:ascii="Arial" w:cs="Arial" w:eastAsia="Arial" w:hAnsi="Arial"/>
                <w:sz w:val="16"/>
                <w:szCs w:val="16"/>
                <w:i w:val="1"/>
                <w:iCs w:val="1"/>
                <w:color w:val="auto"/>
              </w:rPr>
              <w:t>transactions with clients, effective compliance programs, conflicts of interest, advertising,</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7900" w:type="dxa"/>
            <w:vAlign w:val="bottom"/>
            <w:tcBorders>
              <w:bottom w:val="single" w:sz="8" w:color="auto"/>
            </w:tcBorders>
            <w:gridSpan w:val="3"/>
            <w:shd w:val="clear" w:color="auto" w:fill="CCEEFF"/>
          </w:tcPr>
          <w:p>
            <w:pPr>
              <w:ind w:left="460"/>
              <w:spacing w:after="0"/>
              <w:rPr>
                <w:sz w:val="20"/>
                <w:szCs w:val="20"/>
                <w:color w:val="auto"/>
              </w:rPr>
            </w:pPr>
            <w:r>
              <w:rPr>
                <w:rFonts w:ascii="Arial" w:cs="Arial" w:eastAsia="Arial" w:hAnsi="Arial"/>
                <w:sz w:val="16"/>
                <w:szCs w:val="16"/>
                <w:i w:val="1"/>
                <w:iCs w:val="1"/>
                <w:color w:val="auto"/>
              </w:rPr>
              <w:t>recordkeeping, reporting, and disclosure requirements.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gridSpan w:val="3"/>
          </w:tcPr>
          <w:p>
            <w:pPr>
              <w:spacing w:after="0" w:line="170" w:lineRule="exact"/>
              <w:rPr>
                <w:sz w:val="20"/>
                <w:szCs w:val="20"/>
                <w:color w:val="auto"/>
              </w:rPr>
            </w:pPr>
            <w:r>
              <w:rPr>
                <w:rFonts w:ascii="Arial" w:cs="Arial" w:eastAsia="Arial" w:hAnsi="Arial"/>
                <w:sz w:val="18"/>
                <w:szCs w:val="18"/>
                <w:color w:val="auto"/>
              </w:rPr>
              <w:t>State of Maryland, Commissioner of</w:t>
            </w:r>
          </w:p>
        </w:tc>
        <w:tc>
          <w:tcPr>
            <w:tcW w:w="3160" w:type="dxa"/>
            <w:vAlign w:val="bottom"/>
            <w:vMerge w:val="restart"/>
          </w:tcPr>
          <w:p>
            <w:pPr>
              <w:ind w:left="500"/>
              <w:spacing w:after="0"/>
              <w:rPr>
                <w:sz w:val="20"/>
                <w:szCs w:val="20"/>
                <w:color w:val="auto"/>
              </w:rPr>
            </w:pPr>
            <w:r>
              <w:rPr>
                <w:rFonts w:ascii="Arial" w:cs="Arial" w:eastAsia="Arial" w:hAnsi="Arial"/>
                <w:sz w:val="18"/>
                <w:szCs w:val="18"/>
                <w:color w:val="auto"/>
              </w:rPr>
              <w:t>- T. Rowe Price Trust Company</w:t>
            </w:r>
          </w:p>
        </w:tc>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Financial Regulation</w:t>
            </w:r>
          </w:p>
        </w:tc>
        <w:tc>
          <w:tcPr>
            <w:tcW w:w="31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gridSpan w:val="3"/>
            <w:vMerge w:val="continue"/>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3"/>
          </w:tcPr>
          <w:p>
            <w:pPr>
              <w:spacing w:after="0" w:line="189" w:lineRule="exact"/>
              <w:rPr>
                <w:sz w:val="20"/>
                <w:szCs w:val="20"/>
                <w:color w:val="auto"/>
              </w:rPr>
            </w:pPr>
            <w:r>
              <w:rPr>
                <w:rFonts w:ascii="Arial" w:cs="Arial" w:eastAsia="Arial" w:hAnsi="Arial"/>
                <w:sz w:val="18"/>
                <w:szCs w:val="18"/>
                <w:b w:val="1"/>
                <w:bCs w:val="1"/>
                <w:i w:val="1"/>
                <w:iCs w:val="1"/>
                <w:color w:val="auto"/>
              </w:rPr>
              <w:t>Outside the U.S.</w:t>
            </w:r>
          </w:p>
        </w:tc>
        <w:tc>
          <w:tcPr>
            <w:tcW w:w="3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Conduct Authority</w:t>
            </w:r>
          </w:p>
        </w:tc>
        <w:tc>
          <w:tcPr>
            <w:tcW w:w="3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T. Rowe Price International</w:t>
            </w:r>
          </w:p>
        </w:tc>
        <w:tc>
          <w:tcPr>
            <w:tcW w:w="82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160" w:type="dxa"/>
            <w:vAlign w:val="bottom"/>
          </w:tcPr>
          <w:p>
            <w:pPr>
              <w:ind w:left="500"/>
              <w:spacing w:after="0"/>
              <w:rPr>
                <w:sz w:val="20"/>
                <w:szCs w:val="20"/>
                <w:color w:val="auto"/>
              </w:rPr>
            </w:pPr>
            <w:r>
              <w:rPr>
                <w:rFonts w:ascii="Arial" w:cs="Arial" w:eastAsia="Arial" w:hAnsi="Arial"/>
                <w:sz w:val="18"/>
                <w:szCs w:val="18"/>
                <w:color w:val="auto"/>
              </w:rPr>
              <w:t>- T. Rowe Price UK</w:t>
            </w:r>
          </w:p>
        </w:tc>
        <w:tc>
          <w:tcPr>
            <w:tcW w:w="8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Oak Hill Advisors (Europe)</w:t>
            </w:r>
          </w:p>
        </w:tc>
        <w:tc>
          <w:tcPr>
            <w:tcW w:w="82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color w:val="006EBF"/>
              </w:rPr>
              <w:t>Table of Contents</w:t>
            </w:r>
          </w:p>
        </w:tc>
        <w:tc>
          <w:tcPr>
            <w:tcW w:w="7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400" w:type="dxa"/>
            <w:vAlign w:val="bottom"/>
            <w:tcBorders>
              <w:top w:val="single" w:sz="8" w:color="006EBF"/>
            </w:tcBorders>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Regulator</w:t>
            </w:r>
          </w:p>
        </w:tc>
        <w:tc>
          <w:tcPr>
            <w:tcW w:w="746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T. Rowe Price Entity</w:t>
            </w:r>
          </w:p>
        </w:tc>
        <w:tc>
          <w:tcPr>
            <w:tcW w:w="0" w:type="dxa"/>
            <w:vAlign w:val="bottom"/>
          </w:tcPr>
          <w:p>
            <w:pPr>
              <w:spacing w:after="0"/>
              <w:rPr>
                <w:sz w:val="1"/>
                <w:szCs w:val="1"/>
                <w:color w:val="auto"/>
              </w:rPr>
            </w:pPr>
          </w:p>
        </w:tc>
      </w:tr>
      <w:tr>
        <w:trPr>
          <w:trHeight w:val="223"/>
        </w:trPr>
        <w:tc>
          <w:tcPr>
            <w:tcW w:w="140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 OHA (UK)</w:t>
            </w:r>
          </w:p>
        </w:tc>
        <w:tc>
          <w:tcPr>
            <w:tcW w:w="0" w:type="dxa"/>
            <w:vAlign w:val="bottom"/>
          </w:tcPr>
          <w:p>
            <w:pPr>
              <w:spacing w:after="0"/>
              <w:rPr>
                <w:sz w:val="1"/>
                <w:szCs w:val="1"/>
                <w:color w:val="auto"/>
              </w:rPr>
            </w:pPr>
          </w:p>
        </w:tc>
      </w:tr>
      <w:tr>
        <w:trPr>
          <w:trHeight w:val="223"/>
        </w:trPr>
        <w:tc>
          <w:tcPr>
            <w:tcW w:w="3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and Futures Commission</w:t>
            </w:r>
          </w:p>
        </w:tc>
        <w:tc>
          <w:tcPr>
            <w:tcW w:w="7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T. Rowe Price Hong Kong</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Oak Hill Advisors (Hong Kong)</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Monetary Authority of Singapore</w:t>
            </w:r>
          </w:p>
        </w:tc>
        <w:tc>
          <w:tcPr>
            <w:tcW w:w="7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 T. Rowe Price Singapore</w:t>
            </w:r>
          </w:p>
        </w:tc>
        <w:tc>
          <w:tcPr>
            <w:tcW w:w="0" w:type="dxa"/>
            <w:vAlign w:val="bottom"/>
          </w:tcPr>
          <w:p>
            <w:pPr>
              <w:spacing w:after="0"/>
              <w:rPr>
                <w:sz w:val="1"/>
                <w:szCs w:val="1"/>
                <w:color w:val="auto"/>
              </w:rPr>
            </w:pPr>
          </w:p>
        </w:tc>
      </w:tr>
      <w:tr>
        <w:trPr>
          <w:trHeight w:val="169"/>
        </w:trPr>
        <w:tc>
          <w:tcPr>
            <w:tcW w:w="37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Several provincial securities commissions in</w:t>
            </w:r>
          </w:p>
        </w:tc>
        <w:tc>
          <w:tcPr>
            <w:tcW w:w="7460" w:type="dxa"/>
            <w:vAlign w:val="bottom"/>
            <w:vMerge w:val="restart"/>
          </w:tcPr>
          <w:p>
            <w:pPr>
              <w:ind w:left="80"/>
              <w:spacing w:after="0"/>
              <w:rPr>
                <w:sz w:val="20"/>
                <w:szCs w:val="20"/>
                <w:color w:val="auto"/>
              </w:rPr>
            </w:pPr>
            <w:r>
              <w:rPr>
                <w:rFonts w:ascii="Arial" w:cs="Arial" w:eastAsia="Arial" w:hAnsi="Arial"/>
                <w:sz w:val="18"/>
                <w:szCs w:val="18"/>
                <w:color w:val="auto"/>
              </w:rPr>
              <w:t>- T. Rowe Price (Canada)</w:t>
            </w:r>
          </w:p>
        </w:tc>
        <w:tc>
          <w:tcPr>
            <w:tcW w:w="0" w:type="dxa"/>
            <w:vAlign w:val="bottom"/>
          </w:tcPr>
          <w:p>
            <w:pPr>
              <w:spacing w:after="0"/>
              <w:rPr>
                <w:sz w:val="1"/>
                <w:szCs w:val="1"/>
                <w:color w:val="auto"/>
              </w:rPr>
            </w:pPr>
          </w:p>
        </w:tc>
      </w:tr>
      <w:tr>
        <w:trPr>
          <w:trHeight w:val="153"/>
        </w:trPr>
        <w:tc>
          <w:tcPr>
            <w:tcW w:w="3780" w:type="dxa"/>
            <w:vAlign w:val="bottom"/>
            <w:gridSpan w:val="3"/>
            <w:vMerge w:val="restart"/>
          </w:tcPr>
          <w:p>
            <w:pPr>
              <w:ind w:left="20"/>
              <w:spacing w:after="0"/>
              <w:rPr>
                <w:sz w:val="20"/>
                <w:szCs w:val="20"/>
                <w:color w:val="auto"/>
              </w:rPr>
            </w:pPr>
            <w:r>
              <w:rPr>
                <w:rFonts w:ascii="Arial" w:cs="Arial" w:eastAsia="Arial" w:hAnsi="Arial"/>
                <w:sz w:val="18"/>
                <w:szCs w:val="18"/>
                <w:color w:val="auto"/>
              </w:rPr>
              <w:t>Canada</w:t>
            </w:r>
          </w:p>
        </w:tc>
        <w:tc>
          <w:tcPr>
            <w:tcW w:w="7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780" w:type="dxa"/>
            <w:vAlign w:val="bottom"/>
            <w:tcBorders>
              <w:bottom w:val="single" w:sz="8" w:color="auto"/>
            </w:tcBorders>
            <w:gridSpan w:val="3"/>
            <w:vMerge w:val="continue"/>
          </w:tcPr>
          <w:p>
            <w:pPr>
              <w:spacing w:after="0"/>
              <w:rPr>
                <w:sz w:val="7"/>
                <w:szCs w:val="7"/>
                <w:color w:val="auto"/>
              </w:rPr>
            </w:pPr>
          </w:p>
        </w:tc>
        <w:tc>
          <w:tcPr>
            <w:tcW w:w="7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7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8"/>
                <w:szCs w:val="18"/>
                <w:color w:val="auto"/>
              </w:rPr>
              <w:t>Commission de Surveillance du Secteur</w:t>
            </w:r>
          </w:p>
        </w:tc>
        <w:tc>
          <w:tcPr>
            <w:tcW w:w="74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 T. Rowe Price (Luxembourg) Management Sàrl</w:t>
            </w:r>
          </w:p>
        </w:tc>
        <w:tc>
          <w:tcPr>
            <w:tcW w:w="0" w:type="dxa"/>
            <w:vAlign w:val="bottom"/>
          </w:tcPr>
          <w:p>
            <w:pPr>
              <w:spacing w:after="0"/>
              <w:rPr>
                <w:sz w:val="1"/>
                <w:szCs w:val="1"/>
                <w:color w:val="auto"/>
              </w:rPr>
            </w:pPr>
          </w:p>
        </w:tc>
      </w:tr>
      <w:tr>
        <w:trPr>
          <w:trHeight w:val="153"/>
        </w:trPr>
        <w:tc>
          <w:tcPr>
            <w:tcW w:w="37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Financier</w:t>
            </w:r>
          </w:p>
        </w:tc>
        <w:tc>
          <w:tcPr>
            <w:tcW w:w="7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780" w:type="dxa"/>
            <w:vAlign w:val="bottom"/>
            <w:gridSpan w:val="3"/>
            <w:vMerge w:val="continue"/>
            <w:shd w:val="clear" w:color="auto" w:fill="CCEEFF"/>
          </w:tcPr>
          <w:p>
            <w:pPr>
              <w:spacing w:after="0"/>
              <w:rPr>
                <w:sz w:val="7"/>
                <w:szCs w:val="7"/>
                <w:color w:val="auto"/>
              </w:rPr>
            </w:pPr>
          </w:p>
        </w:tc>
        <w:tc>
          <w:tcPr>
            <w:tcW w:w="7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OHA Services Sàrl</w:t>
            </w:r>
          </w:p>
        </w:tc>
        <w:tc>
          <w:tcPr>
            <w:tcW w:w="0" w:type="dxa"/>
            <w:vAlign w:val="bottom"/>
          </w:tcPr>
          <w:p>
            <w:pPr>
              <w:spacing w:after="0"/>
              <w:rPr>
                <w:sz w:val="1"/>
                <w:szCs w:val="1"/>
                <w:color w:val="auto"/>
              </w:rPr>
            </w:pPr>
          </w:p>
        </w:tc>
      </w:tr>
      <w:tr>
        <w:trPr>
          <w:trHeight w:val="169"/>
        </w:trPr>
        <w:tc>
          <w:tcPr>
            <w:tcW w:w="378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rPr>
              <w:t>Australian Securities and Investments</w:t>
            </w:r>
          </w:p>
        </w:tc>
        <w:tc>
          <w:tcPr>
            <w:tcW w:w="74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 T. Rowe Price Australia</w:t>
            </w:r>
          </w:p>
        </w:tc>
        <w:tc>
          <w:tcPr>
            <w:tcW w:w="0" w:type="dxa"/>
            <w:vAlign w:val="bottom"/>
          </w:tcPr>
          <w:p>
            <w:pPr>
              <w:spacing w:after="0"/>
              <w:rPr>
                <w:sz w:val="1"/>
                <w:szCs w:val="1"/>
                <w:color w:val="auto"/>
              </w:rPr>
            </w:pPr>
          </w:p>
        </w:tc>
      </w:tr>
      <w:tr>
        <w:trPr>
          <w:trHeight w:val="153"/>
        </w:trPr>
        <w:tc>
          <w:tcPr>
            <w:tcW w:w="37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Commission</w:t>
            </w:r>
          </w:p>
        </w:tc>
        <w:tc>
          <w:tcPr>
            <w:tcW w:w="7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780" w:type="dxa"/>
            <w:vAlign w:val="bottom"/>
            <w:gridSpan w:val="3"/>
            <w:vMerge w:val="continue"/>
            <w:shd w:val="clear" w:color="auto" w:fill="CCEEFF"/>
          </w:tcPr>
          <w:p>
            <w:pPr>
              <w:spacing w:after="0"/>
              <w:rPr>
                <w:sz w:val="7"/>
                <w:szCs w:val="7"/>
                <w:color w:val="auto"/>
              </w:rPr>
            </w:pPr>
          </w:p>
        </w:tc>
        <w:tc>
          <w:tcPr>
            <w:tcW w:w="7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Oak Hill Advisors (Australia) Pty</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Japan Financial Services Agency</w:t>
            </w:r>
          </w:p>
        </w:tc>
        <w:tc>
          <w:tcPr>
            <w:tcW w:w="7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 T. Rowe Price Japan</w:t>
            </w:r>
          </w:p>
        </w:tc>
        <w:tc>
          <w:tcPr>
            <w:tcW w:w="0" w:type="dxa"/>
            <w:vAlign w:val="bottom"/>
          </w:tcPr>
          <w:p>
            <w:pPr>
              <w:spacing w:after="0"/>
              <w:rPr>
                <w:sz w:val="1"/>
                <w:szCs w:val="1"/>
                <w:color w:val="auto"/>
              </w:rPr>
            </w:pPr>
          </w:p>
        </w:tc>
      </w:tr>
      <w:tr>
        <w:trPr>
          <w:trHeight w:val="241"/>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Swiss Financial Market Supervisory Authority</w:t>
            </w:r>
          </w:p>
        </w:tc>
        <w:tc>
          <w:tcPr>
            <w:tcW w:w="7460" w:type="dxa"/>
            <w:vAlign w:val="bottom"/>
          </w:tcPr>
          <w:p>
            <w:pPr>
              <w:ind w:left="80"/>
              <w:spacing w:after="0"/>
              <w:rPr>
                <w:sz w:val="20"/>
                <w:szCs w:val="20"/>
                <w:color w:val="auto"/>
              </w:rPr>
            </w:pPr>
            <w:r>
              <w:rPr>
                <w:rFonts w:ascii="Arial" w:cs="Arial" w:eastAsia="Arial" w:hAnsi="Arial"/>
                <w:sz w:val="18"/>
                <w:szCs w:val="18"/>
                <w:color w:val="auto"/>
              </w:rPr>
              <w:t>- T. Rowe Price (Switzerland)</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Serving the needs of retirement savers is an important focus of our business. Such activities are subject to regulators such as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Labor, and applicable laws and regulations including the Employee Retirement Income Security Act of 1974.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Registrations</w:t>
      </w:r>
    </w:p>
    <w:p>
      <w:pPr>
        <w:spacing w:after="0" w:line="27" w:lineRule="exact"/>
        <w:rPr>
          <w:sz w:val="20"/>
          <w:szCs w:val="20"/>
          <w:color w:val="auto"/>
        </w:rPr>
      </w:pPr>
    </w:p>
    <w:p>
      <w:pPr>
        <w:ind w:left="500" w:right="60" w:hanging="168"/>
        <w:spacing w:after="0" w:line="266"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subsidiaries providing transfer agent services, T. Rowe Price Services and T. Rowe Price Retirement Plan Services, are registered under the Securities Exchange Act of 1934.</w:t>
      </w:r>
    </w:p>
    <w:p>
      <w:pPr>
        <w:spacing w:after="0" w:line="171" w:lineRule="exact"/>
        <w:rPr>
          <w:rFonts w:ascii="Arial" w:cs="Arial" w:eastAsia="Arial" w:hAnsi="Arial"/>
          <w:sz w:val="18"/>
          <w:szCs w:val="18"/>
          <w:color w:val="auto"/>
        </w:rPr>
      </w:pPr>
    </w:p>
    <w:p>
      <w:pPr>
        <w:jc w:val="both"/>
        <w:ind w:left="500" w:right="140" w:hanging="168"/>
        <w:spacing w:after="0" w:line="291"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color w:val="auto"/>
        </w:rPr>
        <w:t>T. Rowe Price Investment Services is a registered broker-dealer and member of the Financial Industry Regulatory Authority ("FINRA") and the Securities Investor Protection Corporation. This subsidiary provides brokerage services to our U.S. mutual funds. Pershing, a third-party clearing broker and an affiliate of BNY Mellon, maintains our brokerage’s customer accounts and clears all transactions.</w:t>
      </w:r>
    </w:p>
    <w:p>
      <w:pPr>
        <w:spacing w:after="0" w:line="152" w:lineRule="exact"/>
        <w:rPr>
          <w:rFonts w:ascii="Arial" w:cs="Arial" w:eastAsia="Arial" w:hAnsi="Arial"/>
          <w:sz w:val="17"/>
          <w:szCs w:val="17"/>
          <w:color w:val="auto"/>
        </w:rPr>
      </w:pPr>
    </w:p>
    <w:p>
      <w:pPr>
        <w:ind w:left="500" w:right="80" w:hanging="168"/>
        <w:spacing w:after="0" w:line="28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 Rowe Price Associates and certain subsidiaries are registered as commodity trading advisors and/or commodity pool operators with the Commodity Futures Trading Commission and are members of the National Futures Association.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w:t>
      </w:r>
    </w:p>
    <w:p>
      <w:pPr>
        <w:spacing w:after="0" w:line="2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products and services. Some of these financial institutions have greater resources than we do. We compete with other providers of investment advisory services primarily based on the availability and objectives of the investment products offered, investment performance, fees and related expenses, and the scope and quality of investment advice and other client services.</w:t>
      </w:r>
    </w:p>
    <w:p>
      <w:pPr>
        <w:spacing w:after="0" w:line="21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recent years, we have faced significant competition from passive oriented investment strategies. As a result, such products have taken market share from active managers. While we cannot predict how much market share these competitors will gain, we believe there will always be demand for good active management investment products.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an acquisition transaction or other financial relationships with another entity.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 Rowe Price, our people set us apart. We thrive because our company culture is based on collaboration and diversity. We believe that our culture of collaboration enables us to identify opportunities others might overlook. Our associates’ knowledge, insight, enthusiasm, and creativity are the reason our clients succeed and our firm excels. In order to attract and retain the highest quality talent, we develop key talent and succession plans, invest in Company diversity and inclusion initiatives, provide opportunities for our associates to learn and grow, and provide strong, competitive, and regionally specific benefits and programs that promote the health and wellness of our associates, both personally and financially.</w:t>
      </w:r>
    </w:p>
    <w:p>
      <w:pPr>
        <w:spacing w:after="0" w:line="20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December 31, 2022, we employed 7,868 associates, an increase of 4.5% from the 7,529 associates employed at the end of 2021. We may add temporary and part-time personnel to our staff from time to time to meet periodic and special project demands, primarily for technology and collective investment fund administrative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People</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seek to help our clients achieve their long -term investment goals. In order to do this, we are committed to helping our associates achieve their long-term career goals. We continuously seek to identify new opportunities for our associates to expand their experience and grow their skills. As a result of our associates developing these skills we are able to promote from within, with approximately 34% of our open positions being filled by internal applicants, and almost all of our portfolio managers having been promoted from within. We are committed to the professional growth of our associates through the development of their knowledge, skills and experience, by providing them access to in-person, virtual and online training programs and by offering a generous tuition reimbursement program. We believe a critical driver of our firm’s future growth is our ability to grow leaders. Reflecting this, we have held a series of leadership speaker events and offer access to virtual programs focused on leadership development led by professors at leading universities.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Diverse Talent</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Having a diverse and inclusive workforce and providing an equal opportunity to all associates is a business and cultural imperative. Our diversity, equity, and inclusion initiatives have garnered recognitions, including Pensions &amp; Investments 2021 Best Places to Work in Money Management, and Best Places to work for LGBTQ Equality by the Human Rights Campaign Foundation. Although we have made progress in our workforce diversity representation, we seek to continuously improve in this area. Our priority is to increase our hiring, retention and development of talent from groups that are underrepresented in asset management; including both ethnically diverse associates and women. At the end of 2022, female associates held 32.7% of senior roles globally and ethnically diverse associates held 20.3% of senior roles in the U.S. For every open role at the firm, our goal is that at least 40% of interviewed candidates will be female and/or ethnically diverse, and during 2022, 66% of the candidates were ethnically diverse and/or female.</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an effort to be more transparent, we publish our EEO data on our website, which can be seen on our website, at https://www.troweprice.com/corporate/us/en/what-sets-us-apart/Diversity-and-inclusion.html. In addition, during 2022, we published our sustainability report which included transparency into our diversity, equity and inclusion data, a copy of which can be found on our website at https://www.troweprice.com/corporate/us/en/what-sets-us-apart/corporate-responsibility.html. Set forth below is our diversity information as of December 31, 2022, grouped by division. The data excludes information about the employees of OHA.</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6EBF"/>
        </w:rPr>
        <w:t>Table of Contents</w:t>
      </w:r>
    </w:p>
    <w:p>
      <w:pPr>
        <w:sectPr>
          <w:pgSz w:w="11900" w:h="16838" w:orient="portrait"/>
          <w:cols w:equalWidth="0" w:num="1">
            <w:col w:w="11160"/>
          </w:cols>
          <w:pgMar w:left="320" w:top="122" w:right="41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42424"/>
        </w:rPr>
        <w:t>Investments Group Diversity Breakdown</w:t>
      </w:r>
    </w:p>
    <w:p>
      <w:pPr>
        <w:spacing w:after="0" w:line="364"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Gender Representation - Global Population</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239"/>
        </w:trPr>
        <w:tc>
          <w:tcPr>
            <w:tcW w:w="2040" w:type="dxa"/>
            <w:vAlign w:val="bottom"/>
            <w:tcBorders>
              <w:top w:val="single" w:sz="8" w:color="auto"/>
            </w:tcBorders>
            <w:shd w:val="clear" w:color="auto" w:fill="054C70"/>
          </w:tcPr>
          <w:p>
            <w:pPr>
              <w:spacing w:after="0"/>
              <w:rPr>
                <w:sz w:val="20"/>
                <w:szCs w:val="20"/>
                <w:color w:val="auto"/>
              </w:rPr>
            </w:pPr>
          </w:p>
        </w:tc>
        <w:tc>
          <w:tcPr>
            <w:tcW w:w="1240" w:type="dxa"/>
            <w:vAlign w:val="bottom"/>
            <w:tcBorders>
              <w:top w:val="single" w:sz="8" w:color="auto"/>
            </w:tcBorders>
            <w:shd w:val="clear" w:color="auto" w:fill="054C70"/>
          </w:tcPr>
          <w:p>
            <w:pPr>
              <w:jc w:val="right"/>
              <w:ind w:right="190"/>
              <w:spacing w:after="0"/>
              <w:rPr>
                <w:sz w:val="20"/>
                <w:szCs w:val="20"/>
                <w:color w:val="auto"/>
              </w:rPr>
            </w:pPr>
            <w:r>
              <w:rPr>
                <w:rFonts w:ascii="Arial" w:cs="Arial" w:eastAsia="Arial" w:hAnsi="Arial"/>
                <w:sz w:val="18"/>
                <w:szCs w:val="18"/>
                <w:color w:val="FFFFFF"/>
              </w:rPr>
              <w:t>Female</w:t>
            </w:r>
          </w:p>
        </w:tc>
        <w:tc>
          <w:tcPr>
            <w:tcW w:w="800" w:type="dxa"/>
            <w:vAlign w:val="bottom"/>
            <w:tcBorders>
              <w:top w:val="single" w:sz="8" w:color="auto"/>
            </w:tcBorders>
            <w:shd w:val="clear" w:color="auto" w:fill="054C70"/>
          </w:tcPr>
          <w:p>
            <w:pPr>
              <w:ind w:left="220"/>
              <w:spacing w:after="0"/>
              <w:rPr>
                <w:sz w:val="20"/>
                <w:szCs w:val="20"/>
                <w:color w:val="auto"/>
              </w:rPr>
            </w:pPr>
            <w:r>
              <w:rPr>
                <w:rFonts w:ascii="Arial" w:cs="Arial" w:eastAsia="Arial" w:hAnsi="Arial"/>
                <w:sz w:val="18"/>
                <w:szCs w:val="18"/>
                <w:color w:val="FFFFFF"/>
              </w:rPr>
              <w:t>Male</w:t>
            </w:r>
          </w:p>
        </w:tc>
        <w:tc>
          <w:tcPr>
            <w:tcW w:w="840" w:type="dxa"/>
            <w:vAlign w:val="bottom"/>
            <w:tcBorders>
              <w:top w:val="single" w:sz="8" w:color="auto"/>
            </w:tcBorders>
            <w:shd w:val="clear" w:color="auto" w:fill="054C70"/>
          </w:tcPr>
          <w:p>
            <w:pPr>
              <w:ind w:left="200"/>
              <w:spacing w:after="0"/>
              <w:rPr>
                <w:sz w:val="20"/>
                <w:szCs w:val="20"/>
                <w:color w:val="auto"/>
              </w:rPr>
            </w:pPr>
            <w:r>
              <w:rPr>
                <w:rFonts w:ascii="Arial" w:cs="Arial" w:eastAsia="Arial" w:hAnsi="Arial"/>
                <w:sz w:val="18"/>
                <w:szCs w:val="18"/>
                <w:color w:val="FFFFFF"/>
              </w:rPr>
              <w:t>Total</w:t>
            </w:r>
          </w:p>
        </w:tc>
      </w:tr>
      <w:tr>
        <w:trPr>
          <w:trHeight w:val="189"/>
        </w:trPr>
        <w:tc>
          <w:tcPr>
            <w:tcW w:w="2040" w:type="dxa"/>
            <w:vAlign w:val="bottom"/>
            <w:shd w:val="clear" w:color="auto" w:fill="054C70"/>
          </w:tcPr>
          <w:p>
            <w:pPr>
              <w:spacing w:after="0"/>
              <w:rPr>
                <w:sz w:val="16"/>
                <w:szCs w:val="16"/>
                <w:color w:val="auto"/>
              </w:rPr>
            </w:pPr>
          </w:p>
        </w:tc>
        <w:tc>
          <w:tcPr>
            <w:tcW w:w="1240" w:type="dxa"/>
            <w:vAlign w:val="bottom"/>
            <w:shd w:val="clear" w:color="auto" w:fill="054C70"/>
          </w:tcPr>
          <w:p>
            <w:pPr>
              <w:spacing w:after="0"/>
              <w:rPr>
                <w:sz w:val="16"/>
                <w:szCs w:val="16"/>
                <w:color w:val="auto"/>
              </w:rPr>
            </w:pPr>
          </w:p>
        </w:tc>
        <w:tc>
          <w:tcPr>
            <w:tcW w:w="800" w:type="dxa"/>
            <w:vAlign w:val="bottom"/>
            <w:shd w:val="clear" w:color="auto" w:fill="054C70"/>
          </w:tcPr>
          <w:p>
            <w:pPr>
              <w:spacing w:after="0"/>
              <w:rPr>
                <w:sz w:val="16"/>
                <w:szCs w:val="16"/>
                <w:color w:val="auto"/>
              </w:rPr>
            </w:pPr>
          </w:p>
        </w:tc>
        <w:tc>
          <w:tcPr>
            <w:tcW w:w="840" w:type="dxa"/>
            <w:vAlign w:val="bottom"/>
            <w:shd w:val="clear" w:color="auto" w:fill="054C70"/>
          </w:tcPr>
          <w:p>
            <w:pPr>
              <w:spacing w:after="0"/>
              <w:rPr>
                <w:sz w:val="16"/>
                <w:szCs w:val="16"/>
                <w:color w:val="auto"/>
              </w:rPr>
            </w:pPr>
          </w:p>
        </w:tc>
      </w:tr>
      <w:tr>
        <w:trPr>
          <w:trHeight w:val="229"/>
        </w:trPr>
        <w:tc>
          <w:tcPr>
            <w:tcW w:w="2040" w:type="dxa"/>
            <w:vAlign w:val="bottom"/>
            <w:tcBorders>
              <w:bottom w:val="single" w:sz="8" w:color="05C3DE"/>
            </w:tcBorders>
          </w:tcPr>
          <w:p>
            <w:pPr>
              <w:ind w:left="20"/>
              <w:spacing w:after="0"/>
              <w:rPr>
                <w:sz w:val="20"/>
                <w:szCs w:val="20"/>
                <w:color w:val="auto"/>
              </w:rPr>
            </w:pPr>
            <w:r>
              <w:rPr>
                <w:rFonts w:ascii="Arial" w:cs="Arial" w:eastAsia="Arial" w:hAnsi="Arial"/>
                <w:sz w:val="18"/>
                <w:szCs w:val="18"/>
                <w:b w:val="1"/>
                <w:bCs w:val="1"/>
                <w:color w:val="auto"/>
              </w:rPr>
              <w:t>Investments Group</w:t>
            </w:r>
          </w:p>
        </w:tc>
        <w:tc>
          <w:tcPr>
            <w:tcW w:w="1240" w:type="dxa"/>
            <w:vAlign w:val="bottom"/>
            <w:tcBorders>
              <w:bottom w:val="single" w:sz="8" w:color="05C3DE"/>
            </w:tcBorders>
          </w:tcPr>
          <w:p>
            <w:pPr>
              <w:jc w:val="right"/>
              <w:ind w:right="130"/>
              <w:spacing w:after="0"/>
              <w:rPr>
                <w:sz w:val="20"/>
                <w:szCs w:val="20"/>
                <w:color w:val="auto"/>
              </w:rPr>
            </w:pPr>
            <w:r>
              <w:rPr>
                <w:rFonts w:ascii="Arial" w:cs="Arial" w:eastAsia="Arial" w:hAnsi="Arial"/>
                <w:sz w:val="18"/>
                <w:szCs w:val="18"/>
                <w:color w:val="auto"/>
              </w:rPr>
              <w:t>24%</w:t>
            </w:r>
          </w:p>
        </w:tc>
        <w:tc>
          <w:tcPr>
            <w:tcW w:w="800" w:type="dxa"/>
            <w:vAlign w:val="bottom"/>
            <w:tcBorders>
              <w:bottom w:val="single" w:sz="8" w:color="05C3DE"/>
            </w:tcBorders>
          </w:tcPr>
          <w:p>
            <w:pPr>
              <w:ind w:left="240"/>
              <w:spacing w:after="0"/>
              <w:rPr>
                <w:sz w:val="20"/>
                <w:szCs w:val="20"/>
                <w:color w:val="auto"/>
              </w:rPr>
            </w:pPr>
            <w:r>
              <w:rPr>
                <w:rFonts w:ascii="Arial" w:cs="Arial" w:eastAsia="Arial" w:hAnsi="Arial"/>
                <w:sz w:val="18"/>
                <w:szCs w:val="18"/>
                <w:color w:val="auto"/>
              </w:rPr>
              <w:t>76%</w:t>
            </w:r>
          </w:p>
        </w:tc>
        <w:tc>
          <w:tcPr>
            <w:tcW w:w="8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7"/>
              </w:rPr>
              <w:t>1,000</w:t>
            </w:r>
          </w:p>
        </w:tc>
      </w:tr>
      <w:tr>
        <w:trPr>
          <w:trHeight w:val="223"/>
        </w:trPr>
        <w:tc>
          <w:tcPr>
            <w:tcW w:w="2040" w:type="dxa"/>
            <w:vAlign w:val="bottom"/>
            <w:tcBorders>
              <w:bottom w:val="single" w:sz="8" w:color="05C3DE"/>
            </w:tcBorders>
          </w:tcPr>
          <w:p>
            <w:pPr>
              <w:ind w:left="20"/>
              <w:spacing w:after="0"/>
              <w:rPr>
                <w:sz w:val="20"/>
                <w:szCs w:val="20"/>
                <w:color w:val="auto"/>
              </w:rPr>
            </w:pPr>
            <w:r>
              <w:rPr>
                <w:rFonts w:ascii="Arial" w:cs="Arial" w:eastAsia="Arial" w:hAnsi="Arial"/>
                <w:sz w:val="18"/>
                <w:szCs w:val="18"/>
                <w:color w:val="auto"/>
              </w:rPr>
              <w:t>Portfolio Managers</w:t>
            </w:r>
          </w:p>
        </w:tc>
        <w:tc>
          <w:tcPr>
            <w:tcW w:w="1240" w:type="dxa"/>
            <w:vAlign w:val="bottom"/>
            <w:tcBorders>
              <w:bottom w:val="single" w:sz="8" w:color="05C3DE"/>
            </w:tcBorders>
          </w:tcPr>
          <w:p>
            <w:pPr>
              <w:jc w:val="right"/>
              <w:ind w:right="130"/>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05C3DE"/>
            </w:tcBorders>
          </w:tcPr>
          <w:p>
            <w:pPr>
              <w:ind w:left="240"/>
              <w:spacing w:after="0"/>
              <w:rPr>
                <w:sz w:val="20"/>
                <w:szCs w:val="20"/>
                <w:color w:val="auto"/>
              </w:rPr>
            </w:pPr>
            <w:r>
              <w:rPr>
                <w:rFonts w:ascii="Arial" w:cs="Arial" w:eastAsia="Arial" w:hAnsi="Arial"/>
                <w:sz w:val="18"/>
                <w:szCs w:val="18"/>
                <w:color w:val="auto"/>
              </w:rPr>
              <w:t>87%</w:t>
            </w:r>
          </w:p>
        </w:tc>
        <w:tc>
          <w:tcPr>
            <w:tcW w:w="8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158</w:t>
            </w:r>
          </w:p>
        </w:tc>
      </w:tr>
      <w:tr>
        <w:trPr>
          <w:trHeight w:val="223"/>
        </w:trPr>
        <w:tc>
          <w:tcPr>
            <w:tcW w:w="2040" w:type="dxa"/>
            <w:vAlign w:val="bottom"/>
            <w:tcBorders>
              <w:bottom w:val="single" w:sz="8" w:color="05C3DE"/>
            </w:tcBorders>
          </w:tcPr>
          <w:p>
            <w:pPr>
              <w:ind w:left="20"/>
              <w:spacing w:after="0"/>
              <w:rPr>
                <w:sz w:val="20"/>
                <w:szCs w:val="20"/>
                <w:color w:val="auto"/>
              </w:rPr>
            </w:pPr>
            <w:r>
              <w:rPr>
                <w:rFonts w:ascii="Arial" w:cs="Arial" w:eastAsia="Arial" w:hAnsi="Arial"/>
                <w:sz w:val="18"/>
                <w:szCs w:val="18"/>
                <w:color w:val="auto"/>
              </w:rPr>
              <w:t>Analysts</w:t>
            </w:r>
          </w:p>
        </w:tc>
        <w:tc>
          <w:tcPr>
            <w:tcW w:w="1240" w:type="dxa"/>
            <w:vAlign w:val="bottom"/>
            <w:tcBorders>
              <w:bottom w:val="single" w:sz="8" w:color="05C3DE"/>
            </w:tcBorders>
          </w:tcPr>
          <w:p>
            <w:pPr>
              <w:jc w:val="right"/>
              <w:ind w:right="130"/>
              <w:spacing w:after="0"/>
              <w:rPr>
                <w:sz w:val="20"/>
                <w:szCs w:val="20"/>
                <w:color w:val="auto"/>
              </w:rPr>
            </w:pPr>
            <w:r>
              <w:rPr>
                <w:rFonts w:ascii="Arial" w:cs="Arial" w:eastAsia="Arial" w:hAnsi="Arial"/>
                <w:sz w:val="18"/>
                <w:szCs w:val="18"/>
                <w:color w:val="auto"/>
              </w:rPr>
              <w:t>27%</w:t>
            </w:r>
          </w:p>
        </w:tc>
        <w:tc>
          <w:tcPr>
            <w:tcW w:w="800" w:type="dxa"/>
            <w:vAlign w:val="bottom"/>
            <w:tcBorders>
              <w:bottom w:val="single" w:sz="8" w:color="05C3DE"/>
            </w:tcBorders>
          </w:tcPr>
          <w:p>
            <w:pPr>
              <w:ind w:left="240"/>
              <w:spacing w:after="0"/>
              <w:rPr>
                <w:sz w:val="20"/>
                <w:szCs w:val="20"/>
                <w:color w:val="auto"/>
              </w:rPr>
            </w:pPr>
            <w:r>
              <w:rPr>
                <w:rFonts w:ascii="Arial" w:cs="Arial" w:eastAsia="Arial" w:hAnsi="Arial"/>
                <w:sz w:val="18"/>
                <w:szCs w:val="18"/>
                <w:color w:val="auto"/>
              </w:rPr>
              <w:t>73%</w:t>
            </w:r>
          </w:p>
        </w:tc>
        <w:tc>
          <w:tcPr>
            <w:tcW w:w="8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394</w:t>
            </w:r>
          </w:p>
        </w:tc>
      </w:tr>
      <w:tr>
        <w:trPr>
          <w:trHeight w:val="223"/>
        </w:trPr>
        <w:tc>
          <w:tcPr>
            <w:tcW w:w="2040" w:type="dxa"/>
            <w:vAlign w:val="bottom"/>
            <w:tcBorders>
              <w:bottom w:val="single" w:sz="8" w:color="05C3DE"/>
            </w:tcBorders>
          </w:tcPr>
          <w:p>
            <w:pPr>
              <w:ind w:left="20"/>
              <w:spacing w:after="0"/>
              <w:rPr>
                <w:sz w:val="20"/>
                <w:szCs w:val="20"/>
                <w:color w:val="auto"/>
              </w:rPr>
            </w:pPr>
            <w:r>
              <w:rPr>
                <w:rFonts w:ascii="Arial" w:cs="Arial" w:eastAsia="Arial" w:hAnsi="Arial"/>
                <w:sz w:val="18"/>
                <w:szCs w:val="18"/>
                <w:color w:val="auto"/>
              </w:rPr>
              <w:t>Traders</w:t>
            </w:r>
          </w:p>
        </w:tc>
        <w:tc>
          <w:tcPr>
            <w:tcW w:w="1240" w:type="dxa"/>
            <w:vAlign w:val="bottom"/>
            <w:tcBorders>
              <w:bottom w:val="single" w:sz="8" w:color="05C3DE"/>
            </w:tcBorders>
          </w:tcPr>
          <w:p>
            <w:pPr>
              <w:jc w:val="right"/>
              <w:ind w:right="130"/>
              <w:spacing w:after="0"/>
              <w:rPr>
                <w:sz w:val="20"/>
                <w:szCs w:val="20"/>
                <w:color w:val="auto"/>
              </w:rPr>
            </w:pPr>
            <w:r>
              <w:rPr>
                <w:rFonts w:ascii="Arial" w:cs="Arial" w:eastAsia="Arial" w:hAnsi="Arial"/>
                <w:sz w:val="18"/>
                <w:szCs w:val="18"/>
                <w:color w:val="auto"/>
              </w:rPr>
              <w:t>26%</w:t>
            </w:r>
          </w:p>
        </w:tc>
        <w:tc>
          <w:tcPr>
            <w:tcW w:w="800" w:type="dxa"/>
            <w:vAlign w:val="bottom"/>
            <w:tcBorders>
              <w:bottom w:val="single" w:sz="8" w:color="05C3DE"/>
            </w:tcBorders>
          </w:tcPr>
          <w:p>
            <w:pPr>
              <w:ind w:left="240"/>
              <w:spacing w:after="0"/>
              <w:rPr>
                <w:sz w:val="20"/>
                <w:szCs w:val="20"/>
                <w:color w:val="auto"/>
              </w:rPr>
            </w:pPr>
            <w:r>
              <w:rPr>
                <w:rFonts w:ascii="Arial" w:cs="Arial" w:eastAsia="Arial" w:hAnsi="Arial"/>
                <w:sz w:val="18"/>
                <w:szCs w:val="18"/>
                <w:color w:val="auto"/>
              </w:rPr>
              <w:t>74%</w:t>
            </w:r>
          </w:p>
        </w:tc>
        <w:tc>
          <w:tcPr>
            <w:tcW w:w="8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96</w:t>
            </w:r>
          </w:p>
        </w:tc>
      </w:tr>
      <w:tr>
        <w:trPr>
          <w:trHeight w:val="232"/>
        </w:trPr>
        <w:tc>
          <w:tcPr>
            <w:tcW w:w="2040" w:type="dxa"/>
            <w:vAlign w:val="bottom"/>
          </w:tcPr>
          <w:p>
            <w:pPr>
              <w:ind w:left="20"/>
              <w:spacing w:after="0"/>
              <w:rPr>
                <w:sz w:val="20"/>
                <w:szCs w:val="20"/>
                <w:color w:val="auto"/>
              </w:rPr>
            </w:pPr>
            <w:r>
              <w:rPr>
                <w:rFonts w:ascii="Arial" w:cs="Arial" w:eastAsia="Arial" w:hAnsi="Arial"/>
                <w:sz w:val="18"/>
                <w:szCs w:val="18"/>
                <w:color w:val="auto"/>
              </w:rPr>
              <w:t>All Other Roles</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800" w:type="dxa"/>
            <w:vAlign w:val="bottom"/>
          </w:tcPr>
          <w:p>
            <w:pPr>
              <w:ind w:left="240"/>
              <w:spacing w:after="0"/>
              <w:rPr>
                <w:sz w:val="20"/>
                <w:szCs w:val="20"/>
                <w:color w:val="auto"/>
              </w:rPr>
            </w:pPr>
            <w:r>
              <w:rPr>
                <w:rFonts w:ascii="Arial" w:cs="Arial" w:eastAsia="Arial" w:hAnsi="Arial"/>
                <w:sz w:val="18"/>
                <w:szCs w:val="18"/>
                <w:color w:val="auto"/>
              </w:rPr>
              <w:t>65%</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352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Ethnically Diverse - US Population Only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40" w:type="dxa"/>
            <w:vAlign w:val="bottom"/>
            <w:tcBorders>
              <w:top w:val="single" w:sz="8" w:color="auto"/>
            </w:tcBorders>
            <w:shd w:val="clear" w:color="auto" w:fill="054C70"/>
          </w:tcPr>
          <w:p>
            <w:pPr>
              <w:jc w:val="center"/>
              <w:spacing w:after="0" w:line="177" w:lineRule="exact"/>
              <w:rPr>
                <w:sz w:val="20"/>
                <w:szCs w:val="20"/>
                <w:color w:val="auto"/>
              </w:rPr>
            </w:pPr>
            <w:r>
              <w:rPr>
                <w:rFonts w:ascii="Arial" w:cs="Arial" w:eastAsia="Arial" w:hAnsi="Arial"/>
                <w:sz w:val="18"/>
                <w:szCs w:val="18"/>
                <w:color w:val="FFFFFF"/>
                <w:w w:val="99"/>
              </w:rPr>
              <w:t>Ethnically Diverse</w:t>
            </w:r>
          </w:p>
        </w:tc>
        <w:tc>
          <w:tcPr>
            <w:tcW w:w="1540" w:type="dxa"/>
            <w:vAlign w:val="bottom"/>
            <w:tcBorders>
              <w:top w:val="single" w:sz="8" w:color="auto"/>
            </w:tcBorders>
            <w:shd w:val="clear" w:color="auto" w:fill="054C70"/>
          </w:tcPr>
          <w:p>
            <w:pPr>
              <w:ind w:left="80"/>
              <w:spacing w:after="0" w:line="177" w:lineRule="exact"/>
              <w:rPr>
                <w:sz w:val="20"/>
                <w:szCs w:val="20"/>
                <w:color w:val="auto"/>
              </w:rPr>
            </w:pPr>
            <w:r>
              <w:rPr>
                <w:rFonts w:ascii="Arial" w:cs="Arial" w:eastAsia="Arial" w:hAnsi="Arial"/>
                <w:sz w:val="18"/>
                <w:szCs w:val="18"/>
                <w:color w:val="FFFFFF"/>
              </w:rPr>
              <w:t>Non- Ethnically</w:t>
            </w:r>
          </w:p>
        </w:tc>
        <w:tc>
          <w:tcPr>
            <w:tcW w:w="1920" w:type="dxa"/>
            <w:vAlign w:val="bottom"/>
            <w:tcBorders>
              <w:top w:val="single" w:sz="8" w:color="auto"/>
            </w:tcBorders>
            <w:shd w:val="clear" w:color="auto" w:fill="054C70"/>
          </w:tcPr>
          <w:p>
            <w:pPr>
              <w:ind w:left="240"/>
              <w:spacing w:after="0" w:line="177" w:lineRule="exact"/>
              <w:rPr>
                <w:sz w:val="20"/>
                <w:szCs w:val="20"/>
                <w:color w:val="auto"/>
              </w:rPr>
            </w:pPr>
            <w:r>
              <w:rPr>
                <w:rFonts w:ascii="Arial" w:cs="Arial" w:eastAsia="Arial" w:hAnsi="Arial"/>
                <w:sz w:val="18"/>
                <w:szCs w:val="18"/>
                <w:color w:val="FFFFFF"/>
              </w:rPr>
              <w:t>Total</w:t>
            </w:r>
          </w:p>
        </w:tc>
      </w:tr>
      <w:tr>
        <w:trPr>
          <w:trHeight w:val="248"/>
        </w:trPr>
        <w:tc>
          <w:tcPr>
            <w:tcW w:w="1640" w:type="dxa"/>
            <w:vAlign w:val="bottom"/>
            <w:shd w:val="clear" w:color="auto" w:fill="054C70"/>
          </w:tcPr>
          <w:p>
            <w:pPr>
              <w:spacing w:after="0"/>
              <w:rPr>
                <w:sz w:val="21"/>
                <w:szCs w:val="21"/>
                <w:color w:val="auto"/>
              </w:rPr>
            </w:pPr>
          </w:p>
        </w:tc>
        <w:tc>
          <w:tcPr>
            <w:tcW w:w="1540" w:type="dxa"/>
            <w:vAlign w:val="bottom"/>
            <w:shd w:val="clear" w:color="auto" w:fill="054C70"/>
          </w:tcPr>
          <w:p>
            <w:pPr>
              <w:ind w:left="80"/>
              <w:spacing w:after="0"/>
              <w:rPr>
                <w:sz w:val="20"/>
                <w:szCs w:val="20"/>
                <w:color w:val="auto"/>
              </w:rPr>
            </w:pPr>
            <w:r>
              <w:rPr>
                <w:rFonts w:ascii="Arial" w:cs="Arial" w:eastAsia="Arial" w:hAnsi="Arial"/>
                <w:sz w:val="18"/>
                <w:szCs w:val="18"/>
                <w:color w:val="FFFFFF"/>
              </w:rPr>
              <w:t>Diverse</w:t>
            </w:r>
          </w:p>
        </w:tc>
        <w:tc>
          <w:tcPr>
            <w:tcW w:w="1920" w:type="dxa"/>
            <w:vAlign w:val="bottom"/>
            <w:shd w:val="clear" w:color="auto" w:fill="054C70"/>
          </w:tcPr>
          <w:p>
            <w:pPr>
              <w:spacing w:after="0"/>
              <w:rPr>
                <w:sz w:val="21"/>
                <w:szCs w:val="21"/>
                <w:color w:val="auto"/>
              </w:rPr>
            </w:pPr>
          </w:p>
        </w:tc>
      </w:tr>
      <w:tr>
        <w:trPr>
          <w:trHeight w:val="229"/>
        </w:trPr>
        <w:tc>
          <w:tcPr>
            <w:tcW w:w="16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25%</w:t>
            </w:r>
          </w:p>
        </w:tc>
        <w:tc>
          <w:tcPr>
            <w:tcW w:w="1540" w:type="dxa"/>
            <w:vAlign w:val="bottom"/>
            <w:tcBorders>
              <w:bottom w:val="single" w:sz="8" w:color="05C3DE"/>
            </w:tcBorders>
          </w:tcPr>
          <w:p>
            <w:pPr>
              <w:jc w:val="right"/>
              <w:ind w:right="350"/>
              <w:spacing w:after="0"/>
              <w:rPr>
                <w:sz w:val="20"/>
                <w:szCs w:val="20"/>
                <w:color w:val="auto"/>
              </w:rPr>
            </w:pPr>
            <w:r>
              <w:rPr>
                <w:rFonts w:ascii="Arial" w:cs="Arial" w:eastAsia="Arial" w:hAnsi="Arial"/>
                <w:sz w:val="18"/>
                <w:szCs w:val="18"/>
                <w:color w:val="auto"/>
              </w:rPr>
              <w:t>75%</w:t>
            </w:r>
          </w:p>
        </w:tc>
        <w:tc>
          <w:tcPr>
            <w:tcW w:w="1920" w:type="dxa"/>
            <w:vAlign w:val="bottom"/>
            <w:tcBorders>
              <w:bottom w:val="single" w:sz="8" w:color="05C3DE"/>
            </w:tcBorders>
          </w:tcPr>
          <w:p>
            <w:pPr>
              <w:jc w:val="center"/>
              <w:ind w:left="130"/>
              <w:spacing w:after="0"/>
              <w:rPr>
                <w:sz w:val="20"/>
                <w:szCs w:val="20"/>
                <w:color w:val="auto"/>
              </w:rPr>
            </w:pPr>
            <w:r>
              <w:rPr>
                <w:rFonts w:ascii="Arial" w:cs="Arial" w:eastAsia="Arial" w:hAnsi="Arial"/>
                <w:sz w:val="18"/>
                <w:szCs w:val="18"/>
                <w:color w:val="auto"/>
                <w:w w:val="99"/>
              </w:rPr>
              <w:t>706</w:t>
            </w:r>
          </w:p>
        </w:tc>
      </w:tr>
      <w:tr>
        <w:trPr>
          <w:trHeight w:val="223"/>
        </w:trPr>
        <w:tc>
          <w:tcPr>
            <w:tcW w:w="16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13%</w:t>
            </w:r>
          </w:p>
        </w:tc>
        <w:tc>
          <w:tcPr>
            <w:tcW w:w="1540" w:type="dxa"/>
            <w:vAlign w:val="bottom"/>
            <w:tcBorders>
              <w:bottom w:val="single" w:sz="8" w:color="05C3DE"/>
            </w:tcBorders>
          </w:tcPr>
          <w:p>
            <w:pPr>
              <w:jc w:val="right"/>
              <w:ind w:right="350"/>
              <w:spacing w:after="0"/>
              <w:rPr>
                <w:sz w:val="20"/>
                <w:szCs w:val="20"/>
                <w:color w:val="auto"/>
              </w:rPr>
            </w:pPr>
            <w:r>
              <w:rPr>
                <w:rFonts w:ascii="Arial" w:cs="Arial" w:eastAsia="Arial" w:hAnsi="Arial"/>
                <w:sz w:val="18"/>
                <w:szCs w:val="18"/>
                <w:color w:val="auto"/>
              </w:rPr>
              <w:t>87%</w:t>
            </w:r>
          </w:p>
        </w:tc>
        <w:tc>
          <w:tcPr>
            <w:tcW w:w="1920" w:type="dxa"/>
            <w:vAlign w:val="bottom"/>
            <w:tcBorders>
              <w:bottom w:val="single" w:sz="8" w:color="05C3DE"/>
            </w:tcBorders>
          </w:tcPr>
          <w:p>
            <w:pPr>
              <w:jc w:val="center"/>
              <w:ind w:left="130"/>
              <w:spacing w:after="0"/>
              <w:rPr>
                <w:sz w:val="20"/>
                <w:szCs w:val="20"/>
                <w:color w:val="auto"/>
              </w:rPr>
            </w:pPr>
            <w:r>
              <w:rPr>
                <w:rFonts w:ascii="Arial" w:cs="Arial" w:eastAsia="Arial" w:hAnsi="Arial"/>
                <w:sz w:val="18"/>
                <w:szCs w:val="18"/>
                <w:color w:val="auto"/>
                <w:w w:val="99"/>
              </w:rPr>
              <w:t>112</w:t>
            </w:r>
          </w:p>
        </w:tc>
      </w:tr>
      <w:tr>
        <w:trPr>
          <w:trHeight w:val="223"/>
        </w:trPr>
        <w:tc>
          <w:tcPr>
            <w:tcW w:w="16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37%</w:t>
            </w:r>
          </w:p>
        </w:tc>
        <w:tc>
          <w:tcPr>
            <w:tcW w:w="1540" w:type="dxa"/>
            <w:vAlign w:val="bottom"/>
            <w:tcBorders>
              <w:bottom w:val="single" w:sz="8" w:color="05C3DE"/>
            </w:tcBorders>
          </w:tcPr>
          <w:p>
            <w:pPr>
              <w:jc w:val="right"/>
              <w:ind w:right="350"/>
              <w:spacing w:after="0"/>
              <w:rPr>
                <w:sz w:val="20"/>
                <w:szCs w:val="20"/>
                <w:color w:val="auto"/>
              </w:rPr>
            </w:pPr>
            <w:r>
              <w:rPr>
                <w:rFonts w:ascii="Arial" w:cs="Arial" w:eastAsia="Arial" w:hAnsi="Arial"/>
                <w:sz w:val="18"/>
                <w:szCs w:val="18"/>
                <w:color w:val="auto"/>
              </w:rPr>
              <w:t>63%</w:t>
            </w:r>
          </w:p>
        </w:tc>
        <w:tc>
          <w:tcPr>
            <w:tcW w:w="1920" w:type="dxa"/>
            <w:vAlign w:val="bottom"/>
            <w:tcBorders>
              <w:bottom w:val="single" w:sz="8" w:color="05C3DE"/>
            </w:tcBorders>
          </w:tcPr>
          <w:p>
            <w:pPr>
              <w:jc w:val="center"/>
              <w:ind w:left="130"/>
              <w:spacing w:after="0"/>
              <w:rPr>
                <w:sz w:val="20"/>
                <w:szCs w:val="20"/>
                <w:color w:val="auto"/>
              </w:rPr>
            </w:pPr>
            <w:r>
              <w:rPr>
                <w:rFonts w:ascii="Arial" w:cs="Arial" w:eastAsia="Arial" w:hAnsi="Arial"/>
                <w:sz w:val="18"/>
                <w:szCs w:val="18"/>
                <w:color w:val="auto"/>
                <w:w w:val="99"/>
              </w:rPr>
              <w:t>269</w:t>
            </w:r>
          </w:p>
        </w:tc>
      </w:tr>
      <w:tr>
        <w:trPr>
          <w:trHeight w:val="223"/>
        </w:trPr>
        <w:tc>
          <w:tcPr>
            <w:tcW w:w="164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22%</w:t>
            </w:r>
          </w:p>
        </w:tc>
        <w:tc>
          <w:tcPr>
            <w:tcW w:w="1540" w:type="dxa"/>
            <w:vAlign w:val="bottom"/>
            <w:tcBorders>
              <w:bottom w:val="single" w:sz="8" w:color="05C3DE"/>
            </w:tcBorders>
          </w:tcPr>
          <w:p>
            <w:pPr>
              <w:jc w:val="right"/>
              <w:ind w:right="350"/>
              <w:spacing w:after="0"/>
              <w:rPr>
                <w:sz w:val="20"/>
                <w:szCs w:val="20"/>
                <w:color w:val="auto"/>
              </w:rPr>
            </w:pPr>
            <w:r>
              <w:rPr>
                <w:rFonts w:ascii="Arial" w:cs="Arial" w:eastAsia="Arial" w:hAnsi="Arial"/>
                <w:sz w:val="18"/>
                <w:szCs w:val="18"/>
                <w:color w:val="auto"/>
              </w:rPr>
              <w:t>78%</w:t>
            </w:r>
          </w:p>
        </w:tc>
        <w:tc>
          <w:tcPr>
            <w:tcW w:w="1920" w:type="dxa"/>
            <w:vAlign w:val="bottom"/>
            <w:tcBorders>
              <w:bottom w:val="single" w:sz="8" w:color="05C3DE"/>
            </w:tcBorders>
          </w:tcPr>
          <w:p>
            <w:pPr>
              <w:jc w:val="center"/>
              <w:ind w:left="150"/>
              <w:spacing w:after="0"/>
              <w:rPr>
                <w:sz w:val="20"/>
                <w:szCs w:val="20"/>
                <w:color w:val="auto"/>
              </w:rPr>
            </w:pPr>
            <w:r>
              <w:rPr>
                <w:rFonts w:ascii="Arial" w:cs="Arial" w:eastAsia="Arial" w:hAnsi="Arial"/>
                <w:sz w:val="18"/>
                <w:szCs w:val="18"/>
                <w:color w:val="auto"/>
                <w:w w:val="99"/>
              </w:rPr>
              <w:t>67</w:t>
            </w:r>
          </w:p>
        </w:tc>
      </w:tr>
      <w:tr>
        <w:trPr>
          <w:trHeight w:val="232"/>
        </w:trPr>
        <w:tc>
          <w:tcPr>
            <w:tcW w:w="16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83%</w:t>
            </w:r>
          </w:p>
        </w:tc>
        <w:tc>
          <w:tcPr>
            <w:tcW w:w="1920" w:type="dxa"/>
            <w:vAlign w:val="bottom"/>
          </w:tcPr>
          <w:p>
            <w:pPr>
              <w:jc w:val="center"/>
              <w:ind w:left="130"/>
              <w:spacing w:after="0"/>
              <w:rPr>
                <w:sz w:val="20"/>
                <w:szCs w:val="20"/>
                <w:color w:val="auto"/>
              </w:rPr>
            </w:pPr>
            <w:r>
              <w:rPr>
                <w:rFonts w:ascii="Arial" w:cs="Arial" w:eastAsia="Arial" w:hAnsi="Arial"/>
                <w:sz w:val="18"/>
                <w:szCs w:val="18"/>
                <w:color w:val="auto"/>
                <w:w w:val="99"/>
              </w:rPr>
              <w:t>258</w:t>
            </w:r>
          </w:p>
        </w:tc>
      </w:tr>
    </w:tbl>
    <w:p>
      <w:pPr>
        <w:spacing w:after="0" w:line="200" w:lineRule="exact"/>
        <w:rPr>
          <w:sz w:val="20"/>
          <w:szCs w:val="20"/>
          <w:color w:val="auto"/>
        </w:rPr>
      </w:pPr>
    </w:p>
    <w:p>
      <w:pPr>
        <w:sectPr>
          <w:pgSz w:w="11900" w:h="16838" w:orient="portrait"/>
          <w:cols w:equalWidth="0" w:num="2">
            <w:col w:w="5080" w:space="220"/>
            <w:col w:w="5860"/>
          </w:cols>
          <w:pgMar w:left="320" w:top="122" w:right="419" w:bottom="1440" w:gutter="0" w:footer="0" w:header="0"/>
          <w:type w:val="continuous"/>
        </w:sectPr>
      </w:pPr>
    </w:p>
    <w:p>
      <w:pPr>
        <w:spacing w:after="0" w:line="181" w:lineRule="exact"/>
        <w:rPr>
          <w:sz w:val="20"/>
          <w:szCs w:val="20"/>
          <w:color w:val="auto"/>
        </w:rPr>
      </w:pPr>
    </w:p>
    <w:p>
      <w:pPr>
        <w:ind w:left="180"/>
        <w:spacing w:after="0"/>
        <w:rPr>
          <w:sz w:val="20"/>
          <w:szCs w:val="20"/>
          <w:color w:val="auto"/>
        </w:rPr>
      </w:pPr>
      <w:r>
        <w:rPr>
          <w:rFonts w:ascii="Arial" w:cs="Arial" w:eastAsia="Arial" w:hAnsi="Arial"/>
          <w:sz w:val="21"/>
          <w:szCs w:val="21"/>
          <w:b w:val="1"/>
          <w:bCs w:val="1"/>
          <w:u w:val="single" w:color="auto"/>
          <w:color w:val="auto"/>
        </w:rPr>
        <w:t>Global Distribution and Global Product Group Diversity Breakdown</w:t>
      </w:r>
    </w:p>
    <w:p>
      <w:pPr>
        <w:sectPr>
          <w:pgSz w:w="11900" w:h="16838" w:orient="portrait"/>
          <w:cols w:equalWidth="0" w:num="1">
            <w:col w:w="11160"/>
          </w:cols>
          <w:pgMar w:left="320" w:top="122" w:right="419" w:bottom="1440" w:gutter="0" w:footer="0" w:header="0"/>
          <w:type w:val="continuous"/>
        </w:sectPr>
      </w:pPr>
    </w:p>
    <w:p>
      <w:pPr>
        <w:spacing w:after="0" w:line="376"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Gender Representation - Global Population</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2640" w:type="dxa"/>
            <w:vAlign w:val="bottom"/>
            <w:shd w:val="clear" w:color="auto" w:fill="054C70"/>
          </w:tcPr>
          <w:p>
            <w:pPr>
              <w:spacing w:after="0"/>
              <w:rPr>
                <w:sz w:val="22"/>
                <w:szCs w:val="22"/>
                <w:color w:val="auto"/>
              </w:rPr>
            </w:pPr>
          </w:p>
        </w:tc>
        <w:tc>
          <w:tcPr>
            <w:tcW w:w="1120" w:type="dxa"/>
            <w:vAlign w:val="bottom"/>
            <w:shd w:val="clear" w:color="auto" w:fill="054C70"/>
          </w:tcPr>
          <w:p>
            <w:pPr>
              <w:jc w:val="center"/>
              <w:ind w:right="70"/>
              <w:spacing w:after="0"/>
              <w:rPr>
                <w:sz w:val="20"/>
                <w:szCs w:val="20"/>
                <w:color w:val="auto"/>
              </w:rPr>
            </w:pPr>
            <w:r>
              <w:rPr>
                <w:rFonts w:ascii="Arial" w:cs="Arial" w:eastAsia="Arial" w:hAnsi="Arial"/>
                <w:sz w:val="18"/>
                <w:szCs w:val="18"/>
                <w:color w:val="FFFFFF"/>
                <w:w w:val="99"/>
              </w:rPr>
              <w:t>Female</w:t>
            </w:r>
          </w:p>
        </w:tc>
        <w:tc>
          <w:tcPr>
            <w:tcW w:w="1180" w:type="dxa"/>
            <w:vAlign w:val="bottom"/>
            <w:shd w:val="clear" w:color="auto" w:fill="054C70"/>
          </w:tcPr>
          <w:p>
            <w:pPr>
              <w:ind w:left="340"/>
              <w:spacing w:after="0"/>
              <w:rPr>
                <w:sz w:val="20"/>
                <w:szCs w:val="20"/>
                <w:color w:val="auto"/>
              </w:rPr>
            </w:pPr>
            <w:r>
              <w:rPr>
                <w:rFonts w:ascii="Arial" w:cs="Arial" w:eastAsia="Arial" w:hAnsi="Arial"/>
                <w:sz w:val="18"/>
                <w:szCs w:val="18"/>
                <w:color w:val="FFFFFF"/>
              </w:rPr>
              <w:t>Male</w:t>
            </w:r>
          </w:p>
        </w:tc>
        <w:tc>
          <w:tcPr>
            <w:tcW w:w="1360" w:type="dxa"/>
            <w:vAlign w:val="bottom"/>
            <w:shd w:val="clear" w:color="auto" w:fill="054C70"/>
          </w:tcPr>
          <w:p>
            <w:pPr>
              <w:ind w:left="500"/>
              <w:spacing w:after="0"/>
              <w:rPr>
                <w:sz w:val="20"/>
                <w:szCs w:val="20"/>
                <w:color w:val="auto"/>
              </w:rPr>
            </w:pPr>
            <w:r>
              <w:rPr>
                <w:rFonts w:ascii="Arial" w:cs="Arial" w:eastAsia="Arial" w:hAnsi="Arial"/>
                <w:sz w:val="18"/>
                <w:szCs w:val="18"/>
                <w:color w:val="FFFFFF"/>
              </w:rPr>
              <w:t>Total</w:t>
            </w:r>
          </w:p>
        </w:tc>
      </w:tr>
      <w:tr>
        <w:trPr>
          <w:trHeight w:val="153"/>
        </w:trPr>
        <w:tc>
          <w:tcPr>
            <w:tcW w:w="2640" w:type="dxa"/>
            <w:vAlign w:val="bottom"/>
            <w:shd w:val="clear" w:color="auto" w:fill="054C70"/>
          </w:tcPr>
          <w:p>
            <w:pPr>
              <w:spacing w:after="0"/>
              <w:rPr>
                <w:sz w:val="13"/>
                <w:szCs w:val="13"/>
                <w:color w:val="auto"/>
              </w:rPr>
            </w:pPr>
          </w:p>
        </w:tc>
        <w:tc>
          <w:tcPr>
            <w:tcW w:w="1120" w:type="dxa"/>
            <w:vAlign w:val="bottom"/>
            <w:shd w:val="clear" w:color="auto" w:fill="054C70"/>
          </w:tcPr>
          <w:p>
            <w:pPr>
              <w:spacing w:after="0"/>
              <w:rPr>
                <w:sz w:val="13"/>
                <w:szCs w:val="13"/>
                <w:color w:val="auto"/>
              </w:rPr>
            </w:pPr>
          </w:p>
        </w:tc>
        <w:tc>
          <w:tcPr>
            <w:tcW w:w="1180" w:type="dxa"/>
            <w:vAlign w:val="bottom"/>
            <w:shd w:val="clear" w:color="auto" w:fill="054C70"/>
          </w:tcPr>
          <w:p>
            <w:pPr>
              <w:spacing w:after="0"/>
              <w:rPr>
                <w:sz w:val="13"/>
                <w:szCs w:val="13"/>
                <w:color w:val="auto"/>
              </w:rPr>
            </w:pPr>
          </w:p>
        </w:tc>
        <w:tc>
          <w:tcPr>
            <w:tcW w:w="1360" w:type="dxa"/>
            <w:vAlign w:val="bottom"/>
            <w:shd w:val="clear" w:color="auto" w:fill="054C70"/>
          </w:tcPr>
          <w:p>
            <w:pPr>
              <w:spacing w:after="0"/>
              <w:rPr>
                <w:sz w:val="13"/>
                <w:szCs w:val="13"/>
                <w:color w:val="auto"/>
              </w:rPr>
            </w:pPr>
          </w:p>
        </w:tc>
      </w:tr>
      <w:tr>
        <w:trPr>
          <w:trHeight w:val="184"/>
        </w:trPr>
        <w:tc>
          <w:tcPr>
            <w:tcW w:w="26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Global Distribution &amp; Global</w:t>
            </w:r>
          </w:p>
        </w:tc>
        <w:tc>
          <w:tcPr>
            <w:tcW w:w="1120" w:type="dxa"/>
            <w:vAlign w:val="bottom"/>
          </w:tcPr>
          <w:p>
            <w:pPr>
              <w:jc w:val="center"/>
              <w:ind w:right="70"/>
              <w:spacing w:after="0" w:line="183" w:lineRule="exact"/>
              <w:rPr>
                <w:sz w:val="20"/>
                <w:szCs w:val="20"/>
                <w:color w:val="auto"/>
              </w:rPr>
            </w:pPr>
            <w:r>
              <w:rPr>
                <w:rFonts w:ascii="Arial" w:cs="Arial" w:eastAsia="Arial" w:hAnsi="Arial"/>
                <w:sz w:val="18"/>
                <w:szCs w:val="18"/>
                <w:color w:val="auto"/>
                <w:w w:val="99"/>
              </w:rPr>
              <w:t>50%</w:t>
            </w:r>
          </w:p>
        </w:tc>
        <w:tc>
          <w:tcPr>
            <w:tcW w:w="1180" w:type="dxa"/>
            <w:vAlign w:val="bottom"/>
          </w:tcPr>
          <w:p>
            <w:pPr>
              <w:ind w:left="360"/>
              <w:spacing w:after="0" w:line="183" w:lineRule="exact"/>
              <w:rPr>
                <w:sz w:val="20"/>
                <w:szCs w:val="20"/>
                <w:color w:val="auto"/>
              </w:rPr>
            </w:pPr>
            <w:r>
              <w:rPr>
                <w:rFonts w:ascii="Arial" w:cs="Arial" w:eastAsia="Arial" w:hAnsi="Arial"/>
                <w:sz w:val="18"/>
                <w:szCs w:val="18"/>
                <w:color w:val="auto"/>
              </w:rPr>
              <w:t>50%</w:t>
            </w:r>
          </w:p>
        </w:tc>
        <w:tc>
          <w:tcPr>
            <w:tcW w:w="1360" w:type="dxa"/>
            <w:vAlign w:val="bottom"/>
          </w:tcPr>
          <w:p>
            <w:pPr>
              <w:jc w:val="center"/>
              <w:spacing w:after="0" w:line="183" w:lineRule="exact"/>
              <w:rPr>
                <w:sz w:val="20"/>
                <w:szCs w:val="20"/>
                <w:color w:val="auto"/>
              </w:rPr>
            </w:pPr>
            <w:r>
              <w:rPr>
                <w:rFonts w:ascii="Arial" w:cs="Arial" w:eastAsia="Arial" w:hAnsi="Arial"/>
                <w:sz w:val="18"/>
                <w:szCs w:val="18"/>
                <w:color w:val="auto"/>
              </w:rPr>
              <w:t>2,998</w:t>
            </w:r>
          </w:p>
        </w:tc>
      </w:tr>
      <w:tr>
        <w:trPr>
          <w:trHeight w:val="235"/>
        </w:trPr>
        <w:tc>
          <w:tcPr>
            <w:tcW w:w="2640" w:type="dxa"/>
            <w:vAlign w:val="bottom"/>
            <w:tcBorders>
              <w:bottom w:val="single" w:sz="8" w:color="05C3DE"/>
            </w:tcBorders>
          </w:tcPr>
          <w:p>
            <w:pPr>
              <w:ind w:left="20"/>
              <w:spacing w:after="0"/>
              <w:rPr>
                <w:sz w:val="20"/>
                <w:szCs w:val="20"/>
                <w:color w:val="auto"/>
              </w:rPr>
            </w:pPr>
            <w:r>
              <w:rPr>
                <w:rFonts w:ascii="Arial" w:cs="Arial" w:eastAsia="Arial" w:hAnsi="Arial"/>
                <w:sz w:val="18"/>
                <w:szCs w:val="18"/>
                <w:b w:val="1"/>
                <w:bCs w:val="1"/>
                <w:color w:val="auto"/>
              </w:rPr>
              <w:t>Product</w:t>
            </w:r>
          </w:p>
        </w:tc>
        <w:tc>
          <w:tcPr>
            <w:tcW w:w="1120" w:type="dxa"/>
            <w:vAlign w:val="bottom"/>
            <w:tcBorders>
              <w:bottom w:val="single" w:sz="8" w:color="05C3DE"/>
            </w:tcBorders>
          </w:tcPr>
          <w:p>
            <w:pPr>
              <w:spacing w:after="0"/>
              <w:rPr>
                <w:sz w:val="20"/>
                <w:szCs w:val="20"/>
                <w:color w:val="auto"/>
              </w:rPr>
            </w:pPr>
          </w:p>
        </w:tc>
        <w:tc>
          <w:tcPr>
            <w:tcW w:w="1180" w:type="dxa"/>
            <w:vAlign w:val="bottom"/>
            <w:tcBorders>
              <w:bottom w:val="single" w:sz="8" w:color="05C3DE"/>
            </w:tcBorders>
          </w:tcPr>
          <w:p>
            <w:pPr>
              <w:spacing w:after="0"/>
              <w:rPr>
                <w:sz w:val="20"/>
                <w:szCs w:val="20"/>
                <w:color w:val="auto"/>
              </w:rPr>
            </w:pPr>
          </w:p>
        </w:tc>
        <w:tc>
          <w:tcPr>
            <w:tcW w:w="1360" w:type="dxa"/>
            <w:vAlign w:val="bottom"/>
            <w:tcBorders>
              <w:bottom w:val="single" w:sz="8" w:color="05C3DE"/>
            </w:tcBorders>
          </w:tcPr>
          <w:p>
            <w:pPr>
              <w:spacing w:after="0"/>
              <w:rPr>
                <w:sz w:val="20"/>
                <w:szCs w:val="20"/>
                <w:color w:val="auto"/>
              </w:rPr>
            </w:pPr>
          </w:p>
        </w:tc>
      </w:tr>
      <w:tr>
        <w:trPr>
          <w:trHeight w:val="223"/>
        </w:trPr>
        <w:tc>
          <w:tcPr>
            <w:tcW w:w="2640" w:type="dxa"/>
            <w:vAlign w:val="bottom"/>
            <w:tcBorders>
              <w:bottom w:val="single" w:sz="8" w:color="05C3DE"/>
            </w:tcBorders>
          </w:tcPr>
          <w:p>
            <w:pPr>
              <w:ind w:left="20"/>
              <w:spacing w:after="0"/>
              <w:rPr>
                <w:sz w:val="20"/>
                <w:szCs w:val="20"/>
                <w:color w:val="auto"/>
              </w:rPr>
            </w:pPr>
            <w:r>
              <w:rPr>
                <w:rFonts w:ascii="Arial" w:cs="Arial" w:eastAsia="Arial" w:hAnsi="Arial"/>
                <w:sz w:val="18"/>
                <w:szCs w:val="18"/>
                <w:color w:val="auto"/>
              </w:rPr>
              <w:t>Senior Level*</w:t>
            </w:r>
          </w:p>
        </w:tc>
        <w:tc>
          <w:tcPr>
            <w:tcW w:w="1120" w:type="dxa"/>
            <w:vAlign w:val="bottom"/>
            <w:tcBorders>
              <w:bottom w:val="single" w:sz="8" w:color="05C3DE"/>
            </w:tcBorders>
          </w:tcPr>
          <w:p>
            <w:pPr>
              <w:jc w:val="center"/>
              <w:ind w:right="70"/>
              <w:spacing w:after="0"/>
              <w:rPr>
                <w:sz w:val="20"/>
                <w:szCs w:val="20"/>
                <w:color w:val="auto"/>
              </w:rPr>
            </w:pPr>
            <w:r>
              <w:rPr>
                <w:rFonts w:ascii="Arial" w:cs="Arial" w:eastAsia="Arial" w:hAnsi="Arial"/>
                <w:sz w:val="18"/>
                <w:szCs w:val="18"/>
                <w:color w:val="auto"/>
                <w:w w:val="99"/>
              </w:rPr>
              <w:t>36%</w:t>
            </w:r>
          </w:p>
        </w:tc>
        <w:tc>
          <w:tcPr>
            <w:tcW w:w="1180" w:type="dxa"/>
            <w:vAlign w:val="bottom"/>
            <w:tcBorders>
              <w:bottom w:val="single" w:sz="8" w:color="05C3DE"/>
            </w:tcBorders>
          </w:tcPr>
          <w:p>
            <w:pPr>
              <w:ind w:left="360"/>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476</w:t>
            </w:r>
          </w:p>
        </w:tc>
      </w:tr>
      <w:tr>
        <w:trPr>
          <w:trHeight w:val="232"/>
        </w:trPr>
        <w:tc>
          <w:tcPr>
            <w:tcW w:w="2640" w:type="dxa"/>
            <w:vAlign w:val="bottom"/>
          </w:tcPr>
          <w:p>
            <w:pPr>
              <w:ind w:left="20"/>
              <w:spacing w:after="0"/>
              <w:rPr>
                <w:sz w:val="20"/>
                <w:szCs w:val="20"/>
                <w:color w:val="auto"/>
              </w:rPr>
            </w:pPr>
            <w:r>
              <w:rPr>
                <w:rFonts w:ascii="Arial" w:cs="Arial" w:eastAsia="Arial" w:hAnsi="Arial"/>
                <w:sz w:val="18"/>
                <w:szCs w:val="18"/>
                <w:color w:val="auto"/>
              </w:rPr>
              <w:t>All Others</w:t>
            </w: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9"/>
              </w:rPr>
              <w:t>53%</w:t>
            </w:r>
          </w:p>
        </w:tc>
        <w:tc>
          <w:tcPr>
            <w:tcW w:w="1180" w:type="dxa"/>
            <w:vAlign w:val="bottom"/>
          </w:tcPr>
          <w:p>
            <w:pPr>
              <w:ind w:left="360"/>
              <w:spacing w:after="0"/>
              <w:rPr>
                <w:sz w:val="20"/>
                <w:szCs w:val="20"/>
                <w:color w:val="auto"/>
              </w:rPr>
            </w:pPr>
            <w:r>
              <w:rPr>
                <w:rFonts w:ascii="Arial" w:cs="Arial" w:eastAsia="Arial" w:hAnsi="Arial"/>
                <w:sz w:val="18"/>
                <w:szCs w:val="18"/>
                <w:color w:val="auto"/>
              </w:rPr>
              <w:t>47%</w:t>
            </w:r>
          </w:p>
        </w:tc>
        <w:tc>
          <w:tcPr>
            <w:tcW w:w="1360" w:type="dxa"/>
            <w:vAlign w:val="bottom"/>
          </w:tcPr>
          <w:p>
            <w:pPr>
              <w:jc w:val="center"/>
              <w:spacing w:after="0"/>
              <w:rPr>
                <w:sz w:val="20"/>
                <w:szCs w:val="20"/>
                <w:color w:val="auto"/>
              </w:rPr>
            </w:pPr>
            <w:r>
              <w:rPr>
                <w:rFonts w:ascii="Arial" w:cs="Arial" w:eastAsia="Arial" w:hAnsi="Arial"/>
                <w:sz w:val="18"/>
                <w:szCs w:val="18"/>
                <w:color w:val="auto"/>
              </w:rPr>
              <w:t>2,522</w:t>
            </w: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Ethnically Diverse - US Population Only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shd w:val="clear" w:color="auto" w:fill="054C70"/>
          </w:tcPr>
          <w:p>
            <w:pPr>
              <w:jc w:val="center"/>
              <w:ind w:left="10"/>
              <w:spacing w:after="0"/>
              <w:rPr>
                <w:sz w:val="20"/>
                <w:szCs w:val="20"/>
                <w:color w:val="auto"/>
              </w:rPr>
            </w:pPr>
            <w:r>
              <w:rPr>
                <w:rFonts w:ascii="Arial" w:cs="Arial" w:eastAsia="Arial" w:hAnsi="Arial"/>
                <w:sz w:val="18"/>
                <w:szCs w:val="18"/>
                <w:color w:val="FFFFFF"/>
                <w:w w:val="98"/>
              </w:rPr>
              <w:t>Ethnically</w:t>
            </w:r>
          </w:p>
        </w:tc>
        <w:tc>
          <w:tcPr>
            <w:tcW w:w="1740" w:type="dxa"/>
            <w:vAlign w:val="bottom"/>
            <w:shd w:val="clear" w:color="auto" w:fill="054C70"/>
          </w:tcPr>
          <w:p>
            <w:pPr>
              <w:jc w:val="center"/>
              <w:ind w:right="10"/>
              <w:spacing w:after="0"/>
              <w:rPr>
                <w:sz w:val="20"/>
                <w:szCs w:val="20"/>
                <w:color w:val="auto"/>
              </w:rPr>
            </w:pPr>
            <w:r>
              <w:rPr>
                <w:rFonts w:ascii="Arial" w:cs="Arial" w:eastAsia="Arial" w:hAnsi="Arial"/>
                <w:sz w:val="18"/>
                <w:szCs w:val="18"/>
                <w:color w:val="FFFFFF"/>
                <w:w w:val="99"/>
              </w:rPr>
              <w:t>Non- Ethnically</w:t>
            </w:r>
          </w:p>
        </w:tc>
        <w:tc>
          <w:tcPr>
            <w:tcW w:w="1260" w:type="dxa"/>
            <w:vAlign w:val="bottom"/>
            <w:shd w:val="clear" w:color="auto" w:fill="054C70"/>
          </w:tcPr>
          <w:p>
            <w:pPr>
              <w:ind w:left="340"/>
              <w:spacing w:after="0"/>
              <w:rPr>
                <w:sz w:val="20"/>
                <w:szCs w:val="20"/>
                <w:color w:val="auto"/>
              </w:rPr>
            </w:pPr>
            <w:r>
              <w:rPr>
                <w:rFonts w:ascii="Arial" w:cs="Arial" w:eastAsia="Arial" w:hAnsi="Arial"/>
                <w:sz w:val="18"/>
                <w:szCs w:val="18"/>
                <w:color w:val="FFFFFF"/>
              </w:rPr>
              <w:t>Total</w:t>
            </w:r>
          </w:p>
        </w:tc>
      </w:tr>
      <w:tr>
        <w:trPr>
          <w:trHeight w:val="248"/>
        </w:trPr>
        <w:tc>
          <w:tcPr>
            <w:tcW w:w="1340" w:type="dxa"/>
            <w:vAlign w:val="bottom"/>
            <w:shd w:val="clear" w:color="auto" w:fill="054C70"/>
          </w:tcPr>
          <w:p>
            <w:pPr>
              <w:jc w:val="center"/>
              <w:ind w:left="10"/>
              <w:spacing w:after="0"/>
              <w:rPr>
                <w:sz w:val="20"/>
                <w:szCs w:val="20"/>
                <w:color w:val="auto"/>
              </w:rPr>
            </w:pPr>
            <w:r>
              <w:rPr>
                <w:rFonts w:ascii="Arial" w:cs="Arial" w:eastAsia="Arial" w:hAnsi="Arial"/>
                <w:sz w:val="18"/>
                <w:szCs w:val="18"/>
                <w:color w:val="FFFFFF"/>
                <w:w w:val="98"/>
              </w:rPr>
              <w:t>Diverse</w:t>
            </w:r>
          </w:p>
        </w:tc>
        <w:tc>
          <w:tcPr>
            <w:tcW w:w="1740" w:type="dxa"/>
            <w:vAlign w:val="bottom"/>
            <w:shd w:val="clear" w:color="auto" w:fill="054C70"/>
          </w:tcPr>
          <w:p>
            <w:pPr>
              <w:jc w:val="center"/>
              <w:ind w:right="10"/>
              <w:spacing w:after="0"/>
              <w:rPr>
                <w:sz w:val="20"/>
                <w:szCs w:val="20"/>
                <w:color w:val="auto"/>
              </w:rPr>
            </w:pPr>
            <w:r>
              <w:rPr>
                <w:rFonts w:ascii="Arial" w:cs="Arial" w:eastAsia="Arial" w:hAnsi="Arial"/>
                <w:sz w:val="18"/>
                <w:szCs w:val="18"/>
                <w:color w:val="FFFFFF"/>
                <w:w w:val="98"/>
              </w:rPr>
              <w:t>Diverse</w:t>
            </w:r>
          </w:p>
        </w:tc>
        <w:tc>
          <w:tcPr>
            <w:tcW w:w="1260" w:type="dxa"/>
            <w:vAlign w:val="bottom"/>
            <w:shd w:val="clear" w:color="auto" w:fill="054C70"/>
          </w:tcPr>
          <w:p>
            <w:pPr>
              <w:spacing w:after="0"/>
              <w:rPr>
                <w:sz w:val="21"/>
                <w:szCs w:val="21"/>
                <w:color w:val="auto"/>
              </w:rPr>
            </w:pPr>
          </w:p>
        </w:tc>
      </w:tr>
      <w:tr>
        <w:trPr>
          <w:trHeight w:val="239"/>
        </w:trPr>
        <w:tc>
          <w:tcPr>
            <w:tcW w:w="1340" w:type="dxa"/>
            <w:vAlign w:val="bottom"/>
          </w:tcPr>
          <w:p>
            <w:pPr>
              <w:jc w:val="center"/>
              <w:ind w:left="10"/>
              <w:spacing w:after="0"/>
              <w:rPr>
                <w:sz w:val="20"/>
                <w:szCs w:val="20"/>
                <w:color w:val="auto"/>
              </w:rPr>
            </w:pPr>
            <w:r>
              <w:rPr>
                <w:rFonts w:ascii="Arial" w:cs="Arial" w:eastAsia="Arial" w:hAnsi="Arial"/>
                <w:sz w:val="18"/>
                <w:szCs w:val="18"/>
                <w:color w:val="auto"/>
                <w:w w:val="99"/>
              </w:rPr>
              <w:t>32%</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9"/>
              </w:rPr>
              <w:t>68%</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rPr>
              <w:t>2,712</w:t>
            </w:r>
          </w:p>
        </w:tc>
      </w:tr>
      <w:tr>
        <w:trPr>
          <w:trHeight w:val="180"/>
        </w:trPr>
        <w:tc>
          <w:tcPr>
            <w:tcW w:w="1340" w:type="dxa"/>
            <w:vAlign w:val="bottom"/>
            <w:tcBorders>
              <w:bottom w:val="single" w:sz="8" w:color="05C3DE"/>
            </w:tcBorders>
          </w:tcPr>
          <w:p>
            <w:pPr>
              <w:spacing w:after="0"/>
              <w:rPr>
                <w:sz w:val="15"/>
                <w:szCs w:val="15"/>
                <w:color w:val="auto"/>
              </w:rPr>
            </w:pPr>
          </w:p>
        </w:tc>
        <w:tc>
          <w:tcPr>
            <w:tcW w:w="1740" w:type="dxa"/>
            <w:vAlign w:val="bottom"/>
            <w:tcBorders>
              <w:bottom w:val="single" w:sz="8" w:color="05C3DE"/>
            </w:tcBorders>
          </w:tcPr>
          <w:p>
            <w:pPr>
              <w:spacing w:after="0"/>
              <w:rPr>
                <w:sz w:val="15"/>
                <w:szCs w:val="15"/>
                <w:color w:val="auto"/>
              </w:rPr>
            </w:pPr>
          </w:p>
        </w:tc>
        <w:tc>
          <w:tcPr>
            <w:tcW w:w="1260" w:type="dxa"/>
            <w:vAlign w:val="bottom"/>
            <w:tcBorders>
              <w:bottom w:val="single" w:sz="8" w:color="05C3DE"/>
            </w:tcBorders>
          </w:tcPr>
          <w:p>
            <w:pPr>
              <w:spacing w:after="0"/>
              <w:rPr>
                <w:sz w:val="15"/>
                <w:szCs w:val="15"/>
                <w:color w:val="auto"/>
              </w:rPr>
            </w:pPr>
          </w:p>
        </w:tc>
      </w:tr>
      <w:tr>
        <w:trPr>
          <w:trHeight w:val="223"/>
        </w:trPr>
        <w:tc>
          <w:tcPr>
            <w:tcW w:w="1340" w:type="dxa"/>
            <w:vAlign w:val="bottom"/>
            <w:tcBorders>
              <w:bottom w:val="single" w:sz="8" w:color="05C3DE"/>
            </w:tcBorders>
          </w:tcPr>
          <w:p>
            <w:pPr>
              <w:jc w:val="center"/>
              <w:ind w:left="10"/>
              <w:spacing w:after="0"/>
              <w:rPr>
                <w:sz w:val="20"/>
                <w:szCs w:val="20"/>
                <w:color w:val="auto"/>
              </w:rPr>
            </w:pPr>
            <w:r>
              <w:rPr>
                <w:rFonts w:ascii="Arial" w:cs="Arial" w:eastAsia="Arial" w:hAnsi="Arial"/>
                <w:sz w:val="18"/>
                <w:szCs w:val="18"/>
                <w:color w:val="auto"/>
                <w:w w:val="99"/>
              </w:rPr>
              <w:t>16%</w:t>
            </w:r>
          </w:p>
        </w:tc>
        <w:tc>
          <w:tcPr>
            <w:tcW w:w="1740" w:type="dxa"/>
            <w:vAlign w:val="bottom"/>
            <w:tcBorders>
              <w:bottom w:val="single" w:sz="8" w:color="05C3DE"/>
            </w:tcBorders>
          </w:tcPr>
          <w:p>
            <w:pPr>
              <w:jc w:val="center"/>
              <w:ind w:right="10"/>
              <w:spacing w:after="0"/>
              <w:rPr>
                <w:sz w:val="20"/>
                <w:szCs w:val="20"/>
                <w:color w:val="auto"/>
              </w:rPr>
            </w:pPr>
            <w:r>
              <w:rPr>
                <w:rFonts w:ascii="Arial" w:cs="Arial" w:eastAsia="Arial" w:hAnsi="Arial"/>
                <w:sz w:val="18"/>
                <w:szCs w:val="18"/>
                <w:color w:val="auto"/>
                <w:w w:val="99"/>
              </w:rPr>
              <w:t>84%</w:t>
            </w:r>
          </w:p>
        </w:tc>
        <w:tc>
          <w:tcPr>
            <w:tcW w:w="1260" w:type="dxa"/>
            <w:vAlign w:val="bottom"/>
            <w:tcBorders>
              <w:bottom w:val="single" w:sz="8" w:color="05C3DE"/>
            </w:tcBorders>
          </w:tcPr>
          <w:p>
            <w:pPr>
              <w:jc w:val="center"/>
              <w:ind w:right="110"/>
              <w:spacing w:after="0"/>
              <w:rPr>
                <w:sz w:val="20"/>
                <w:szCs w:val="20"/>
                <w:color w:val="auto"/>
              </w:rPr>
            </w:pPr>
            <w:r>
              <w:rPr>
                <w:rFonts w:ascii="Arial" w:cs="Arial" w:eastAsia="Arial" w:hAnsi="Arial"/>
                <w:sz w:val="18"/>
                <w:szCs w:val="18"/>
                <w:color w:val="auto"/>
                <w:w w:val="99"/>
              </w:rPr>
              <w:t>386</w:t>
            </w:r>
          </w:p>
        </w:tc>
      </w:tr>
      <w:tr>
        <w:trPr>
          <w:trHeight w:val="232"/>
        </w:trPr>
        <w:tc>
          <w:tcPr>
            <w:tcW w:w="1340" w:type="dxa"/>
            <w:vAlign w:val="bottom"/>
          </w:tcPr>
          <w:p>
            <w:pPr>
              <w:jc w:val="center"/>
              <w:ind w:left="10"/>
              <w:spacing w:after="0"/>
              <w:rPr>
                <w:sz w:val="20"/>
                <w:szCs w:val="20"/>
                <w:color w:val="auto"/>
              </w:rPr>
            </w:pPr>
            <w:r>
              <w:rPr>
                <w:rFonts w:ascii="Arial" w:cs="Arial" w:eastAsia="Arial" w:hAnsi="Arial"/>
                <w:sz w:val="18"/>
                <w:szCs w:val="18"/>
                <w:color w:val="auto"/>
                <w:w w:val="99"/>
              </w:rPr>
              <w:t>34%</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9"/>
              </w:rPr>
              <w:t>66%</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rPr>
              <w:t>2,326</w:t>
            </w:r>
          </w:p>
        </w:tc>
      </w:tr>
    </w:tbl>
    <w:p>
      <w:pPr>
        <w:spacing w:after="0" w:line="200" w:lineRule="exact"/>
        <w:rPr>
          <w:sz w:val="20"/>
          <w:szCs w:val="20"/>
          <w:color w:val="auto"/>
        </w:rPr>
      </w:pPr>
    </w:p>
    <w:p>
      <w:pPr>
        <w:sectPr>
          <w:pgSz w:w="11900" w:h="16838" w:orient="portrait"/>
          <w:cols w:equalWidth="0" w:num="2">
            <w:col w:w="6460" w:space="220"/>
            <w:col w:w="4480"/>
          </w:cols>
          <w:pgMar w:left="320" w:top="122" w:right="419" w:bottom="1440" w:gutter="0" w:footer="0" w:header="0"/>
          <w:type w:val="continuous"/>
        </w:sectPr>
      </w:pPr>
    </w:p>
    <w:p>
      <w:pPr>
        <w:spacing w:after="0" w:line="181"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Corporate Functions Group Diversity Breakdown</w:t>
      </w:r>
    </w:p>
    <w:p>
      <w:pPr>
        <w:spacing w:after="0" w:line="364"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4960" w:type="dxa"/>
            <w:vAlign w:val="bottom"/>
            <w:gridSpan w:val="3"/>
          </w:tcPr>
          <w:p>
            <w:pPr>
              <w:ind w:left="640"/>
              <w:spacing w:after="0"/>
              <w:rPr>
                <w:sz w:val="20"/>
                <w:szCs w:val="20"/>
                <w:color w:val="auto"/>
              </w:rPr>
            </w:pPr>
            <w:r>
              <w:rPr>
                <w:rFonts w:ascii="Arial" w:cs="Arial" w:eastAsia="Arial" w:hAnsi="Arial"/>
                <w:sz w:val="18"/>
                <w:szCs w:val="18"/>
                <w:b w:val="1"/>
                <w:bCs w:val="1"/>
                <w:color w:val="auto"/>
              </w:rPr>
              <w:t>Gender Representation - Global Population</w:t>
            </w:r>
          </w:p>
        </w:tc>
        <w:tc>
          <w:tcPr>
            <w:tcW w:w="200" w:type="dxa"/>
            <w:vAlign w:val="bottom"/>
          </w:tcPr>
          <w:p>
            <w:pPr>
              <w:spacing w:after="0"/>
              <w:rPr>
                <w:sz w:val="20"/>
                <w:szCs w:val="20"/>
                <w:color w:val="auto"/>
              </w:rPr>
            </w:pPr>
          </w:p>
        </w:tc>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Ethnically Diverse - US Population Only</w:t>
            </w:r>
          </w:p>
        </w:tc>
      </w:tr>
      <w:tr>
        <w:trPr>
          <w:trHeight w:val="184"/>
        </w:trPr>
        <w:tc>
          <w:tcPr>
            <w:tcW w:w="3380" w:type="dxa"/>
            <w:vAlign w:val="bottom"/>
            <w:shd w:val="clear" w:color="auto" w:fill="054C70"/>
          </w:tcPr>
          <w:p>
            <w:pPr>
              <w:ind w:left="2600"/>
              <w:spacing w:after="0" w:line="183" w:lineRule="exact"/>
              <w:rPr>
                <w:sz w:val="20"/>
                <w:szCs w:val="20"/>
                <w:color w:val="auto"/>
              </w:rPr>
            </w:pPr>
            <w:r>
              <w:rPr>
                <w:rFonts w:ascii="Arial" w:cs="Arial" w:eastAsia="Arial" w:hAnsi="Arial"/>
                <w:sz w:val="18"/>
                <w:szCs w:val="18"/>
                <w:color w:val="FFFFFF"/>
              </w:rPr>
              <w:t>Female</w:t>
            </w:r>
          </w:p>
        </w:tc>
        <w:tc>
          <w:tcPr>
            <w:tcW w:w="740" w:type="dxa"/>
            <w:vAlign w:val="bottom"/>
            <w:shd w:val="clear" w:color="auto" w:fill="054C70"/>
          </w:tcPr>
          <w:p>
            <w:pPr>
              <w:ind w:left="160"/>
              <w:spacing w:after="0" w:line="183" w:lineRule="exact"/>
              <w:rPr>
                <w:sz w:val="20"/>
                <w:szCs w:val="20"/>
                <w:color w:val="auto"/>
              </w:rPr>
            </w:pPr>
            <w:r>
              <w:rPr>
                <w:rFonts w:ascii="Arial" w:cs="Arial" w:eastAsia="Arial" w:hAnsi="Arial"/>
                <w:sz w:val="18"/>
                <w:szCs w:val="18"/>
                <w:color w:val="FFFFFF"/>
              </w:rPr>
              <w:t>Male</w:t>
            </w:r>
          </w:p>
        </w:tc>
        <w:tc>
          <w:tcPr>
            <w:tcW w:w="840" w:type="dxa"/>
            <w:vAlign w:val="bottom"/>
            <w:shd w:val="clear" w:color="auto" w:fill="054C70"/>
          </w:tcPr>
          <w:p>
            <w:pPr>
              <w:ind w:left="200"/>
              <w:spacing w:after="0" w:line="183" w:lineRule="exact"/>
              <w:rPr>
                <w:sz w:val="20"/>
                <w:szCs w:val="20"/>
                <w:color w:val="auto"/>
              </w:rPr>
            </w:pPr>
            <w:r>
              <w:rPr>
                <w:rFonts w:ascii="Arial" w:cs="Arial" w:eastAsia="Arial" w:hAnsi="Arial"/>
                <w:sz w:val="18"/>
                <w:szCs w:val="18"/>
                <w:color w:val="FFFFFF"/>
              </w:rPr>
              <w:t>Total</w:t>
            </w:r>
          </w:p>
        </w:tc>
        <w:tc>
          <w:tcPr>
            <w:tcW w:w="200" w:type="dxa"/>
            <w:vAlign w:val="bottom"/>
          </w:tcPr>
          <w:p>
            <w:pPr>
              <w:spacing w:after="0"/>
              <w:rPr>
                <w:sz w:val="15"/>
                <w:szCs w:val="15"/>
                <w:color w:val="auto"/>
              </w:rPr>
            </w:pPr>
          </w:p>
        </w:tc>
        <w:tc>
          <w:tcPr>
            <w:tcW w:w="1300" w:type="dxa"/>
            <w:vAlign w:val="bottom"/>
            <w:shd w:val="clear" w:color="auto" w:fill="054C70"/>
          </w:tcPr>
          <w:p>
            <w:pPr>
              <w:jc w:val="center"/>
              <w:ind w:left="30"/>
              <w:spacing w:after="0" w:line="183" w:lineRule="exact"/>
              <w:rPr>
                <w:sz w:val="20"/>
                <w:szCs w:val="20"/>
                <w:color w:val="auto"/>
              </w:rPr>
            </w:pPr>
            <w:r>
              <w:rPr>
                <w:rFonts w:ascii="Arial" w:cs="Arial" w:eastAsia="Arial" w:hAnsi="Arial"/>
                <w:sz w:val="18"/>
                <w:szCs w:val="18"/>
                <w:color w:val="FFFFFF"/>
              </w:rPr>
              <w:t>Ethnically</w:t>
            </w:r>
          </w:p>
        </w:tc>
        <w:tc>
          <w:tcPr>
            <w:tcW w:w="1720" w:type="dxa"/>
            <w:vAlign w:val="bottom"/>
            <w:shd w:val="clear" w:color="auto" w:fill="054C70"/>
          </w:tcPr>
          <w:p>
            <w:pPr>
              <w:jc w:val="center"/>
              <w:ind w:right="10"/>
              <w:spacing w:after="0" w:line="183" w:lineRule="exact"/>
              <w:rPr>
                <w:sz w:val="20"/>
                <w:szCs w:val="20"/>
                <w:color w:val="auto"/>
              </w:rPr>
            </w:pPr>
            <w:r>
              <w:rPr>
                <w:rFonts w:ascii="Arial" w:cs="Arial" w:eastAsia="Arial" w:hAnsi="Arial"/>
                <w:sz w:val="18"/>
                <w:szCs w:val="18"/>
                <w:color w:val="FFFFFF"/>
              </w:rPr>
              <w:t>Non- Ethnically</w:t>
            </w:r>
          </w:p>
        </w:tc>
        <w:tc>
          <w:tcPr>
            <w:tcW w:w="1200" w:type="dxa"/>
            <w:vAlign w:val="bottom"/>
            <w:shd w:val="clear" w:color="auto" w:fill="054C70"/>
          </w:tcPr>
          <w:p>
            <w:pPr>
              <w:ind w:left="300"/>
              <w:spacing w:after="0" w:line="183" w:lineRule="exact"/>
              <w:rPr>
                <w:sz w:val="20"/>
                <w:szCs w:val="20"/>
                <w:color w:val="auto"/>
              </w:rPr>
            </w:pPr>
            <w:r>
              <w:rPr>
                <w:rFonts w:ascii="Arial" w:cs="Arial" w:eastAsia="Arial" w:hAnsi="Arial"/>
                <w:sz w:val="18"/>
                <w:szCs w:val="18"/>
                <w:color w:val="FFFFFF"/>
              </w:rPr>
              <w:t>Total</w:t>
            </w:r>
          </w:p>
        </w:tc>
      </w:tr>
      <w:tr>
        <w:trPr>
          <w:trHeight w:val="235"/>
        </w:trPr>
        <w:tc>
          <w:tcPr>
            <w:tcW w:w="3380" w:type="dxa"/>
            <w:vAlign w:val="bottom"/>
            <w:shd w:val="clear" w:color="auto" w:fill="054C70"/>
          </w:tcPr>
          <w:p>
            <w:pPr>
              <w:spacing w:after="0"/>
              <w:rPr>
                <w:sz w:val="20"/>
                <w:szCs w:val="20"/>
                <w:color w:val="auto"/>
              </w:rPr>
            </w:pPr>
          </w:p>
        </w:tc>
        <w:tc>
          <w:tcPr>
            <w:tcW w:w="740" w:type="dxa"/>
            <w:vAlign w:val="bottom"/>
            <w:shd w:val="clear" w:color="auto" w:fill="054C70"/>
          </w:tcPr>
          <w:p>
            <w:pPr>
              <w:spacing w:after="0"/>
              <w:rPr>
                <w:sz w:val="20"/>
                <w:szCs w:val="20"/>
                <w:color w:val="auto"/>
              </w:rPr>
            </w:pPr>
          </w:p>
        </w:tc>
        <w:tc>
          <w:tcPr>
            <w:tcW w:w="840" w:type="dxa"/>
            <w:vAlign w:val="bottom"/>
            <w:shd w:val="clear" w:color="auto" w:fill="054C70"/>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shd w:val="clear" w:color="auto" w:fill="054C70"/>
          </w:tcPr>
          <w:p>
            <w:pPr>
              <w:jc w:val="center"/>
              <w:ind w:left="30"/>
              <w:spacing w:after="0"/>
              <w:rPr>
                <w:sz w:val="20"/>
                <w:szCs w:val="20"/>
                <w:color w:val="auto"/>
              </w:rPr>
            </w:pPr>
            <w:r>
              <w:rPr>
                <w:rFonts w:ascii="Arial" w:cs="Arial" w:eastAsia="Arial" w:hAnsi="Arial"/>
                <w:sz w:val="18"/>
                <w:szCs w:val="18"/>
                <w:color w:val="FFFFFF"/>
              </w:rPr>
              <w:t>Diverse</w:t>
            </w:r>
          </w:p>
        </w:tc>
        <w:tc>
          <w:tcPr>
            <w:tcW w:w="1720" w:type="dxa"/>
            <w:vAlign w:val="bottom"/>
            <w:shd w:val="clear" w:color="auto" w:fill="054C70"/>
          </w:tcPr>
          <w:p>
            <w:pPr>
              <w:jc w:val="center"/>
              <w:ind w:right="10"/>
              <w:spacing w:after="0"/>
              <w:rPr>
                <w:sz w:val="20"/>
                <w:szCs w:val="20"/>
                <w:color w:val="auto"/>
              </w:rPr>
            </w:pPr>
            <w:r>
              <w:rPr>
                <w:rFonts w:ascii="Arial" w:cs="Arial" w:eastAsia="Arial" w:hAnsi="Arial"/>
                <w:sz w:val="18"/>
                <w:szCs w:val="18"/>
                <w:color w:val="FFFFFF"/>
              </w:rPr>
              <w:t>Diverse</w:t>
            </w:r>
          </w:p>
        </w:tc>
        <w:tc>
          <w:tcPr>
            <w:tcW w:w="1200" w:type="dxa"/>
            <w:vAlign w:val="bottom"/>
            <w:shd w:val="clear" w:color="auto" w:fill="054C70"/>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160"/>
          </w:cols>
          <w:pgMar w:left="320" w:top="122" w:right="419" w:bottom="1440" w:gutter="0" w:footer="0" w:header="0"/>
          <w:type w:val="continuous"/>
        </w:sectPr>
      </w:pPr>
    </w:p>
    <w:tbl>
      <w:tblPr>
        <w:tblLayout w:type="fixed"/>
        <w:tblInd w:w="160" w:type="dxa"/>
        <w:tblCellMar>
          <w:top w:w="0" w:type="dxa"/>
          <w:left w:w="0" w:type="dxa"/>
          <w:bottom w:w="0" w:type="dxa"/>
          <w:right w:w="0" w:type="dxa"/>
        </w:tblCellMar>
      </w:tblPr>
      <w:tr>
        <w:trPr>
          <w:trHeight w:val="223"/>
        </w:trPr>
        <w:tc>
          <w:tcPr>
            <w:tcW w:w="2260" w:type="dxa"/>
            <w:vAlign w:val="bottom"/>
            <w:tcBorders>
              <w:top w:val="single" w:sz="8" w:color="05C3DE"/>
              <w:bottom w:val="single" w:sz="8" w:color="05C3DE"/>
            </w:tcBorders>
          </w:tcPr>
          <w:p>
            <w:pPr>
              <w:ind w:left="20"/>
              <w:spacing w:after="0"/>
              <w:rPr>
                <w:sz w:val="20"/>
                <w:szCs w:val="20"/>
                <w:color w:val="auto"/>
              </w:rPr>
            </w:pPr>
            <w:r>
              <w:rPr>
                <w:rFonts w:ascii="Arial" w:cs="Arial" w:eastAsia="Arial" w:hAnsi="Arial"/>
                <w:sz w:val="18"/>
                <w:szCs w:val="18"/>
                <w:b w:val="1"/>
                <w:bCs w:val="1"/>
                <w:color w:val="auto"/>
              </w:rPr>
              <w:t>Corporate Functions</w:t>
            </w:r>
          </w:p>
        </w:tc>
        <w:tc>
          <w:tcPr>
            <w:tcW w:w="1060" w:type="dxa"/>
            <w:vAlign w:val="bottom"/>
            <w:tcBorders>
              <w:top w:val="single" w:sz="8" w:color="05C3DE"/>
              <w:bottom w:val="single" w:sz="8" w:color="05C3DE"/>
            </w:tcBorders>
          </w:tcPr>
          <w:p>
            <w:pPr>
              <w:jc w:val="right"/>
              <w:ind w:right="150"/>
              <w:spacing w:after="0"/>
              <w:rPr>
                <w:sz w:val="20"/>
                <w:szCs w:val="20"/>
                <w:color w:val="auto"/>
              </w:rPr>
            </w:pPr>
            <w:r>
              <w:rPr>
                <w:rFonts w:ascii="Arial" w:cs="Arial" w:eastAsia="Arial" w:hAnsi="Arial"/>
                <w:sz w:val="18"/>
                <w:szCs w:val="18"/>
                <w:color w:val="auto"/>
              </w:rPr>
              <w:t>45%</w:t>
            </w:r>
          </w:p>
        </w:tc>
        <w:tc>
          <w:tcPr>
            <w:tcW w:w="780" w:type="dxa"/>
            <w:vAlign w:val="bottom"/>
            <w:tcBorders>
              <w:top w:val="single" w:sz="8" w:color="05C3DE"/>
              <w:bottom w:val="single" w:sz="8" w:color="05C3DE"/>
            </w:tcBorders>
          </w:tcPr>
          <w:p>
            <w:pPr>
              <w:jc w:val="right"/>
              <w:ind w:right="110"/>
              <w:spacing w:after="0"/>
              <w:rPr>
                <w:sz w:val="20"/>
                <w:szCs w:val="20"/>
                <w:color w:val="auto"/>
              </w:rPr>
            </w:pPr>
            <w:r>
              <w:rPr>
                <w:rFonts w:ascii="Arial" w:cs="Arial" w:eastAsia="Arial" w:hAnsi="Arial"/>
                <w:sz w:val="18"/>
                <w:szCs w:val="18"/>
                <w:color w:val="auto"/>
              </w:rPr>
              <w:t>55%</w:t>
            </w:r>
          </w:p>
        </w:tc>
        <w:tc>
          <w:tcPr>
            <w:tcW w:w="860" w:type="dxa"/>
            <w:vAlign w:val="bottom"/>
            <w:tcBorders>
              <w:top w:val="single" w:sz="8" w:color="05C3DE"/>
              <w:bottom w:val="single" w:sz="8" w:color="05C3DE"/>
            </w:tcBorders>
          </w:tcPr>
          <w:p>
            <w:pPr>
              <w:jc w:val="center"/>
              <w:spacing w:after="0"/>
              <w:rPr>
                <w:sz w:val="20"/>
                <w:szCs w:val="20"/>
                <w:color w:val="auto"/>
              </w:rPr>
            </w:pPr>
            <w:r>
              <w:rPr>
                <w:rFonts w:ascii="Arial" w:cs="Arial" w:eastAsia="Arial" w:hAnsi="Arial"/>
                <w:sz w:val="18"/>
                <w:szCs w:val="18"/>
                <w:color w:val="auto"/>
              </w:rPr>
              <w:t>3,498</w:t>
            </w:r>
          </w:p>
        </w:tc>
      </w:tr>
      <w:tr>
        <w:trPr>
          <w:trHeight w:val="223"/>
        </w:trPr>
        <w:tc>
          <w:tcPr>
            <w:tcW w:w="2260" w:type="dxa"/>
            <w:vAlign w:val="bottom"/>
            <w:tcBorders>
              <w:bottom w:val="single" w:sz="8" w:color="05C3DE"/>
            </w:tcBorders>
          </w:tcPr>
          <w:p>
            <w:pPr>
              <w:ind w:left="20"/>
              <w:spacing w:after="0"/>
              <w:rPr>
                <w:sz w:val="20"/>
                <w:szCs w:val="20"/>
                <w:color w:val="auto"/>
              </w:rPr>
            </w:pPr>
            <w:r>
              <w:rPr>
                <w:rFonts w:ascii="Arial" w:cs="Arial" w:eastAsia="Arial" w:hAnsi="Arial"/>
                <w:sz w:val="18"/>
                <w:szCs w:val="18"/>
                <w:color w:val="auto"/>
              </w:rPr>
              <w:t>Senior Level*</w:t>
            </w:r>
          </w:p>
        </w:tc>
        <w:tc>
          <w:tcPr>
            <w:tcW w:w="1060" w:type="dxa"/>
            <w:vAlign w:val="bottom"/>
            <w:tcBorders>
              <w:bottom w:val="single" w:sz="8" w:color="05C3DE"/>
            </w:tcBorders>
          </w:tcPr>
          <w:p>
            <w:pPr>
              <w:jc w:val="right"/>
              <w:ind w:right="150"/>
              <w:spacing w:after="0"/>
              <w:rPr>
                <w:sz w:val="20"/>
                <w:szCs w:val="20"/>
                <w:color w:val="auto"/>
              </w:rPr>
            </w:pPr>
            <w:r>
              <w:rPr>
                <w:rFonts w:ascii="Arial" w:cs="Arial" w:eastAsia="Arial" w:hAnsi="Arial"/>
                <w:sz w:val="18"/>
                <w:szCs w:val="18"/>
                <w:color w:val="auto"/>
              </w:rPr>
              <w:t>44%</w:t>
            </w:r>
          </w:p>
        </w:tc>
        <w:tc>
          <w:tcPr>
            <w:tcW w:w="780" w:type="dxa"/>
            <w:vAlign w:val="bottom"/>
            <w:tcBorders>
              <w:bottom w:val="single" w:sz="8" w:color="05C3DE"/>
            </w:tcBorders>
          </w:tcPr>
          <w:p>
            <w:pPr>
              <w:jc w:val="right"/>
              <w:ind w:right="110"/>
              <w:spacing w:after="0"/>
              <w:rPr>
                <w:sz w:val="20"/>
                <w:szCs w:val="20"/>
                <w:color w:val="auto"/>
              </w:rPr>
            </w:pPr>
            <w:r>
              <w:rPr>
                <w:rFonts w:ascii="Arial" w:cs="Arial" w:eastAsia="Arial" w:hAnsi="Arial"/>
                <w:sz w:val="18"/>
                <w:szCs w:val="18"/>
                <w:color w:val="auto"/>
              </w:rPr>
              <w:t>55%</w:t>
            </w:r>
          </w:p>
        </w:tc>
        <w:tc>
          <w:tcPr>
            <w:tcW w:w="86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447</w:t>
            </w:r>
          </w:p>
        </w:tc>
      </w:tr>
      <w:tr>
        <w:trPr>
          <w:trHeight w:val="232"/>
        </w:trPr>
        <w:tc>
          <w:tcPr>
            <w:tcW w:w="2260" w:type="dxa"/>
            <w:vAlign w:val="bottom"/>
          </w:tcPr>
          <w:p>
            <w:pPr>
              <w:ind w:left="20"/>
              <w:spacing w:after="0"/>
              <w:rPr>
                <w:sz w:val="20"/>
                <w:szCs w:val="20"/>
                <w:color w:val="auto"/>
              </w:rPr>
            </w:pPr>
            <w:r>
              <w:rPr>
                <w:rFonts w:ascii="Arial" w:cs="Arial" w:eastAsia="Arial" w:hAnsi="Arial"/>
                <w:sz w:val="18"/>
                <w:szCs w:val="18"/>
                <w:color w:val="auto"/>
              </w:rPr>
              <w:t>All Others</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860" w:type="dxa"/>
            <w:vAlign w:val="bottom"/>
          </w:tcPr>
          <w:p>
            <w:pPr>
              <w:jc w:val="center"/>
              <w:spacing w:after="0"/>
              <w:rPr>
                <w:sz w:val="20"/>
                <w:szCs w:val="20"/>
                <w:color w:val="auto"/>
              </w:rPr>
            </w:pPr>
            <w:r>
              <w:rPr>
                <w:rFonts w:ascii="Arial" w:cs="Arial" w:eastAsia="Arial" w:hAnsi="Arial"/>
                <w:sz w:val="18"/>
                <w:szCs w:val="18"/>
                <w:color w:val="auto"/>
              </w:rPr>
              <w:t>3,051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05C3DE"/>
              <w:bottom w:val="single" w:sz="8" w:color="05C3DE"/>
            </w:tcBorders>
          </w:tcPr>
          <w:p>
            <w:pPr>
              <w:jc w:val="right"/>
              <w:ind w:right="450"/>
              <w:spacing w:after="0"/>
              <w:rPr>
                <w:sz w:val="20"/>
                <w:szCs w:val="20"/>
                <w:color w:val="auto"/>
              </w:rPr>
            </w:pPr>
            <w:r>
              <w:rPr>
                <w:rFonts w:ascii="Arial" w:cs="Arial" w:eastAsia="Arial" w:hAnsi="Arial"/>
                <w:sz w:val="18"/>
                <w:szCs w:val="18"/>
                <w:color w:val="auto"/>
              </w:rPr>
              <w:t>35%</w:t>
            </w:r>
          </w:p>
        </w:tc>
        <w:tc>
          <w:tcPr>
            <w:tcW w:w="1380" w:type="dxa"/>
            <w:vAlign w:val="bottom"/>
            <w:tcBorders>
              <w:top w:val="single" w:sz="8" w:color="05C3DE"/>
              <w:bottom w:val="single" w:sz="8" w:color="05C3DE"/>
            </w:tcBorders>
          </w:tcPr>
          <w:p>
            <w:pPr>
              <w:jc w:val="right"/>
              <w:ind w:right="410"/>
              <w:spacing w:after="0"/>
              <w:rPr>
                <w:sz w:val="20"/>
                <w:szCs w:val="20"/>
                <w:color w:val="auto"/>
              </w:rPr>
            </w:pPr>
            <w:r>
              <w:rPr>
                <w:rFonts w:ascii="Arial" w:cs="Arial" w:eastAsia="Arial" w:hAnsi="Arial"/>
                <w:sz w:val="18"/>
                <w:szCs w:val="18"/>
                <w:color w:val="auto"/>
              </w:rPr>
              <w:t>65%</w:t>
            </w:r>
          </w:p>
        </w:tc>
        <w:tc>
          <w:tcPr>
            <w:tcW w:w="1420" w:type="dxa"/>
            <w:vAlign w:val="bottom"/>
            <w:tcBorders>
              <w:top w:val="single" w:sz="8" w:color="05C3DE"/>
              <w:bottom w:val="single" w:sz="8" w:color="05C3DE"/>
            </w:tcBorders>
          </w:tcPr>
          <w:p>
            <w:pPr>
              <w:jc w:val="center"/>
              <w:spacing w:after="0"/>
              <w:rPr>
                <w:sz w:val="20"/>
                <w:szCs w:val="20"/>
                <w:color w:val="auto"/>
              </w:rPr>
            </w:pPr>
            <w:r>
              <w:rPr>
                <w:rFonts w:ascii="Arial" w:cs="Arial" w:eastAsia="Arial" w:hAnsi="Arial"/>
                <w:sz w:val="18"/>
                <w:szCs w:val="18"/>
                <w:color w:val="auto"/>
                <w:w w:val="97"/>
              </w:rPr>
              <w:t>2,849</w:t>
            </w:r>
          </w:p>
        </w:tc>
      </w:tr>
      <w:tr>
        <w:trPr>
          <w:trHeight w:val="223"/>
        </w:trPr>
        <w:tc>
          <w:tcPr>
            <w:tcW w:w="1420" w:type="dxa"/>
            <w:vAlign w:val="bottom"/>
            <w:tcBorders>
              <w:bottom w:val="single" w:sz="8" w:color="05C3DE"/>
            </w:tcBorders>
          </w:tcPr>
          <w:p>
            <w:pPr>
              <w:jc w:val="right"/>
              <w:ind w:right="450"/>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05C3DE"/>
            </w:tcBorders>
          </w:tcPr>
          <w:p>
            <w:pPr>
              <w:jc w:val="right"/>
              <w:ind w:right="410"/>
              <w:spacing w:after="0"/>
              <w:rPr>
                <w:sz w:val="20"/>
                <w:szCs w:val="20"/>
                <w:color w:val="auto"/>
              </w:rPr>
            </w:pPr>
            <w:r>
              <w:rPr>
                <w:rFonts w:ascii="Arial" w:cs="Arial" w:eastAsia="Arial" w:hAnsi="Arial"/>
                <w:sz w:val="18"/>
                <w:szCs w:val="18"/>
                <w:color w:val="auto"/>
              </w:rPr>
              <w:t>79%</w:t>
            </w:r>
          </w:p>
        </w:tc>
        <w:tc>
          <w:tcPr>
            <w:tcW w:w="1420" w:type="dxa"/>
            <w:vAlign w:val="bottom"/>
            <w:tcBorders>
              <w:bottom w:val="single" w:sz="8" w:color="05C3DE"/>
            </w:tcBorders>
          </w:tcPr>
          <w:p>
            <w:pPr>
              <w:jc w:val="center"/>
              <w:spacing w:after="0"/>
              <w:rPr>
                <w:sz w:val="20"/>
                <w:szCs w:val="20"/>
                <w:color w:val="auto"/>
              </w:rPr>
            </w:pPr>
            <w:r>
              <w:rPr>
                <w:rFonts w:ascii="Arial" w:cs="Arial" w:eastAsia="Arial" w:hAnsi="Arial"/>
                <w:sz w:val="18"/>
                <w:szCs w:val="18"/>
                <w:color w:val="auto"/>
                <w:w w:val="99"/>
              </w:rPr>
              <w:t>354</w:t>
            </w:r>
          </w:p>
        </w:tc>
      </w:tr>
      <w:tr>
        <w:trPr>
          <w:trHeight w:val="232"/>
        </w:trPr>
        <w:tc>
          <w:tcPr>
            <w:tcW w:w="1420" w:type="dxa"/>
            <w:vAlign w:val="bottom"/>
          </w:tcPr>
          <w:p>
            <w:pPr>
              <w:jc w:val="right"/>
              <w:ind w:right="450"/>
              <w:spacing w:after="0"/>
              <w:rPr>
                <w:sz w:val="20"/>
                <w:szCs w:val="20"/>
                <w:color w:val="auto"/>
              </w:rPr>
            </w:pPr>
            <w:r>
              <w:rPr>
                <w:rFonts w:ascii="Arial" w:cs="Arial" w:eastAsia="Arial" w:hAnsi="Arial"/>
                <w:sz w:val="18"/>
                <w:szCs w:val="18"/>
                <w:color w:val="auto"/>
              </w:rPr>
              <w:t>37%</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63%</w:t>
            </w: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2,495</w:t>
            </w:r>
          </w:p>
        </w:tc>
      </w:tr>
    </w:tbl>
    <w:p>
      <w:pPr>
        <w:spacing w:after="0" w:line="85" w:lineRule="exact"/>
        <w:rPr>
          <w:sz w:val="20"/>
          <w:szCs w:val="20"/>
          <w:color w:val="auto"/>
        </w:rPr>
      </w:pPr>
    </w:p>
    <w:p>
      <w:pPr>
        <w:sectPr>
          <w:pgSz w:w="11900" w:h="16838" w:orient="portrait"/>
          <w:cols w:equalWidth="0" w:num="2">
            <w:col w:w="5120" w:space="200"/>
            <w:col w:w="5840"/>
          </w:cols>
          <w:pgMar w:left="320" w:top="122" w:right="419" w:bottom="1440" w:gutter="0" w:footer="0" w:header="0"/>
          <w:type w:val="continuous"/>
        </w:sectPr>
      </w:pPr>
    </w:p>
    <w:p>
      <w:pPr>
        <w:ind w:left="280" w:hanging="110"/>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6"/>
          <w:szCs w:val="16"/>
          <w:color w:val="auto"/>
        </w:rPr>
        <w:t>Senior Level is defined as people leaders and individual contributors with significant business or functional responsibility.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website, troweprice.com, as means of disclosing material non -public information and for complying with our disclosure obligations under Regulation FD. These disclosures will be included in the Investor Relations section of our website, investors.troweprice.com.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182" w:lineRule="exact"/>
        <w:rPr>
          <w:sz w:val="20"/>
          <w:szCs w:val="20"/>
          <w:color w:val="auto"/>
        </w:rPr>
      </w:pPr>
    </w:p>
    <w:p>
      <w:pPr>
        <w:ind w:left="500" w:hanging="330"/>
        <w:spacing w:after="0" w:line="28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9" w:lineRule="exact"/>
        <w:rPr>
          <w:rFonts w:ascii="Arial" w:cs="Arial" w:eastAsia="Arial" w:hAnsi="Arial"/>
          <w:sz w:val="18"/>
          <w:szCs w:val="18"/>
          <w:color w:val="auto"/>
        </w:rPr>
      </w:pPr>
    </w:p>
    <w:p>
      <w:pPr>
        <w:ind w:left="500" w:right="60" w:hanging="330"/>
        <w:spacing w:after="0" w:line="28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left="500" w:hanging="330"/>
        <w:spacing w:after="0" w:line="28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 periodic investor presentations; and</w:t>
      </w:r>
    </w:p>
    <w:p>
      <w:pPr>
        <w:spacing w:after="0" w:line="179"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part of this or any other report we file with, or furnish to, the SEC. Specifically, information in our sustainability report is not incorporated by reference into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SEC maintains a website that contains the materials we file with the SEC at www.sec.gov.</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BUSINESS AND THE FINANCIAL SERVICES INDUSTRY.</w:t>
      </w:r>
    </w:p>
    <w:p>
      <w:pPr>
        <w:spacing w:after="0" w:line="250"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16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Our investment advisory fees typically are calculated as a percentage of the market value of the assets under our management. As a result, our revenues are dependent on the value and composition of the assets under our management, all of which are subject to substantial fluctuation due to many factors, including:</w:t>
      </w:r>
    </w:p>
    <w:p>
      <w:pPr>
        <w:spacing w:after="0" w:line="203" w:lineRule="exact"/>
        <w:rPr>
          <w:sz w:val="20"/>
          <w:szCs w:val="20"/>
          <w:color w:val="auto"/>
        </w:rPr>
      </w:pPr>
    </w:p>
    <w:p>
      <w:pPr>
        <w:jc w:val="both"/>
        <w:ind w:left="460" w:right="320" w:hanging="331"/>
        <w:spacing w:after="0" w:line="318" w:lineRule="auto"/>
        <w:tabs>
          <w:tab w:leader="none" w:pos="455"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Investment Performance. If the investment performance of our managed investment portfolios is less than that of our competitors or applicable third-party benchmarks, we could lose existing and potential clients and suffer a decrease in assets under management.</w:t>
      </w:r>
    </w:p>
    <w:p>
      <w:pPr>
        <w:spacing w:after="0" w:line="21" w:lineRule="exact"/>
        <w:rPr>
          <w:rFonts w:ascii="Arial" w:cs="Arial" w:eastAsia="Arial" w:hAnsi="Arial"/>
          <w:sz w:val="17"/>
          <w:szCs w:val="17"/>
          <w:color w:val="auto"/>
        </w:rPr>
      </w:pPr>
    </w:p>
    <w:p>
      <w:pPr>
        <w:ind w:left="460" w:right="220" w:hanging="331"/>
        <w:spacing w:after="0" w:line="268"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General Financial Market Declines. We derive a significant portion of our revenues from advisory fees on managed investment portfolios. A downturn in financial markets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220" w:hanging="331"/>
        <w:spacing w:after="0" w:line="287"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Investment Concentration. The allocation of investment products for assets under management within market segments or strategies may impact associated fees that can vary depending on product offerings.</w:t>
      </w:r>
    </w:p>
    <w:p>
      <w:pPr>
        <w:spacing w:after="0" w:line="44" w:lineRule="exact"/>
        <w:rPr>
          <w:rFonts w:ascii="Arial" w:cs="Arial" w:eastAsia="Arial" w:hAnsi="Arial"/>
          <w:sz w:val="18"/>
          <w:szCs w:val="18"/>
          <w:color w:val="auto"/>
        </w:rPr>
      </w:pPr>
    </w:p>
    <w:p>
      <w:pPr>
        <w:ind w:left="460" w:right="240" w:hanging="331"/>
        <w:spacing w:after="0" w:line="287"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without advance notice and with little to no significant penalty.</w:t>
      </w:r>
    </w:p>
    <w:p>
      <w:pPr>
        <w:spacing w:after="0" w:line="44" w:lineRule="exact"/>
        <w:rPr>
          <w:rFonts w:ascii="Arial" w:cs="Arial" w:eastAsia="Arial" w:hAnsi="Arial"/>
          <w:sz w:val="18"/>
          <w:szCs w:val="18"/>
          <w:color w:val="auto"/>
        </w:rPr>
      </w:pPr>
    </w:p>
    <w:p>
      <w:pPr>
        <w:ind w:left="500" w:right="180" w:hanging="411"/>
        <w:spacing w:after="0" w:line="268"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to new investors.</w:t>
      </w:r>
    </w:p>
    <w:p>
      <w:pPr>
        <w:spacing w:after="0" w:line="62" w:lineRule="exact"/>
        <w:rPr>
          <w:rFonts w:ascii="Arial" w:cs="Arial" w:eastAsia="Arial" w:hAnsi="Arial"/>
          <w:sz w:val="18"/>
          <w:szCs w:val="18"/>
          <w:color w:val="auto"/>
        </w:rPr>
      </w:pPr>
    </w:p>
    <w:p>
      <w:pPr>
        <w:ind w:left="460" w:right="60" w:hanging="331"/>
        <w:spacing w:after="0" w:line="268"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Investing Trends. Changes in investing trends, particularly investor preference for passive or alternative investment products as well as increasing investor preference for environmentally and socially responsible investment products, and changes in retirement savings trends, may reduce interest in our products and may alter our mix of assets under management.</w:t>
      </w:r>
    </w:p>
    <w:p>
      <w:pPr>
        <w:spacing w:after="0" w:line="62" w:lineRule="exact"/>
        <w:rPr>
          <w:rFonts w:ascii="Arial" w:cs="Arial" w:eastAsia="Arial" w:hAnsi="Arial"/>
          <w:sz w:val="18"/>
          <w:szCs w:val="18"/>
          <w:color w:val="auto"/>
        </w:rPr>
      </w:pPr>
    </w:p>
    <w:p>
      <w:pPr>
        <w:ind w:left="460" w:right="200" w:hanging="331"/>
        <w:spacing w:after="0" w:line="287"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and multi-asset investment portfolios are affected by changes in interest rates.</w:t>
      </w:r>
    </w:p>
    <w:p>
      <w:pPr>
        <w:spacing w:after="0" w:line="44" w:lineRule="exact"/>
        <w:rPr>
          <w:rFonts w:ascii="Arial" w:cs="Arial" w:eastAsia="Arial" w:hAnsi="Arial"/>
          <w:sz w:val="18"/>
          <w:szCs w:val="18"/>
          <w:color w:val="auto"/>
        </w:rPr>
      </w:pPr>
    </w:p>
    <w:p>
      <w:pPr>
        <w:ind w:left="460" w:right="100" w:hanging="331"/>
        <w:spacing w:after="0" w:line="268"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Geo-Political Exposure. Our managed investment portfolios may have significant investments in markets that are subject to risk of loss from political or diplomatic developments, government policies, civil unrest, currency fluctuations, illiquidity and capital controls, and changes in legislation related to ownership limitations.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decrease in the value of assets under our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203"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u w:val="single" w:color="auto"/>
          <w:color w:val="auto"/>
        </w:rPr>
        <w:t>A majority of our revenues are based on contracts with collective investment funds that are subject to termination without cause and on short notice.</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collective investment funds under various agreements. Investment advisory services are provided to each T. Rowe Price collective investment fund under individual investment management agreements, which can be terminated on short notice. In addition the Board of each T. Rowe Price U.S. mutual fund must annually approve the terms of the investment management and service agreements. If a T. Rowe Price collective investment fund seeks to lower the fees that we receive or terminate its contract with us, we would experience a decline in fees earned from the collective investment funds, which could have a material adverse effect on our revenues and net income.</w:t>
      </w:r>
    </w:p>
    <w:p>
      <w:pPr>
        <w:spacing w:after="0" w:line="209"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u w:val="single" w:color="auto"/>
          <w:color w:val="auto"/>
        </w:rPr>
        <w:t>We operate in an intensely competitive industry. Competitive pressures may result in a loss of clients and their assets or compel us to reduce the fees we charge to clients, thereby reducing our revenues and net income.</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competition in all aspects of our business from other financial institutions. Some of these financial institutions have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Substantially all of our investment products are available without sales or redemption fees, which means that investors may be more willing to transfer assets to competing products.</w:t>
      </w:r>
    </w:p>
    <w:p>
      <w:pPr>
        <w:spacing w:after="0" w:line="21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strong performing active management, we cannot predict how much market share these competitors will gain.</w:t>
      </w:r>
    </w:p>
    <w:p>
      <w:pPr>
        <w:spacing w:after="0" w:line="19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Furthermore, many aspects of the asset management industry are seeing increased regulatory activity and scrutiny, in particular related to ESG practices and related matters, transparency and unbundling of fees, inducements, conflicts of interest, risk management, cybersecurity, technology, diversity, equity and inclusion, and compensation. We may respond to these regulatory matters or may be impacted by these actions in a manner different from our competitors, which may impact our AUM or result in the loss of clients and their assets.</w:t>
      </w:r>
    </w:p>
    <w:p>
      <w:pPr>
        <w:spacing w:after="0" w:line="2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part of our continued efforts to attract and retain clients, we develop and launch new products and services, which may require expenditure of resources and may expose us to new regulatory or compliance requirements as well as increased risk of operational or client service errors.</w:t>
      </w:r>
    </w:p>
    <w:p>
      <w:pPr>
        <w:spacing w:after="0" w:line="19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the event that we decide to reduce the fees we charge for investment advisory services in response to competitive pressures, which we have done selectively in the past, revenues and operating margins could be adversely impacted. Fee reductions may vary depending on strategy and product offerings, which could result in investment rebalancing or reallocation adversely impacting revenues and operating margins.</w:t>
      </w:r>
    </w:p>
    <w:p>
      <w:pPr>
        <w:spacing w:after="0" w:line="203"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u w:val="single" w:color="auto"/>
          <w:color w:val="auto"/>
        </w:rPr>
        <w:t>The failure or negative performance of products offered by competitors may cause our products, which are similar, to be impacted irrespective of our performance.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Many competitors offer similar products to those offered by us, and the failure or negative performance of competitors’ products could lead to a loss of confidence in similar products we offer, irrespective of the performance of such products. Any loss of confidence in a product type could lead to withdrawals, redemptions and liquidity issues in such products, which may cause our AUM, revenue and earnings to decline.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u w:val="single" w:color="auto"/>
          <w:color w:val="auto"/>
        </w:rPr>
        <w:t>Our operations are complex and a failure to properly execute operational processes could have an adverse effect on our reputation and decrease our revenues.</w:t>
      </w:r>
    </w:p>
    <w:p>
      <w:pPr>
        <w:spacing w:after="0" w:line="16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provide global investment management and administrative services to our clients. In certain cases, we rely on third-party service providers for the execution and delivery of these services. There can be no assurance that these service providers will properly perform these processes or that there will not be interruptions in services from these third parties. Failure to properly execute or oversee these services could have an adverse impact on our business, financial results and reputation, and subject us to regulatory sanctions, fines, penalties, or litigation.</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investment strategies, investment vehicles, distribution channels, advancement in technology and digital wealth and distribution tools or other evolutions of or additions to our business may increase the risk that our existing systems may not be adequate to control the risks introduced by such changes. Business changes may require us to update our processes or technology and may increase risk to meeting our business objectives. In addition, our information systems and technology platforms might not be able to accommodate our business operations, and the cost of maintaining such systems might increase from its current level. If any of these factors were to arise it could disrupt our operations, increase our expenses or result in financial exposure, regulatory inquiry or reputational damage.</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business model is dependent on our personnel, who as part of their roles support internal controls, supervision, technology and training to provide comfort that our activities do not violate applicable guidelines, rules and regulations or adversely affect our clients, counterparties or us. We also rely on the personnel of others involved in our business, such as third-party service providers, intermediaries or other vendors. Our personnel and the personnel of others involved in our business may make errors or engage in fraudulent or malicious activities, that are not always immediately detected, which may disrupt our operations, cause losses, lead to regulatory fines or sanctions, litigation, or otherwise damage our reputation.</w:t>
      </w:r>
    </w:p>
    <w:p>
      <w:pPr>
        <w:spacing w:after="0" w:line="219" w:lineRule="exact"/>
        <w:rPr>
          <w:sz w:val="20"/>
          <w:szCs w:val="20"/>
          <w:color w:val="auto"/>
        </w:rPr>
      </w:pPr>
    </w:p>
    <w:p>
      <w:pPr>
        <w:ind w:right="1120"/>
        <w:spacing w:after="0" w:line="296" w:lineRule="auto"/>
        <w:rPr>
          <w:sz w:val="20"/>
          <w:szCs w:val="20"/>
          <w:color w:val="auto"/>
        </w:rPr>
      </w:pPr>
      <w:r>
        <w:rPr>
          <w:rFonts w:ascii="Arial" w:cs="Arial" w:eastAsia="Arial" w:hAnsi="Arial"/>
          <w:sz w:val="18"/>
          <w:szCs w:val="18"/>
          <w:b w:val="1"/>
          <w:bCs w:val="1"/>
          <w:u w:val="single" w:color="auto"/>
          <w:color w:val="auto"/>
        </w:rPr>
        <w:t>The quantitative models we use may contain errors, which could result in financial losses or adversely impact product performance and client relationships.</w:t>
      </w:r>
    </w:p>
    <w:p>
      <w:pPr>
        <w:spacing w:after="0" w:line="16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We use various quantitative models to support investment decisions and investment processes, including those related to portfolio management and portfolio risk analysis, as well as those related to client investment or savings advice or guidance. Any errors in the underlying models or model assumptions could have unanticipated and adverse consequences on our business and reputation.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damage to our reputation could harm our business and lead to a loss of revenues and net income or access to capital.</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to remediate, if damaged. Regulatory inquiries and rumors can tarnish or substantially damage our reputation, even if those inquiries are satisfactorily addressed. Actual or perceived failure to adequately address the environmental, social, and governance ("ESG") expectations, or failure to manage conflicts of interests, of our various stakeholders could lead to a tarnished reputation and loss of client assets or harm our access to capital. Furthermore, ESG issues have been the subject of increased focus by regulators and stakeholders. Any inability to meet applicable requirements or expectations may adversely impact our reputation. Additionally, various stakeholders have divergent views on ESG matters, including in the countries in which we operate and invest, as well as states and localities where we serve public sector clients. These differences increase the risk that any action or lack thereof by us concerning ESG will be perceived negatively by some stakeholders and could adversely impact our reputation and business. Our global presence and investments on behalf of our clients around the world could also lead to heightened scrutiny and criticism in an increasingly fragmented geopolitical landscape.</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Misconduct by our employees or third-party service providers could likewise adversely impact our reputation and lead to a loss of client assets. While we maintain policies, procedures, and controls to reduce the likelihood of unauthorized activities, we are subject to the risk that our associates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could impede our ability to attract and retain clients and key personnel, and reduce the amount of assets under our management, any of which could have a material adverse effect on our revenues and net income.</w:t>
      </w:r>
    </w:p>
    <w:p>
      <w:pPr>
        <w:spacing w:after="0" w:line="180" w:lineRule="exact"/>
        <w:rPr>
          <w:sz w:val="20"/>
          <w:szCs w:val="20"/>
          <w:color w:val="auto"/>
        </w:rPr>
      </w:pPr>
    </w:p>
    <w:p>
      <w:pPr>
        <w:ind w:right="340"/>
        <w:spacing w:after="0" w:line="296" w:lineRule="auto"/>
        <w:rPr>
          <w:sz w:val="20"/>
          <w:szCs w:val="20"/>
          <w:color w:val="auto"/>
        </w:rPr>
      </w:pPr>
      <w:r>
        <w:rPr>
          <w:rFonts w:ascii="Arial" w:cs="Arial" w:eastAsia="Arial" w:hAnsi="Arial"/>
          <w:sz w:val="18"/>
          <w:szCs w:val="18"/>
          <w:b w:val="1"/>
          <w:bCs w:val="1"/>
          <w:u w:val="single" w:color="auto"/>
          <w:color w:val="auto"/>
        </w:rPr>
        <w:t>Failure to comply with client contractual requirements and/or investment guidelines could result in costs of correction, damage awards or regulatory fines and penalties against us and loss of revenues due to client terminations.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the agreements under which we manage assets or provide products or services specify investment guidelines or requirements, such as adherence to investment restrictions or limits, that we are required to observe in the provision of our services. Laws and regulations impose similar requirements for certain investment products. A failure to comply with these guidelines or requirements could result in damage to our reputation or in our clients seeking to recover losses, withdrawing their assets or terminating their contracts. Regulators likewise may commence enforcement actions for violations of such requirements, which could lead to fines and penalties against us. Any such effects could cause our revenues and profitability to decline. We maintain various compliance procedures and other controls to seek to prevent, detect and correct such errors. Significant errors for which we are responsible could impact our reputation, results of operations, financial condition or liquidity.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expenses are subject to significant fluctuations that could materially decrease net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360"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117" w:lineRule="exact"/>
        <w:rPr>
          <w:rFonts w:ascii="Arial" w:cs="Arial" w:eastAsia="Arial" w:hAnsi="Arial"/>
          <w:sz w:val="18"/>
          <w:szCs w:val="18"/>
          <w:color w:val="auto"/>
        </w:rPr>
      </w:pPr>
    </w:p>
    <w:p>
      <w:pPr>
        <w:ind w:left="460" w:right="140" w:hanging="331"/>
        <w:spacing w:after="0" w:line="268"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changes in, among other things, bonuses, stock-based awards, employee benefit costs due to regulatory or plan design changes, our employee count and mix, competitive factors, market performance, and inflation;</w:t>
      </w:r>
    </w:p>
    <w:p>
      <w:pPr>
        <w:spacing w:after="0" w:line="62" w:lineRule="exact"/>
        <w:rPr>
          <w:rFonts w:ascii="Arial" w:cs="Arial" w:eastAsia="Arial" w:hAnsi="Arial"/>
          <w:sz w:val="18"/>
          <w:szCs w:val="18"/>
          <w:color w:val="auto"/>
        </w:rPr>
      </w:pPr>
    </w:p>
    <w:p>
      <w:pPr>
        <w:ind w:left="460" w:right="540" w:hanging="331"/>
        <w:spacing w:after="0" w:line="28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44" w:lineRule="exact"/>
        <w:rPr>
          <w:rFonts w:ascii="Arial" w:cs="Arial" w:eastAsia="Arial" w:hAnsi="Arial"/>
          <w:sz w:val="18"/>
          <w:szCs w:val="18"/>
          <w:color w:val="auto"/>
        </w:rPr>
      </w:pPr>
    </w:p>
    <w:p>
      <w:pPr>
        <w:ind w:left="460" w:right="760" w:hanging="331"/>
        <w:spacing w:after="0" w:line="28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costs incurred for third-party service providers that perform certain administrative and operating services;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expenses that are correlated to our assets under management, such as distribution and servicing fees;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future impairment of investments that is recognized in our consolidated balance sheet;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future impairment of goodwill or other intangible assets that is recognized in our consolidated balance sheet;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changes to legal and regulatory requirements and potential litigation; and</w:t>
      </w:r>
    </w:p>
    <w:p>
      <w:pPr>
        <w:spacing w:after="0" w:line="117" w:lineRule="exact"/>
        <w:rPr>
          <w:rFonts w:ascii="Arial" w:cs="Arial" w:eastAsia="Arial" w:hAnsi="Arial"/>
          <w:sz w:val="18"/>
          <w:szCs w:val="18"/>
          <w:color w:val="auto"/>
        </w:rPr>
      </w:pPr>
    </w:p>
    <w:p>
      <w:pPr>
        <w:ind w:left="460" w:right="340" w:hanging="331"/>
        <w:spacing w:after="0" w:line="28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cloud services, transfer agent, investment management, trading, and accounting systems.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U.S. mutual funds that are not otherwise paid by the funds, our operating results will be adversely affected. While we are under no obligation to provide financial support to any sponsored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hedging strategies utilized to mitigate risk may not be effective, which could impact our earnings.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employ hedging strategies related to our supplemental savings plan in order to hedge the liability related to the plan. In the event that our hedging strategies are not effective, the resulting impact may adversely affect our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Amendments to tax laws may impact the marketability of the products and services we offer our clients or our financial position.</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income taxes as well as non-income-based taxes, in both the United States and various foreign jurisdictions. We cannot predict future changes in the tax regulations to which we are subject, and these regulations could have a material impact on our tax liability or result in increased costs of our tax compliance efforts.</w:t>
      </w:r>
    </w:p>
    <w:p>
      <w:pPr>
        <w:spacing w:after="0" w:line="1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Examinations and audits by tax authorities could result in additional tax payments for prior periods.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We adjust these liabilities in light of changing facts and circumstances. Due to the complexity of some of these uncertainties, however, the ultimate resolution may result in a payment that is materially different from our estimates.</w:t>
      </w:r>
    </w:p>
    <w:p>
      <w:pPr>
        <w:spacing w:after="0" w:line="210"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contracted third-party intermediaries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 other consultants or financial professionals to advise them on the choice of an investment adviser and investment products. These professionals and consultants can favor a competing investment product as better meeting their particular clients' needs. We cannot assure that our investment products will be among their recommended choices in the future. Further, their recommendations can change over time and we could lose their recommendation and their clients' assets under our management. Increasing competition for these distribution and sales channels as well as regulatory changes and initiatives may cause our distribution costs to rise, could cause further cost increases in the future, or could otherwise negatively impact the distribution of our products. Mergers, acquisitions, and other ownership or management changes could also adversely impact our relationships with these third-party intermediaries. As a result of these changes, more of our revenues may be concentrated with fewer intermediaries, which may impact our dependence on these intermediaries. A failure to maintain our third-party distribution and sales channels, or a failure to maintain strong business relationships with our distributors and other intermediaries, may impair our distribution and sales operations. Any inability to access and successfully sell our products to clients through such third-party channels could have a negative effect on our level of AUM and adversely impact our business. Moreover, we can provide no assurance that we will continue to have access to the third-party financial intermediaries that currently distribute our products, or that we will continue to have the opportunity to offer all or some of our existing products through them. The presence of any of the adverse conditions discussed above would reduce revenues and net income, possibly by material amounts.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disasters and other unpredictable events could adversely affect our operations.</w:t>
      </w: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Armed conflicts, trade wars, tariffs or sanctions, terrorist attacks, cyberattacks, power failures, epidemics or pandemics, climate change, increased severity of weather events, or natural disasters and other events outside of our control could adversely affect our revenues, expenses, and net income by:</w:t>
      </w:r>
    </w:p>
    <w:p>
      <w:pPr>
        <w:spacing w:after="0" w:line="198" w:lineRule="exact"/>
        <w:rPr>
          <w:sz w:val="20"/>
          <w:szCs w:val="20"/>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right="300" w:hanging="331"/>
        <w:spacing w:after="0" w:line="28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 or other providers;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right="780" w:hanging="331"/>
        <w:spacing w:after="0" w:line="28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Colorado Springs, Colorado; and in London, England. In addition, we maintain offices with associates in many other global locations, including Sydney, Australia; Hong Kong; Singapore; Tokyo, Japan; and Luxembourg. We have developed various backup systems and contingency plans, but we cannot be assured that those preparations will be adequate in all circumstances that could arise, or that material interruptions and disruptions will not occur. We also rely to varying degrees on outside service providers for service delivery in addition to technology and disaster contingency support, and we cannot be assured that these service providers will be able to perform in an adequate and timely manner. If we lose the availability of any associates, or, if we are unable to respond adequately to such an event in a timely manner, we may be unable to timely resume our business operations, which could lead to financial losses, a tarnished reputation and loss of clients that could result in a decrease in assets under management, lower revenues, and materially reduced net income.</w:t>
      </w:r>
    </w:p>
    <w:p>
      <w:pPr>
        <w:spacing w:after="0" w:line="208" w:lineRule="exact"/>
        <w:rPr>
          <w:sz w:val="20"/>
          <w:szCs w:val="20"/>
          <w:color w:val="auto"/>
        </w:rPr>
      </w:pPr>
    </w:p>
    <w:p>
      <w:pPr>
        <w:ind w:right="960"/>
        <w:spacing w:after="0" w:line="296" w:lineRule="auto"/>
        <w:rPr>
          <w:sz w:val="20"/>
          <w:szCs w:val="20"/>
          <w:color w:val="auto"/>
        </w:rPr>
      </w:pPr>
      <w:r>
        <w:rPr>
          <w:rFonts w:ascii="Arial" w:cs="Arial" w:eastAsia="Arial" w:hAnsi="Arial"/>
          <w:sz w:val="18"/>
          <w:szCs w:val="18"/>
          <w:b w:val="1"/>
          <w:bCs w:val="1"/>
          <w:u w:val="single" w:color="auto"/>
          <w:color w:val="auto"/>
        </w:rPr>
        <w:t>Our business, financial condition, and results of operation may be adversely affected by the coronavirus or other global pandemics.</w:t>
      </w:r>
    </w:p>
    <w:p>
      <w:pPr>
        <w:spacing w:after="0" w:line="16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Over the last several years, the global financial markets have been monitoring and reacting to the novel coronavirus pandemic. Global pandemics create significant volatility, uncertainty and economic disruption to the global economy and may further impact our business, financial condition and results of operations. The coronavirus pandemic has adversely affected global financial markets and impacted global</w:t>
      </w:r>
    </w:p>
    <w:p>
      <w:pPr>
        <w:ind w:right="200"/>
        <w:spacing w:after="0" w:line="257" w:lineRule="auto"/>
        <w:rPr>
          <w:sz w:val="20"/>
          <w:szCs w:val="20"/>
          <w:color w:val="auto"/>
        </w:rPr>
      </w:pPr>
      <w:r>
        <w:rPr>
          <w:rFonts w:ascii="Arial" w:cs="Arial" w:eastAsia="Arial" w:hAnsi="Arial"/>
          <w:sz w:val="18"/>
          <w:szCs w:val="18"/>
          <w:color w:val="auto"/>
        </w:rPr>
        <w:t>supply chains. Health concerns and uncertainty regarding continued coronavirus impacts could lead to further and/or increased volatility in global capital and credit markets, adversely affect our key executives and other personnel, clients, investors, service providers and other vendors, suppliers, lessees, and other third parties, and negatively impact our assets under management ("AUM"), revenues, income, business and operations. Since our revenue is based on the market value and composition of the assets under our management, the ultimate impact on global financial markets and our clients’ decisions related to this event could adversely affect our revenue and operating results.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while we have in place robust and well-established plans for operational resiliency and business continuity that address the potential impact to our associates and our facilities, and a comprehensive suite of technologies which enable our associates to work remotely and conduct business, and to date while we have been successful in navigating these challenges, no assurance can be given that the steps we have taken will continue to be effective or appropriate. Additionally, we must effectively ensure a safe working environment for associates working onsite in our offices, and adequately manage the post-pandemic transition from remote to onsite or a hybrid working environment. In the event that our associates become incapacitated by the coronavirus, our business operations may be impacted, which could lead to reputational and financial harm.</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investment income and asset levels may be negatively impacted by fluctuations in our investment portfolio.</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Separately from the investments we manage for our clients, we currently have a substantial investment portfolio. All of these investments are subject to investment market risk, and our non-operating investment income could be adversely affected by the realization of losses upon the disposition of our investments or the recognition of significant impairments or unrealized losses on these investments. In addition, related investment income has fluctuated significantly over the years depending upon the performance of our corporate investments, including the impact of market conditions and interest rates, and the size of our corporate money market and longer-term collective investment fund holdings. Fluctuations in other investment income are expected to occur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soundness of other financial services institutions could adversely affect us or the client portfolios we manage.</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Financial services institutions are interrelated as a result of trading, clearing, counterparty or other relationships. We, and the client portfolios that we manage, have exposure to many different counterparties, and routinely execute transactions with counterparties in the financial services industry. Many of these transactions expose us or such client portfolios to credit risk in the event of default of its counterparty. While we regularly conduct assessments of such risk posed by counterparties, the risk of non-performance by such parties is subject to sudden swings in the financial and credit markets. Such non-performance could produce a financial loss for us or the portfolios we manage.</w:t>
      </w:r>
    </w:p>
    <w:p>
      <w:pPr>
        <w:spacing w:after="0" w:line="206" w:lineRule="exact"/>
        <w:rPr>
          <w:sz w:val="20"/>
          <w:szCs w:val="20"/>
          <w:color w:val="auto"/>
        </w:rPr>
      </w:pPr>
    </w:p>
    <w:p>
      <w:pPr>
        <w:ind w:right="240"/>
        <w:spacing w:after="0" w:line="296" w:lineRule="auto"/>
        <w:rPr>
          <w:sz w:val="20"/>
          <w:szCs w:val="20"/>
          <w:color w:val="auto"/>
        </w:rPr>
      </w:pPr>
      <w:r>
        <w:rPr>
          <w:rFonts w:ascii="Arial" w:cs="Arial" w:eastAsia="Arial" w:hAnsi="Arial"/>
          <w:sz w:val="18"/>
          <w:szCs w:val="18"/>
          <w:b w:val="1"/>
          <w:bCs w:val="1"/>
          <w:u w:val="single" w:color="auto"/>
          <w:color w:val="auto"/>
        </w:rPr>
        <w:t>We may review and pursue strategic transactions in order to maintain or enhance our competitive position and these could pose risks.</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From time to time, we consider strategic opportunities, including potential acquisitions, dispositions, consolidations, organizational restructurings, joint ventures or similar transactions,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 of investor account and investment security recordkeeping, additional or new regulatory requirements, operating facilities and technologies, and new employees; adverse effects on our earnings in the event acquired intangible assets or goodwill become impaired; and the existence of liabilities or contingencies not disclosed to or otherwise known by us prior to closing a transaction.</w:t>
      </w:r>
    </w:p>
    <w:p>
      <w:pPr>
        <w:spacing w:after="0" w:line="20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own a 23%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29, 2021, we completed our acquisition of OHA. Important ongoing integration-related risks, including that the anticipated benefits of the transaction may not be fully realized, or may take longer to realize than expected, or that the integration may cost more or take longer than expected, could adversely impact our operating results. Furthermore, a significant portion of OHA's revenue is derived from performance fees on investment advisory agreements and carried interest from general partner interests in affiliated private investment funds. Generally, OHA is entitled to a performance fee and carried interest under these agreements only in cases where the related portfolio investment return exceeds agreed-upon relative or absolute investment return thresholds, and there can be no assurance that these thresholds will be met.</w:t>
      </w:r>
    </w:p>
    <w:p>
      <w:pPr>
        <w:spacing w:after="0" w:line="210" w:lineRule="exact"/>
        <w:rPr>
          <w:sz w:val="20"/>
          <w:szCs w:val="20"/>
          <w:color w:val="auto"/>
        </w:rPr>
      </w:pPr>
    </w:p>
    <w:p>
      <w:pPr>
        <w:ind w:right="360"/>
        <w:spacing w:after="0" w:line="296" w:lineRule="auto"/>
        <w:rPr>
          <w:sz w:val="20"/>
          <w:szCs w:val="20"/>
          <w:color w:val="auto"/>
        </w:rPr>
      </w:pPr>
      <w:r>
        <w:rPr>
          <w:rFonts w:ascii="Arial" w:cs="Arial" w:eastAsia="Arial" w:hAnsi="Arial"/>
          <w:sz w:val="18"/>
          <w:szCs w:val="18"/>
          <w:b w:val="1"/>
          <w:bCs w:val="1"/>
          <w:u w:val="single" w:color="auto"/>
          <w:color w:val="auto"/>
        </w:rPr>
        <w:t>Climate change-related risks could adversely affect our business, products, operations and clients, which may cause our AUM, revenue and earnings to decline.</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business and those of our clients could be impacted by climate change-related risks. Climate change may present risk to our business through changes in the physical climate or from the process of transitioning to a lower-carbon economy. Climate-related physical risks arise from the direct impacts of a changing climate in the short- and long-term. Such risks may include the risks of extreme weather events and changes in temperature, which may damage infrastructure and facilities, as well as disrupt connectivity or supply chains. Climate-related transition risks arise from exposure to the transition to a lower-carbon economy through policy, regulatory, technology and market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For instance, new regulations or guidance relating to climate change, as well as the perspectives of stakeholders regarding climate change, may impact our business and reputation, which could increase costs on our business. Climate-related physical and transition risks could impact us both directly and indirectly through adverse impacts to our clients, including as a result of declines in asset values, changes in client preferences, increased regulatory and compliance costs and significant business disruptions. Any of these risks may cause our AUM, revenue and earnings to decline.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exposed to risks arising from our international operations.</w:t>
      </w:r>
    </w:p>
    <w:p>
      <w:pPr>
        <w:spacing w:after="0" w:line="25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operate in a number of jurisdictions outside of the United States. Our international operations require us to comply with the legal and regulatory requirements of various foreign jurisdictions and expose us to political environments and risks that can compare less favorably than those in the United States. Our foreign business operations are also subject to the following risks:</w:t>
      </w:r>
    </w:p>
    <w:p>
      <w:pPr>
        <w:spacing w:after="0" w:line="252" w:lineRule="exact"/>
        <w:rPr>
          <w:sz w:val="20"/>
          <w:szCs w:val="20"/>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03" w:lineRule="exact"/>
        <w:rPr>
          <w:rFonts w:ascii="Arial" w:cs="Arial" w:eastAsia="Arial" w:hAnsi="Arial"/>
          <w:sz w:val="18"/>
          <w:szCs w:val="18"/>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transact in various investments or to repatriate the proceeds from our investments from countries outside the U.S.;</w:t>
      </w:r>
    </w:p>
    <w:p>
      <w:pPr>
        <w:spacing w:after="0" w:line="103" w:lineRule="exact"/>
        <w:rPr>
          <w:rFonts w:ascii="Arial" w:cs="Arial" w:eastAsia="Arial" w:hAnsi="Arial"/>
          <w:sz w:val="18"/>
          <w:szCs w:val="18"/>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nationalization of our property or that of the companies in our investment portfolios;</w:t>
      </w:r>
    </w:p>
    <w:p>
      <w:pPr>
        <w:spacing w:after="0" w:line="117" w:lineRule="exact"/>
        <w:rPr>
          <w:rFonts w:ascii="Arial" w:cs="Arial" w:eastAsia="Arial" w:hAnsi="Arial"/>
          <w:sz w:val="18"/>
          <w:szCs w:val="18"/>
          <w:color w:val="auto"/>
        </w:rPr>
      </w:pPr>
    </w:p>
    <w:p>
      <w:pPr>
        <w:ind w:left="460" w:right="220" w:hanging="331"/>
        <w:spacing w:after="0" w:line="360"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 RISKS.</w:t>
      </w:r>
    </w:p>
    <w:p>
      <w:pPr>
        <w:spacing w:after="0" w:line="250"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u w:val="single" w:color="auto"/>
          <w:color w:val="auto"/>
        </w:rPr>
        <w:t>Our success depends on our key personnel and our investment performance and financial results could be negatively affected by the loss of their services.</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success depends on our highly skilled personnel, including our portfolio managers, investment analysts, sales and client relationship personnel, technology and operations professionals, and corporate officers, many of whom have specialized expertise and extensive experience in our industry. Professionals with financial services experience across functional areas are in demand, and we face significant competition for highly qualified employees. Generally, our associates can terminate their employment with us at any time, with most required to provide little to no notice. Recently we have adopted more significant notification requirements for certain key positions. As a result of these new requirements, some employees may be less willing to continue their employment with us or join our firm. We cannot assure that we will be able to attract or retain key personnel.</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attract and retain employees and investors. Losses of assets from our client investors would decrease our revenues and net income, possibly materially.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1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u w:val="single" w:color="auto"/>
          <w:color w:val="auto"/>
        </w:rPr>
        <w:t>Compliance within a complex regulatory environment imposes significant financial and strategic costs on our business, and non-compliance could result in fines and penalties.</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There is uncertainty associated with the regulatory and compliance environments in which we operate. Our business is subject to extensive and complex, overlapping and/or conflicting, and frequently changing rules, regulations, policies and legal interpretations, around the world. Additionally, over the past several years the pace and scope of new rules, regulations, policies and legal interpretations has increased both in the U.S. and globally, which requires additional resources and expense in order to digest and institute process to comply. If we are unable to maintain compliance with applicable laws and regulations, we could be subject to criminal and civil liability, the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4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 and potentially result in complex litigation.</w:t>
      </w:r>
    </w:p>
    <w:p>
      <w:pPr>
        <w:spacing w:after="0" w:line="217"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u w:val="single" w:color="auto"/>
          <w:color w:val="auto"/>
        </w:rPr>
        <w:t>Legal and regulatory developments in the mutual fund, retirement and investment advisory industry could increase our regulatory burden, impose significant financial and strategic costs on our business, and cause a loss of, or impact the servicing of, our clients and fund shareholders.</w:t>
      </w:r>
    </w:p>
    <w:p>
      <w:pPr>
        <w:spacing w:after="0" w:line="18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Our regulatory environment is frequently altered by new laws and regulations and by revisions to, and evolving interpretations of, existing regulations. New laws and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52" w:lineRule="exact"/>
        <w:rPr>
          <w:sz w:val="20"/>
          <w:szCs w:val="20"/>
          <w:color w:val="auto"/>
        </w:rPr>
      </w:pPr>
    </w:p>
    <w:p>
      <w:pPr>
        <w:ind w:left="500" w:hanging="330"/>
        <w:spacing w:after="0" w:line="262"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part of the debate in Washington, D.C. and in state legislatures, there has been increasing focus on the framework of the U.S. retirement system. We could experience adverse business impacts if legislative and regulatory changes limit retirement plans to certain products and services, or favor certain investment vehicles, that we do not offer, materially limit retirement savings opportunities or foster substantial outflows from retirement savings plans for non-retirement purposes.</w:t>
      </w:r>
    </w:p>
    <w:p>
      <w:pPr>
        <w:spacing w:after="0" w:line="203" w:lineRule="exact"/>
        <w:rPr>
          <w:rFonts w:ascii="Arial" w:cs="Arial" w:eastAsia="Arial" w:hAnsi="Arial"/>
          <w:sz w:val="18"/>
          <w:szCs w:val="18"/>
          <w:color w:val="auto"/>
        </w:rPr>
      </w:pPr>
    </w:p>
    <w:p>
      <w:pPr>
        <w:ind w:left="500" w:right="400" w:hanging="330"/>
        <w:spacing w:after="0" w:line="262"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and the United States Department of Labor intends to propose new fiduciary rules applicable to retirement plans and accounts that comprise a majority of our accounts. Actions taken by applicable regulatory or legislative bodies may impact our business activities and increase our costs.</w:t>
      </w:r>
    </w:p>
    <w:p>
      <w:pPr>
        <w:spacing w:after="0" w:line="203" w:lineRule="exact"/>
        <w:rPr>
          <w:rFonts w:ascii="Arial" w:cs="Arial" w:eastAsia="Arial" w:hAnsi="Arial"/>
          <w:sz w:val="18"/>
          <w:szCs w:val="18"/>
          <w:color w:val="auto"/>
        </w:rPr>
      </w:pPr>
    </w:p>
    <w:p>
      <w:pPr>
        <w:ind w:left="500" w:right="20" w:hanging="330"/>
        <w:spacing w:after="0" w:line="262"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Commodity Futures Trading Commission ("CFTC") regulation may limit the ability of certain sponsored investment products to use futures, swaps, and other derivatives. We have registered certain subsidiaries with the CFTC, subjecting us to additional regulatory requirements and costs, but also providing us additional flexibility to utilize such products. Nonetheless, there are still certain limitations on our investment products due to CFTC rules.</w:t>
      </w:r>
    </w:p>
    <w:p>
      <w:pPr>
        <w:spacing w:after="0" w:line="203" w:lineRule="exact"/>
        <w:rPr>
          <w:rFonts w:ascii="Arial" w:cs="Arial" w:eastAsia="Arial" w:hAnsi="Arial"/>
          <w:sz w:val="18"/>
          <w:szCs w:val="18"/>
          <w:color w:val="auto"/>
        </w:rPr>
      </w:pPr>
    </w:p>
    <w:p>
      <w:pPr>
        <w:jc w:val="both"/>
        <w:ind w:left="500" w:right="280" w:hanging="330"/>
        <w:spacing w:after="0" w:line="262"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or other collective investments funds. Changes to long-standing market practices related to fees or enhanced disclosure requirements may negatively impact sales of mutual funds or other collective investments funds by intermediaries, especially if such requirements are not applied to other investment products.</w:t>
      </w:r>
    </w:p>
    <w:p>
      <w:pPr>
        <w:spacing w:after="0" w:line="189" w:lineRule="exact"/>
        <w:rPr>
          <w:rFonts w:ascii="Arial" w:cs="Arial" w:eastAsia="Arial" w:hAnsi="Arial"/>
          <w:sz w:val="18"/>
          <w:szCs w:val="18"/>
          <w:color w:val="auto"/>
        </w:rPr>
      </w:pPr>
    </w:p>
    <w:p>
      <w:pPr>
        <w:ind w:left="500" w:right="60" w:hanging="330"/>
        <w:spacing w:after="0" w:line="236"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remain subject to various state, federal and international laws and regulations (and associated judicial decisions) related to data collection and use; privacy and data protection; cybersecurity; current and emerging technology; data storage, localization, retention and destruction; data disclosure, transfer, availability, and integrity; notification of regulators and/or impacted parties regarding adverse data-related events; and other similar matters that can concern the data of our clients and employees. Requirements in these areas continue to expand and evolve throughout the globe, most commonly in ways that increase the complexity and costs of compliance. For example, in addition to the EU's GDPR data protection rules, we also are or may become subject to or affected by additional country, federal and state laws, regulations and guidance impacting consumer privacy, such as the California Consumer Privacy Act ("CCPA") (and new provisions becoming effective January 1, 2023 under the California Privacy Rights Act) that provides for enhanced consumer protections for California residents, enforcement authority by the California Attorney General and/or the California Privacy Protection Agency for violations, and the potential for private litigation, including statutory damages for data security breaches. Each of these types laws and regulations could impose significant limitations, require changes to our business, or restrict our collection, use or storage of personal data, which may increase our compliance expenses and make our business more costly or less efficient to conduct.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 w:right="100" w:hanging="330"/>
        <w:spacing w:after="0" w:line="259"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the 2008 financial crisis, global regulations on over-the-counter derivatives spearheaded by The Dodd-Frank Wall Street Reform and Consumer Protection Act in the United States and European Market Infrastructure Regulation in the European Union ("EU") have imposed clearing, margin, trade reporting, electronic trading and recordkeeping requirements on market participants. Alongside their general stabilizing and risk-reducing effect on the markets, these requirements have introduced operational complexity and additional costs to derivatives portfolios.</w:t>
      </w:r>
    </w:p>
    <w:p>
      <w:pPr>
        <w:spacing w:after="0" w:line="206" w:lineRule="exact"/>
        <w:rPr>
          <w:rFonts w:ascii="Arial" w:cs="Arial" w:eastAsia="Arial" w:hAnsi="Arial"/>
          <w:sz w:val="18"/>
          <w:szCs w:val="18"/>
          <w:color w:val="auto"/>
        </w:rPr>
      </w:pPr>
    </w:p>
    <w:p>
      <w:pPr>
        <w:ind w:left="500" w:right="40" w:hanging="330"/>
        <w:spacing w:after="0" w:line="272" w:lineRule="auto"/>
        <w:tabs>
          <w:tab w:leader="none" w:pos="4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revised Markets in Financial Instruments Directive ("MiFID II Directive") and Regulation ("MiFIR") (together “MiFID II”) applied across the EU and member states of the European Economic Area beginning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has increased operational complexity and increased our costs. For example, we began to pay for third-party investment research used by our UK-based investment manager, T. Rowe Price International Ltd, in 2018, and we now pay for all the research needs of our investment professionals globally.</w:t>
      </w:r>
    </w:p>
    <w:p>
      <w:pPr>
        <w:spacing w:after="0" w:line="171" w:lineRule="exact"/>
        <w:rPr>
          <w:rFonts w:ascii="Arial" w:cs="Arial" w:eastAsia="Arial" w:hAnsi="Arial"/>
          <w:sz w:val="17"/>
          <w:szCs w:val="17"/>
          <w:color w:val="auto"/>
        </w:rPr>
      </w:pPr>
    </w:p>
    <w:p>
      <w:pPr>
        <w:ind w:left="500" w:hanging="330"/>
        <w:spacing w:after="0" w:line="262"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involving ESG integration and disclosure may materially impact the asset management industry. For example, the EU’s recent action plan on financing sustainable growth includes initiatives to integrate ESG into the financial system. Furthermore, the SEC and other regulators in the U.S. have proposed rules to pursue similar initiatives, including additional disclosure obligations that would apply to our business operations, our employee and board diversity and other ESG-related matters.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service providers that provide services to us and, to the extent such service providers alter their services or increase their fees, it may impact our expenses or those of the products we offer.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become involved in legal and regulatory proceedings that may not be covered by insurance.</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and costs. From time to time, various claims against us arise in the ordinary course of business, including employment-related claims. There also has been an increase in litigation and in regulatory investigations in the financial services industry in recent years, including client claims, class action suits, and government actions alleging substantial monetary damages and penalties.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capital requirements may impede the business operations of our subsidiaries.</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Any significant change in the required net capital, an operating loss, or an extraordinary charge against net capital could adversely affect the ability of our subsidiaries to expand or maintain their operations if we were unable to make additional investments in them, which could impact our earnings.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RISKS.</w:t>
      </w:r>
    </w:p>
    <w:p>
      <w:pPr>
        <w:spacing w:after="0" w:line="250"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u w:val="single" w:color="auto"/>
          <w:color w:val="auto"/>
        </w:rPr>
        <w:t>We require significant quantities and types of technology to operate our business and would be adversely affected if we fail to maintain adequate infrastructure to conduct or expand our operations or if our technology became inoperative or obsolete.</w:t>
      </w:r>
    </w:p>
    <w:p>
      <w:pPr>
        <w:spacing w:after="0" w:line="16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depend on significant quantities of technology and, in many cases, highly specialized or proprietary or third-party licensed technology to support our business functions, including among others:</w:t>
      </w:r>
    </w:p>
    <w:p>
      <w:pPr>
        <w:spacing w:after="0" w:line="180" w:lineRule="exact"/>
        <w:rPr>
          <w:sz w:val="20"/>
          <w:szCs w:val="20"/>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security and integrity,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 of our technology systems, including those provided by service providers, are vulnerable to disability or failures due to cyberattacks, natural disasters, power failures, acts of war or terrorism, sabotage, coding errors, and other causes. A suspension or termination of vendor-provided software licenses or related support, upgrades, and maintenance could cause system delays or interruption. Although we have robust business and disaster recovery plans, if our technology systems, including those provided by service providers, were to fail and we were unable to recover in a timely way, we would be unable to fulfill critical business functions, which could lead to a loss of clients and could harm our reputation. A technological breakdown or disruption in services from a service provider could also interfere with our ability to comply with financial reporting and other regulatory requirements, exposing us to disciplinary action and liability to our clients.</w:t>
      </w:r>
    </w:p>
    <w:p>
      <w:pPr>
        <w:spacing w:after="0" w:line="21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systems and/or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clients and fail to maintain regulatory compliance, which could affect our results of operations and severely damage our reputation.</w:t>
      </w:r>
    </w:p>
    <w:p>
      <w:pPr>
        <w:spacing w:after="0" w:line="203"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u w:val="single" w:color="auto"/>
          <w:color w:val="auto"/>
        </w:rPr>
        <w:t>A cyberattack or a failure to implement effective information and cybersecurity policies, procedures and capabilities could disrupt operations and cause financial losses.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dependent on the effectiveness of the information and cybersecurity policies, procedures and capabilities we maintain to protect our systems and data. An externally caused data security incident, such as a cyberattack, a phishing scam, virus, ransomware attack, denial-of-service attack, or an attack launched from within our systems could materially interrupt business operations or cause disclosure or modification of confidential client or competitive information. In addition, our third-party service providers and other intermediaries with which we conduct business and transmit data could be subject to a successful cyberattack or other data security event, and we cannot ensure that such third parties have all appropriate controls in place to protect the confidentiality of data in the custody of those third parties or to allow them to continue their business operations, including their services to us, in a timely manner.</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increasing numbers of publicized cybersecurity incidents in recent years impacting other financial services firms as well as firms in other industries. Our use of third-party service providers and cloud technologies could heighten this risk. Should the technology operations on which we rely be compromised, we may have to make significant investments to upgrade, repair or replace our technology infrastructure or third-party service providers and may not be able to make such investments on a timely basis. Although we maintain insurance coverage that we believe is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could be subject to losses if we fail to properly safeguard and maintain confidential data.</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part of our normal operations, we maintain and transmit confidential data about our clients, associates and other parties, as well as, proprietary data relating to our business operations. We maintain a system of internal controls designed to provide reasonable assurance that both inadvertent errors and fraudulent activity, including misappropriation of assets, fraudulent financial reporting, and unauthorized access to sensitive or confidential data, is either prevented or detected in a timely manner. We also leverage cloud-based solutions for the transmission and storage of this data. Our systems, or those of third-party service providers we may use to maintain and transmit such data, could be victimized by unauthorized users or corrupted by computer viruses or other malicious software code. Additionally, authorized persons could inadvertently or intentionally release or alter confidential or proprietary data. Such disclosure could, among other things:</w:t>
      </w:r>
    </w:p>
    <w:p>
      <w:pPr>
        <w:spacing w:after="0" w:line="318"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a loss of confidence in our business and products,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data,</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data of clients, associates, and other parties,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clients,</w:t>
      </w:r>
    </w:p>
    <w:p>
      <w:pPr>
        <w:spacing w:after="0" w:line="117" w:lineRule="exact"/>
        <w:rPr>
          <w:rFonts w:ascii="Arial" w:cs="Arial" w:eastAsia="Arial" w:hAnsi="Arial"/>
          <w:sz w:val="18"/>
          <w:szCs w:val="18"/>
          <w:color w:val="auto"/>
        </w:rPr>
      </w:pPr>
    </w:p>
    <w:p>
      <w:pPr>
        <w:ind w:left="460" w:right="140" w:hanging="331"/>
        <w:spacing w:after="0" w:line="287"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us to regulatory investigations, actions or fines, and potential litigation involving regulators, stockholders, or other members of the public, and</w:t>
      </w:r>
    </w:p>
    <w:p>
      <w:pPr>
        <w:spacing w:after="0" w:line="44" w:lineRule="exact"/>
        <w:rPr>
          <w:rFonts w:ascii="Arial" w:cs="Arial" w:eastAsia="Arial" w:hAnsi="Arial"/>
          <w:sz w:val="18"/>
          <w:szCs w:val="18"/>
          <w:color w:val="auto"/>
        </w:rPr>
      </w:pPr>
    </w:p>
    <w:p>
      <w:pPr>
        <w:ind w:left="460" w:right="380" w:hanging="331"/>
        <w:spacing w:after="0" w:line="287"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 and organizational costs to mitigate against future incidents.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Furthermore, if any person, including any of our associates, negligently disregards or intentionally overrides or circumvents our established controls with respect to confidential data, or otherwise mismanages or misappropriates that data, we could be subject to significant monetary damages, regulatory enforcement actions, fines and/or criminal prosecution in one or more jurisdictions.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As noted above, we are subject to numerous laws and regulations designed to protect confidential data, such as U.S. federal and state laws and foreign laws and regulations governing the privacy and protection of personal or other confidential data, such as </w:t>
      </w:r>
      <w:r>
        <w:rPr>
          <w:rFonts w:ascii="Arial" w:cs="Arial" w:eastAsia="Arial" w:hAnsi="Arial"/>
          <w:sz w:val="18"/>
          <w:szCs w:val="18"/>
          <w:color w:val="222222"/>
        </w:rPr>
        <w:t>the EU’s General Data</w:t>
      </w:r>
      <w:r>
        <w:rPr>
          <w:rFonts w:ascii="Arial" w:cs="Arial" w:eastAsia="Arial" w:hAnsi="Arial"/>
          <w:sz w:val="18"/>
          <w:szCs w:val="18"/>
          <w:color w:val="auto"/>
        </w:rPr>
        <w:t xml:space="preserve"> </w:t>
      </w:r>
      <w:r>
        <w:rPr>
          <w:rFonts w:ascii="Arial" w:cs="Arial" w:eastAsia="Arial" w:hAnsi="Arial"/>
          <w:sz w:val="18"/>
          <w:szCs w:val="18"/>
          <w:color w:val="222222"/>
        </w:rPr>
        <w:t>Protection Regulation and similar types of laws enacted in several U.S. states and other jurisdictions in Asia. Any failure to properly safeguard and maintain confidential data creates risk that we could be found to be in violation of various laws and regulations.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corporate headquarters occupies 444,000 square feet of space under lease at 100 East Pratt Street in Baltimore, Maryland. In December 2020, we announced that we are moving our headquarters in 2024 to a complex to be built with approximately 550,000 square feet of space under lease in Baltimore, Maryland. In 2024, we will vacate the space at 100 East Pratt Street.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offices in 17 markets around the world, including the U.S.</w:t>
      </w:r>
    </w:p>
    <w:p>
      <w:pPr>
        <w:spacing w:after="0" w:line="25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1.1 million square feet on two parcels of land in close proximity to Baltimore in Owings Mills, Maryland, and about 290,000 square feet in Colorado Springs, Colorado. We also maintain a nearly 60,000 square foot technology support facility in Hagerstown, Maryland.</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in Maryland, our technology development center in New York City, and offices in San Francisco, Washington D.C. and Philadelphia.</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OHA has leased offices in the United States (New York City, Fort Worth, and San Francisco), United Kingdom (London), Australia (Sydney/Melbourne), Hong Kong, and Luxembourg.</w:t>
      </w:r>
    </w:p>
    <w:p>
      <w:pPr>
        <w:spacing w:after="0" w:line="18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Information concerning our anticipated capital expenditures in 2023 is set forth in the capital resources and liquidity and material cash commitments discussions in Item 7 of this Form 10-K and our future minimum rental payments under noncancellable operating leases at December 31, 2022 is set forth in the Leases footnote to our audited consolidated financial statements in Item 8 of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audited consolidated financial statements in Item 8.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following information includes the names, ages, and positions of our executive officers as of February 15, 2023. There are no arrangements or understandings pursuant to which any person serves as an officer. The first twelve individuals are members of our management committee.</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Robert W. Sharps (51), Chief Executive Officer since 2022, a Director and President since 2021, Head of Investments from 2018 to 2021, Group Chief Investment Officer from 2017 to 2021, Co-Head of Global Equity from 2017 to 2018, Lead Portfolio Manager, Institutional U.S. Large-Cap Equity Growth Strategy from 2001 to 2016, and a Vice President from 2001 to 2021.</w:t>
      </w:r>
    </w:p>
    <w:p>
      <w:pPr>
        <w:spacing w:after="0" w:line="19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Jennifer B. Dardis (49), Chief Financial Officer and Treasurer since 2021, Head of Finance in 2021 and Head of Corporate Strategy from 2016 to 2021, and a Vice President from 2010.</w:t>
      </w:r>
    </w:p>
    <w:p>
      <w:pPr>
        <w:spacing w:after="0" w:line="180"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color w:val="auto"/>
        </w:rPr>
        <w:t>Glenn R. August (61), Chief Executive Officer of Oak Hill Advisors, L.P. (“OHA”), a Director and Vice President since 2021. He co-founded the predecessor investment firm to OHA in 1987 and took responsibility for the firm’s credit and distressed investment activities in 1990.</w:t>
      </w:r>
    </w:p>
    <w:p>
      <w:pPr>
        <w:spacing w:after="0" w:line="1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Robert C.T. Higginbotham (55), Head of Global Distribution since 2019 and interim Chief Operating Officer since 2021, Head of Global Investment Management Services from 2018 to 2019, Head of Global Investment Services from 2012 to 2018, and a Vice President since 2012.</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Stephon A. Jackson (60), Head of T. Rowe Price Investment Management since 2020, Associate Head of U.S Equity from 2020 to 2021, and a Vice President since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Kimberly H. Johnson (50), Chief Operating Officer since 2022, and a Vice President since 2022.</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Andrew C. McCormick (62), Head of Fixed Income since 2019 and chief investment officer since 2022, Head of U.S. Taxable Bond from 2013 to 2018, and a Vice President since 2008.</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Josh Nelson (45), Head of U.S. Equity since 2022, Associate Head of U.S. Equity in 2021, Director of Equity Research North America from 2019 to 2021, and a Vice President since 2007.</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David Oestreicher (55), General Counsel since 2020, Corporate Secretary since 2012, and a Vice President since 2001. From 2009 through 2020, Mr. Oestreicher was the Chief Legal Counsel.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Sebastien Page (46), Head of Global Multi-Asset and a Vice President since 2015 and chief investment officer since 2022.</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Justin Thomson (55), Head of International Equity since 2021, chief investment officer since 2017, Co-Head of Global Equity in 2021, and a Vice President since 2001.</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Eric L. Veiel (51), Head of Global Equity and chief investment officer since 2022. Co-Head of Global Equity from 2018 to 2021, Head of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Equity from 2016 to 2021, Director of Equity Research North America from 2014 to 2015, and a Vice President since 2006.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(47), Principal Accounting Officer since 2010, Controller since 2020 and a Vice President since 2009.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Dividends per share during the past two years were: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1st</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2nd</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3rd</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4th</w:t>
            </w:r>
          </w:p>
        </w:tc>
      </w:tr>
      <w:tr>
        <w:trPr>
          <w:trHeight w:val="189"/>
        </w:trPr>
        <w:tc>
          <w:tcPr>
            <w:tcW w:w="5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9"/>
              </w:rPr>
              <w:t>quarter</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quarter</w:t>
            </w:r>
          </w:p>
        </w:tc>
      </w:tr>
      <w:tr>
        <w:trPr>
          <w:trHeight w:val="223"/>
        </w:trPr>
        <w:tc>
          <w:tcPr>
            <w:tcW w:w="5780" w:type="dxa"/>
            <w:vAlign w:val="bottom"/>
          </w:tcPr>
          <w:p>
            <w:pPr>
              <w:jc w:val="right"/>
              <w:ind w:right="5270"/>
              <w:spacing w:after="0"/>
              <w:rPr>
                <w:sz w:val="20"/>
                <w:szCs w:val="20"/>
                <w:color w:val="auto"/>
              </w:rPr>
            </w:pPr>
            <w:r>
              <w:rPr>
                <w:rFonts w:ascii="Arial" w:cs="Arial" w:eastAsia="Arial" w:hAnsi="Arial"/>
                <w:sz w:val="18"/>
                <w:szCs w:val="18"/>
                <w:color w:val="auto"/>
                <w:w w:val="99"/>
              </w:rPr>
              <w:t>2022</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5780" w:type="dxa"/>
            <w:vAlign w:val="bottom"/>
            <w:shd w:val="clear" w:color="auto" w:fill="CCEEFF"/>
          </w:tcPr>
          <w:p>
            <w:pPr>
              <w:jc w:val="right"/>
              <w:ind w:right="5270"/>
              <w:spacing w:after="0"/>
              <w:rPr>
                <w:sz w:val="20"/>
                <w:szCs w:val="20"/>
                <w:color w:val="auto"/>
              </w:rPr>
            </w:pPr>
            <w:r>
              <w:rPr>
                <w:rFonts w:ascii="Arial" w:cs="Arial" w:eastAsia="Arial" w:hAnsi="Arial"/>
                <w:sz w:val="18"/>
                <w:szCs w:val="18"/>
                <w:color w:val="auto"/>
                <w:w w:val="99"/>
              </w:rPr>
              <w:t>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cash dividends declared during the second quarter of 2021 include a special dividend of $3.00 per share that was declared in June 2021 and paid in July 2021.</w:t>
      </w:r>
    </w:p>
    <w:p>
      <w:pPr>
        <w:spacing w:after="0" w:line="18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2022:</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Employee and non-employee</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Employee stock purchase</w:t>
            </w:r>
          </w:p>
        </w:tc>
        <w:tc>
          <w:tcPr>
            <w:tcW w:w="2120" w:type="dxa"/>
            <w:vAlign w:val="bottom"/>
            <w:vMerge w:val="restart"/>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8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director plans</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plan</w:t>
            </w:r>
          </w:p>
        </w:tc>
        <w:tc>
          <w:tcPr>
            <w:tcW w:w="2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Exercise of outstanding options</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2,218,506</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2,218,506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outstanding restricted stock units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5,996,539</w:t>
            </w:r>
          </w:p>
        </w:tc>
        <w:tc>
          <w:tcPr>
            <w:tcW w:w="1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5,996,539</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Future issuances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10,437,953</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907,014</w:t>
            </w:r>
          </w:p>
        </w:tc>
        <w:tc>
          <w:tcPr>
            <w:tcW w:w="12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11,344,967</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18,652,998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907,014</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19,560,012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outstanding options included in the table above have a weighted-average exercise price of $74.31. Under the terms of the 2020 Long-Term Incentive Plan, approved by stockholders in May 2020, and the 2012 Long-Term Incentive Plan,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vMerge w:val="restart"/>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44"/>
        </w:trPr>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Month</w:t>
            </w:r>
          </w:p>
        </w:tc>
        <w:tc>
          <w:tcPr>
            <w:tcW w:w="2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00" w:type="dxa"/>
            <w:vAlign w:val="bottom"/>
            <w:gridSpan w:val="2"/>
            <w:vMerge w:val="continue"/>
            <w:shd w:val="clear" w:color="auto" w:fill="CCEEFF"/>
          </w:tcPr>
          <w:p>
            <w:pPr>
              <w:spacing w:after="0"/>
              <w:rPr>
                <w:sz w:val="12"/>
                <w:szCs w:val="12"/>
                <w:color w:val="auto"/>
              </w:rPr>
            </w:pPr>
          </w:p>
        </w:tc>
        <w:tc>
          <w:tcPr>
            <w:tcW w:w="21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89"/>
        </w:trPr>
        <w:tc>
          <w:tcPr>
            <w:tcW w:w="2240" w:type="dxa"/>
            <w:vAlign w:val="bottom"/>
            <w:gridSpan w:val="2"/>
            <w:vMerge w:val="continue"/>
            <w:shd w:val="clear" w:color="auto" w:fill="CCEEFF"/>
          </w:tcPr>
          <w:p>
            <w:pPr>
              <w:spacing w:after="0"/>
              <w:rPr>
                <w:sz w:val="16"/>
                <w:szCs w:val="16"/>
                <w:color w:val="auto"/>
              </w:rPr>
            </w:pPr>
          </w:p>
        </w:tc>
        <w:tc>
          <w:tcPr>
            <w:tcW w:w="2140" w:type="dxa"/>
            <w:vAlign w:val="bottom"/>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paid per share</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October</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610,184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610,184</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9,207,912</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November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157,695</w:t>
            </w:r>
          </w:p>
        </w:tc>
        <w:tc>
          <w:tcPr>
            <w:tcW w:w="2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9,050,217</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8"/>
              </w:rPr>
              <w:t>December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278,999</w:t>
            </w:r>
          </w:p>
        </w:tc>
        <w:tc>
          <w:tcPr>
            <w:tcW w:w="46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228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8,775,217</w:t>
            </w:r>
          </w:p>
        </w:tc>
        <w:tc>
          <w:tcPr>
            <w:tcW w:w="0" w:type="dxa"/>
            <w:vAlign w:val="bottom"/>
          </w:tcPr>
          <w:p>
            <w:pPr>
              <w:spacing w:after="0"/>
              <w:rPr>
                <w:sz w:val="1"/>
                <w:szCs w:val="1"/>
                <w:color w:val="auto"/>
              </w:rPr>
            </w:pPr>
          </w:p>
        </w:tc>
      </w:tr>
      <w:tr>
        <w:trPr>
          <w:trHeight w:val="248"/>
        </w:trPr>
        <w:tc>
          <w:tcPr>
            <w:tcW w:w="2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1,055,426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1,042,879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2022, 12,547 were related to shares surrendered in connection with employee stock option exercises and none were related to shares withheld to cover tax withholdings associated with the vesting of restricted stock awards.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center"/>
              <w:ind w:left="208"/>
              <w:spacing w:after="0"/>
              <w:rPr>
                <w:sz w:val="20"/>
                <w:szCs w:val="20"/>
                <w:color w:val="auto"/>
              </w:rPr>
            </w:pPr>
            <w:r>
              <w:rPr>
                <w:rFonts w:ascii="Arial" w:cs="Arial" w:eastAsia="Arial" w:hAnsi="Arial"/>
                <w:sz w:val="14"/>
                <w:szCs w:val="14"/>
                <w:b w:val="1"/>
                <w:bCs w:val="1"/>
                <w:color w:val="auto"/>
              </w:rPr>
              <w:t>Additional shares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3700" w:type="dxa"/>
            <w:vAlign w:val="bottom"/>
            <w:gridSpan w:val="2"/>
            <w:vMerge w:val="restart"/>
            <w:shd w:val="clear" w:color="auto" w:fill="CCEEFF"/>
          </w:tcPr>
          <w:p>
            <w:pPr>
              <w:ind w:left="1140"/>
              <w:spacing w:after="0"/>
              <w:rPr>
                <w:sz w:val="20"/>
                <w:szCs w:val="20"/>
                <w:color w:val="auto"/>
              </w:rPr>
            </w:pPr>
            <w:r>
              <w:rPr>
                <w:rFonts w:ascii="Arial" w:cs="Arial" w:eastAsia="Arial" w:hAnsi="Arial"/>
                <w:sz w:val="14"/>
                <w:szCs w:val="14"/>
                <w:b w:val="1"/>
                <w:bCs w:val="1"/>
                <w:color w:val="auto"/>
              </w:rPr>
              <w:t>Authorization dates</w:t>
            </w:r>
          </w:p>
        </w:tc>
        <w:tc>
          <w:tcPr>
            <w:tcW w:w="1780" w:type="dxa"/>
            <w:vAlign w:val="bottom"/>
            <w:vMerge w:val="restart"/>
            <w:shd w:val="clear" w:color="auto" w:fill="CCEEFF"/>
          </w:tcPr>
          <w:p>
            <w:pPr>
              <w:jc w:val="right"/>
              <w:ind w:right="435"/>
              <w:spacing w:after="0"/>
              <w:rPr>
                <w:sz w:val="20"/>
                <w:szCs w:val="20"/>
                <w:color w:val="auto"/>
              </w:rPr>
            </w:pPr>
            <w:r>
              <w:rPr>
                <w:rFonts w:ascii="Arial" w:cs="Arial" w:eastAsia="Arial" w:hAnsi="Arial"/>
                <w:sz w:val="14"/>
                <w:szCs w:val="14"/>
                <w:b w:val="1"/>
                <w:bCs w:val="1"/>
                <w:color w:val="auto"/>
              </w:rPr>
              <w:t>12/31/2021</w:t>
            </w:r>
          </w:p>
        </w:tc>
        <w:tc>
          <w:tcPr>
            <w:tcW w:w="100" w:type="dxa"/>
            <w:vAlign w:val="bottom"/>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gridSpan w:val="2"/>
            <w:vMerge w:val="continue"/>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3700" w:type="dxa"/>
            <w:vAlign w:val="bottom"/>
            <w:gridSpan w:val="2"/>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left="208"/>
              <w:spacing w:after="0"/>
              <w:rPr>
                <w:sz w:val="20"/>
                <w:szCs w:val="20"/>
                <w:color w:val="auto"/>
              </w:rPr>
            </w:pPr>
            <w:r>
              <w:rPr>
                <w:rFonts w:ascii="Arial" w:cs="Arial" w:eastAsia="Arial" w:hAnsi="Arial"/>
                <w:sz w:val="14"/>
                <w:szCs w:val="14"/>
                <w:b w:val="1"/>
                <w:bCs w:val="1"/>
                <w:color w:val="auto"/>
              </w:rPr>
              <w:t>authorized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 Purchased</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12/31/2022</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February 2019</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525,910</w:t>
            </w: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(525,910)</w:t>
            </w:r>
          </w:p>
        </w:tc>
        <w:tc>
          <w:tcPr>
            <w:tcW w:w="12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(6,224,783)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8,775,217</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15,525,910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(6,750,693)</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8,775,217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980 stockholders of record and approximately 572,000 beneficial stockholder accounts held by brokers, banks, and other intermediaries holding our common stock. Common stock owned outright by our associates and directors, combined with outstanding vested stock options and unvested restricted stock awards, total approximately 7.4% of our outstanding stock and outstanding vested stock options at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2022 revenues and net income are derived primarily from investment advisory services provided to individual and institutional investors in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manage a broad mix of equity, fixed income, multi-asset, alternative, and money market asset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 -investment entities") and a majority of the equity interests in entities that have interests in general partners of affiliated private investment funds and are entitled to a disproportionate allocation of income (the "carried interest entities"). The acquisition accelerates our expansion into alternatives investment markets and complements our existing global platform and ongoing strategic initiatives in our core investments and distribution capabilities. Alternative credit strategies continue to be in demand from investors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across the globe seeking attractive yields and risk-adjusted returns. As of December 31, 2022, OHA had $57 billion of capital under management (which includes net asset value, portfolio value and/or unfunded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Major U.S. stock indexes fell sharply in 2022, the worst year for equities since the 2008 global financial crisis. Growth stocks significantly underperformed value stocks across all markets. Investors shunned riskier assets in response to Russia’s invasion of Ukraine, elevated inflation exacerbated by rising commodity prices and global supply chain disruptions, surging U.S. Treasury yields, and the U.S. Federal Reserve’s ("Federal Reserve") short-term interest rate increases starting in March. Although many indexes finished the year above their lowest levels of 2022, the year ended with many investors concerned that ongoing Federal Reserve rate hikes would hurt corporate earnings and push the economy into a recession in 2023.</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Stocks in developed non-U.S. markets declined in 2022, as elevated inflation prompted many central banks to tighten their monetary policies. A stronger U.S. dollar versus major currencies exacerbated local losses in dollar terms. Developed European and Asian markets fell broadly in dollar terms, though stocks in the UK, Hong Kong, and Australia held up relatively well.</w:t>
      </w:r>
    </w:p>
    <w:p>
      <w:pPr>
        <w:spacing w:after="0" w:line="19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Stocks in emerging markets fared worse than developed non-U.S. markets in 2022. Emerging Asian markets were mostly lower in dollar terms, especially South Korea, Taiwan, and China. In emerging Europe, many markets declined amid close proximity to the Russian-Ukrainian conflict. However, Turkish stocks soared as the central bank reduced interest rates in the latter half of the year despite elevated inflation. Several markets in Latin America performed well, thanks in part to elevated commodity prices for much of the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Returns of several major equity market indexes for 2022 are as follows:</w:t>
            </w:r>
          </w:p>
        </w:tc>
        <w:tc>
          <w:tcPr>
            <w:tcW w:w="3360" w:type="dxa"/>
            <w:vAlign w:val="bottom"/>
          </w:tcPr>
          <w:p>
            <w:pPr>
              <w:spacing w:after="0"/>
              <w:rPr>
                <w:sz w:val="20"/>
                <w:szCs w:val="20"/>
                <w:color w:val="auto"/>
              </w:rPr>
            </w:pPr>
          </w:p>
        </w:tc>
      </w:tr>
      <w:tr>
        <w:trPr>
          <w:trHeight w:val="104"/>
        </w:trPr>
        <w:tc>
          <w:tcPr>
            <w:tcW w:w="7860" w:type="dxa"/>
            <w:vAlign w:val="bottom"/>
          </w:tcPr>
          <w:p>
            <w:pPr>
              <w:spacing w:after="0"/>
              <w:rPr>
                <w:sz w:val="9"/>
                <w:szCs w:val="9"/>
                <w:color w:val="auto"/>
              </w:rPr>
            </w:pPr>
          </w:p>
        </w:tc>
        <w:tc>
          <w:tcPr>
            <w:tcW w:w="3360" w:type="dxa"/>
            <w:vAlign w:val="bottom"/>
          </w:tcPr>
          <w:p>
            <w:pPr>
              <w:spacing w:after="0"/>
              <w:rPr>
                <w:sz w:val="9"/>
                <w:szCs w:val="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3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(18.1)%</w:t>
            </w:r>
          </w:p>
        </w:tc>
      </w:tr>
      <w:tr>
        <w:trPr>
          <w:trHeight w:val="230"/>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3360" w:type="dxa"/>
            <w:vAlign w:val="bottom"/>
          </w:tcPr>
          <w:p>
            <w:pPr>
              <w:jc w:val="right"/>
              <w:ind w:right="450"/>
              <w:spacing w:after="0"/>
              <w:rPr>
                <w:sz w:val="20"/>
                <w:szCs w:val="20"/>
                <w:color w:val="auto"/>
              </w:rPr>
            </w:pPr>
            <w:r>
              <w:rPr>
                <w:rFonts w:ascii="Arial" w:cs="Arial" w:eastAsia="Arial" w:hAnsi="Arial"/>
                <w:sz w:val="18"/>
                <w:szCs w:val="18"/>
                <w:color w:val="auto"/>
              </w:rPr>
              <w:t>(33.1)%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3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(20.4)%</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3360" w:type="dxa"/>
            <w:vAlign w:val="bottom"/>
          </w:tcPr>
          <w:p>
            <w:pPr>
              <w:jc w:val="right"/>
              <w:ind w:right="450"/>
              <w:spacing w:after="0"/>
              <w:rPr>
                <w:sz w:val="20"/>
                <w:szCs w:val="20"/>
                <w:color w:val="auto"/>
              </w:rPr>
            </w:pPr>
            <w:r>
              <w:rPr>
                <w:rFonts w:ascii="Arial" w:cs="Arial" w:eastAsia="Arial" w:hAnsi="Arial"/>
                <w:sz w:val="18"/>
                <w:szCs w:val="18"/>
                <w:color w:val="auto"/>
              </w:rPr>
              <w:t>(14.0)%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3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(19.7)%</w:t>
            </w:r>
          </w:p>
        </w:tc>
      </w:tr>
    </w:tbl>
    <w:p>
      <w:pPr>
        <w:spacing w:after="0" w:line="87"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Global bond returns were broadly negative as bond market interest rates climbed worldwide and many central banks increased their key interest rates to fight inflation. In the U.S., yields rose across the Treasury yield curve, with short- and intermediate-term yields rising above longer-term yields—often a signal of an approaching recession—as the Federal Reserve raised the fed funds target rate from near-zero in March to the 4.25% to 4.50% range by the end of the year. The 10-year U.S. Treasury note yield increased from 1.52% to 3.88% in 2022.</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 U.S. taxable investment-grade universe, corporate bonds fell sharply as interest rates rose and credit spreads widened. Treasury and mortgage-backed securities also fared poorly. Asset-backed securities held up relatively well but still produced losses. Tax-free municipal bonds declined but outperformed the taxable bond market. High yield bonds also fared poorly as credit spreads widened.</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Bonds in developed non-U.S. markets declined in 2022, as interest rates in most developed countries increased amid elevated inflation, and losses to U.S. investors were exacerbated by a stronger U.S. dollar versus many other currencies. Emerging markets bonds declined as investors were risk averse and as central banks in many emerging countries raised interest rates to fight inflation and defend weakening currencies.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100" w:type="dxa"/>
        <w:tblCellMar>
          <w:top w:w="0" w:type="dxa"/>
          <w:left w:w="0" w:type="dxa"/>
          <w:bottom w:w="0" w:type="dxa"/>
          <w:right w:w="0" w:type="dxa"/>
        </w:tblCellMar>
      </w:tblPr>
      <w:tr>
        <w:trPr>
          <w:trHeight w:val="207"/>
        </w:trPr>
        <w:tc>
          <w:tcPr>
            <w:tcW w:w="7820" w:type="dxa"/>
            <w:vAlign w:val="bottom"/>
            <w:gridSpan w:val="2"/>
          </w:tcPr>
          <w:p>
            <w:pPr>
              <w:spacing w:after="0"/>
              <w:rPr>
                <w:sz w:val="20"/>
                <w:szCs w:val="20"/>
                <w:color w:val="auto"/>
              </w:rPr>
            </w:pPr>
            <w:r>
              <w:rPr>
                <w:rFonts w:ascii="Arial" w:cs="Arial" w:eastAsia="Arial" w:hAnsi="Arial"/>
                <w:sz w:val="18"/>
                <w:szCs w:val="18"/>
                <w:color w:val="006EBF"/>
              </w:rPr>
              <w:t>Table of Contents</w:t>
            </w:r>
          </w:p>
        </w:tc>
        <w:tc>
          <w:tcPr>
            <w:tcW w:w="3400" w:type="dxa"/>
            <w:vAlign w:val="bottom"/>
          </w:tcPr>
          <w:p>
            <w:pPr>
              <w:spacing w:after="0"/>
              <w:rPr>
                <w:sz w:val="17"/>
                <w:szCs w:val="17"/>
                <w:color w:val="auto"/>
              </w:rPr>
            </w:pPr>
          </w:p>
        </w:tc>
      </w:tr>
      <w:tr>
        <w:trPr>
          <w:trHeight w:val="20"/>
        </w:trPr>
        <w:tc>
          <w:tcPr>
            <w:tcW w:w="1400" w:type="dxa"/>
            <w:vAlign w:val="bottom"/>
            <w:shd w:val="clear" w:color="auto" w:fill="006EBF"/>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794"/>
        </w:trPr>
        <w:tc>
          <w:tcPr>
            <w:tcW w:w="7820" w:type="dxa"/>
            <w:vAlign w:val="bottom"/>
            <w:gridSpan w:val="2"/>
          </w:tcPr>
          <w:p>
            <w:pPr>
              <w:spacing w:after="0"/>
              <w:rPr>
                <w:sz w:val="20"/>
                <w:szCs w:val="20"/>
                <w:color w:val="auto"/>
              </w:rPr>
            </w:pPr>
            <w:r>
              <w:rPr>
                <w:rFonts w:ascii="Arial" w:cs="Arial" w:eastAsia="Arial" w:hAnsi="Arial"/>
                <w:sz w:val="18"/>
                <w:szCs w:val="18"/>
                <w:color w:val="auto"/>
              </w:rPr>
              <w:t>Returns of several major bond market indexes for 2022 are as follows:</w:t>
            </w:r>
          </w:p>
        </w:tc>
        <w:tc>
          <w:tcPr>
            <w:tcW w:w="3400" w:type="dxa"/>
            <w:vAlign w:val="bottom"/>
          </w:tcPr>
          <w:p>
            <w:pPr>
              <w:spacing w:after="0"/>
              <w:rPr>
                <w:sz w:val="24"/>
                <w:szCs w:val="24"/>
                <w:color w:val="auto"/>
              </w:rPr>
            </w:pPr>
          </w:p>
        </w:tc>
      </w:tr>
      <w:tr>
        <w:trPr>
          <w:trHeight w:val="117"/>
        </w:trPr>
        <w:tc>
          <w:tcPr>
            <w:tcW w:w="7820" w:type="dxa"/>
            <w:vAlign w:val="bottom"/>
            <w:gridSpan w:val="2"/>
          </w:tcPr>
          <w:p>
            <w:pPr>
              <w:spacing w:after="0"/>
              <w:rPr>
                <w:sz w:val="10"/>
                <w:szCs w:val="10"/>
                <w:color w:val="auto"/>
              </w:rPr>
            </w:pPr>
          </w:p>
        </w:tc>
        <w:tc>
          <w:tcPr>
            <w:tcW w:w="3400" w:type="dxa"/>
            <w:vAlign w:val="bottom"/>
          </w:tcPr>
          <w:p>
            <w:pPr>
              <w:spacing w:after="0"/>
              <w:rPr>
                <w:sz w:val="10"/>
                <w:szCs w:val="10"/>
                <w:color w:val="auto"/>
              </w:rPr>
            </w:pPr>
          </w:p>
        </w:tc>
      </w:tr>
      <w:tr>
        <w:trPr>
          <w:trHeight w:val="23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34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rPr>
              <w:t>(13.0)%</w:t>
            </w: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3400" w:type="dxa"/>
            <w:vAlign w:val="bottom"/>
          </w:tcPr>
          <w:p>
            <w:pPr>
              <w:jc w:val="center"/>
              <w:ind w:left="1590"/>
              <w:spacing w:after="0"/>
              <w:rPr>
                <w:sz w:val="20"/>
                <w:szCs w:val="20"/>
                <w:color w:val="auto"/>
              </w:rPr>
            </w:pPr>
            <w:r>
              <w:rPr>
                <w:rFonts w:ascii="Arial" w:cs="Arial" w:eastAsia="Arial" w:hAnsi="Arial"/>
                <w:sz w:val="18"/>
                <w:szCs w:val="18"/>
                <w:color w:val="auto"/>
              </w:rPr>
              <w:t>(10.2)%</w:t>
            </w:r>
          </w:p>
        </w:tc>
      </w:tr>
      <w:tr>
        <w:trPr>
          <w:trHeight w:val="23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34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8"/>
              </w:rPr>
              <w:t>(8.5)%</w:t>
            </w: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3400" w:type="dxa"/>
            <w:vAlign w:val="bottom"/>
          </w:tcPr>
          <w:p>
            <w:pPr>
              <w:jc w:val="center"/>
              <w:ind w:left="1590"/>
              <w:spacing w:after="0"/>
              <w:rPr>
                <w:sz w:val="20"/>
                <w:szCs w:val="20"/>
                <w:color w:val="auto"/>
              </w:rPr>
            </w:pPr>
            <w:r>
              <w:rPr>
                <w:rFonts w:ascii="Arial" w:cs="Arial" w:eastAsia="Arial" w:hAnsi="Arial"/>
                <w:sz w:val="18"/>
                <w:szCs w:val="18"/>
                <w:color w:val="auto"/>
              </w:rPr>
              <w:t>(18.7)%</w:t>
            </w:r>
          </w:p>
        </w:tc>
      </w:tr>
      <w:tr>
        <w:trPr>
          <w:trHeight w:val="22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34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rPr>
              <w:t>(24.7)%</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3400" w:type="dxa"/>
            <w:vAlign w:val="bottom"/>
          </w:tcPr>
          <w:p>
            <w:pPr>
              <w:jc w:val="center"/>
              <w:ind w:left="1610"/>
              <w:spacing w:after="0"/>
              <w:rPr>
                <w:sz w:val="20"/>
                <w:szCs w:val="20"/>
                <w:color w:val="auto"/>
              </w:rPr>
            </w:pPr>
            <w:r>
              <w:rPr>
                <w:rFonts w:ascii="Arial" w:cs="Arial" w:eastAsia="Arial" w:hAnsi="Arial"/>
                <w:sz w:val="18"/>
                <w:szCs w:val="18"/>
                <w:color w:val="auto"/>
                <w:w w:val="98"/>
              </w:rPr>
              <w:t>(11.2)%</w:t>
            </w:r>
          </w:p>
        </w:tc>
      </w:tr>
      <w:tr>
        <w:trPr>
          <w:trHeight w:val="22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Suisse Leveraged Loan Index</w:t>
            </w:r>
          </w:p>
        </w:tc>
        <w:tc>
          <w:tcPr>
            <w:tcW w:w="34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8"/>
              </w:rPr>
              <w:t>(1.1)%</w:t>
            </w:r>
          </w:p>
        </w:tc>
      </w:tr>
    </w:tbl>
    <w:p>
      <w:pPr>
        <w:spacing w:after="0" w:line="30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50" w:lineRule="exact"/>
        <w:rPr>
          <w:sz w:val="20"/>
          <w:szCs w:val="20"/>
          <w:color w:val="auto"/>
        </w:rPr>
      </w:pPr>
    </w:p>
    <w:p>
      <w:pPr>
        <w:ind w:left="100" w:right="20"/>
        <w:spacing w:after="0" w:line="262" w:lineRule="auto"/>
        <w:rPr>
          <w:sz w:val="20"/>
          <w:szCs w:val="20"/>
          <w:color w:val="auto"/>
        </w:rPr>
      </w:pPr>
      <w:r>
        <w:rPr>
          <w:rFonts w:ascii="Arial" w:cs="Arial" w:eastAsia="Arial" w:hAnsi="Arial"/>
          <w:sz w:val="18"/>
          <w:szCs w:val="18"/>
          <w:color w:val="auto"/>
        </w:rPr>
        <w:t>Assets under management ended 2022 at $1,274.7 billion, a decrease of $413.1 billion from the end of 2021. This decrease was primarily driven by net market depreciation and losses, including distributions not reinvested, of $ 351.4 billion and net cash outflows of $61.7 billion for 2022. Clients transferred $12.4 billion in net assets from the U.S. mutual funds primarily to collective investment trusts, of which $8.7 billion transferred into the retirement date trusts.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details changes in our assets under management by vehicle during the last three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Collective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00"/>
              <w:spacing w:after="0" w:line="145"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U.S. mutual</w:t>
            </w:r>
          </w:p>
        </w:tc>
        <w:tc>
          <w:tcPr>
            <w:tcW w:w="1300" w:type="dxa"/>
            <w:vAlign w:val="bottom"/>
            <w:gridSpan w:val="3"/>
            <w:vMerge w:val="continue"/>
            <w:shd w:val="clear" w:color="auto" w:fill="CCEEFF"/>
          </w:tcPr>
          <w:p>
            <w:pPr>
              <w:spacing w:after="0"/>
              <w:rPr>
                <w:sz w:val="12"/>
                <w:szCs w:val="12"/>
                <w:color w:val="auto"/>
              </w:rPr>
            </w:pPr>
          </w:p>
        </w:tc>
        <w:tc>
          <w:tcPr>
            <w:tcW w:w="1320" w:type="dxa"/>
            <w:vAlign w:val="bottom"/>
            <w:gridSpan w:val="3"/>
            <w:shd w:val="clear" w:color="auto" w:fill="CCEEFF"/>
          </w:tcPr>
          <w:p>
            <w:pPr>
              <w:jc w:val="center"/>
              <w:ind w:right="100"/>
              <w:spacing w:after="0" w:line="139" w:lineRule="exact"/>
              <w:rPr>
                <w:sz w:val="20"/>
                <w:szCs w:val="20"/>
                <w:color w:val="auto"/>
              </w:rPr>
            </w:pPr>
            <w:r>
              <w:rPr>
                <w:rFonts w:ascii="Arial" w:cs="Arial" w:eastAsia="Arial" w:hAnsi="Arial"/>
                <w:sz w:val="14"/>
                <w:szCs w:val="14"/>
                <w:b w:val="1"/>
                <w:bCs w:val="1"/>
                <w:color w:val="auto"/>
              </w:rPr>
              <w:t>trusts and other</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00"/>
              <w:spacing w:after="0" w:line="145" w:lineRule="exact"/>
              <w:rPr>
                <w:sz w:val="20"/>
                <w:szCs w:val="20"/>
                <w:color w:val="auto"/>
              </w:rPr>
            </w:pPr>
            <w:r>
              <w:rPr>
                <w:rFonts w:ascii="Arial" w:cs="Arial" w:eastAsia="Arial" w:hAnsi="Arial"/>
                <w:sz w:val="14"/>
                <w:szCs w:val="14"/>
                <w:b w:val="1"/>
                <w:bCs w:val="1"/>
                <w:color w:val="auto"/>
              </w:rPr>
              <w:t>separate</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00"/>
              <w:spacing w:after="0" w:line="145"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funds</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accounts</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products</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Assets under management at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682.7</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89"/>
        </w:trPr>
        <w:tc>
          <w:tcPr>
            <w:tcW w:w="6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Net cash flows before client transfers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Client transfers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6"/>
                <w:szCs w:val="16"/>
                <w:color w:val="auto"/>
              </w:rPr>
              <w:t>Net cash flows after client transfers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market appreciation and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Distributions not reinvested</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Acquired assets under management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89"/>
        </w:trPr>
        <w:tc>
          <w:tcPr>
            <w:tcW w:w="6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Assets under management at December 31, 2020</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89"/>
        </w:trPr>
        <w:tc>
          <w:tcPr>
            <w:tcW w:w="6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Net cash flows before client transfers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Client transfers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6"/>
                <w:szCs w:val="16"/>
                <w:color w:val="auto"/>
              </w:rPr>
              <w:t>Net cash flows after client transfers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market appreciation and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Distributions not reinvested</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Acquired fee-basis assets under management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 under management at December 31, 2021</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89"/>
        </w:trPr>
        <w:tc>
          <w:tcPr>
            <w:tcW w:w="6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before client transfers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Client transfers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after client transfers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Net market depreciation and losses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not reinvested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(243.6)</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23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 under management at December 31, 2022</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0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22"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Fixed income,</w:t>
      </w:r>
    </w:p>
    <w:p>
      <w:pPr>
        <w:jc w:val="center"/>
        <w:ind w:left="2020"/>
        <w:spacing w:after="0" w:line="208" w:lineRule="auto"/>
        <w:rPr>
          <w:sz w:val="20"/>
          <w:szCs w:val="20"/>
          <w:color w:val="auto"/>
        </w:rPr>
      </w:pPr>
      <w:r>
        <w:rPr>
          <w:rFonts w:ascii="Arial" w:cs="Arial" w:eastAsia="Arial" w:hAnsi="Arial"/>
          <w:sz w:val="14"/>
          <w:szCs w:val="14"/>
          <w:b w:val="1"/>
          <w:bCs w:val="1"/>
          <w:color w:val="auto"/>
        </w:rPr>
        <w:t>including money</w:t>
      </w:r>
    </w:p>
    <w:tbl>
      <w:tblPr>
        <w:tblLayout w:type="fixed"/>
        <w:tblInd w:w="0" w:type="dxa"/>
        <w:tblCellMar>
          <w:top w:w="0" w:type="dxa"/>
          <w:left w:w="0" w:type="dxa"/>
          <w:bottom w:w="0" w:type="dxa"/>
          <w:right w:w="0" w:type="dxa"/>
        </w:tblCellMar>
      </w:tblPr>
      <w:tr>
        <w:trPr>
          <w:trHeight w:val="193"/>
        </w:trPr>
        <w:tc>
          <w:tcPr>
            <w:tcW w:w="474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Arial" w:cs="Arial" w:eastAsia="Arial" w:hAnsi="Arial"/>
                <w:sz w:val="14"/>
                <w:szCs w:val="14"/>
                <w:b w:val="1"/>
                <w:bCs w:val="1"/>
                <w:color w:val="auto"/>
              </w:rPr>
              <w:t>Multi-asset</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1260" w:type="dxa"/>
            <w:vAlign w:val="bottom"/>
            <w:gridSpan w:val="2"/>
          </w:tcPr>
          <w:p>
            <w:pPr>
              <w:ind w:left="40"/>
              <w:spacing w:after="0" w:line="194" w:lineRule="exact"/>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26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Assets under management at December 31, 2019</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360.0</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1,206.8</w:t>
            </w:r>
          </w:p>
        </w:tc>
      </w:tr>
      <w:tr>
        <w:trPr>
          <w:trHeight w:val="89"/>
        </w:trPr>
        <w:tc>
          <w:tcPr>
            <w:tcW w:w="47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Net market appreciation and income</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Acquired assets under management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r>
      <w:tr>
        <w:trPr>
          <w:trHeight w:val="89"/>
        </w:trPr>
        <w:tc>
          <w:tcPr>
            <w:tcW w:w="4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management at December 31, 2020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w:t>
            </w:r>
          </w:p>
        </w:tc>
      </w:tr>
      <w:tr>
        <w:trPr>
          <w:trHeight w:val="89"/>
        </w:trPr>
        <w:tc>
          <w:tcPr>
            <w:tcW w:w="47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Net market appreciation and income</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198.9</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fee-basis assets under management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217.3</w:t>
            </w:r>
          </w:p>
        </w:tc>
      </w:tr>
      <w:tr>
        <w:trPr>
          <w:trHeight w:val="109"/>
        </w:trPr>
        <w:tc>
          <w:tcPr>
            <w:tcW w:w="4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Assets under management at December 31, 2021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1,687.8</w:t>
            </w:r>
          </w:p>
        </w:tc>
      </w:tr>
      <w:tr>
        <w:trPr>
          <w:trHeight w:val="89"/>
        </w:trPr>
        <w:tc>
          <w:tcPr>
            <w:tcW w:w="47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17"/>
        </w:trPr>
        <w:tc>
          <w:tcPr>
            <w:tcW w:w="4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Net market depreciation and losses</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w:t>
            </w:r>
          </w:p>
        </w:tc>
      </w:tr>
      <w:tr>
        <w:trPr>
          <w:trHeight w:val="24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w:t>
            </w:r>
          </w:p>
        </w:tc>
      </w:tr>
      <w:tr>
        <w:trPr>
          <w:trHeight w:val="216"/>
        </w:trPr>
        <w:tc>
          <w:tcPr>
            <w:tcW w:w="47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 under management at December 31, 2022</w:t>
            </w:r>
          </w:p>
        </w:tc>
        <w:tc>
          <w:tcPr>
            <w:tcW w:w="240" w:type="dxa"/>
            <w:vAlign w:val="bottom"/>
            <w:tcBorders>
              <w:top w:val="single" w:sz="8" w:color="CCEEFF"/>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664.2</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167.0</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400.1</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1,274.7</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80" w:right="160" w:hanging="172"/>
        <w:spacing w:after="0" w:line="264" w:lineRule="auto"/>
        <w:tabs>
          <w:tab w:leader="none" w:pos="158"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ind w:left="180" w:right="100" w:hanging="161"/>
        <w:spacing w:after="0" w:line="278"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 xml:space="preserve"> The alternatives asset class includes strategies authorized to invest more than 50% of its holdings in private credit, leveraged loans,</w:t>
      </w:r>
      <w:r>
        <w:rPr>
          <w:sz w:val="20"/>
          <w:szCs w:val="20"/>
          <w:color w:val="auto"/>
        </w:rPr>
        <w:t xml:space="preserve"> </w:t>
      </w:r>
      <w:r>
        <w:rPr>
          <w:rFonts w:ascii="Arial" w:cs="Arial" w:eastAsia="Arial" w:hAnsi="Arial"/>
          <w:sz w:val="14"/>
          <w:szCs w:val="14"/>
          <w:i w:val="1"/>
          <w:iCs w:val="1"/>
          <w:color w:val="auto"/>
        </w:rPr>
        <w:t>mezzanine, real assets/CRE, structured products, stressed/distressed, non-investment grade CLOs, special situations, or have absolute return as its investment objective. Generally, only those strategies with longer than daily liquidity are included.</w:t>
      </w:r>
    </w:p>
    <w:p>
      <w:pPr>
        <w:spacing w:after="0" w:line="14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Reported net of distributions not reinvested.</w:t>
      </w:r>
    </w:p>
    <w:p>
      <w:pPr>
        <w:spacing w:after="0" w:line="23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Investment advisory clients outside the U.S. account for 9.1% of our assets under management at December 31, 2022 and 9.9% at December 31, 2021.</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net cash outflows in 2022 are driven primarily by our growth-oriented equity strategies sourced from U.S. intermediaries. These outflows were partially offset by net cash inflows in our international fixed income, multi-asset, and alternative strategies. From a geography perspective, the Americas and EMEA regions experienced net outflows predominantly in equity in both regions, while APAC had positive net flows. Net cash flows for 2021 reflect net outflows from domestic equity as well as domestic fixed income. These outflows also reflect the redemption of about $2.5 billion from our U.S. mutual fund investments to fund the cash portion of the OHA acquisition. These outflows were partially offset by cash inflows in our multi-asset franchise and international fixed income. From a geography perspective, the Americas and EMEA regions experienced net outflows predominantly in equity in both regions, while APAC had positive net flows. Net cash flows for 2020 reflect positive flows into fixed income and international equity, while experiencing net outflows in domestic equity and our multi-asset franchise resulting from macroeconomic headwinds and ongoing pressure from passive investments.</w:t>
      </w:r>
    </w:p>
    <w:p>
      <w:pPr>
        <w:spacing w:after="0" w:line="20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our target date retirement products as well as net cash inflows/(outflows), by vehicle,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Assets under management</w:t>
            </w: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3680" w:type="dxa"/>
            <w:vAlign w:val="bottom"/>
            <w:tcBorders>
              <w:bottom w:val="single" w:sz="8" w:color="auto"/>
            </w:tcBorders>
            <w:gridSpan w:val="7"/>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Net cash inflows/(outflows) for year ended</w:t>
            </w:r>
          </w:p>
        </w:tc>
      </w:tr>
      <w:tr>
        <w:trPr>
          <w:trHeight w:val="195"/>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12/31/22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12/31/22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w:t>
            </w:r>
          </w:p>
        </w:tc>
      </w:tr>
      <w:tr>
        <w:trPr>
          <w:trHeight w:val="224"/>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managed accounts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63"/>
        </w:trPr>
        <w:tc>
          <w:tcPr>
            <w:tcW w:w="31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December 31, 2022, total assets in these solutions were $410 billion, of which $403 billion are included in our reported assets under management in the tables above.</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managed outside of the firm's complex. As of December 31, 2022, our assets under administration were $214 billion, of which nearly $133 billion were assets we manage.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following table presents investment performance for the one-, three-, five-, and 10-years ended December 31, 2022. Past performance is no guarantee of future results.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66%</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74%</w:t>
            </w:r>
          </w:p>
        </w:tc>
      </w:tr>
      <w:tr>
        <w:trPr>
          <w:trHeight w:val="109"/>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45%</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80%</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70%</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17%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bl>
    <w:p>
      <w:pPr>
        <w:spacing w:after="0" w:line="347"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As of December 31, 2022, 72 of 125 (57.6%) of our rated U.S. mutual funds (across primary share classes) received an overall rating of 4 or 5 stars. By comparison, 32.5% of Morningstar's fund population is given a rate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65.9%</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our rated U.S. mutual funds (across primary share classes) ended 2022 with an overall rating of 4 or 5 stars.</w:t>
      </w:r>
    </w:p>
    <w:p>
      <w:pPr>
        <w:spacing w:after="0" w:line="225"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sponsored mutual funds and composites AUM.</w:t>
      </w:r>
    </w:p>
    <w:p>
      <w:pPr>
        <w:ind w:right="200" w:firstLine="8"/>
        <w:spacing w:after="0" w:line="247" w:lineRule="auto"/>
        <w:tabs>
          <w:tab w:leader="none" w:pos="122" w:val="left"/>
        </w:tabs>
        <w:numPr>
          <w:ilvl w:val="0"/>
          <w:numId w:val="21"/>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2022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jc w:val="both"/>
        <w:ind w:right="60" w:firstLine="8"/>
        <w:spacing w:after="0" w:line="220" w:lineRule="auto"/>
        <w:tabs>
          <w:tab w:leader="none" w:pos="135" w:val="left"/>
        </w:tabs>
        <w:numPr>
          <w:ilvl w:val="0"/>
          <w:numId w:val="2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$298B for 1 year, $297B for 3 years, $297B for 5 years, and $293B for 10 years.</w:t>
      </w:r>
    </w:p>
    <w:p>
      <w:pPr>
        <w:spacing w:after="0" w:line="2" w:lineRule="exact"/>
        <w:rPr>
          <w:rFonts w:ascii="Arial" w:cs="Arial" w:eastAsia="Arial" w:hAnsi="Arial"/>
          <w:sz w:val="15"/>
          <w:szCs w:val="15"/>
          <w:i w:val="1"/>
          <w:iCs w:val="1"/>
          <w:color w:val="auto"/>
          <w:vertAlign w:val="superscript"/>
        </w:rPr>
      </w:pPr>
    </w:p>
    <w:p>
      <w:pPr>
        <w:ind w:firstLine="8"/>
        <w:spacing w:after="0" w:line="223" w:lineRule="auto"/>
        <w:tabs>
          <w:tab w:leader="none" w:pos="135" w:val="left"/>
        </w:tabs>
        <w:numPr>
          <w:ilvl w:val="0"/>
          <w:numId w:val="2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with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$282B for 1 year, $252B for 3 years, $249B for 5 years, and $236B for 10 years.</w:t>
      </w:r>
    </w:p>
    <w:p>
      <w:pPr>
        <w:spacing w:after="0" w:line="1" w:lineRule="exact"/>
        <w:rPr>
          <w:rFonts w:ascii="Arial" w:cs="Arial" w:eastAsia="Arial" w:hAnsi="Arial"/>
          <w:sz w:val="15"/>
          <w:szCs w:val="15"/>
          <w:i w:val="1"/>
          <w:iCs w:val="1"/>
          <w:color w:val="auto"/>
          <w:vertAlign w:val="superscript"/>
        </w:rPr>
      </w:pPr>
    </w:p>
    <w:p>
      <w:pPr>
        <w:spacing w:after="0" w:line="204" w:lineRule="auto"/>
        <w:rPr>
          <w:rFonts w:ascii="Arial" w:cs="Arial" w:eastAsia="Arial" w:hAnsi="Arial"/>
          <w:sz w:val="15"/>
          <w:szCs w:val="15"/>
          <w:i w:val="1"/>
          <w:iCs w:val="1"/>
          <w:color w:val="auto"/>
          <w:vertAlign w:val="superscript"/>
        </w:rPr>
      </w:pPr>
      <w:r>
        <w:rPr>
          <w:rFonts w:ascii="Arial" w:cs="Arial" w:eastAsia="Arial" w:hAnsi="Arial"/>
          <w:sz w:val="16"/>
          <w:szCs w:val="16"/>
          <w:i w:val="1"/>
          <w:iCs w:val="1"/>
          <w:color w:val="auto"/>
          <w:vertAlign w:val="superscript"/>
        </w:rPr>
        <w:t>(5)</w:t>
      </w:r>
      <w:r>
        <w:rPr>
          <w:rFonts w:ascii="Arial" w:cs="Arial" w:eastAsia="Arial" w:hAnsi="Arial"/>
          <w:sz w:val="13"/>
          <w:szCs w:val="13"/>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$1,117B for 1 year, $1,112B for 3 years, $1,108B for 5 years, and $1,070B for 10 years.</w:t>
      </w:r>
    </w:p>
    <w:p>
      <w:pPr>
        <w:spacing w:after="0" w:line="2" w:lineRule="exact"/>
        <w:rPr>
          <w:rFonts w:ascii="Arial" w:cs="Arial" w:eastAsia="Arial" w:hAnsi="Arial"/>
          <w:sz w:val="15"/>
          <w:szCs w:val="15"/>
          <w:i w:val="1"/>
          <w:iCs w:val="1"/>
          <w:color w:val="auto"/>
          <w:vertAlign w:val="superscript"/>
        </w:rPr>
      </w:pPr>
    </w:p>
    <w:p>
      <w:pPr>
        <w:jc w:val="both"/>
        <w:ind w:right="120" w:firstLine="8"/>
        <w:spacing w:after="0" w:line="228" w:lineRule="auto"/>
        <w:tabs>
          <w:tab w:leader="none" w:pos="135" w:val="left"/>
        </w:tabs>
        <w:numPr>
          <w:ilvl w:val="0"/>
          <w:numId w:val="22"/>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and discussion set forth information regarding our consolidated financial results for 2022, 2021 and 2020 on a U.S. GAAP basis and a non-GAAP basis. The non-GAAP basis adjusts for the impact of our consolidated sponsored investment products, the impact of market movements on the supplemental savings plan liability and related economic hedges, investment income related to certain other investments, acquisition-related amortization and costs, impairment charges, and certain nonrecurring charges and gains, if any.</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completed the acquisition of OHA on December 29, 2021. As a result, our results of operations for 2021 and 2020 do not include any financial results of OHA.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2022 compared with 2021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2021 compared with 2020</w:t>
            </w:r>
          </w:p>
        </w:tc>
        <w:tc>
          <w:tcPr>
            <w:tcW w:w="0" w:type="dxa"/>
            <w:vAlign w:val="bottom"/>
          </w:tcPr>
          <w:p>
            <w:pPr>
              <w:spacing w:after="0"/>
              <w:rPr>
                <w:sz w:val="1"/>
                <w:szCs w:val="1"/>
                <w:color w:val="auto"/>
              </w:rPr>
            </w:pPr>
          </w:p>
        </w:tc>
      </w:tr>
      <w:tr>
        <w:trPr>
          <w:trHeight w:val="195"/>
        </w:trPr>
        <w:tc>
          <w:tcPr>
            <w:tcW w:w="2780" w:type="dxa"/>
            <w:vAlign w:val="bottom"/>
            <w:gridSpan w:val="4"/>
          </w:tcPr>
          <w:p>
            <w:pPr>
              <w:ind w:left="20"/>
              <w:spacing w:after="0"/>
              <w:rPr>
                <w:sz w:val="20"/>
                <w:szCs w:val="20"/>
                <w:color w:val="auto"/>
              </w:rPr>
            </w:pPr>
            <w:r>
              <w:rPr>
                <w:rFonts w:ascii="Arial" w:cs="Arial" w:eastAsia="Arial" w:hAnsi="Arial"/>
                <w:sz w:val="14"/>
                <w:szCs w:val="14"/>
                <w:color w:val="auto"/>
              </w:rPr>
              <w:t>(in millions, except per-share data)</w:t>
            </w:r>
          </w:p>
        </w:tc>
        <w:tc>
          <w:tcPr>
            <w:tcW w:w="24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1"/>
        </w:trPr>
        <w:tc>
          <w:tcPr>
            <w:tcW w:w="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8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rPr>
              <w:t>U.S. GAAP basis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9"/>
        </w:trPr>
        <w:tc>
          <w:tcPr>
            <w:tcW w:w="2780" w:type="dxa"/>
            <w:vAlign w:val="bottom"/>
            <w:gridSpan w:val="4"/>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6,488.4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7,671.9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6,206.7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30"/>
        </w:trPr>
        <w:tc>
          <w:tcPr>
            <w:tcW w:w="2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2780" w:type="dxa"/>
            <w:vAlign w:val="bottom"/>
            <w:gridSpan w:val="4"/>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2,373.7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3,710.0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2,745.7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29"/>
        </w:trPr>
        <w:tc>
          <w:tcPr>
            <w:tcW w:w="278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2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Net income attributable to</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1,557.9</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2,372.7</w:t>
            </w:r>
          </w:p>
        </w:tc>
        <w:tc>
          <w:tcPr>
            <w:tcW w:w="1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rPr>
                <w:sz w:val="20"/>
                <w:szCs w:val="20"/>
                <w:color w:val="auto"/>
              </w:rPr>
            </w:pPr>
            <w:r>
              <w:rPr>
                <w:rFonts w:ascii="Arial" w:cs="Arial" w:eastAsia="Arial" w:hAnsi="Arial"/>
                <w:sz w:val="18"/>
                <w:szCs w:val="18"/>
                <w:color w:val="auto"/>
              </w:rPr>
              <w:t>T. Rowe Price Group</w:t>
            </w:r>
          </w:p>
        </w:tc>
        <w:tc>
          <w:tcPr>
            <w:tcW w:w="240" w:type="dxa"/>
            <w:vAlign w:val="bottom"/>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7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common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43"/>
        </w:trPr>
        <w:tc>
          <w:tcPr>
            <w:tcW w:w="2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vMerge w:val="continue"/>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Weighted average common</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line="183" w:lineRule="exact"/>
              <w:rPr>
                <w:sz w:val="20"/>
                <w:szCs w:val="20"/>
                <w:color w:val="auto"/>
              </w:rPr>
            </w:pPr>
            <w:r>
              <w:rPr>
                <w:rFonts w:ascii="Arial" w:cs="Arial" w:eastAsia="Arial" w:hAnsi="Arial"/>
                <w:sz w:val="18"/>
                <w:szCs w:val="18"/>
                <w:color w:val="auto"/>
              </w:rPr>
              <w:t>shares outstanding assuming</w:t>
            </w:r>
          </w:p>
        </w:tc>
        <w:tc>
          <w:tcPr>
            <w:tcW w:w="24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2780" w:type="dxa"/>
            <w:vAlign w:val="bottom"/>
            <w:gridSpan w:val="4"/>
          </w:tcPr>
          <w:p>
            <w:pPr>
              <w:ind w:left="20"/>
              <w:spacing w:after="0"/>
              <w:rPr>
                <w:sz w:val="20"/>
                <w:szCs w:val="20"/>
                <w:color w:val="auto"/>
              </w:rPr>
            </w:pPr>
            <w:r>
              <w:rPr>
                <w:rFonts w:ascii="Arial" w:cs="Arial" w:eastAsia="Arial" w:hAnsi="Arial"/>
                <w:sz w:val="18"/>
                <w:szCs w:val="18"/>
                <w:color w:val="auto"/>
              </w:rPr>
              <w:t>dilution</w:t>
            </w:r>
          </w:p>
        </w:tc>
        <w:tc>
          <w:tcPr>
            <w:tcW w:w="2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780" w:type="dxa"/>
            <w:vAlign w:val="bottom"/>
            <w:gridSpan w:val="4"/>
          </w:tcPr>
          <w:p>
            <w:pPr>
              <w:ind w:left="20"/>
              <w:spacing w:after="0" w:line="189" w:lineRule="exact"/>
              <w:rPr>
                <w:sz w:val="20"/>
                <w:szCs w:val="20"/>
                <w:color w:val="auto"/>
              </w:rPr>
            </w:pPr>
            <w:r>
              <w:rPr>
                <w:rFonts w:ascii="Arial" w:cs="Arial" w:eastAsia="Arial" w:hAnsi="Arial"/>
                <w:sz w:val="17"/>
                <w:szCs w:val="17"/>
                <w:b w:val="1"/>
                <w:bCs w:val="1"/>
                <w:color w:val="auto"/>
              </w:rPr>
              <w:t>Adjusted basis</w:t>
            </w:r>
            <w:r>
              <w:rPr>
                <w:rFonts w:ascii="Arial" w:cs="Arial" w:eastAsia="Arial" w:hAnsi="Arial"/>
                <w:sz w:val="21"/>
                <w:szCs w:val="21"/>
                <w:b w:val="1"/>
                <w:bCs w:val="1"/>
                <w:color w:val="auto"/>
                <w:vertAlign w:val="superscript"/>
              </w:rPr>
              <w:t>(2)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176"/>
        </w:trPr>
        <w:tc>
          <w:tcPr>
            <w:tcW w:w="2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Net income attributable to</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1,864.8</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2,995.3</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2,276.8</w:t>
            </w:r>
          </w:p>
        </w:tc>
        <w:tc>
          <w:tcPr>
            <w:tcW w:w="1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rPr>
                <w:sz w:val="20"/>
                <w:szCs w:val="20"/>
                <w:color w:val="auto"/>
              </w:rPr>
            </w:pPr>
            <w:r>
              <w:rPr>
                <w:rFonts w:ascii="Arial" w:cs="Arial" w:eastAsia="Arial" w:hAnsi="Arial"/>
                <w:sz w:val="18"/>
                <w:szCs w:val="18"/>
                <w:color w:val="auto"/>
              </w:rPr>
              <w:t>T. Rowe Price Group</w:t>
            </w:r>
          </w:p>
        </w:tc>
        <w:tc>
          <w:tcPr>
            <w:tcW w:w="240" w:type="dxa"/>
            <w:vAlign w:val="bottom"/>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7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common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43"/>
        </w:trPr>
        <w:tc>
          <w:tcPr>
            <w:tcW w:w="2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vMerge w:val="continue"/>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20" w:type="dxa"/>
            <w:vAlign w:val="bottom"/>
            <w:gridSpan w:val="8"/>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Average assets under</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1,599.3</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1,247.9</w:t>
            </w:r>
          </w:p>
        </w:tc>
        <w:tc>
          <w:tcPr>
            <w:tcW w:w="1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line="243" w:lineRule="exact"/>
              <w:rPr>
                <w:sz w:val="20"/>
                <w:szCs w:val="20"/>
                <w:color w:val="auto"/>
              </w:rPr>
            </w:pPr>
            <w:r>
              <w:rPr>
                <w:rFonts w:ascii="Arial" w:cs="Arial" w:eastAsia="Arial" w:hAnsi="Arial"/>
                <w:sz w:val="18"/>
                <w:szCs w:val="18"/>
                <w:color w:val="auto"/>
              </w:rPr>
              <w:t>management</w:t>
            </w:r>
            <w:r>
              <w:rPr>
                <w:rFonts w:ascii="Arial" w:cs="Arial" w:eastAsia="Arial" w:hAnsi="Arial"/>
                <w:sz w:val="23"/>
                <w:szCs w:val="23"/>
                <w:color w:val="auto"/>
                <w:vertAlign w:val="superscript"/>
              </w:rPr>
              <w:t>(3)</w:t>
            </w:r>
          </w:p>
        </w:tc>
        <w:tc>
          <w:tcPr>
            <w:tcW w:w="240" w:type="dxa"/>
            <w:vAlign w:val="bottom"/>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Ending assets under management $</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175"/>
        </w:trPr>
        <w:tc>
          <w:tcPr>
            <w:tcW w:w="2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Annualized Effective Fee Rate (in</w:t>
            </w:r>
          </w:p>
        </w:tc>
        <w:tc>
          <w:tcPr>
            <w:tcW w:w="240" w:type="dxa"/>
            <w:vAlign w:val="bottom"/>
          </w:tcPr>
          <w:p>
            <w:pPr>
              <w:spacing w:after="0"/>
              <w:rPr>
                <w:sz w:val="15"/>
                <w:szCs w:val="15"/>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320" w:type="dxa"/>
            <w:vAlign w:val="bottom"/>
            <w:gridSpan w:val="2"/>
            <w:vMerge w:val="restart"/>
          </w:tcPr>
          <w:p>
            <w:pPr>
              <w:ind w:left="9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7"/>
        </w:trPr>
        <w:tc>
          <w:tcPr>
            <w:tcW w:w="2780" w:type="dxa"/>
            <w:vAlign w:val="bottom"/>
            <w:gridSpan w:val="4"/>
          </w:tcPr>
          <w:p>
            <w:pPr>
              <w:ind w:left="20"/>
              <w:spacing w:after="0"/>
              <w:rPr>
                <w:sz w:val="20"/>
                <w:szCs w:val="20"/>
                <w:color w:val="auto"/>
              </w:rPr>
            </w:pPr>
            <w:r>
              <w:rPr>
                <w:rFonts w:ascii="Arial" w:cs="Arial" w:eastAsia="Arial" w:hAnsi="Arial"/>
                <w:sz w:val="18"/>
                <w:szCs w:val="18"/>
                <w:color w:val="auto"/>
              </w:rPr>
              <w:t>bps)</w:t>
            </w:r>
          </w:p>
        </w:tc>
        <w:tc>
          <w:tcPr>
            <w:tcW w:w="24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percentage change in non-operating income is not meaningful (n/m).</w:t>
      </w:r>
    </w:p>
    <w:p>
      <w:pPr>
        <w:ind w:left="140" w:hanging="132"/>
        <w:spacing w:after="0"/>
        <w:tabs>
          <w:tab w:leader="none" w:pos="1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14" w:lineRule="exact"/>
        <w:rPr>
          <w:rFonts w:ascii="Arial" w:cs="Arial" w:eastAsia="Arial" w:hAnsi="Arial"/>
          <w:sz w:val="9"/>
          <w:szCs w:val="9"/>
          <w:i w:val="1"/>
          <w:iCs w:val="1"/>
          <w:color w:val="auto"/>
        </w:rPr>
      </w:pPr>
    </w:p>
    <w:p>
      <w:pPr>
        <w:ind w:left="160" w:hanging="152"/>
        <w:spacing w:after="0"/>
        <w:tabs>
          <w:tab w:leader="none" w:pos="16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Average assets under management for 2021 and 2020 do not include the impact of the acquired fee-basis assets under management related to the OHA acquisition.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- 2022 as compared to 2021</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Investment advisory revenues earned in 2022 decreased 15.9% over the comparable 2021 period as average assets under our management decreased $200.9 billion, or 12.6%, to $1,398.4 billion. For the first half of 2022, we voluntarily waived $9.3 million, or less than .2%, of our investment advisory fees from certain of our money market mutual funds, trusts, and other investment portfolios in order to maintain a positive yield for investors. No fees were waived in the second half of 2022.</w:t>
      </w:r>
    </w:p>
    <w:p>
      <w:pPr>
        <w:spacing w:after="0" w:line="20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average annualized fee rate earned on our assets under management was 42.7 basis points in 2022, compared with 44.4 basis points earned in 2021. Our effective fee rate has declined largely due to a mix shift toward lower fee asset classes and vehicles as a result of market declines and net flows, partially offset by a reduction in money market fee waivers and a higher-than-average effective fee rate earned on our alternative asset</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class. The average annualized fee rate earned on our assets under management was 42.3 basis points for the fourth quarter of 2022.</w:t>
      </w:r>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$4,114.7 million in 2022, an increase of 3.9% over the comparable 2021 period.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for 2022 include impairment charges of $175.1 million related to certain investment management contract intangible assets whose assessed fair value has declined below their respective carrying values. On a non-GAAP basis, operating expenses were $4,087.8 million, a 6.4% increase over the comparable 2021 period. Our operating expenses for 2022 also include OHA's operating expenses, which primarily impact compensation expense; technology, occupancy, and facility costs; and general, administrative and other costs.</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increase in our non-GAAP operating expenses was primarily attributable to the addition of OHA operating expenses; salaries and benefits; severance and other costs associated with the fourth quarter of 2022 workforce reduction action; higher costs related to the ongoing investment in the firm's technology capabilities; higher recordkeeping expenses due to the expanded relationship with FIS; and information services and travel-related costs. These increases were offset in part by lower distribution and servicing costs and lower bonuses.</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estimate our 2023 non-GAAP operating expenses, excluding non-GAAP accrued carried interest compensation, will grow in the range of 2% to 6% from the comparable 2022 amount of $4,070.2 million. This range reflects the redeployment of $85 million in savings realized from the expense management actions taken in 2022 to fund strategic priorities. We could elect to adjust our expense growth should unforeseen circumstances arise, including significant market movements.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2022 was 36.6%, compared with 48.4% in 2021. The decrease in our operating margin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2021 is primarily driven by a decrease in investment advisory revenue as a result of lower average assets under management and higher operating expenses.</w:t>
      </w:r>
    </w:p>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$6.70 in 2022 as compared to $13.12 in 2021. On a non-GAAP basis,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was $8.02 in 2022 as compared to $12.75 for 2021. The decrease in both 2022 GAAP and non-GAAP diluted earnings per share compared to 2021 was primarily driven by lower operating income, net investment losses in 2022 as compared to net investment gains in 2021, and a higher effective tax rate. These decreases were partially offset by lower weighted average outstanding shares. Impairment charges recorded in the fourth quarter of 2022 impacted the lower operating income that drove the GAAP diluted earnings per share decrease. See our non-GAAP reconciliations later in this Management's Discussion and Analysis section.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- 2021 as compared to 2020</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2021, investment advisory revenues increased 24.7% over the comparable 2020 period as average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management increased $351.4 billion, or 28.2%, to $1,599.3 billion.</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average annualized fee rate earned on our assets under management was 44.4 basis points in 2021, compared with 45.6 basis points earned in 2020. Our effective fee rate declined largely due to the July 2021 fee reductions in our target date products, client transfers within the complex to lower fee vehicles or share classes, higher money market fee waivers, and lower performance-based fees. These were partially offset as higher market valuations led to an asset class shift towards equity strategies.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For 2021, operating expenses were $3,961.9 million as compared with $3,461.0 million in the 2020 period. On a non-GAAP basis, operating expenses were $3,840.3 million as compared with $3,342.7 million in 2020. See our non-GAAP reconciliations later in this Management's Discussion and Analysis section.</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both GAAP and non-GAAP operating expenses was primarily due to higher compensation expenses, including higher annual bonuses, salaries and benefits, and stock-based compensation expenses as a result of continued investment in hiring for our business as well as higher distribution and servicing costs due to higher average assets under management. The 2021 period also reflects costs incurred from an expanded relationship with FIS Capital Markets US LLC ("FIS"), which began providing technology development and core operations for our full-service recordkeeping offering in August 2021. These costs incurred from the FIS arrangement were partially offset by a reduction in compensation expenses as a result of the approximately 800 associates who transitioned to FIS in August 2021.</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2021 was 48.4%, compared with 44.2% in 2020. The increase in our operating margin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2020 was primarily driven by revenue growth outpacing the increase in operating expenses.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$13.12 in 2021 as compared with $ 9.98 in 2020. On a non-GAAP basis,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were $12.75 in 2021 as compared with $9.58 in 2020. The increase in both GAAP and non-GAAP diluted earnings per share in 2021 compared to 2020 was primarily driven by higher operating income, lower weighted average outstanding shares, and a lower effective tax rate. These drivers of the increase were partially offset by lower net investment gains recognized in 2021 than in 2020. See our non-GAAP reconciliations later in this Management's Discussion and Analysis section.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3"/>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2022 compared with 2021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2021 compared with 2020</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advisory fees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U.S. mutual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3,486.2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4,388.9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(902.7)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Subadvised funds, separate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collective investment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trusts, and other investment</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2,709.2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7,098.1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156"/>
        </w:trPr>
        <w:tc>
          <w:tcPr>
            <w:tcW w:w="288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Administrative, distribution, and</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servicing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Administrative fees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and servicing fees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155"/>
        </w:trPr>
        <w:tc>
          <w:tcPr>
            <w:tcW w:w="288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Capital allocation-based</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spacing w:after="0" w:line="243" w:lineRule="exact"/>
              <w:rPr>
                <w:sz w:val="20"/>
                <w:szCs w:val="20"/>
                <w:color w:val="auto"/>
              </w:rPr>
            </w:pPr>
            <w:r>
              <w:rPr>
                <w:rFonts w:ascii="Arial" w:cs="Arial" w:eastAsia="Arial" w:hAnsi="Arial"/>
                <w:sz w:val="18"/>
                <w:szCs w:val="18"/>
                <w:b w:val="1"/>
                <w:bCs w:val="1"/>
                <w:color w:val="auto"/>
              </w:rPr>
              <w:t>income</w:t>
            </w:r>
            <w:r>
              <w:rPr>
                <w:rFonts w:ascii="Arial" w:cs="Arial" w:eastAsia="Arial" w:hAnsi="Arial"/>
                <w:sz w:val="23"/>
                <w:szCs w:val="23"/>
                <w:b w:val="1"/>
                <w:bCs w:val="1"/>
                <w:color w:val="auto"/>
                <w:vertAlign w:val="superscript"/>
              </w:rPr>
              <w:t>(1)</w:t>
            </w:r>
          </w:p>
        </w:tc>
        <w:tc>
          <w:tcPr>
            <w:tcW w:w="2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7,671.9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percentage change for capital allocation-based income is not meaningful (n/m).</w:t>
      </w:r>
    </w:p>
    <w:p>
      <w:pPr>
        <w:spacing w:after="0" w:line="22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relationship between the change in average assets under management and the change in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fee revenue for 2022, 2021 and 2020 are presented below.</w:t>
      </w: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500" w:type="dxa"/>
            <w:vAlign w:val="bottom"/>
            <w:shd w:val="clear" w:color="auto" w:fill="CCEEFF"/>
          </w:tcPr>
          <w:p>
            <w:pPr>
              <w:spacing w:after="0"/>
              <w:rPr>
                <w:sz w:val="17"/>
                <w:szCs w:val="17"/>
                <w:color w:val="auto"/>
              </w:rPr>
            </w:pPr>
          </w:p>
        </w:tc>
        <w:tc>
          <w:tcPr>
            <w:tcW w:w="286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4"/>
                <w:szCs w:val="14"/>
                <w:b w:val="1"/>
                <w:bCs w:val="1"/>
                <w:color w:val="auto"/>
              </w:rPr>
              <w:t>2022 compared with 2021</w:t>
            </w:r>
          </w:p>
        </w:tc>
        <w:tc>
          <w:tcPr>
            <w:tcW w:w="100" w:type="dxa"/>
            <w:vAlign w:val="bottom"/>
            <w:shd w:val="clear" w:color="auto" w:fill="CCEEFF"/>
          </w:tcPr>
          <w:p>
            <w:pPr>
              <w:spacing w:after="0"/>
              <w:rPr>
                <w:sz w:val="17"/>
                <w:szCs w:val="17"/>
                <w:color w:val="auto"/>
              </w:rPr>
            </w:pPr>
          </w:p>
        </w:tc>
        <w:tc>
          <w:tcPr>
            <w:tcW w:w="288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4"/>
                <w:szCs w:val="14"/>
                <w:b w:val="1"/>
                <w:bCs w:val="1"/>
                <w:color w:val="auto"/>
              </w:rPr>
              <w:t>2021 compared with 2020</w:t>
            </w:r>
          </w:p>
        </w:tc>
        <w:tc>
          <w:tcPr>
            <w:tcW w:w="140" w:type="dxa"/>
            <w:vAlign w:val="bottom"/>
            <w:tcBorders>
              <w:right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Decrease in</w:t>
            </w:r>
          </w:p>
        </w:tc>
        <w:tc>
          <w:tcPr>
            <w:tcW w:w="14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Decrease in</w:t>
            </w:r>
          </w:p>
        </w:tc>
        <w:tc>
          <w:tcPr>
            <w:tcW w:w="15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Increase in average</w:t>
            </w:r>
          </w:p>
        </w:tc>
        <w:tc>
          <w:tcPr>
            <w:tcW w:w="1520" w:type="dxa"/>
            <w:vAlign w:val="bottom"/>
            <w:tcBorders>
              <w:right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Increase in</w:t>
            </w:r>
          </w:p>
        </w:tc>
        <w:tc>
          <w:tcPr>
            <w:tcW w:w="1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Annualized effective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average assets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assets under</w:t>
            </w:r>
          </w:p>
        </w:tc>
        <w:tc>
          <w:tcPr>
            <w:tcW w:w="152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investment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 management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advisory fees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management</w:t>
            </w:r>
          </w:p>
        </w:tc>
        <w:tc>
          <w:tcPr>
            <w:tcW w:w="15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advisory fees</w:t>
            </w:r>
          </w:p>
        </w:tc>
        <w:tc>
          <w:tcPr>
            <w:tcW w:w="156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fee rate (in bps)</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mutual funds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Arial" w:cs="Arial" w:eastAsia="Arial" w:hAnsi="Arial"/>
                <w:sz w:val="16"/>
                <w:szCs w:val="16"/>
                <w:color w:val="auto"/>
              </w:rPr>
              <w:t>Subadvised funds, separate accounts, collective</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Arial" w:cs="Arial" w:eastAsia="Arial" w:hAnsi="Arial"/>
                <w:sz w:val="16"/>
                <w:szCs w:val="16"/>
                <w:color w:val="auto"/>
              </w:rPr>
              <w:t>investment trusts, and other investment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32.6 %</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32.0 %</w:t>
            </w:r>
          </w:p>
        </w:tc>
        <w:tc>
          <w:tcPr>
            <w:tcW w:w="140" w:type="dxa"/>
            <w:vAlign w:val="bottom"/>
            <w:tcBorders>
              <w:right w:val="single" w:sz="8" w:color="auto"/>
            </w:tcBorders>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products</w:t>
            </w: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In 2022, volatile markets and net outflows, overall, shifted the asset strategy and share class mix toward lower fee strategies and classes. These drivers were offset in part by a reduction in money market fee waivers and higher-than-average fee rates earned on our alternative asset class.</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2021, strong market returns shifted the asset and share class mix among different fee rates and products including those with tiered-fee structures. Additionally, we reduced the management fees of certain products over the last few years, including fee reductions in our target date products in July 2021. The relationship between U.S. mutual funds' average assets under management and investment advisory fee growth was impacted by the July 2021 fee reductions in our target date products and increased money market fees waivers. For the subadvised funds, separate accounts, collective investment trusts, and other investment products, the July 2021 target date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products fee reductions and lower performance fees reduced our effective fee rate, but was partially offset by a mix shift towards equities and inflows into our international products. These investment advisory revenues include fees earned for distribution-related services that we contract third-party intermediaries to provide. The costs we incur to pay the third-party intermediaries are recorded as part of distribution and servicing expenses.</w:t>
      </w:r>
    </w:p>
    <w:p>
      <w:pPr>
        <w:spacing w:after="0" w:line="20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2022 were $573.6 million, a decrease of $.2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2021. Lower 12b-1 revenue earned in 2022 primarily on the Advisor and R share classes of the U.S. mutual funds as a result of lower assets under management in these share classes was offset by higher trustee services revenue and transfer agent servicing activities provided to our U.S. mutual funds for retail shareholders. The decrease in 12b-1 revenue is offset entirely by a decrease in the costs paid to third-party intermediaries that source these assets and is reported in distribution and servicing expense.</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2021, administrative, distribution, and servicing fees were $573.8 million, an increase of $60.2 million from 2020. The increase in fees were primarily due to higher transfer agent servicing activities provided to our U.S. mutual funds, higher model delivery revenue, as well as higher 12b-1 revenue earned on the Advisor and R classes of the U.S. mutual funds as a result of higher assets under management in these share classes.</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Capital allocation-based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allocation-based income reduced net revenues by $54.3 million. This amount includes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$43.7 million in accrued carried interest from investments in affiliated investment funds. The increase in accrued carried interest was more than offset by non-cash amortization of $53.0 million associated with the difference in the acquisition closing date fair value and the carrying value of investments acquired as part of the OHA acquisition (basis difference). Additionally, during the fourth quarter of 2022, we determined that certain of our investments in affiliated investment funds that earn capital allocation-based income were other-than-temporarily impaired, and we recognized related impairment charges totaling $45.0 million due to reduced incentive fee growth expectations for these specific investments and a higher discount rate. Subsequent to the impairment charge, the remaining weighted average amortization period for these basis differences is 5.9 years. We recognized a corresponding net reduction in compensation expense of $22.9 million related to the total capital allocation-based income that is attributable to the non-controlling interests. This $22.9 million reduction includes $40.5 million related to the amortization and impairment charges offset in part by $17.6 million in compensation expense related to the accrued carried interest.</w:t>
      </w:r>
    </w:p>
    <w:p>
      <w:pPr>
        <w:spacing w:after="0" w:line="1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revenues are presented after the elimination of $2.0 million for 2022, $5.5 million for 2021, and $9.9 million for 2020, earned from our consolidated sponsored investment products. The corresponding expenses recognized by these consolidated products were also eliminated from operating expenses.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9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2022 compared with 2021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2021 compared with 2020</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3"/>
        </w:trPr>
        <w:tc>
          <w:tcPr>
            <w:tcW w:w="2980" w:type="dxa"/>
            <w:vAlign w:val="bottom"/>
            <w:tcBorders>
              <w:top w:val="single" w:sz="8" w:color="CCEEFF"/>
            </w:tcBorders>
            <w:shd w:val="clear" w:color="auto" w:fill="CCEEFF"/>
          </w:tcPr>
          <w:p>
            <w:pPr>
              <w:ind w:left="120"/>
              <w:spacing w:after="0" w:line="143" w:lineRule="exact"/>
              <w:rPr>
                <w:sz w:val="20"/>
                <w:szCs w:val="20"/>
                <w:color w:val="auto"/>
              </w:rPr>
            </w:pPr>
            <w:r>
              <w:rPr>
                <w:rFonts w:ascii="Arial" w:cs="Arial" w:eastAsia="Arial" w:hAnsi="Arial"/>
                <w:sz w:val="16"/>
                <w:szCs w:val="16"/>
                <w:color w:val="auto"/>
              </w:rPr>
              <w:t>Compensation and related costs,</w:t>
            </w: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excluding acquisition-related retention</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agreements, capital allocation-based</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income compensation,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2,405.8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2,070.6</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supplemental savings plan</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Arial" w:cs="Arial" w:eastAsia="Arial" w:hAnsi="Arial"/>
                <w:sz w:val="16"/>
                <w:szCs w:val="16"/>
                <w:color w:val="auto"/>
              </w:rPr>
              <w:t>Acquisition-related retention</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4"/>
                <w:szCs w:val="14"/>
                <w:color w:val="auto"/>
              </w:rPr>
            </w:pPr>
          </w:p>
        </w:tc>
        <w:tc>
          <w:tcPr>
            <w:tcW w:w="130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rPr>
                <w:sz w:val="20"/>
                <w:szCs w:val="20"/>
                <w:color w:val="auto"/>
              </w:rPr>
            </w:pPr>
            <w:r>
              <w:rPr>
                <w:rFonts w:ascii="Arial" w:cs="Arial" w:eastAsia="Arial" w:hAnsi="Arial"/>
                <w:sz w:val="16"/>
                <w:szCs w:val="16"/>
                <w:color w:val="auto"/>
              </w:rPr>
              <w:t>agreements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Capital allocation-based income</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Supplemental savings plan</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Distribution and servicing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52.0 %</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Technology, occupancy, and facility</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Change in fair value of contingent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consideration</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amortization and</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Pr>
          <w:p>
            <w:pPr>
              <w:spacing w:after="0"/>
              <w:rPr>
                <w:sz w:val="14"/>
                <w:szCs w:val="14"/>
                <w:color w:val="auto"/>
              </w:rPr>
            </w:pPr>
          </w:p>
        </w:tc>
        <w:tc>
          <w:tcPr>
            <w:tcW w:w="130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impairment costs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Compensation and related costs, excluding non-cash amortization of certain acquisition-related retention agreements, capital allocation-based income compensation, and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$105.8 million, or 4.6%, as compared with 2021. The 2022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OHA's compensation and related costs. Contributing to the increase was $131.7 million associated with an increase in base salaries and related benefits from higher average headcount and base salary increases in January and July 2022, and a total of $10.8 million in additional costs associated with non-cash stock-based compensation expense. These increases in compensation and related costs were offset in part by a decline in bonuses of $48.6 million.</w:t>
      </w:r>
    </w:p>
    <w:p>
      <w:pPr>
        <w:spacing w:after="0" w:line="2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2021, compensation and related costs, excluding non-cash amortization of certain acquisition-related retention agreements, capital allocation-based income compensation, and supplemental savings plan, increased $ 229.4 million, or 11.1%, for 2021 as compared with 2020. This increase was primarily due to our strong operating results which led to an $107.6 million increase in our annual bonus compensation and $ 28.4 million in higher stock-based compensation expense. Also contributing to the increase in costs was a $88.5 million increase in salaries, benefits and related employee costs due to modest increases in base salaries at the beginning of the year as well as an increase in our average headcount, excluding the transition of 800 T. Rowe Price operations and technology associates to FIS on August 1, 2021 and the addition of OHA associates at the end of the year. These increases in compensation and related costs were offset in part by $11.7 million in higher labor capitalization related to internally developed software in 2021.</w:t>
      </w:r>
    </w:p>
    <w:p>
      <w:pPr>
        <w:spacing w:after="0" w:line="2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$301.5 million for 2022, a decrease of $ 72.4 million, or 19.4%, compared to 2021.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average assets under management in certain share classes of the U.S. mutual funds that earn 12(b)-1 fees. Additionally, lower average assets under management in our international products, including our Japanese Investment Trusts (ITMs) and certain SICAV share classes, contributed to lower distribution costs.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Distribution and servicing costs were $373.9 million for 2021, an increase of $95.4 million, or 34.3%, compared with 2020. The increase was primarily driven by higher AUM-based distribution costs as a result of continued market appreciation and inflows into our international products, including our Japanese ITMs and SICAVs. Higher costs incurred to distribute certain other products through U.S. financial intermediaries also contributed to the increase.</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and our international products, such as our Japanese ITMs and SICAVs, are recognized in this expense.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0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$97.3 million for 2022, a decrease of $2.9 million, or 2.9%,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decrease was primarily driven by a decrease in media advertising spend during 2022, partially offset by higher promotion-related costs.</w:t>
      </w:r>
    </w:p>
    <w:p>
      <w:pPr>
        <w:spacing w:after="0" w:line="1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For 2021, advertising and promotion costs were $100.2 million, an increase of $16.5 million, or 19.7%, compared with 2020. The increase was primarily driven by increased media spend during 2021.</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u w:val="single" w:color="auto"/>
          <w:color w:val="auto"/>
        </w:rPr>
        <w:t>Product and recordkeeping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and recordkeeping related costs were $ 300.1 million for 2022, an increase of $63.8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27.0%, compared with 2021. Approximately 86% of the increase in 2022 was driven by the recordkeeping costs incurred as part of our expanded relationship with Fidelity National Information Services, Inc. ("FIS") that began in August 2021. These costs incurred were partially offset by a reduction in compensation expenses as a result of the approximately 800 associates who transitioned to FIS in August 2021.</w:t>
      </w:r>
    </w:p>
    <w:p>
      <w:pPr>
        <w:spacing w:after="0" w:line="18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Product and recordkeeping related costs were $ 236.3 million for 2021, an increase of $80.8 million, or 52.0%, compared with 2020. More than 85% of the increase in 2021 was driven by the recordkeeping costs incurred as part of our expanded FIS relationship, including certain transition expenses that will not recur in 2022.</w:t>
      </w:r>
    </w:p>
    <w:p>
      <w:pPr>
        <w:spacing w:after="0" w:line="198"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$560.5 million for 2022, $484.9 million for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$444.8 million for 2020. The increases over the last two years were due primarily to ongoing investment in our technology capabilities, including hosting solution licenses, depreciation, and increased office facility costs, primarily due to higher rent expense and other facility-related costs.</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costs were $412.2 million for 2022, $383.6 million for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$316.1 million for 2020. The increase in 2022 as compared to 2021 was primarily due to higher net business-related expenses, including higher travel and information services as well as certain nonrecurring costs incurred during 2022. Partially offsetting this increase were the absence of transaction costs incurred to complete the acquisition of OHA in December 2021 and lower professional and legal fees.</w:t>
      </w:r>
    </w:p>
    <w:p>
      <w:pPr>
        <w:spacing w:after="0" w:line="20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Nearly 50% of the increase in 2021 as compared to 2020 was related to the transaction costs incurred to complete the acquisition of OHA in December 2021. Higher information services, legal, and third-party research costs contributed to the remaining increase in 2021 compared with 2020. Travel-related expenses in 2021 were lower than 2020.</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Change in fair value of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contingent consideration consists of an earnout arrangement as part of our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OHA in December 2021 in which additional purchase price may be due to OHA upon satisfying or exceeding certain defined revenue targets. Every reporting period, we record the potential amount due under this arrangement at fair value. During the year ended December 31, 2022, we recognized a reduction in the fair value of the contingent consideration liability of $ 161.2 million as the challenging market conditions have reduced revenue expectations and increased the discount rates used in the fair value determinations.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the acquisition of OHA in December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and separately recognized at fair value certain indefinite- and definite-lived intangible assets. In 2022, we recognized $108.5 million in amortization related to the definite-lived intangible assets. Additionally, during the fourth quarter of 2022, we determined that certain of these intangible assets were impaired and recognized related impairment charges totaling $175.1 million. The impairment charges were comprised of $99.2 million for the indefinite-lived investment advisory agreement assets, $17.6 million related to the trade name, and $58.2 million for definite-lived investment advisory agreements assets. The impairment of these assets were primarily the result of reduced growth expectations for both management and incentive fees and a higher discount rate as well as net client outflows for the indefinite-lived investment advisory agreement assets. Subsequent to the impairment charge, the remaining weighted average amortization period for our definite-lived intangible assets is 6.5 years. Should conditions that led us to recognize these impairment charges deteriorate, additional impairments may be recognized in future periods.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Non-operating investment income decreased $710.1 million to a non-operating loss of $425.5 million in 2022 compared to a non-operating gain of $284.6 million in 2021. Non-operating investment income decreased $211.9 million in 2021 compared with 2020. Non-operating investment activity for the years ended December 31, 2022, 2021 and 2020 comprised the following:</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2022 compared with</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2021 compared with</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Net gains (losses) from non-consolidated sponsored</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220"/>
              <w:spacing w:after="0" w:line="176" w:lineRule="exact"/>
              <w:rPr>
                <w:sz w:val="20"/>
                <w:szCs w:val="20"/>
                <w:color w:val="auto"/>
              </w:rPr>
            </w:pPr>
            <w:r>
              <w:rPr>
                <w:rFonts w:ascii="Arial" w:cs="Arial" w:eastAsia="Arial" w:hAnsi="Arial"/>
                <w:sz w:val="18"/>
                <w:szCs w:val="18"/>
                <w:color w:val="auto"/>
              </w:rPr>
              <w:t>Market related gains (losses) and equity in</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Pr>
          <w:p>
            <w:pPr>
              <w:ind w:left="220"/>
              <w:spacing w:after="0" w:line="176" w:lineRule="exact"/>
              <w:rPr>
                <w:sz w:val="20"/>
                <w:szCs w:val="20"/>
                <w:color w:val="auto"/>
              </w:rPr>
            </w:pPr>
            <w:r>
              <w:rPr>
                <w:rFonts w:ascii="Arial" w:cs="Arial" w:eastAsia="Arial" w:hAnsi="Arial"/>
                <w:sz w:val="18"/>
                <w:szCs w:val="18"/>
                <w:color w:val="auto"/>
              </w:rPr>
              <w:t>Market related gains (losses) and equity in</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Investments used to hedge the supplemental</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savings plan liability</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(losses) from non-consolidated</w:t>
            </w: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(376.7)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sponsored investment products</w:t>
            </w: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Net gains (losses) on consolidated sponsored</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investment portfolios</w:t>
            </w: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losses, including foreign currency losses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496.5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While market declines tempered some in the last quarter of 2022, our overall investment portfolio valuations for 2022 were negatively impacted by market declines caused by the continued elevated inflation, supply chain disruptions, and a more aggressive pace of Federal Reserve interest rate increases.</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investment portfolio for 2021 generated lower market gains than our investment portfolio in 2020. Our consolidated investment products and supplemental savings plan hedge portfolio comprised approximately 55% of the net gains recognized in 2021.</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impact of consolidating certain sponsored investment products on the individual lines of our consolidated statements of income for 2022, 2021, and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2022 compared with</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2021 compared with</w:t>
            </w:r>
          </w:p>
        </w:tc>
        <w:tc>
          <w:tcPr>
            <w:tcW w:w="0" w:type="dxa"/>
            <w:vAlign w:val="bottom"/>
          </w:tcPr>
          <w:p>
            <w:pPr>
              <w:spacing w:after="0"/>
              <w:rPr>
                <w:sz w:val="1"/>
                <w:szCs w:val="1"/>
                <w:color w:val="auto"/>
              </w:rPr>
            </w:pPr>
          </w:p>
        </w:tc>
      </w:tr>
      <w:tr>
        <w:trPr>
          <w:trHeight w:val="185"/>
        </w:trPr>
        <w:tc>
          <w:tcPr>
            <w:tcW w:w="4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49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6"/>
              </w:rPr>
              <w:t>74.7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6"/>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attributable to our interest in the consolidated 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center"/>
              <w:ind w:left="173"/>
              <w:spacing w:after="0"/>
              <w:rPr>
                <w:sz w:val="20"/>
                <w:szCs w:val="20"/>
                <w:color w:val="auto"/>
              </w:rPr>
            </w:pPr>
            <w:r>
              <w:rPr>
                <w:rFonts w:ascii="Arial" w:cs="Arial" w:eastAsia="Arial" w:hAnsi="Arial"/>
                <w:sz w:val="18"/>
                <w:szCs w:val="18"/>
                <w:color w:val="auto"/>
                <w:w w:val="96"/>
              </w:rPr>
              <w:t>15.6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redeemable non-controlling</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center"/>
              <w:ind w:left="173"/>
              <w:spacing w:after="0"/>
              <w:rPr>
                <w:sz w:val="20"/>
                <w:szCs w:val="20"/>
                <w:color w:val="auto"/>
              </w:rPr>
            </w:pPr>
            <w:r>
              <w:rPr>
                <w:rFonts w:ascii="Arial" w:cs="Arial" w:eastAsia="Arial" w:hAnsi="Arial"/>
                <w:sz w:val="18"/>
                <w:szCs w:val="18"/>
                <w:color w:val="auto"/>
                <w:w w:val="96"/>
              </w:rPr>
              <w:t>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 (unrelated third-party investors)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6"/>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the years ended December 31, 2022,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w:t>
            </w:r>
          </w:p>
        </w:tc>
      </w:tr>
      <w:tr>
        <w:trPr>
          <w:trHeight w:val="229"/>
        </w:trPr>
        <w:tc>
          <w:tcPr>
            <w:tcW w:w="686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redeemable non-controlling interests</w:t>
            </w:r>
            <w:r>
              <w:rPr>
                <w:rFonts w:ascii="Arial" w:cs="Arial" w:eastAsia="Arial" w:hAnsi="Arial"/>
                <w:sz w:val="23"/>
                <w:szCs w:val="23"/>
                <w:color w:val="auto"/>
                <w:vertAlign w:val="superscript"/>
              </w:rPr>
              <w:t>(2)</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(1.2)</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6" w:lineRule="exact"/>
        <w:rPr>
          <w:rFonts w:ascii="Arial" w:cs="Arial" w:eastAsia="Arial" w:hAnsi="Arial"/>
          <w:sz w:val="9"/>
          <w:szCs w:val="9"/>
          <w:i w:val="1"/>
          <w:iCs w:val="1"/>
          <w:color w:val="auto"/>
        </w:rPr>
      </w:pPr>
    </w:p>
    <w:p>
      <w:pPr>
        <w:ind w:left="180" w:right="120" w:hanging="172"/>
        <w:spacing w:after="0" w:line="222" w:lineRule="auto"/>
        <w:tabs>
          <w:tab w:leader="none" w:pos="236"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effective tax rate for 2022 was 25.6%, compared with 22.4% for 2021 and 22.2% for 2020. The increase in our effective tax rate in 2022 from 2021 was primarily due to the unfavorable impact of net losses attributable to redeemable non-controlling interests held in our consolidated investment products and a reduction in the discrete tax benefits associated with option exercises and restricted stock vests. Furthermore, our effective tax rate was unfavorably impacted by a valuation allowance recorded to recognize only the portion of a UK-based deferred tax asset that is more likely than not to be realized. These unfavorable impacts were partially offset by the favorable impacts of the reduction of the effective state tax rate due to the full phase-in of the 2018 Maryland state tax legislation and the remeasurement of the contingent consideration liability.</w:t>
      </w:r>
    </w:p>
    <w:p>
      <w:pPr>
        <w:spacing w:after="0" w:line="21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2021, the increase in our effective tax rate from 2020 was primarily due to lower net gains attributable to non-controlling interests. We continued to see benefit from the phased-in implementation of the 2018 Maryland state tax legislation and higher discrete tax benefits associated with the settlement of stock-based awards given the rise in our stock price in 2021.</w:t>
      </w:r>
    </w:p>
    <w:p>
      <w:pPr>
        <w:spacing w:after="0" w:line="198"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The non-GAAP tax rate primarily adjusts for the impact of the consolidated investment products, including the net income attributable to the redeemable non-controlling interests. Our non-GAAP effective tax rates for 2022, 2021 and 2020 were 24.7%</w:t>
      </w:r>
      <w:r>
        <w:rPr>
          <w:rFonts w:ascii="Arial" w:cs="Arial" w:eastAsia="Arial" w:hAnsi="Arial"/>
          <w:sz w:val="16"/>
          <w:szCs w:val="16"/>
          <w:color w:val="auto"/>
        </w:rPr>
        <w:t>,</w:t>
      </w:r>
      <w:r>
        <w:rPr>
          <w:rFonts w:ascii="Arial" w:cs="Arial" w:eastAsia="Arial" w:hAnsi="Arial"/>
          <w:sz w:val="17"/>
          <w:szCs w:val="17"/>
          <w:color w:val="auto"/>
        </w:rPr>
        <w:t xml:space="preserve"> 22.5%, 23.3%, r</w:t>
      </w:r>
      <w:r>
        <w:rPr>
          <w:rFonts w:ascii="Arial" w:cs="Arial" w:eastAsia="Arial" w:hAnsi="Arial"/>
          <w:sz w:val="16"/>
          <w:szCs w:val="16"/>
          <w:color w:val="auto"/>
        </w:rPr>
        <w:t>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Our U.S. GAAP rate will also be impacted by changes in the proportion of net income that is attributable to our redeemable non-controlling interests and non-controlling interests reflected in permanent equity as well as the remeasurement of the contingent consideration liability.</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currently estimate our GAAP effective tax rate for the full-year 2023 will be in the range of 24.5% to 28.5% and our non-GAAP effective tax rate for the full-year 2023 will be in the range of 24.5% to 27.5%.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each of the last three years.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income (loss)</w:t>
            </w:r>
          </w:p>
        </w:tc>
        <w:tc>
          <w:tcPr>
            <w:tcW w:w="12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6"/>
                <w:szCs w:val="16"/>
                <w:color w:val="auto"/>
              </w:rPr>
            </w:pPr>
          </w:p>
        </w:tc>
        <w:tc>
          <w:tcPr>
            <w:tcW w:w="1020" w:type="dxa"/>
            <w:vAlign w:val="bottom"/>
          </w:tcPr>
          <w:p>
            <w:pPr>
              <w:jc w:val="right"/>
              <w:ind w:right="112"/>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100"/>
              <w:spacing w:after="0" w:line="162" w:lineRule="exact"/>
              <w:rPr>
                <w:sz w:val="20"/>
                <w:szCs w:val="20"/>
                <w:color w:val="auto"/>
              </w:rPr>
            </w:pPr>
            <w:r>
              <w:rPr>
                <w:rFonts w:ascii="Arial" w:cs="Arial" w:eastAsia="Arial" w:hAnsi="Arial"/>
                <w:sz w:val="16"/>
                <w:szCs w:val="16"/>
                <w:color w:val="auto"/>
              </w:rPr>
              <w:t>Investment and NCI amortization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100"/>
              <w:spacing w:after="0" w:line="162" w:lineRule="exact"/>
              <w:rPr>
                <w:sz w:val="20"/>
                <w:szCs w:val="20"/>
                <w:color w:val="auto"/>
              </w:rPr>
            </w:pPr>
            <w:r>
              <w:rPr>
                <w:rFonts w:ascii="Arial" w:cs="Arial" w:eastAsia="Arial" w:hAnsi="Arial"/>
                <w:sz w:val="14"/>
                <w:szCs w:val="14"/>
                <w:color w:val="auto"/>
              </w:rPr>
              <w:t>impairments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(Capital allocation-based income</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Arial" w:cs="Arial" w:eastAsia="Arial" w:hAnsi="Arial"/>
                <w:sz w:val="16"/>
                <w:szCs w:val="16"/>
                <w:color w:val="auto"/>
              </w:rPr>
              <w:t>and Compensation and related costs)</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00"/>
              <w:spacing w:after="0" w:line="162"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related costs)</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00"/>
              <w:spacing w:after="0" w:line="230"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Intangible assets amortization and</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00"/>
              <w:spacing w:after="0" w:line="216" w:lineRule="exact"/>
              <w:rPr>
                <w:sz w:val="20"/>
                <w:szCs w:val="20"/>
                <w:color w:val="auto"/>
              </w:rPr>
            </w:pPr>
            <w:r>
              <w:rPr>
                <w:rFonts w:ascii="Arial" w:cs="Arial" w:eastAsia="Arial" w:hAnsi="Arial"/>
                <w:sz w:val="16"/>
                <w:szCs w:val="16"/>
                <w:color w:val="auto"/>
              </w:rPr>
              <w:t>impairments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color w:val="auto"/>
              </w:rPr>
              <w:t>Total acquisition-related non-GAAP</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52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-104140</wp:posOffset>
            </wp:positionV>
            <wp:extent cx="706374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2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Net operating</w:t>
            </w: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2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Provision</w:t>
            </w:r>
          </w:p>
        </w:tc>
        <w:tc>
          <w:tcPr>
            <w:tcW w:w="14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Net income</w:t>
            </w:r>
          </w:p>
        </w:tc>
        <w:tc>
          <w:tcPr>
            <w:tcW w:w="1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(benefit) for</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expenses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Rowe Price Group</w:t>
            </w:r>
          </w:p>
        </w:tc>
        <w:tc>
          <w:tcPr>
            <w:tcW w:w="12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per share</w:t>
            </w:r>
            <w:r>
              <w:rPr>
                <w:rFonts w:ascii="Arial" w:cs="Arial" w:eastAsia="Arial" w:hAnsi="Arial"/>
                <w:sz w:val="18"/>
                <w:szCs w:val="18"/>
                <w:b w:val="1"/>
                <w:bCs w:val="1"/>
                <w:color w:val="auto"/>
                <w:w w:val="97"/>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860" w:space="720"/>
            <w:col w:w="7660"/>
          </w:cols>
          <w:pgMar w:left="320" w:top="122" w:right="339" w:bottom="1440" w:gutter="0" w:footer="0" w:header="0"/>
        </w:sectPr>
      </w:pPr>
    </w:p>
    <w:tbl>
      <w:tblPr>
        <w:tblLayout w:type="fixed"/>
        <w:tblInd w:w="60" w:type="dxa"/>
        <w:tblCellMar>
          <w:top w:w="0" w:type="dxa"/>
          <w:left w:w="0" w:type="dxa"/>
          <w:bottom w:w="0" w:type="dxa"/>
          <w:right w:w="0" w:type="dxa"/>
        </w:tblCellMar>
      </w:tblP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Acquisition-related transaction costs</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 and other)</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26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80" w:type="dxa"/>
            <w:vAlign w:val="bottom"/>
          </w:tcPr>
          <w:p>
            <w:pPr>
              <w:spacing w:after="0"/>
              <w:rPr>
                <w:sz w:val="19"/>
                <w:szCs w:val="19"/>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60" w:type="dxa"/>
            <w:vAlign w:val="bottom"/>
            <w:gridSpan w:val="4"/>
          </w:tcPr>
          <w:p>
            <w:pPr>
              <w:jc w:val="center"/>
              <w:ind w:right="3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center"/>
              <w:ind w:right="140"/>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6"/>
                <w:szCs w:val="16"/>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380" w:hanging="332"/>
        <w:spacing w:after="0" w:line="241" w:lineRule="auto"/>
        <w:tabs>
          <w:tab w:leader="none" w:pos="341"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impairments of intangible assets, the recurring fair value remeasurements of the contingent consideration liability, amortization and impairment of acquired investments and non-controlling interest basis differences, and amortization of compensation-related arrangements. Management believes adjusting for these charges helps the reader's ability to understand our core operating results and to increase comparability period to period.</w:t>
      </w:r>
    </w:p>
    <w:p>
      <w:pPr>
        <w:spacing w:after="0" w:line="231" w:lineRule="exact"/>
        <w:rPr>
          <w:rFonts w:ascii="Arial" w:cs="Arial" w:eastAsia="Arial" w:hAnsi="Arial"/>
          <w:sz w:val="22"/>
          <w:szCs w:val="22"/>
          <w:color w:val="auto"/>
          <w:vertAlign w:val="superscript"/>
        </w:rPr>
      </w:pPr>
    </w:p>
    <w:p>
      <w:pPr>
        <w:ind w:left="340" w:right="100" w:hanging="332"/>
        <w:spacing w:after="0" w:line="227" w:lineRule="auto"/>
        <w:tabs>
          <w:tab w:leader="none" w:pos="322"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transaction costs incurred related to the acquisition of OHA. Management believes adjusting for these charges helps the reader's ability to understand our core operating results and to increase comparability period to period.</w:t>
      </w:r>
    </w:p>
    <w:p>
      <w:pPr>
        <w:spacing w:after="0" w:line="218" w:lineRule="exact"/>
        <w:rPr>
          <w:rFonts w:ascii="Arial" w:cs="Arial" w:eastAsia="Arial" w:hAnsi="Arial"/>
          <w:sz w:val="21"/>
          <w:szCs w:val="21"/>
          <w:color w:val="auto"/>
          <w:vertAlign w:val="superscript"/>
        </w:rPr>
      </w:pPr>
    </w:p>
    <w:p>
      <w:pPr>
        <w:ind w:left="340" w:hanging="332"/>
        <w:spacing w:after="0" w:line="246" w:lineRule="auto"/>
        <w:tabs>
          <w:tab w:leader="none" w:pos="341"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sponsored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28" w:lineRule="exact"/>
        <w:rPr>
          <w:rFonts w:ascii="Arial" w:cs="Arial" w:eastAsia="Arial" w:hAnsi="Arial"/>
          <w:sz w:val="22"/>
          <w:szCs w:val="22"/>
          <w:color w:val="auto"/>
          <w:vertAlign w:val="superscript"/>
        </w:rPr>
      </w:pPr>
    </w:p>
    <w:p>
      <w:pPr>
        <w:ind w:left="340" w:right="120" w:hanging="332"/>
        <w:spacing w:after="0" w:line="243" w:lineRule="auto"/>
        <w:tabs>
          <w:tab w:leader="none" w:pos="341"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sponsored investment products have on our U.S. GAAP consolidated statements of income. Specifically, we add back the operating expenses and subtract the investment income of the consolidated sponsored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sponsored investment products may impact the reader’s ability to understand our core operating results.</w:t>
      </w:r>
    </w:p>
    <w:p>
      <w:pPr>
        <w:spacing w:after="0" w:line="229" w:lineRule="exact"/>
        <w:rPr>
          <w:rFonts w:ascii="Arial" w:cs="Arial" w:eastAsia="Arial" w:hAnsi="Arial"/>
          <w:sz w:val="22"/>
          <w:szCs w:val="22"/>
          <w:color w:val="auto"/>
          <w:vertAlign w:val="superscript"/>
        </w:rPr>
      </w:pPr>
    </w:p>
    <w:p>
      <w:pPr>
        <w:ind w:left="340" w:right="40" w:hanging="332"/>
        <w:spacing w:after="0" w:line="241" w:lineRule="auto"/>
        <w:tabs>
          <w:tab w:leader="none" w:pos="341"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6" w:lineRule="exact"/>
        <w:rPr>
          <w:sz w:val="20"/>
          <w:szCs w:val="20"/>
          <w:color w:val="auto"/>
        </w:rPr>
      </w:pPr>
    </w:p>
    <w:p>
      <w:pPr>
        <w:ind w:left="340" w:right="200"/>
        <w:spacing w:after="0" w:line="275" w:lineRule="auto"/>
        <w:rPr>
          <w:sz w:val="20"/>
          <w:szCs w:val="20"/>
          <w:color w:val="auto"/>
        </w:rPr>
      </w:pPr>
      <w:r>
        <w:rPr>
          <w:rFonts w:ascii="Arial" w:cs="Arial" w:eastAsia="Arial" w:hAnsi="Arial"/>
          <w:sz w:val="16"/>
          <w:szCs w:val="16"/>
          <w:color w:val="auto"/>
        </w:rPr>
        <w:t>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191" w:lineRule="exact"/>
        <w:rPr>
          <w:sz w:val="20"/>
          <w:szCs w:val="20"/>
          <w:color w:val="auto"/>
        </w:rPr>
      </w:pPr>
    </w:p>
    <w:p>
      <w:pPr>
        <w:ind w:left="340" w:right="260" w:hanging="332"/>
        <w:spacing w:after="0" w:line="229" w:lineRule="auto"/>
        <w:tabs>
          <w:tab w:leader="none" w:pos="341"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non-GAAP effective tax rate of 24.7% for 2022, 22.5% for 2021 and 23.3% for 2020. We estimate that our effective tax rate for the full-year 2023 on a non-GAAP basis will be in the range of 24.5% to 27.5%.</w:t>
      </w:r>
    </w:p>
    <w:p>
      <w:pPr>
        <w:spacing w:after="0" w:line="194"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This non-GAAP measure was calculated by applying the two-class method to adjusted net income attributable to</w:t>
      </w:r>
    </w:p>
    <w:p>
      <w:pPr>
        <w:ind w:left="180"/>
        <w:spacing w:after="0"/>
        <w:rPr>
          <w:rFonts w:ascii="Arial" w:cs="Arial" w:eastAsia="Arial" w:hAnsi="Arial"/>
          <w:sz w:val="21"/>
          <w:szCs w:val="21"/>
          <w:color w:val="auto"/>
          <w:vertAlign w:val="superscript"/>
        </w:rPr>
      </w:pPr>
      <w:r>
        <w:rPr>
          <w:rFonts w:ascii="Arial" w:cs="Arial" w:eastAsia="Arial" w:hAnsi="Arial"/>
          <w:sz w:val="16"/>
          <w:szCs w:val="16"/>
          <w:color w:val="auto"/>
        </w:rPr>
        <w:t>T. Rowe Price Group divided by the weighted-average common shares outstanding assuming dilution. The calculation of net income allocated to common</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stockholders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0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2,276.8</w:t>
            </w:r>
          </w:p>
        </w:tc>
      </w:tr>
      <w:tr>
        <w:trPr>
          <w:trHeight w:val="21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allocated to outstanding restricted stock and stock unit holders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During 2022, stockholders’ equity attributable to T. Rowe Price Group, Inc. decreased from $9.0 billion to $8.8 billion. Tangible book value decreased to $5.8 billion at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Of these cash and discretionary investments, $809.1 million at December 31, 2022, and $764.2 million at December 31, 2021 were held by our subsidiaries located outside the U.S. Cash and discretionary investment portfolio experienced market losses of $24.4 million in 2022 compared to market gains of $28.7 million in 2021. Given the availability of our financial resources and cash expected to be generated through future operations, we do not maintain an available external source of additional liquidity.</w:t>
      </w:r>
    </w:p>
    <w:p>
      <w:pPr>
        <w:spacing w:after="0" w:line="20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cash and investment presentation on the consolidated balance sheet is based on how we account for the cash or investment. The following table details how our investments, including those acquired as part of the OHA acquisition, relate to where they are presented in the consolidated balance sheet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7098030" cy="497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497205"/>
                    </a:xfrm>
                    <a:prstGeom prst="rect">
                      <a:avLst/>
                    </a:prstGeom>
                    <a:noFill/>
                  </pic:spPr>
                </pic:pic>
              </a:graphicData>
            </a:graphic>
          </wp:anchor>
        </w:drawing>
      </w:r>
    </w:p>
    <w:p>
      <w:pPr>
        <w:spacing w:after="0" w:line="67"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Net assets of</w:t>
      </w:r>
    </w:p>
    <w:p>
      <w:pPr>
        <w:ind w:left="8680"/>
        <w:spacing w:after="0" w:line="221" w:lineRule="auto"/>
        <w:rPr>
          <w:sz w:val="20"/>
          <w:szCs w:val="20"/>
          <w:color w:val="auto"/>
        </w:rPr>
      </w:pPr>
      <w:r>
        <w:rPr>
          <w:rFonts w:ascii="Arial" w:cs="Arial" w:eastAsia="Arial" w:hAnsi="Arial"/>
          <w:sz w:val="14"/>
          <w:szCs w:val="14"/>
          <w:b w:val="1"/>
          <w:bCs w:val="1"/>
          <w:color w:val="auto"/>
        </w:rPr>
        <w:t>consolidated</w:t>
      </w:r>
    </w:p>
    <w:p>
      <w:pPr>
        <w:ind w:left="8740"/>
        <w:spacing w:after="0" w:line="221" w:lineRule="auto"/>
        <w:rPr>
          <w:sz w:val="20"/>
          <w:szCs w:val="20"/>
          <w:color w:val="auto"/>
        </w:rPr>
      </w:pPr>
      <w:r>
        <w:rPr>
          <w:rFonts w:ascii="Arial" w:cs="Arial" w:eastAsia="Arial" w:hAnsi="Arial"/>
          <w:sz w:val="14"/>
          <w:szCs w:val="14"/>
          <w:b w:val="1"/>
          <w:bCs w:val="1"/>
          <w:color w:val="auto"/>
        </w:rPr>
        <w:t>sponsored</w:t>
      </w:r>
    </w:p>
    <w:tbl>
      <w:tblPr>
        <w:tblLayout w:type="fixed"/>
        <w:tblInd w:w="40" w:type="dxa"/>
        <w:tblCellMar>
          <w:top w:w="0" w:type="dxa"/>
          <w:left w:w="0" w:type="dxa"/>
          <w:bottom w:w="0" w:type="dxa"/>
          <w:right w:w="0" w:type="dxa"/>
        </w:tblCellMar>
      </w:tblPr>
      <w:tr>
        <w:trPr>
          <w:trHeight w:val="144"/>
        </w:trPr>
        <w:tc>
          <w:tcPr>
            <w:tcW w:w="55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Cash and cash</w:t>
            </w:r>
          </w:p>
        </w:tc>
        <w:tc>
          <w:tcPr>
            <w:tcW w:w="18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2"/>
                <w:szCs w:val="12"/>
                <w:color w:val="auto"/>
              </w:rPr>
            </w:pPr>
          </w:p>
        </w:tc>
        <w:tc>
          <w:tcPr>
            <w:tcW w:w="124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156"/>
        </w:trPr>
        <w:tc>
          <w:tcPr>
            <w:tcW w:w="5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w:t>
            </w:r>
          </w:p>
        </w:tc>
        <w:tc>
          <w:tcPr>
            <w:tcW w:w="1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156"/>
        </w:trPr>
        <w:tc>
          <w:tcPr>
            <w:tcW w:w="5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5,809.1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80" w:right="100" w:hanging="161"/>
        <w:spacing w:after="0" w:line="247" w:lineRule="auto"/>
        <w:rPr>
          <w:sz w:val="20"/>
          <w:szCs w:val="20"/>
          <w:color w:val="auto"/>
        </w:rPr>
      </w:pPr>
      <w:r>
        <w:rPr>
          <w:rFonts w:ascii="Arial" w:cs="Arial" w:eastAsia="Arial" w:hAnsi="Arial"/>
          <w:sz w:val="13"/>
          <w:szCs w:val="13"/>
          <w:i w:val="1"/>
          <w:iCs w:val="1"/>
          <w:color w:val="auto"/>
        </w:rPr>
        <w:t xml:space="preserve">(1)The consolidated T. Rowe Price investment products are generally those products we provided seed capital at the time of their formation and we have a controlling interest. These products generally represent U.S. mutual funds as well as those funds regulated outside the U.S. The $8.1 million and the $ 799.5 million represent the total value at </w:t>
      </w:r>
      <w:r>
        <w:rPr>
          <w:rFonts w:ascii="Arial" w:cs="Arial" w:eastAsia="Arial" w:hAnsi="Arial"/>
          <w:sz w:val="13"/>
          <w:szCs w:val="13"/>
          <w:color w:val="auto"/>
        </w:rPr>
        <w:t>December 31, 2022</w:t>
      </w:r>
      <w:r>
        <w:rPr>
          <w:rFonts w:ascii="Arial" w:cs="Arial" w:eastAsia="Arial" w:hAnsi="Arial"/>
          <w:sz w:val="13"/>
          <w:szCs w:val="13"/>
          <w:i w:val="1"/>
          <w:iCs w:val="1"/>
          <w:color w:val="auto"/>
        </w:rPr>
        <w:t xml:space="preserve"> of our interest in the consolidated sponsored investment products. The total net assets of consolidated sponsored investment products at </w:t>
      </w:r>
      <w:r>
        <w:rPr>
          <w:rFonts w:ascii="Arial" w:cs="Arial" w:eastAsia="Arial" w:hAnsi="Arial"/>
          <w:sz w:val="13"/>
          <w:szCs w:val="13"/>
          <w:color w:val="auto"/>
        </w:rPr>
        <w:t>December 31, 2022</w:t>
      </w:r>
      <w:r>
        <w:rPr>
          <w:rFonts w:ascii="Arial" w:cs="Arial" w:eastAsia="Arial" w:hAnsi="Arial"/>
          <w:sz w:val="13"/>
          <w:szCs w:val="13"/>
          <w:i w:val="1"/>
          <w:iCs w:val="1"/>
          <w:color w:val="auto"/>
        </w:rPr>
        <w:t xml:space="preserve"> of $1,514.3 million includes assets of $1,603.4 million less liabilities of $89.1 million as reflected in the consolidated balance sheet in Item 8. Financial Statements of this Form 10-K.</w:t>
      </w:r>
    </w:p>
    <w:p>
      <w:pPr>
        <w:spacing w:after="0" w:line="2" w:lineRule="exact"/>
        <w:rPr>
          <w:sz w:val="20"/>
          <w:szCs w:val="20"/>
          <w:color w:val="auto"/>
        </w:rPr>
      </w:pPr>
    </w:p>
    <w:p>
      <w:pPr>
        <w:ind w:left="180" w:right="400" w:hanging="172"/>
        <w:spacing w:after="0" w:line="245" w:lineRule="auto"/>
        <w:tabs>
          <w:tab w:leader="none" w:pos="312"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$190.7 million of non-controlling interests in consolidated entities and represents the portion of these investments, held by third parties, that we cannot sell in order to obtain cash for general operations.</w:t>
      </w:r>
    </w:p>
    <w:p>
      <w:pPr>
        <w:spacing w:after="0" w:line="200" w:lineRule="exact"/>
        <w:rPr>
          <w:sz w:val="20"/>
          <w:szCs w:val="20"/>
          <w:color w:val="auto"/>
        </w:rPr>
      </w:pPr>
    </w:p>
    <w:p>
      <w:pPr>
        <w:spacing w:after="0" w:line="2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consolidated balance sheet reflects the cash and cash equivalents, investments, other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paid $4.80 per share in regular dividends in 2022, an increase of 11.1% over the $4.32 per share paid in 2021. Further, we expended</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$855.3 million in 2022 to repurchase 6.8 million shares, or 2.9%, of our outstanding common stock at an average price of $126.69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2021, our Board of Directors declared a special cash dividend of $3.00 per share, or $699.8 million, on June 14, 2021, that was paid on July 7, 2021. Further, on December 29, 2021, we paid approximately $2.5 billion in cash and issued $881.5 million of T. Rowe Price Group, Inc. common shares, approximately 4.4 million shares, to complete the acquisition of OHA.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Since the end of 2019, we have returned $6.8 billion to stockholders through stock repurchases, our regular quarterly dividends, and a special dividend of $3.00 per share in 2021,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Recurring</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56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44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Special dividend</w:t>
            </w: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center"/>
              <w:ind w:right="78"/>
              <w:spacing w:after="0" w:line="149" w:lineRule="exact"/>
              <w:rPr>
                <w:sz w:val="20"/>
                <w:szCs w:val="20"/>
                <w:color w:val="auto"/>
              </w:rPr>
            </w:pPr>
            <w:r>
              <w:rPr>
                <w:rFonts w:ascii="Arial" w:cs="Arial" w:eastAsia="Arial" w:hAnsi="Arial"/>
                <w:sz w:val="14"/>
                <w:szCs w:val="14"/>
                <w:b w:val="1"/>
                <w:bCs w:val="1"/>
                <w:color w:val="auto"/>
              </w:rPr>
              <w:t>returned to</w:t>
            </w:r>
          </w:p>
        </w:tc>
        <w:tc>
          <w:tcPr>
            <w:tcW w:w="0" w:type="dxa"/>
            <w:vAlign w:val="bottom"/>
          </w:tcPr>
          <w:p>
            <w:pPr>
              <w:spacing w:after="0"/>
              <w:rPr>
                <w:sz w:val="1"/>
                <w:szCs w:val="1"/>
                <w:color w:val="auto"/>
              </w:rPr>
            </w:pPr>
          </w:p>
        </w:tc>
      </w:tr>
      <w:tr>
        <w:trPr>
          <w:trHeight w:val="189"/>
        </w:trPr>
        <w:tc>
          <w:tcPr>
            <w:tcW w:w="56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vMerge w:val="continue"/>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anticipate property and equipment expenditures for the full-year 2023 to be about $350 million, of which more than two-thirds is planned for technology initiatives. We expect to fund our anticipated capital expenditures with operating cash flows and other available resources.</w:t>
      </w:r>
    </w:p>
    <w:p>
      <w:pPr>
        <w:spacing w:after="0" w:line="15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tables summarize the cash flows for 2022, 2021 and 2020, that are attributable to T. Rowe Price Group, our consolidated sponsored investment products, and the related eliminations required in preparing the statement.</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3"/>
                <w:szCs w:val="13"/>
                <w:b w:val="1"/>
                <w:bCs w:val="1"/>
                <w:color w:val="auto"/>
              </w:rPr>
              <w:t>2022</w:t>
            </w: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5"/>
          </w:tcPr>
          <w:p>
            <w:pPr>
              <w:ind w:left="360"/>
              <w:spacing w:after="0"/>
              <w:rPr>
                <w:sz w:val="20"/>
                <w:szCs w:val="20"/>
                <w:color w:val="auto"/>
              </w:rPr>
            </w:pPr>
            <w:r>
              <w:rPr>
                <w:rFonts w:ascii="Arial" w:cs="Arial" w:eastAsia="Arial" w:hAnsi="Arial"/>
                <w:sz w:val="13"/>
                <w:szCs w:val="13"/>
                <w:b w:val="1"/>
                <w:bCs w:val="1"/>
                <w:color w:val="auto"/>
              </w:rPr>
              <w:t>Cash flow attributable to:</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5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center"/>
              <w:ind w:right="102"/>
              <w:spacing w:after="0" w:line="130" w:lineRule="exact"/>
              <w:rPr>
                <w:sz w:val="20"/>
                <w:szCs w:val="20"/>
                <w:color w:val="auto"/>
              </w:rPr>
            </w:pPr>
            <w:r>
              <w:rPr>
                <w:rFonts w:ascii="Arial" w:cs="Arial" w:eastAsia="Arial" w:hAnsi="Arial"/>
                <w:sz w:val="13"/>
                <w:szCs w:val="13"/>
                <w:b w:val="1"/>
                <w:bCs w:val="1"/>
                <w:color w:val="auto"/>
              </w:rPr>
              <w:t>Consolidated</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T. Rowe Price</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b w:val="1"/>
                <w:bCs w:val="1"/>
                <w:color w:val="auto"/>
              </w:rPr>
              <w:t>sponsored</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b w:val="1"/>
                <w:bCs w:val="1"/>
                <w:color w:val="auto"/>
              </w:rPr>
              <w:t>investment</w:t>
            </w:r>
          </w:p>
        </w:tc>
        <w:tc>
          <w:tcPr>
            <w:tcW w:w="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Elims</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89"/>
        </w:trPr>
        <w:tc>
          <w:tcPr>
            <w:tcW w:w="59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Group</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products</w:t>
            </w: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1,449.6</w:t>
            </w:r>
          </w:p>
        </w:tc>
        <w:tc>
          <w:tcPr>
            <w:tcW w:w="0" w:type="dxa"/>
            <w:vAlign w:val="bottom"/>
          </w:tcPr>
          <w:p>
            <w:pPr>
              <w:spacing w:after="0"/>
              <w:rPr>
                <w:sz w:val="1"/>
                <w:szCs w:val="1"/>
                <w:color w:val="auto"/>
              </w:rPr>
            </w:pPr>
          </w:p>
        </w:tc>
      </w:tr>
      <w:tr>
        <w:trPr>
          <w:trHeight w:val="215"/>
        </w:trPr>
        <w:tc>
          <w:tcPr>
            <w:tcW w:w="596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impairments of property, equipment and software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162"/>
        </w:trPr>
        <w:tc>
          <w:tcPr>
            <w:tcW w:w="5960" w:type="dxa"/>
            <w:vAlign w:val="bottom"/>
          </w:tcPr>
          <w:p>
            <w:pPr>
              <w:ind w:left="120"/>
              <w:spacing w:after="0" w:line="162" w:lineRule="exact"/>
              <w:rPr>
                <w:sz w:val="20"/>
                <w:szCs w:val="20"/>
                <w:color w:val="auto"/>
              </w:rPr>
            </w:pPr>
            <w:r>
              <w:rPr>
                <w:rFonts w:ascii="Arial" w:cs="Arial" w:eastAsia="Arial" w:hAnsi="Arial"/>
                <w:sz w:val="16"/>
                <w:szCs w:val="16"/>
                <w:color w:val="auto"/>
              </w:rPr>
              <w:t>Amortization and impairment of acquisition-related assets and retention</w:t>
            </w: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420.1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215"/>
        </w:trPr>
        <w:tc>
          <w:tcPr>
            <w:tcW w:w="5960" w:type="dxa"/>
            <w:vAlign w:val="bottom"/>
          </w:tcPr>
          <w:p>
            <w:pPr>
              <w:ind w:left="120"/>
              <w:spacing w:after="0"/>
              <w:rPr>
                <w:sz w:val="20"/>
                <w:szCs w:val="20"/>
                <w:color w:val="auto"/>
              </w:rPr>
            </w:pPr>
            <w:r>
              <w:rPr>
                <w:rFonts w:ascii="Arial" w:cs="Arial" w:eastAsia="Arial" w:hAnsi="Arial"/>
                <w:sz w:val="16"/>
                <w:szCs w:val="16"/>
                <w:color w:val="auto"/>
              </w:rPr>
              <w:t>agreements</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Fair value remeasurement of contingent consideration liability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5"/>
        </w:trPr>
        <w:tc>
          <w:tcPr>
            <w:tcW w:w="596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losses recognized on 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162"/>
        </w:trPr>
        <w:tc>
          <w:tcPr>
            <w:tcW w:w="5960" w:type="dxa"/>
            <w:vAlign w:val="bottom"/>
          </w:tcPr>
          <w:p>
            <w:pPr>
              <w:ind w:left="120"/>
              <w:spacing w:after="0" w:line="162" w:lineRule="exact"/>
              <w:rPr>
                <w:sz w:val="20"/>
                <w:szCs w:val="20"/>
                <w:color w:val="auto"/>
              </w:rPr>
            </w:pPr>
            <w:r>
              <w:rPr>
                <w:rFonts w:ascii="Arial" w:cs="Arial" w:eastAsia="Arial" w:hAnsi="Arial"/>
                <w:sz w:val="16"/>
                <w:szCs w:val="16"/>
                <w:color w:val="auto"/>
              </w:rPr>
              <w:t>Net change in sponsored investment products used to economically hedge</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5"/>
        </w:trPr>
        <w:tc>
          <w:tcPr>
            <w:tcW w:w="5960" w:type="dxa"/>
            <w:vAlign w:val="bottom"/>
          </w:tcPr>
          <w:p>
            <w:pPr>
              <w:ind w:left="120"/>
              <w:spacing w:after="0"/>
              <w:rPr>
                <w:sz w:val="20"/>
                <w:szCs w:val="20"/>
                <w:color w:val="auto"/>
              </w:rPr>
            </w:pPr>
            <w:r>
              <w:rPr>
                <w:rFonts w:ascii="Arial" w:cs="Arial" w:eastAsia="Arial" w:hAnsi="Arial"/>
                <w:sz w:val="16"/>
                <w:szCs w:val="16"/>
                <w:color w:val="auto"/>
              </w:rPr>
              <w:t>supplemental savings plan liability</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96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Net change in trading securities held by consolidated sponsored investment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products</w:t>
            </w: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changes in assets and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2,359.4</w:t>
            </w: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(2,076.9)</w:t>
            </w: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Arial" w:cs="Arial" w:eastAsia="Arial" w:hAnsi="Arial"/>
                <w:sz w:val="16"/>
                <w:szCs w:val="16"/>
                <w:color w:val="auto"/>
              </w:rPr>
              <w:t>Effect of exchange rate changes on cash and cash equivalents of consolidated</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6"/>
                <w:szCs w:val="16"/>
                <w:color w:val="auto"/>
              </w:rPr>
              <w:t>sponsored investment products</w:t>
            </w: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1,624.2</w:t>
            </w:r>
          </w:p>
        </w:tc>
        <w:tc>
          <w:tcPr>
            <w:tcW w:w="0" w:type="dxa"/>
            <w:vAlign w:val="bottom"/>
          </w:tcPr>
          <w:p>
            <w:pPr>
              <w:spacing w:after="0"/>
              <w:rPr>
                <w:sz w:val="1"/>
                <w:szCs w:val="1"/>
                <w:color w:val="auto"/>
              </w:rPr>
            </w:pPr>
          </w:p>
        </w:tc>
      </w:tr>
      <w:tr>
        <w:trPr>
          <w:trHeight w:val="23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gridSpan w:val="5"/>
            <w:shd w:val="clear" w:color="auto" w:fill="CCEEFF"/>
          </w:tcPr>
          <w:p>
            <w:pPr>
              <w:jc w:val="right"/>
              <w:ind w:right="119"/>
              <w:spacing w:after="0"/>
              <w:rPr>
                <w:sz w:val="20"/>
                <w:szCs w:val="20"/>
                <w:color w:val="auto"/>
              </w:rPr>
            </w:pPr>
            <w:r>
              <w:rPr>
                <w:rFonts w:ascii="Arial" w:cs="Arial" w:eastAsia="Arial" w:hAnsi="Arial"/>
                <w:sz w:val="13"/>
                <w:szCs w:val="13"/>
                <w:b w:val="1"/>
                <w:bCs w:val="1"/>
                <w:color w:val="auto"/>
              </w:rPr>
              <w:t>2021</w:t>
            </w:r>
          </w:p>
        </w:tc>
        <w:tc>
          <w:tcPr>
            <w:tcW w:w="8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tcPr>
          <w:p>
            <w:pPr>
              <w:spacing w:after="0"/>
              <w:rPr>
                <w:sz w:val="15"/>
                <w:szCs w:val="15"/>
                <w:color w:val="auto"/>
              </w:rPr>
            </w:pPr>
          </w:p>
        </w:tc>
        <w:tc>
          <w:tcPr>
            <w:tcW w:w="5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3"/>
                <w:szCs w:val="13"/>
                <w:b w:val="1"/>
                <w:bCs w:val="1"/>
                <w:color w:val="auto"/>
              </w:rPr>
              <w:t>Cash flow attributable to:</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5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3"/>
                <w:szCs w:val="13"/>
                <w:b w:val="1"/>
                <w:bCs w:val="1"/>
                <w:color w:val="auto"/>
              </w:rPr>
              <w:t>Consolidated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5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T. Rowe Price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rPr>
              <w:t>sponsored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rPr>
              <w:t>investment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Elims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Group</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rPr>
              <w:t>products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3,082.9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62.5</w:t>
            </w: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Depreciation, amortization and impairments of property, equipment and software</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274.6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gains recognized on investments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840" w:type="dxa"/>
            <w:vAlign w:val="bottom"/>
          </w:tcPr>
          <w:p>
            <w:pPr>
              <w:ind w:left="100"/>
              <w:spacing w:after="0" w:line="162" w:lineRule="exact"/>
              <w:rPr>
                <w:sz w:val="20"/>
                <w:szCs w:val="20"/>
                <w:color w:val="auto"/>
              </w:rPr>
            </w:pPr>
            <w:r>
              <w:rPr>
                <w:rFonts w:ascii="Arial" w:cs="Arial" w:eastAsia="Arial" w:hAnsi="Arial"/>
                <w:sz w:val="16"/>
                <w:szCs w:val="16"/>
                <w:color w:val="auto"/>
              </w:rPr>
              <w:t>Net change in sponsored investment products used to economically hedge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6"/>
                <w:szCs w:val="16"/>
                <w:color w:val="auto"/>
              </w:rPr>
              <w:t>supplemental savings plan liability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5840" w:type="dxa"/>
            <w:vAlign w:val="bottom"/>
            <w:shd w:val="clear" w:color="auto" w:fill="CCEEFF"/>
          </w:tcPr>
          <w:p>
            <w:pPr>
              <w:ind w:left="100"/>
              <w:spacing w:after="0" w:line="163" w:lineRule="exact"/>
              <w:rPr>
                <w:sz w:val="20"/>
                <w:szCs w:val="20"/>
                <w:color w:val="auto"/>
              </w:rPr>
            </w:pPr>
            <w:r>
              <w:rPr>
                <w:rFonts w:ascii="Arial" w:cs="Arial" w:eastAsia="Arial" w:hAnsi="Arial"/>
                <w:sz w:val="16"/>
                <w:szCs w:val="16"/>
                <w:color w:val="auto"/>
              </w:rPr>
              <w:t>Net change in trading securities held by consolidated sponsored investment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changes in assets and liabilities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121.1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3,428.3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(1,134.9)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Effect of exchange rate changes on cash and cash equivalents of consolidated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sponsored investment products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 during period</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2,151.7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1,523.1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 w:type="dxa"/>
            <w:vAlign w:val="bottom"/>
          </w:tcPr>
          <w:p>
            <w:pPr>
              <w:spacing w:after="0"/>
              <w:rPr>
                <w:sz w:val="8"/>
                <w:szCs w:val="8"/>
                <w:color w:val="auto"/>
              </w:rPr>
            </w:pPr>
          </w:p>
        </w:tc>
        <w:tc>
          <w:tcPr>
            <w:tcW w:w="5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8"/>
          </w:tcPr>
          <w:p>
            <w:pPr>
              <w:jc w:val="right"/>
              <w:ind w:right="600"/>
              <w:spacing w:after="0"/>
              <w:rPr>
                <w:sz w:val="20"/>
                <w:szCs w:val="20"/>
                <w:color w:val="auto"/>
              </w:rPr>
            </w:pPr>
            <w:r>
              <w:rPr>
                <w:rFonts w:ascii="Arial" w:cs="Arial" w:eastAsia="Arial" w:hAnsi="Arial"/>
                <w:sz w:val="13"/>
                <w:szCs w:val="13"/>
                <w:b w:val="1"/>
                <w:bCs w:val="1"/>
                <w:color w:val="auto"/>
              </w:rPr>
              <w:t>Cash flow attributable to:</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5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center"/>
              <w:ind w:right="42"/>
              <w:spacing w:after="0" w:line="130" w:lineRule="exact"/>
              <w:rPr>
                <w:sz w:val="20"/>
                <w:szCs w:val="20"/>
                <w:color w:val="auto"/>
              </w:rPr>
            </w:pPr>
            <w:r>
              <w:rPr>
                <w:rFonts w:ascii="Arial" w:cs="Arial" w:eastAsia="Arial" w:hAnsi="Arial"/>
                <w:sz w:val="13"/>
                <w:szCs w:val="13"/>
                <w:b w:val="1"/>
                <w:bCs w:val="1"/>
                <w:color w:val="auto"/>
              </w:rPr>
              <w:t>Consolidated</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T. Rowe Price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b w:val="1"/>
                <w:bCs w:val="1"/>
                <w:color w:val="auto"/>
              </w:rPr>
              <w:t>sponsored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8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80" w:type="dxa"/>
            <w:vAlign w:val="bottom"/>
            <w:shd w:val="clear" w:color="auto" w:fill="CCEEFF"/>
          </w:tcPr>
          <w:p>
            <w:pPr>
              <w:spacing w:after="0"/>
              <w:rPr>
                <w:sz w:val="11"/>
                <w:szCs w:val="11"/>
                <w:color w:val="auto"/>
              </w:rPr>
            </w:pPr>
          </w:p>
        </w:tc>
        <w:tc>
          <w:tcPr>
            <w:tcW w:w="126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b w:val="1"/>
                <w:bCs w:val="1"/>
                <w:color w:val="auto"/>
              </w:rPr>
              <w:t>investment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ind w:left="120"/>
              <w:spacing w:after="0"/>
              <w:rPr>
                <w:sz w:val="20"/>
                <w:szCs w:val="20"/>
                <w:color w:val="auto"/>
              </w:rPr>
            </w:pPr>
            <w:r>
              <w:rPr>
                <w:rFonts w:ascii="Arial" w:cs="Arial" w:eastAsia="Arial" w:hAnsi="Arial"/>
                <w:sz w:val="13"/>
                <w:szCs w:val="13"/>
                <w:b w:val="1"/>
                <w:bCs w:val="1"/>
                <w:color w:val="auto"/>
              </w:rPr>
              <w:t>Elims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b w:val="1"/>
                <w:bCs w:val="1"/>
                <w:color w:val="auto"/>
              </w:rPr>
              <w:t>Group</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b w:val="1"/>
                <w:bCs w:val="1"/>
                <w:color w:val="auto"/>
              </w:rPr>
              <w:t>products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2,372.7</w:t>
            </w:r>
          </w:p>
        </w:tc>
        <w:tc>
          <w:tcPr>
            <w:tcW w:w="10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840" w:type="dxa"/>
            <w:vAlign w:val="bottom"/>
          </w:tcPr>
          <w:p>
            <w:pPr>
              <w:ind w:left="120"/>
              <w:spacing w:after="0" w:line="162"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6"/>
                <w:szCs w:val="16"/>
                <w:color w:val="auto"/>
              </w:rPr>
              <w:t>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58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Depreciation, amortization and impairments of property, equipment and</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software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246.2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gains recognized on investments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840" w:type="dxa"/>
            <w:vAlign w:val="bottom"/>
          </w:tcPr>
          <w:p>
            <w:pPr>
              <w:ind w:left="120"/>
              <w:spacing w:after="0" w:line="162" w:lineRule="exact"/>
              <w:rPr>
                <w:sz w:val="20"/>
                <w:szCs w:val="20"/>
                <w:color w:val="auto"/>
              </w:rPr>
            </w:pPr>
            <w:r>
              <w:rPr>
                <w:rFonts w:ascii="Arial" w:cs="Arial" w:eastAsia="Arial" w:hAnsi="Arial"/>
                <w:sz w:val="16"/>
                <w:szCs w:val="16"/>
                <w:color w:val="auto"/>
              </w:rPr>
              <w:t>Net change in sponsored investment products used to economically hedge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6"/>
                <w:szCs w:val="16"/>
                <w:color w:val="auto"/>
              </w:rPr>
              <w:t>supplemental savings plan liability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58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Net change in trading securities held by consolidated sponsored investment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changes in assets and liabilities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(1,486.3)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6"/>
                <w:szCs w:val="16"/>
                <w:color w:val="auto"/>
              </w:rPr>
              <w:t>Effect of exchange rate changes on cash and cash equivalents of consolidated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sponsored investment products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1,781.8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activities attributable to T. Rowe Price Group during 2022 provided cash flows of $2,440.3 million as compared to $3,428.3 million during 2021. Operating cash flows attributable to T. Rowe Price Group decreased $988.0 million, including a $1,525.0 million decrease in net income, a decrease in timing differences on the cash settlement of our assets and liabilities of $303.9 million. These decreases were partially offset by a higher add back of $774.0 million in non-cash adjustments, including unrealized investment gains/losses, depreciation, amortization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impairments of acquisition-related assets and retention arrangements, the fair value remeasurement of the contingent consideration liability, stock-based compensation expense, and other non-cash items. The non-cash adjustments were primarily driven by $314.0 million in net investment losses in 2022 compared to $169.4 million of net investment gains in 2021 as well as $420.1 million in amortization and impairments of acquisition-related assets and retention agreements incurred in 2022. Additionally, in 2022, we had net investments of $18.8 million from certain investment products that economically hedge our supplemental savings plan liability, compared to net investments of $85.7 million in 2021.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Operating activities attributable to T. Rowe Price Group during 2021 provided cash flows of $3,428.3 million as compared to $2,479.0 million during 2020. Operating cash flows attributable to T. Rowe Price Group increased $949.3 million, including a $710.2 million increase in net income, timing differences on the cash settlement of our assets and liabilities of $33.4 million, and $148.5 million of higher non-cash adjustments, including unrealized investment gains/losses, depreciation, and stock-based compensation expense. The non-cash adjustments were primarily driven by a $104.9 million decrease in net investment gains in 2021 compared to 2020. Additionally, in 2021, we had net investments of $85.7 million from certain investment products that economically hedge our supplemental savings plan liability, while we had net investments of $142.9 million in 2020. The remaining change in reported cash flows from operating activities was attributable to the net change in trading securities held in our consolidated investment products’ underlying portfolios.</w:t>
      </w: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investing activities that are attributable to T. Rowe Price Group totaled $179.3 million in 2022 compared with $ 1,134.9 million of cash used in investing activities in 2021. During 2022, net proceeds from the sale of certain discretionary investments of $208.5 million were lower compared to $ 1,577.8 million during 2021 as investments were sold in 2021 to fund part of the consideration paid to complete the acquisition of OHA. In 2022, we also increased the level of seed capital in those sponsored investment products we consolidate by $92.8 million. We eliminate our seed capital in those sponsored investment products we consolidate in preparing our consolidated statements of cash flows. The remaining change in reported cash flows from investing activities of $8.2 million is primarily related to the net cash removed from our balance sheet from consolidating and deconsolidating investment products.</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investing activities that are attributable to T. Rowe Price Group totaled $ 1,134.9 million in 2021, compared with $65.3 million of cash used in investing activities in 2020. During 2021, we used $2,450.8 million as part of the consideration paid to complete the acquisition of OHA. In addition, we increased our property and equipment expenditures by $24.5 million and increased the level of seed capital provided by $29.3 million. We eliminate our seed capital in those sponsored investment products we consolidate in preparing our consolidated statements of cash flows. Decreasing the cash used in investing activities were higher net proceeds from the sale of certain discretionary investments of $1,577.8 million during 2021 compared to net proceeds of $181.7 million during 2020. The remaining change in reported cash flows from investing activities of $37.0 million is primarily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Net cash used in financing activities attributable to T. Rowe Price Group totaled $2,028.5 million in 2022 compared with $2,922.0 million in 2021. During 2022, we used $849.8 million to repurchase 6.8 million shares compared to $1.1 billion to repurchase 5.9 million shares in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2021. The $594.5 million decrease in dividends paid in 2022 is a result of a special cash dividend paid in July 2021 that did not recur in 2022, partially offset by the 11.1% increase in our quarterly dividend per share in 2022. In addition, $35.1 million in net distributions to non-controlling interests in consolidated entities increased net cash used in financing activities. The remaining change in reported cash flows from financing activities is primarily attributable to a $18.4 million decrease in net redemptions from redeemable non-controlling interest holders of our consolidated investment products and a $45.4 million increase in cash flow related to common stock issued under stock compensation plans during 2022 compared to 2021.</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in financing activities attributable to T. Rowe Price Group totaled $ 2,922.0 million in 2021, compared with $2,043.8 million in 2020. During 2021, there was a $856.1 million increase in dividends paid in 2021 as a result of an 20.0% increase in our quarterly dividend per share and a special dividend paid in July 2021. During 2021, we used $1.1 billion to repurchase 5.9 million shares compared to $1.2 billion to repurchase 10.9 million shares in 2020. The remaining change in reported cash flows from financing activities is primarily attributable to a $624.3 million decrease in net subscriptions received from redeemable non-controlling interest holders of our consolidated</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investment products and a $85.5 decrease in cash flow related to common stock issued under stock compensation plans during 2021 compared to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MATERIAL CASH COMMITMENTS.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material cash commitments primarily include our obligations under the supplemental savings plan, our lease obligations, and other contractual amounts that will be due for the purchase of goods or services to be used in our operations. Some of these contractual amounts may be cancellable under certain conditions and may involve termination fees. We expect to fund these cash commitments from future cash flows from operations.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obligations under the supplemental savings plan are disclosed on our consolidated balance sheet with more information included in Note 17 to the consolidated financial statements. Our lease obligations are disclosed in Note 8 to the consolidated financial statements. Additionally, there are unrecognized tax benefits discussed in Note 11 to our consolidated financial statements.</w:t>
      </w:r>
    </w:p>
    <w:p>
      <w:pPr>
        <w:spacing w:after="0" w:line="19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While most of our other material cash commitments consist of goods and services used in our operations, these commitments primarily consist of obligations related to long-term software licensing and maintenance contracts.</w:t>
      </w:r>
    </w:p>
    <w:p>
      <w:pPr>
        <w:spacing w:after="0" w:line="18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$84.7 million. The vast majority of these additional contributions will be made to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part of the OHA acquisition, T. Rowe Price has committed $500 million to fund OHA products through 2026. As of December 31, 2022, T. Rowe Price has $464.1 million remaining to commit to the OHA products. T. Rowe Price has also entered into certain earnout and other arrangements as part of that acquisition. For more detail on these arrangements, see Note 2 to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These policies and estimates are considered critical because they had a material impact or are reasonably likely to have a material impact on our consolidated financial statements and because they require management to make significant judgments, assumptions or estimates.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2022 Annual Report on Form 10-K. In the following discussion, we highlight and explain further certain of those policies and estimates that are most critical to the preparation and understanding of our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consolidate all subsidiaries and sponsored investment products in which we have a controlling interest. We are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Our VIEs are primarily sponsored investment products and our variable interest consists of our equity ownership in and investment management fees earned from these entities.</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sponsored investment products regulated outside the U.S. are determined to be VIEs. In addition, in connection with the OHA acquisition, we acquired certain carried interest entities, which are considered VIEs. These carried interest entities hold interests in general partners of affiliated private investment funds that are also VIEs; however, the carried interest entities are not the primary beneficiaries to these investment funds. At December 31, 2022, we consolidated VIEs with net assets of $1.3 billion.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Other-than-temporary impairments of equity method investments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evaluate our equity method investments, including our investment in UTI, certain investments in sponsored investment products, and our investments in the affiliated private investment funds, for impairment when events or changes in circumstances indicate that the carrying value of the investment exceeds its fair value, and the decline in fair value is other than temporary. For our investments in our affiliated private investment funds, we consider the length of time and the extent to which market value has been less than cost, any specific events that may influence the operations of the funds and our intent and ability to retain the investment for a period of time to allow for any anticipated recovery in market value. We generally believe an assessment period of four consecutive quarters of sustained market losses is a reasonable period to allow for an anticipated market recovery.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account for business combinations under the acquisition method of accounting, whereby we recognize assets acquired and liabilities assumed, including separately identified intangible assets, contingent liabilities, and non-controlling interests, based on the fair value estimates as of the date of the acquisition. Any excess purchase consideration over the fair value of the identified net assets acquired is recognized as goodwill. The accounting for business combinations requires us to make significant estimates and assumptions, especially with respect to intangible assets and the fair value of contingent payment obligations.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in earnings. As a result, if the subsequent actual results and updated projections of the underlying business activity change, compared with the assumptions and projections used to develop these values, we could experience impairment charges which could be material.</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Intangible assets acquired in business combinations consist primarily of investment advisory agreements and a trade name. We also acquired certain carried interest entities that primarily hold interests in general partners of affiliated private investment funds with capital allocation-based income arrangements. The fair values of the acquired advisory agreements and the investments with the capital allocation-based income arrangements are based on the net present value of estimated future cash flows attributable to the agreements, which include significant assumptions about revenue growth rate, discount rate and effective tax rate. Our estimates are based on assumptions believed to be reasonable, but are inherently uncertain and unpredictable and, as a result, may differ from actual results. In addition, we have estimated the economic lives of certain acquired assets and these lives are used to calculate amortization expense. If our estimates of the economic lives change, amortization expense could be accelerated or decelerated.</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generally determine the fair value of the contingent consideration using the Monte Carlo simulation methodology of valuation. Each reporting period thereafter, we revalue these obligations and record increases or decreases in their fair value as an adjustment to operating expenses within the consolidated statements of income. Changes in the fair value of the contingent consideration can result from changes in assumed discount periods and rates, and from changes pertaining to the achievement of the defined financial targets.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 impairments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a result of our December 2021 acquisition of OHA, we recorded separately identifiable indefinite-lived and definite-lived intangible assets consisting primarily of investment advisory agreements and a trade name.</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Indefinite-lived intangible assets are tested for impairment annually, in the fourth quarter, or more frequently if events or changes in circumstances indicate that it is more likely than not that the intangible asset is impaired. Management must first determine the level at which indefinite-lived intangible assets are tested for impairment (i.e., unit of account). We have concluded that each of the trade name and investment advisory agreements indefinite-lived intangible asset will be considered their own separate unit of account. Once the unit of account is determined, management has the option to first assess indefinite-lived intangible assets for qualitative factors to determine whether it is necessary to perform a quantitative impairment test. If a quantitative impairment test is required, the impairment test consists of a comparison of the fair value of an intangible asset with its carrying amount. If the carrying amount of the intangible asset exceeds its fair value, an impairment loss is recognized in an amount equal to that excess. If required, fair value is generally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Changes in these inputs could produce different fair value amounts and therefore different impairment conclusions. During 2022, our annual impairment review of our indefinite-lived intangible assets determined that both our indefinite-lived investment management agreements intangible asset and trade name were impaired at the review date. These intangible assets were determined to have had triggering events due to a combination of lower than expected cash flows and revenue projections from the most recent fair value determination in December 2021. During 2022, we recognized $116.8 million of non-cash impairment charges on these indefinite-lived intangible assets.</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Definite-lived intangible assets are reviewed for impairment whenever events or circumstances indicate that the asset group's carrying amount may not be recoverable (i.e., the carrying amount is less than the undiscounted estimated future cash flows). Management must first determine the level at which definite-lived intangible assets are tested for impairment (i.e., asset group). The determination of the asset group is judgmental and the intangible assets can be grouped based on the lowest level for which identifiable cash flows are largely independent of identifiable cash flows for other groups of assets. Since each affiliated private investment fund has identifiable cash flows separate from other funds, we determined that the asset group for testing is each individual affiliated private investment fund. Once the asset group is identified, we next determine whether there are any triggering events that would cause us to believe that the carrying value would not be recoverable. If there is a triggering event, then we would perform a test of recoverability. Based on that test, if the carrying value is not recoverable, then a fair value measurement is required of the asset group to determine if the fair value is less than the asset group's carrying amount. If required, fair value would be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Any impairment loss would be the difference between the fair value of the asset group and its carrying amount. During 2022, we determined in the fourth quarter that certain definite-lived intangible assets carrying value were not recoverable due to lower than expected cash flows and revenue projections. Accordingly, during 2022, we recognized a non-cash impairment charge on these intangible assets of $58.2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internally conduct, manage, and report our operations as one reportable business segment - investment advisory business. This reflects how the chief operating decision maker allocates resources and assesses performance. Accordingly, we have one reporting unit - our investment advisory business, consistent with our single operating segment, to which all goodwill has been assigned.</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fourth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goodwill that we could incur is the amount recognized in our consolidated balance sheets, $2,642.8 million as of December 31,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8, Financial Statements for a discussion of newly issued but not yet adopted accounting guidance.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the timing and expense related to the integration of OHA with and into our business;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the impact of the coronavirus pandemic,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pandemic.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valuations, and any other-than-temporary impairments that may arise or, in the case of our equity method investments, our proportionate share of the investees’ net income.</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sponsored investment products and investing in general or in particular classes of mutual funds or other investments.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investments in sponsored investment products are carried at fair value, and, as such, these investments are subject to market risk. The following table presents the equity price risk from our investments in sponsored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We do not actively manage the market risk related to our seed capital investments.</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2022 was determined by using the lower of each product’s lowest net asset value per share during 2022 or its net asset value per share at December 31, 2022,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2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center"/>
              <w:ind w:left="253"/>
              <w:spacing w:after="0"/>
              <w:rPr>
                <w:sz w:val="20"/>
                <w:szCs w:val="20"/>
                <w:color w:val="auto"/>
              </w:rPr>
            </w:pPr>
            <w:r>
              <w:rPr>
                <w:rFonts w:ascii="Arial" w:cs="Arial" w:eastAsia="Arial" w:hAnsi="Arial"/>
                <w:sz w:val="14"/>
                <w:szCs w:val="14"/>
                <w:b w:val="1"/>
                <w:bCs w:val="1"/>
                <w:color w:val="auto"/>
              </w:rPr>
              <w:t>Potential</w:t>
            </w: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12/31/2022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28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center"/>
              <w:ind w:left="253"/>
              <w:spacing w:after="0"/>
              <w:rPr>
                <w:sz w:val="20"/>
                <w:szCs w:val="20"/>
                <w:color w:val="auto"/>
              </w:rPr>
            </w:pPr>
            <w:r>
              <w:rPr>
                <w:rFonts w:ascii="Arial" w:cs="Arial" w:eastAsia="Arial" w:hAnsi="Arial"/>
                <w:sz w:val="14"/>
                <w:szCs w:val="14"/>
                <w:b w:val="1"/>
                <w:bCs w:val="1"/>
                <w:color w:val="auto"/>
              </w:rPr>
              <w:t>loss</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Investments in sponsored products</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Discretionary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Seed capital not consolidated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Investments designated as an economic hedge of supplemental savings</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liability</w:t>
            </w:r>
          </w:p>
        </w:tc>
        <w:tc>
          <w:tcPr>
            <w:tcW w:w="2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Direct investment in consolidated sponsored investment products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Discretionary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Seed capital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partnerships and other investments held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w:t>
      </w:r>
    </w:p>
    <w:p>
      <w:pPr>
        <w:spacing w:after="0" w:line="18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direct investment in consolidated sponsored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sponsored investment products would also result in a corresponding decrease, net of tax, in our net income attributable to T. Rowe Price Group.</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Further, we have investments that are used to economically hedge the change in our supplementary savings plan liability. Since we are hedging the liability, an impact on our net income attributable to T. Rowe Price Group would result from any ineffectiveness of this economic hedge.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RISK.</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our investments, including a few consolidated sponsored investment products, expose us to currency translation risk when the financial statements are translated into U.S. dollars ("USD"). Our most significant exposure relates to the translation of the financial statements of our equity method investment in UTI ($158.8 million at December 31, 2022).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and the carrying amount of our investment. We had a cumulative translation loss, net of tax, of $50.5 million at December 31, 2022, related to our investment in UTI. Given the nature of UTI’s business, should conditions deteriorate in markets in which they operate, we are at risk for loss up to our carrying amount.</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2022, related to cash and non-consolidated investments of $209.6 million that are denominated in foreign currencies. We do not believe that foreign currency fluctuations materially affect our results of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006EBF"/>
              </w:rPr>
              <w:t>Table of Contents</w:t>
            </w: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shd w:val="clear" w:color="auto" w:fill="006EBF"/>
          </w:tcPr>
          <w:p>
            <w:pPr>
              <w:spacing w:after="0" w:line="20" w:lineRule="exact"/>
              <w:rPr>
                <w:sz w:val="1"/>
                <w:szCs w:val="1"/>
                <w:color w:val="auto"/>
              </w:rPr>
            </w:pPr>
          </w:p>
        </w:tc>
        <w:tc>
          <w:tcPr>
            <w:tcW w:w="1220" w:type="dxa"/>
            <w:vAlign w:val="bottom"/>
            <w:shd w:val="clear" w:color="auto" w:fill="006EB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0220" w:type="dxa"/>
            <w:vAlign w:val="bottom"/>
            <w:gridSpan w:val="11"/>
          </w:tcPr>
          <w:p>
            <w:pPr>
              <w:spacing w:after="0"/>
              <w:rPr>
                <w:sz w:val="20"/>
                <w:szCs w:val="20"/>
                <w:color w:val="auto"/>
              </w:rPr>
            </w:pPr>
            <w:r>
              <w:rPr>
                <w:rFonts w:ascii="Arial" w:cs="Arial" w:eastAsia="Arial" w:hAnsi="Arial"/>
                <w:sz w:val="18"/>
                <w:szCs w:val="18"/>
                <w:b w:val="1"/>
                <w:bCs w:val="1"/>
                <w:color w:val="auto"/>
              </w:rPr>
              <w:t>tem 8.  Financial Statements.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00" w:type="dxa"/>
            <w:vAlign w:val="bottom"/>
          </w:tcPr>
          <w:p>
            <w:pPr>
              <w:spacing w:after="0"/>
              <w:rPr>
                <w:sz w:val="24"/>
                <w:szCs w:val="24"/>
                <w:color w:val="auto"/>
              </w:rPr>
            </w:pPr>
          </w:p>
        </w:tc>
        <w:tc>
          <w:tcPr>
            <w:tcW w:w="10120" w:type="dxa"/>
            <w:vAlign w:val="bottom"/>
            <w:gridSpan w:val="10"/>
            <w:vMerge w:val="restart"/>
          </w:tcPr>
          <w:p>
            <w:pPr>
              <w:ind w:left="20"/>
              <w:spacing w:after="0"/>
              <w:rPr>
                <w:sz w:val="20"/>
                <w:szCs w:val="20"/>
                <w:color w:val="auto"/>
              </w:rPr>
            </w:pPr>
            <w:r>
              <w:rPr>
                <w:rFonts w:ascii="Arial" w:cs="Arial" w:eastAsia="Arial" w:hAnsi="Arial"/>
                <w:sz w:val="18"/>
                <w:szCs w:val="18"/>
                <w:color w:val="auto"/>
              </w:rPr>
              <w:t>Index to Financial Statements:</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120" w:type="dxa"/>
            <w:vAlign w:val="bottom"/>
            <w:gridSpan w:val="10"/>
            <w:vMerge w:val="continue"/>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Borders>
              <w:bottom w:val="single" w:sz="8" w:color="auto"/>
            </w:tcBorders>
            <w:gridSpan w:val="5"/>
          </w:tcPr>
          <w:p>
            <w:pPr>
              <w:spacing w:after="0" w:line="195" w:lineRule="exact"/>
              <w:rPr>
                <w:sz w:val="20"/>
                <w:szCs w:val="20"/>
                <w:color w:val="auto"/>
              </w:rPr>
            </w:pPr>
            <w:r>
              <w:rPr>
                <w:rFonts w:ascii="Arial" w:cs="Arial" w:eastAsia="Arial" w:hAnsi="Arial"/>
                <w:sz w:val="18"/>
                <w:szCs w:val="18"/>
                <w:color w:val="auto"/>
                <w:w w:val="99"/>
              </w:rPr>
              <w:t>Consolidated Balance Sheets at December 31, 2022 and 2021</w:t>
            </w:r>
          </w:p>
        </w:tc>
        <w:tc>
          <w:tcPr>
            <w:tcW w:w="4940" w:type="dxa"/>
            <w:vAlign w:val="bottom"/>
            <w:gridSpan w:val="4"/>
          </w:tcPr>
          <w:p>
            <w:pPr>
              <w:spacing w:after="0"/>
              <w:rPr>
                <w:sz w:val="16"/>
                <w:szCs w:val="16"/>
                <w:color w:val="auto"/>
              </w:rPr>
            </w:pPr>
          </w:p>
        </w:tc>
        <w:tc>
          <w:tcPr>
            <w:tcW w:w="11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Consolidated Statements of Income for each of the years in the three-year period ended</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6"/>
                <w:szCs w:val="16"/>
                <w:color w:val="auto"/>
              </w:rPr>
              <w:t>December 31, 2022</w:t>
            </w: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2022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Consolidated Statements of Cash Flows for each of the years in the three-year period ended</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36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6"/>
                <w:szCs w:val="16"/>
                <w:color w:val="auto"/>
              </w:rPr>
              <w:t>December 31, 2022</w:t>
            </w: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Consolidated Statements of Stockholders' Equity for each of the years in the three-year period ended December 31, 2022</w:t>
            </w:r>
          </w:p>
        </w:tc>
        <w:tc>
          <w:tcPr>
            <w:tcW w:w="2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Report of Independent Registered Public Accounting Firm (KPMG LLP, Baltimore, MD, Auditor ID: 185)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07"/>
        </w:trPr>
        <w:tc>
          <w:tcPr>
            <w:tcW w:w="280" w:type="dxa"/>
            <w:vAlign w:val="bottom"/>
            <w:gridSpan w:val="2"/>
          </w:tcPr>
          <w:p>
            <w:pPr>
              <w:spacing w:after="0"/>
              <w:rPr>
                <w:sz w:val="24"/>
                <w:szCs w:val="24"/>
                <w:color w:val="auto"/>
              </w:rPr>
            </w:pPr>
          </w:p>
        </w:tc>
        <w:tc>
          <w:tcPr>
            <w:tcW w:w="4600" w:type="dxa"/>
            <w:vAlign w:val="bottom"/>
            <w:tcBorders>
              <w:top w:val="single" w:sz="8" w:color="auto"/>
            </w:tcBorders>
            <w:gridSpan w:val="4"/>
          </w:tcPr>
          <w:p>
            <w:pPr>
              <w:spacing w:after="0"/>
              <w:rPr>
                <w:sz w:val="24"/>
                <w:szCs w:val="24"/>
                <w:color w:val="auto"/>
              </w:rPr>
            </w:pPr>
          </w:p>
        </w:tc>
        <w:tc>
          <w:tcPr>
            <w:tcW w:w="2400" w:type="dxa"/>
            <w:vAlign w:val="bottom"/>
            <w:gridSpan w:val="2"/>
          </w:tcPr>
          <w:p>
            <w:pPr>
              <w:jc w:val="right"/>
              <w:ind w:right="1370"/>
              <w:spacing w:after="0"/>
              <w:rPr>
                <w:sz w:val="20"/>
                <w:szCs w:val="20"/>
                <w:color w:val="auto"/>
              </w:rPr>
            </w:pPr>
            <w:r>
              <w:rPr>
                <w:rFonts w:ascii="Arial" w:cs="Arial" w:eastAsia="Arial" w:hAnsi="Arial"/>
                <w:sz w:val="18"/>
                <w:szCs w:val="18"/>
                <w:b w:val="1"/>
                <w:bCs w:val="1"/>
                <w:color w:val="FFFFFF"/>
              </w:rPr>
              <w:t>20</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gridSpan w:val="4"/>
          </w:tcPr>
          <w:p>
            <w:pPr>
              <w:jc w:val="center"/>
              <w:ind w:right="4060"/>
              <w:spacing w:after="0"/>
              <w:rPr>
                <w:sz w:val="20"/>
                <w:szCs w:val="20"/>
                <w:color w:val="auto"/>
              </w:rPr>
            </w:pPr>
            <w:r>
              <w:rPr>
                <w:rFonts w:ascii="Arial" w:cs="Arial" w:eastAsia="Arial" w:hAnsi="Arial"/>
                <w:sz w:val="18"/>
                <w:szCs w:val="18"/>
                <w:color w:val="auto"/>
              </w:rPr>
              <w:t>Page 56</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12/31/2022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176"/>
        </w:trPr>
        <w:tc>
          <w:tcPr>
            <w:tcW w:w="85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sponsored investment products ($1,375.6 million at December 31, 2022 and</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1,603.4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$1,761.5 million at December 31, 2021, related to variable interest entities)</w:t>
            </w: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176"/>
        </w:trPr>
        <w:tc>
          <w:tcPr>
            <w:tcW w:w="8540" w:type="dxa"/>
            <w:vAlign w:val="bottom"/>
          </w:tcPr>
          <w:p>
            <w:pPr>
              <w:ind w:left="20"/>
              <w:spacing w:after="0" w:line="176" w:lineRule="exact"/>
              <w:rPr>
                <w:sz w:val="20"/>
                <w:szCs w:val="20"/>
                <w:color w:val="auto"/>
              </w:rPr>
            </w:pPr>
            <w:r>
              <w:rPr>
                <w:rFonts w:ascii="Arial" w:cs="Arial" w:eastAsia="Arial" w:hAnsi="Arial"/>
                <w:sz w:val="18"/>
                <w:szCs w:val="18"/>
                <w:color w:val="auto"/>
              </w:rPr>
              <w:t>Liabilities of consolidated sponsored investment products ($39.1 million at December 31, 2022 and $36.2</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million at December 31, 2021, related to variable interest entities)</w:t>
            </w: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Accrued compensation and related costs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88"/>
        </w:trPr>
        <w:tc>
          <w:tcPr>
            <w:tcW w:w="8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108"/>
        </w:trPr>
        <w:tc>
          <w:tcPr>
            <w:tcW w:w="8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Preferred stock, undesignated, $.20 par value—authorized and unissued</w:t>
            </w:r>
          </w:p>
        </w:tc>
        <w:tc>
          <w:tcPr>
            <w:tcW w:w="2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20,000,000 shares</w:t>
            </w:r>
          </w:p>
        </w:tc>
        <w:tc>
          <w:tcPr>
            <w:tcW w:w="20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140"/>
              <w:spacing w:after="0" w:line="176" w:lineRule="exact"/>
              <w:rPr>
                <w:sz w:val="20"/>
                <w:szCs w:val="20"/>
                <w:color w:val="auto"/>
              </w:rPr>
            </w:pPr>
            <w:r>
              <w:rPr>
                <w:rFonts w:ascii="Arial" w:cs="Arial" w:eastAsia="Arial" w:hAnsi="Arial"/>
                <w:sz w:val="18"/>
                <w:szCs w:val="18"/>
                <w:color w:val="auto"/>
              </w:rPr>
              <w:t>Common stock, $.20 par value—authorized 750,000,000; issued 224,310,000 shares at December 31,</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8540" w:type="dxa"/>
            <w:vAlign w:val="bottom"/>
          </w:tcPr>
          <w:p>
            <w:pPr>
              <w:ind w:left="140"/>
              <w:spacing w:after="0"/>
              <w:rPr>
                <w:sz w:val="20"/>
                <w:szCs w:val="20"/>
                <w:color w:val="auto"/>
              </w:rPr>
            </w:pPr>
            <w:r>
              <w:rPr>
                <w:rFonts w:ascii="Arial" w:cs="Arial" w:eastAsia="Arial" w:hAnsi="Arial"/>
                <w:sz w:val="18"/>
                <w:szCs w:val="18"/>
                <w:color w:val="auto"/>
              </w:rPr>
              <w:t>2022 and 229,175,000 at December 31, 2021</w:t>
            </w: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8,083.6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9,022.7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permanent stockholders' equity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advisory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Capital allocation-based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6,206.7</w:t>
            </w:r>
          </w:p>
        </w:tc>
      </w:tr>
      <w:tr>
        <w:trPr>
          <w:trHeight w:val="250"/>
        </w:trPr>
        <w:tc>
          <w:tcPr>
            <w:tcW w:w="6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278.5</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155.5</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General, administrative,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r>
      <w:tr>
        <w:trPr>
          <w:trHeight w:val="250"/>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gains (losses) on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246.8</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sponsored investment products—variable interest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gains recognized in non-operating investment income upon</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deconsolidation of certain sponsored investment products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67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currency translation adjustments of consolidated sponsored investment</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products—variable interest entities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adjustment recognized upon partial disposition of equity method</w:t>
            </w: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w:t>
            </w:r>
          </w:p>
        </w:tc>
        <w:tc>
          <w:tcPr>
            <w:tcW w:w="3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equity method investments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benefits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comprehensive income (loss) attributable to redeemable non-controlling</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176"/>
        </w:trPr>
        <w:tc>
          <w:tcPr>
            <w:tcW w:w="6700" w:type="dxa"/>
            <w:vAlign w:val="bottom"/>
          </w:tcPr>
          <w:p>
            <w:pPr>
              <w:ind w:left="360"/>
              <w:spacing w:after="0" w:line="176" w:lineRule="exact"/>
              <w:rPr>
                <w:sz w:val="20"/>
                <w:szCs w:val="20"/>
                <w:color w:val="auto"/>
              </w:rPr>
            </w:pPr>
            <w:r>
              <w:rPr>
                <w:rFonts w:ascii="Arial" w:cs="Arial" w:eastAsia="Arial" w:hAnsi="Arial"/>
                <w:sz w:val="18"/>
                <w:szCs w:val="18"/>
                <w:color w:val="auto"/>
              </w:rPr>
              <w:t>Amortization and impairment of acquisition-related assets and retention</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Arial" w:cs="Arial" w:eastAsia="Arial" w:hAnsi="Arial"/>
                <w:sz w:val="18"/>
                <w:szCs w:val="18"/>
                <w:color w:val="auto"/>
              </w:rPr>
              <w:t>arrangements</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remeasurement of contingent consideration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recognized on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175"/>
        </w:trPr>
        <w:tc>
          <w:tcPr>
            <w:tcW w:w="6700" w:type="dxa"/>
            <w:vAlign w:val="bottom"/>
          </w:tcPr>
          <w:p>
            <w:pPr>
              <w:ind w:left="360"/>
              <w:spacing w:after="0" w:line="176" w:lineRule="exact"/>
              <w:rPr>
                <w:sz w:val="20"/>
                <w:szCs w:val="20"/>
                <w:color w:val="auto"/>
              </w:rPr>
            </w:pPr>
            <w:r>
              <w:rPr>
                <w:rFonts w:ascii="Arial" w:cs="Arial" w:eastAsia="Arial" w:hAnsi="Arial"/>
                <w:sz w:val="18"/>
                <w:szCs w:val="18"/>
                <w:color w:val="auto"/>
              </w:rPr>
              <w:t>Net investments in sponsored investment products used to economically hedge</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Arial" w:cs="Arial" w:eastAsia="Arial" w:hAnsi="Arial"/>
                <w:sz w:val="18"/>
                <w:szCs w:val="18"/>
                <w:color w:val="auto"/>
              </w:rPr>
              <w:t>supplemental savings plan liability</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securities held by consolidated sponsored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Net cash of sponsored investment products on consolidation (deconsolidation)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 and equity-award 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(redemptions) from redeemable non-controlling interest 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w:t>
            </w:r>
          </w:p>
        </w:tc>
        <w:tc>
          <w:tcPr>
            <w:tcW w:w="0" w:type="dxa"/>
            <w:vAlign w:val="bottom"/>
          </w:tcPr>
          <w:p>
            <w:pPr>
              <w:spacing w:after="0"/>
              <w:rPr>
                <w:sz w:val="1"/>
                <w:szCs w:val="1"/>
                <w:color w:val="auto"/>
              </w:rPr>
            </w:pPr>
          </w:p>
        </w:tc>
      </w:tr>
      <w:tr>
        <w:trPr>
          <w:trHeight w:val="155"/>
        </w:trPr>
        <w:tc>
          <w:tcPr>
            <w:tcW w:w="6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sponsored investment products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$101.1 million at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 2021, $104.8 million at December 31, 2020 and $76.5 million at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 held by consolidated sponsored investment products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70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$119.1 million at December</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rPr>
              <w:t>31, 2022, $101.1 million at December 31, 2021, and $104.8 million at December</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1,874.7</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1,624.2</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Arial" w:cs="Arial" w:eastAsia="Arial" w:hAnsi="Arial"/>
                <w:sz w:val="18"/>
                <w:szCs w:val="18"/>
                <w:color w:val="auto"/>
              </w:rPr>
              <w:t>31, 2020, held by consolidated sponsored investment products</w:t>
            </w: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4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equity</w:t>
            </w:r>
          </w:p>
        </w:tc>
        <w:tc>
          <w:tcPr>
            <w:tcW w:w="9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Common</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Retained</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92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permanent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center"/>
              <w:ind w:right="29"/>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9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28"/>
              <w:spacing w:after="0"/>
              <w:rPr>
                <w:sz w:val="20"/>
                <w:szCs w:val="20"/>
                <w:color w:val="auto"/>
              </w:rPr>
            </w:pPr>
            <w:r>
              <w:rPr>
                <w:rFonts w:ascii="Arial" w:cs="Arial" w:eastAsia="Arial" w:hAnsi="Arial"/>
                <w:sz w:val="13"/>
                <w:szCs w:val="13"/>
                <w:b w:val="1"/>
                <w:bCs w:val="1"/>
                <w:color w:val="auto"/>
                <w:w w:val="96"/>
              </w:rPr>
              <w:t>AOCI</w:t>
            </w:r>
            <w:r>
              <w:rPr>
                <w:rFonts w:ascii="Arial" w:cs="Arial" w:eastAsia="Arial" w:hAnsi="Arial"/>
                <w:sz w:val="16"/>
                <w:szCs w:val="16"/>
                <w:b w:val="1"/>
                <w:bCs w:val="1"/>
                <w:color w:val="auto"/>
                <w:w w:val="96"/>
                <w:vertAlign w:val="superscript"/>
              </w:rPr>
              <w:t>(1)</w:t>
            </w:r>
          </w:p>
        </w:tc>
        <w:tc>
          <w:tcPr>
            <w:tcW w:w="80" w:type="dxa"/>
            <w:vAlign w:val="bottom"/>
            <w:vMerge w:val="restart"/>
            <w:shd w:val="clear" w:color="auto" w:fill="CCEEFF"/>
          </w:tcPr>
          <w:p>
            <w:pPr>
              <w:spacing w:after="0"/>
              <w:rPr>
                <w:sz w:val="11"/>
                <w:szCs w:val="11"/>
                <w:color w:val="auto"/>
              </w:rPr>
            </w:pPr>
          </w:p>
        </w:tc>
        <w:tc>
          <w:tcPr>
            <w:tcW w:w="10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T. Rowe Price</w:t>
            </w:r>
          </w:p>
        </w:tc>
        <w:tc>
          <w:tcPr>
            <w:tcW w:w="9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10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29"/>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3"/>
                <w:szCs w:val="13"/>
                <w:b w:val="1"/>
                <w:bCs w:val="1"/>
                <w:color w:val="auto"/>
              </w:rPr>
              <w:t>stock</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center"/>
              <w:ind w:right="49"/>
              <w:spacing w:after="0"/>
              <w:rPr>
                <w:sz w:val="20"/>
                <w:szCs w:val="20"/>
                <w:color w:val="auto"/>
              </w:rPr>
            </w:pPr>
            <w:r>
              <w:rPr>
                <w:rFonts w:ascii="Arial" w:cs="Arial" w:eastAsia="Arial" w:hAnsi="Arial"/>
                <w:sz w:val="13"/>
                <w:szCs w:val="13"/>
                <w:b w:val="1"/>
                <w:bCs w:val="1"/>
                <w:color w:val="auto"/>
                <w:w w:val="96"/>
              </w:rPr>
              <w:t>value</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right="49"/>
              <w:spacing w:after="0"/>
              <w:rPr>
                <w:sz w:val="20"/>
                <w:szCs w:val="20"/>
                <w:color w:val="auto"/>
              </w:rPr>
            </w:pPr>
            <w:r>
              <w:rPr>
                <w:rFonts w:ascii="Arial" w:cs="Arial" w:eastAsia="Arial" w:hAnsi="Arial"/>
                <w:sz w:val="13"/>
                <w:szCs w:val="13"/>
                <w:b w:val="1"/>
                <w:bCs w:val="1"/>
                <w:color w:val="auto"/>
                <w:w w:val="99"/>
              </w:rPr>
              <w:t>Group, Inc.</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ind w:right="6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right="4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center"/>
              <w:ind w:right="29"/>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3"/>
                <w:szCs w:val="13"/>
                <w:color w:val="auto"/>
              </w:rPr>
              <w:t>Balances at December 31, 2019</w:t>
            </w:r>
          </w:p>
        </w:tc>
        <w:tc>
          <w:tcPr>
            <w:tcW w:w="860" w:type="dxa"/>
            <w:vAlign w:val="bottom"/>
          </w:tcPr>
          <w:p>
            <w:pPr>
              <w:jc w:val="right"/>
              <w:spacing w:after="0"/>
              <w:rPr>
                <w:sz w:val="20"/>
                <w:szCs w:val="20"/>
                <w:color w:val="auto"/>
              </w:rPr>
            </w:pPr>
            <w:r>
              <w:rPr>
                <w:rFonts w:ascii="Arial" w:cs="Arial" w:eastAsia="Arial" w:hAnsi="Arial"/>
                <w:sz w:val="14"/>
                <w:szCs w:val="14"/>
                <w:color w:val="auto"/>
              </w:rPr>
              <w:t>235,214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6,443.5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7,102.1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7,102.1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Other comprehensive income (loss), net of</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4"/>
        </w:trPr>
        <w:tc>
          <w:tcPr>
            <w:tcW w:w="2740" w:type="dxa"/>
            <w:vAlign w:val="bottom"/>
          </w:tcPr>
          <w:p>
            <w:pPr>
              <w:ind w:left="20"/>
              <w:spacing w:after="0"/>
              <w:rPr>
                <w:sz w:val="20"/>
                <w:szCs w:val="20"/>
                <w:color w:val="auto"/>
              </w:rPr>
            </w:pPr>
            <w:r>
              <w:rPr>
                <w:rFonts w:ascii="Arial" w:cs="Arial" w:eastAsia="Arial" w:hAnsi="Arial"/>
                <w:sz w:val="13"/>
                <w:szCs w:val="13"/>
                <w:color w:val="auto"/>
              </w:rPr>
              <w:t>tax</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($3.60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Common stock-based compensation plans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activity: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issued upon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40" w:type="dxa"/>
            <w:vAlign w:val="bottom"/>
          </w:tcPr>
          <w:p>
            <w:pPr>
              <w:ind w:left="140"/>
              <w:spacing w:after="0" w:line="136" w:lineRule="exact"/>
              <w:rPr>
                <w:sz w:val="20"/>
                <w:szCs w:val="20"/>
                <w:color w:val="auto"/>
              </w:rPr>
            </w:pPr>
            <w:r>
              <w:rPr>
                <w:rFonts w:ascii="Arial" w:cs="Arial" w:eastAsia="Arial" w:hAnsi="Arial"/>
                <w:sz w:val="13"/>
                <w:szCs w:val="13"/>
                <w:color w:val="auto"/>
              </w:rPr>
              <w:t>Restricted shares issued, net of shares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740" w:type="dxa"/>
            <w:vAlign w:val="bottom"/>
          </w:tcPr>
          <w:p>
            <w:pPr>
              <w:ind w:left="140"/>
              <w:spacing w:after="0"/>
              <w:rPr>
                <w:sz w:val="20"/>
                <w:szCs w:val="20"/>
                <w:color w:val="auto"/>
              </w:rPr>
            </w:pPr>
            <w:r>
              <w:rPr>
                <w:rFonts w:ascii="Arial" w:cs="Arial" w:eastAsia="Arial" w:hAnsi="Arial"/>
                <w:sz w:val="13"/>
                <w:szCs w:val="13"/>
                <w:color w:val="auto"/>
              </w:rPr>
              <w:t>withheld for taxes</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Shares issued upon vesting of restricted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stock units, net of shares withheld for</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246.2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246.2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Restricted stock units issued as dividend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equivalents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3"/>
                <w:szCs w:val="13"/>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4"/>
                <w:szCs w:val="14"/>
                <w:color w:val="auto"/>
              </w:rPr>
              <w:t>(10,908)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Net subscriptions into sponsored investment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Net deconsolidations of sponsored</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84"/>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investment products</w:t>
            </w: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7,029.8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3,082.9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Other comprehensive income (loss), net of</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3"/>
                <w:szCs w:val="13"/>
                <w:color w:val="auto"/>
              </w:rPr>
              <w:t>Dividends declared ($4.32 per share)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Special cash dividend declared ($3.00 per</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Common stock-based compensation plans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activity: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issued upon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40" w:type="dxa"/>
            <w:vAlign w:val="bottom"/>
          </w:tcPr>
          <w:p>
            <w:pPr>
              <w:ind w:left="140"/>
              <w:spacing w:after="0" w:line="136" w:lineRule="exact"/>
              <w:rPr>
                <w:sz w:val="20"/>
                <w:szCs w:val="20"/>
                <w:color w:val="auto"/>
              </w:rPr>
            </w:pPr>
            <w:r>
              <w:rPr>
                <w:rFonts w:ascii="Arial" w:cs="Arial" w:eastAsia="Arial" w:hAnsi="Arial"/>
                <w:sz w:val="13"/>
                <w:szCs w:val="13"/>
                <w:color w:val="auto"/>
              </w:rPr>
              <w:t>Restricted shares issued, net of shares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740" w:type="dxa"/>
            <w:vAlign w:val="bottom"/>
          </w:tcPr>
          <w:p>
            <w:pPr>
              <w:ind w:left="140"/>
              <w:spacing w:after="0"/>
              <w:rPr>
                <w:sz w:val="20"/>
                <w:szCs w:val="20"/>
                <w:color w:val="auto"/>
              </w:rPr>
            </w:pPr>
            <w:r>
              <w:rPr>
                <w:rFonts w:ascii="Arial" w:cs="Arial" w:eastAsia="Arial" w:hAnsi="Arial"/>
                <w:sz w:val="13"/>
                <w:szCs w:val="13"/>
                <w:color w:val="auto"/>
              </w:rPr>
              <w:t>withheld for taxes</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Shares issued upon vesting of restricted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stock units, net of shares withheld for</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4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Restricted stock units issued as dividend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equivalents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3"/>
                <w:szCs w:val="13"/>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4"/>
                <w:szCs w:val="14"/>
                <w:color w:val="auto"/>
              </w:rPr>
              <w:t>(5,941)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shares issued for acquisition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3"/>
                <w:szCs w:val="13"/>
                <w:color w:val="auto"/>
              </w:rPr>
              <w:t>Non-controlling interests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248.7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248.7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Net redemptions into sponsored investment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Net deconsolidations of sponsored</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84"/>
        </w:trPr>
        <w:tc>
          <w:tcPr>
            <w:tcW w:w="2740" w:type="dxa"/>
            <w:vAlign w:val="bottom"/>
          </w:tcPr>
          <w:p>
            <w:pPr>
              <w:ind w:left="20"/>
              <w:spacing w:after="0"/>
              <w:rPr>
                <w:sz w:val="20"/>
                <w:szCs w:val="20"/>
                <w:color w:val="auto"/>
              </w:rPr>
            </w:pPr>
            <w:r>
              <w:rPr>
                <w:rFonts w:ascii="Arial" w:cs="Arial" w:eastAsia="Arial" w:hAnsi="Arial"/>
                <w:sz w:val="13"/>
                <w:szCs w:val="13"/>
                <w:color w:val="auto"/>
              </w:rPr>
              <w:t>investment products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December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229,175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919.8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8,083.6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248.7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9,271.4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equity</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permanent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rPr>
              <w:t>shares</w:t>
            </w:r>
          </w:p>
        </w:tc>
        <w:tc>
          <w:tcPr>
            <w:tcW w:w="14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94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excess of par</w:t>
            </w:r>
          </w:p>
        </w:tc>
        <w:tc>
          <w:tcPr>
            <w:tcW w:w="14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1040" w:type="dxa"/>
            <w:vAlign w:val="bottom"/>
            <w:gridSpan w:val="3"/>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T. Rowe Price</w:t>
            </w:r>
          </w:p>
        </w:tc>
        <w:tc>
          <w:tcPr>
            <w:tcW w:w="94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1040" w:type="dxa"/>
            <w:vAlign w:val="bottom"/>
            <w:gridSpan w:val="3"/>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rPr>
              <w:t>value</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earnings</w:t>
            </w: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6"/>
              </w:rPr>
              <w:t>Group, Inc.</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6"/>
              </w:rPr>
              <w:t>entities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center"/>
              <w:ind w:right="30"/>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92"/>
        </w:trPr>
        <w:tc>
          <w:tcPr>
            <w:tcW w:w="2680" w:type="dxa"/>
            <w:vAlign w:val="bottom"/>
          </w:tcPr>
          <w:p>
            <w:pPr>
              <w:ind w:left="20"/>
              <w:spacing w:after="0"/>
              <w:rPr>
                <w:sz w:val="20"/>
                <w:szCs w:val="20"/>
                <w:color w:val="auto"/>
              </w:rPr>
            </w:pPr>
            <w:r>
              <w:rPr>
                <w:rFonts w:ascii="Arial" w:cs="Arial" w:eastAsia="Arial" w:hAnsi="Arial"/>
                <w:sz w:val="13"/>
                <w:szCs w:val="13"/>
                <w:color w:val="auto"/>
              </w:rPr>
              <w:t>Balances at December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229,175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919.8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8,083.6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9,022.7</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248.7</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9,271.4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($4.80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line="136" w:lineRule="exact"/>
              <w:rPr>
                <w:sz w:val="20"/>
                <w:szCs w:val="20"/>
                <w:color w:val="auto"/>
              </w:rPr>
            </w:pPr>
            <w:r>
              <w:rPr>
                <w:rFonts w:ascii="Arial" w:cs="Arial" w:eastAsia="Arial" w:hAnsi="Arial"/>
                <w:sz w:val="13"/>
                <w:szCs w:val="13"/>
                <w:color w:val="auto"/>
              </w:rPr>
              <w:t>Common stock-based compensation plans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80" w:type="dxa"/>
            <w:vAlign w:val="bottom"/>
          </w:tcPr>
          <w:p>
            <w:pPr>
              <w:ind w:left="20"/>
              <w:spacing w:after="0"/>
              <w:rPr>
                <w:sz w:val="20"/>
                <w:szCs w:val="20"/>
                <w:color w:val="auto"/>
              </w:rPr>
            </w:pPr>
            <w:r>
              <w:rPr>
                <w:rFonts w:ascii="Arial" w:cs="Arial" w:eastAsia="Arial" w:hAnsi="Arial"/>
                <w:sz w:val="13"/>
                <w:szCs w:val="13"/>
                <w:color w:val="auto"/>
              </w:rPr>
              <w:t>activity: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issued upon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680" w:type="dxa"/>
            <w:vAlign w:val="bottom"/>
          </w:tcPr>
          <w:p>
            <w:pPr>
              <w:ind w:left="140"/>
              <w:spacing w:after="0" w:line="136" w:lineRule="exact"/>
              <w:rPr>
                <w:sz w:val="20"/>
                <w:szCs w:val="20"/>
                <w:color w:val="auto"/>
              </w:rPr>
            </w:pPr>
            <w:r>
              <w:rPr>
                <w:rFonts w:ascii="Arial" w:cs="Arial" w:eastAsia="Arial" w:hAnsi="Arial"/>
                <w:sz w:val="13"/>
                <w:szCs w:val="13"/>
                <w:color w:val="auto"/>
              </w:rPr>
              <w:t>Restricted shares withheld for taxes, net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680" w:type="dxa"/>
            <w:vAlign w:val="bottom"/>
          </w:tcPr>
          <w:p>
            <w:pPr>
              <w:ind w:left="140"/>
              <w:spacing w:after="0"/>
              <w:rPr>
                <w:sz w:val="20"/>
                <w:szCs w:val="20"/>
                <w:color w:val="auto"/>
              </w:rPr>
            </w:pPr>
            <w:r>
              <w:rPr>
                <w:rFonts w:ascii="Arial" w:cs="Arial" w:eastAsia="Arial" w:hAnsi="Arial"/>
                <w:sz w:val="13"/>
                <w:szCs w:val="13"/>
                <w:color w:val="auto"/>
              </w:rPr>
              <w:t>of shares issued</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Shares issued upon vesting of restricted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stock units, net of shares withheld for</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285.4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285.4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Restricted stock units issued as dividend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equivalents</w:t>
            </w: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3"/>
                <w:szCs w:val="13"/>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4"/>
                <w:szCs w:val="14"/>
                <w:color w:val="auto"/>
              </w:rPr>
              <w:t>(6,751)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Net distributions to non-controlling interests</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consolidated entities</w:t>
            </w: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line="136" w:lineRule="exact"/>
              <w:rPr>
                <w:sz w:val="20"/>
                <w:szCs w:val="20"/>
                <w:color w:val="auto"/>
              </w:rPr>
            </w:pPr>
            <w:r>
              <w:rPr>
                <w:rFonts w:ascii="Arial" w:cs="Arial" w:eastAsia="Arial" w:hAnsi="Arial"/>
                <w:sz w:val="13"/>
                <w:szCs w:val="13"/>
                <w:color w:val="auto"/>
              </w:rPr>
              <w:t>Net redemptions from sponsored</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4"/>
        </w:trPr>
        <w:tc>
          <w:tcPr>
            <w:tcW w:w="2680" w:type="dxa"/>
            <w:vAlign w:val="bottom"/>
          </w:tcPr>
          <w:p>
            <w:pPr>
              <w:ind w:left="20"/>
              <w:spacing w:after="0"/>
              <w:rPr>
                <w:sz w:val="20"/>
                <w:szCs w:val="20"/>
                <w:color w:val="auto"/>
              </w:rPr>
            </w:pPr>
            <w:r>
              <w:rPr>
                <w:rFonts w:ascii="Arial" w:cs="Arial" w:eastAsia="Arial" w:hAnsi="Arial"/>
                <w:sz w:val="13"/>
                <w:szCs w:val="13"/>
                <w:color w:val="auto"/>
              </w:rPr>
              <w:t>investment products</w:t>
            </w: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Net deconsolidations of sponsored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4"/>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products</w:t>
            </w: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3"/>
                <w:szCs w:val="13"/>
                <w:color w:val="auto"/>
              </w:rPr>
              <w:t>Balances at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224,310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44.9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8,409.7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8,839.5</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190.7</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9,030.2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9"/>
          <w:szCs w:val="9"/>
          <w:i w:val="1"/>
          <w:iCs w:val="1"/>
          <w:color w:val="auto"/>
        </w:rPr>
      </w:pPr>
      <w:r>
        <w:rPr>
          <w:rFonts w:ascii="Arial" w:cs="Arial" w:eastAsia="Arial" w:hAnsi="Arial"/>
          <w:sz w:val="14"/>
          <w:szCs w:val="14"/>
          <w:i w:val="1"/>
          <w:iCs w:val="1"/>
          <w:color w:val="auto"/>
        </w:rPr>
        <w:t>Accumulated other comprehensive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T. Rowe Price products. The other T. Rowe Price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have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The acquisition accelerated our expansion into alternatives investment markets and complemented our existing global platform and ongoing strategic initiatives in our core investments and distribution capabilities. OHA and its advisory affiliates provide investment advisory, asset management and other advisory services primarily to affiliated private investment funds and private accounts investing in leveraged loans, high yield bonds, structured products, private lending, distressed securities and turnaround investments.</w:t>
      </w:r>
    </w:p>
    <w:p>
      <w:pPr>
        <w:spacing w:after="0" w:line="2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INFLATION REDUCTION LEGISLATION.</w:t>
      </w:r>
    </w:p>
    <w:p>
      <w:pPr>
        <w:spacing w:after="0" w:line="25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August 16, 2022, the U.S. enacted the Inflation Reduction Act of 2022 ("IRA"). The IRA establishes new tax provisions and various incentives and tax credits. Among other things, the IRA created a 15% minimum tax on adjusted book income effective for taxable years beginning after December 31, 2022 as well as an excise tax of 1% on stock repurchases, net of stock issuances, for publicly traded companies effective for net stock repurchases made after December 31, 2022. We do not believe the impact of the IRA’s provisions will be material to our financial position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5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account for business combinations under the acquisition method of accounting, whereby we recognize assets acquired and liabilities assumed, including separately identified intangible assets, contingent liabilities, and non-controlling interests, based on the fair value estimates as of the date of the acquisition. Any excess purchase consideration over the fair value of the identified net assets acquired is recognized as goodwill.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in earnings.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financial statements include the accounts of all subsidiaries and sponsored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w:t>
      </w:r>
    </w:p>
    <w:p>
      <w:pPr>
        <w:spacing w:after="0" w:line="21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Luxembourg-based SICAV funds, and other sponsored investment products regulated outside the U.S., were determined to be VIEs. In addition, as part of the OHA acquisition, we acquired a majority of the carried interest entities. These carried interest entities are considered VIEs and T. Rowe Price is determined to be the primary beneficiary.</w:t>
      </w:r>
    </w:p>
    <w:p>
      <w:pPr>
        <w:spacing w:after="0" w:line="198" w:lineRule="exact"/>
        <w:rPr>
          <w:sz w:val="20"/>
          <w:szCs w:val="20"/>
          <w:color w:val="auto"/>
        </w:rPr>
      </w:pPr>
    </w:p>
    <w:p>
      <w:pPr>
        <w:jc w:val="both"/>
        <w:ind w:right="80"/>
        <w:spacing w:after="0" w:line="318" w:lineRule="auto"/>
        <w:rPr>
          <w:sz w:val="20"/>
          <w:szCs w:val="20"/>
          <w:color w:val="auto"/>
        </w:rPr>
      </w:pPr>
      <w:r>
        <w:rPr>
          <w:rFonts w:ascii="Arial" w:cs="Arial" w:eastAsia="Arial" w:hAnsi="Arial"/>
          <w:sz w:val="17"/>
          <w:szCs w:val="17"/>
          <w:color w:val="auto"/>
        </w:rPr>
        <w:t>Further, our carried interest entities hold general partner interests in affiliated private investment funds that are VIEs, though these carried interest entities were determined to not be the primary beneficiary. Therefore, these affiliated private investment funds are not consolidated.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Redeemable non-controlling interests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sponsored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Non-controlling interests in consolidated entities</w:t>
      </w:r>
    </w:p>
    <w:p>
      <w:pPr>
        <w:spacing w:after="0" w:line="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recognize non-controlling interests in the consolidated carried interest entities and present it as a component of permanent equity in our consolidated balance sheets. The non-controlling interests represent the minority interest held by limited partnerships controlled by employees, one of which is a member of our Board of Directors. Income (loss) is allocated to these non-controlling interests based on the contractual arrangements that govern the allocation of income (loss).</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T. Rowe Price money market mutual funds</w:t>
      </w:r>
    </w:p>
    <w:p>
      <w:pPr>
        <w:spacing w:after="0" w:line="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held at fair value</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Investments in sponsored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sponsored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consolidated statements of income.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Equity method investments consist of investments in entities, including sponsored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affiliated private investment funds</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investments in affiliated private investment funds - carried interest represent interests in general partners of affiliated private investment funds that have arrangements that entitle them to a disproportionate allocation of income, which is also referred to as carried interest. We account for these investments as financial instruments under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("ASC 323") since the general partner has significant governance rights in the investment funds in which it invests, which demonstrate significant influence. The income earned is recognized as capital-allocation based income in our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Held to Maturity</w:t>
      </w:r>
    </w:p>
    <w:p>
      <w:pPr>
        <w:spacing w:after="0" w:line="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Investments in rated notes of certain European collateralized loan obligation funds are designated as held-to-maturity and carried on the balance sheet at amortized cost.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risk</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we manage for them.</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review new arrangements at inception to evaluate whether we have the right to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received and initial direct costs incurred.</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an implicit rate cannot be readily determinable from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recognize operating lease expense on a straight-line basis over the lease term as part of technology, occupancy, and facility costs in our consolidated statements of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equipment and software</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Property, equipment and software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8 years; and furniture and other equipment, 6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Intangible assets consist primarily of acquired investment advisory agreements and the OHA trade name. The fair values of the acquired investment advisory agreements are based on the net present value of estimated future cash flows attributable to the agreements, which include significant assumptions related to revenue, discount rate, and effective tax rate. The investment advisory agreement intangible assets are amortized using the straight-line method over their estimated useful lives unless the asset is determined to have an indefinite life as there is no foreseeable limit on the contract period. The weighted average remaining useful life of definite-lived intangibles assets is approximately 6.5 years.</w:t>
      </w:r>
    </w:p>
    <w:p>
      <w:pPr>
        <w:spacing w:after="0" w:line="20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trade name fair value is determined using the relief from royalty method based on net present value of estimated cash flows, which include significant assumptions about royalty rate, revenue growth rate, discount rate and effective tax rate. Additionally, we identified the trade name intangible asset as indefinite-lived as there is no foreseeable limit on the use of the OHA name.</w:t>
      </w:r>
    </w:p>
    <w:p>
      <w:pPr>
        <w:spacing w:after="0" w:line="19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Indefinite-lived intangible assets are tested for impairment annually or more frequently when an event occurs or circumstances change that more likely than not reduce the fair value of the indefinite-lived intangible asset below its carrying value.</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Definite-lived intangible assets are tested when there is an indication of impairment. Impairment is indicated when the carrying value of the asset is not recoverable and exceeds its fair value. If indicators are present, we perform 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recoverability test by comparing the estimated undiscounted future cash flows attributable to the asset group in question to the asset group’s carrying amount. If the undiscounted estimated future cash flows are less than the carrying amount of the asset, the asset’s cost is adjusted to fair value and an impairment loss is recognized.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internally conduct, manage, and report our operations as one investment advisory business. This reflects how the chief operating decision maker allocates resources and assesses performance. Accordingly, we have one reporting unit - investment advisory business, consistent with our single operating segment, to which all goodwill has been assigned.</w:t>
      </w:r>
    </w:p>
    <w:p>
      <w:pPr>
        <w:spacing w:after="0" w:line="19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fourth quarter of each year using a fair value approach. Our evaluations have indicated that no impairment exists.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as well as capital allocation-based income.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Investment advisory agreements with sponsored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1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service that considers yield or price of investments of comparable quality, coupon, maturity, and type. Investments for which market prices are not readily available are not a material portion of our total assets under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Investment advisory fees also include fees earned from affiliated private investment funds or private accounts that are determined either monthly or quarterly and are generally based on the fund’s or account's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w:t>
      </w:r>
    </w:p>
    <w:p>
      <w:pPr>
        <w:spacing w:after="0" w:line="20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recognize performance-based incentive fees in connection with the investment advisory agreements from certain separately managed and subadvised accounts. We are entitled to receive performance-based incentive fees when the return on investment assets exceeds a certain benchmark return. In such arrangements, these incentive fees are recognized at the end of the measurement period when the performance benchmark or contractual outperformance has been achieved. Performance-based incentive fees are considered a form of variable consideration, and as such these fees are subject to potential reversal up until the end of the measurement period (which is generally one year) when the performance-based incentive fees become fixed, determinable, and are not subject to significant reversal. There are no significant judgments made when determining the performance-based incentive fees.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fees</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earned based on basis points of the related assets under management and represent variable consideration. The fees are generally constrained and are recognized as revenue when costs are incurred to perform the services.</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 fees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Note 4 - Information about Receivables, Revenues and Services relates to distribution and servicing obligations that were satisfied during prior periods.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also recognize the corresponding costs paid to the third-party financial intermediaries that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allocation-based income</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This represents the income earned from investments in affiliated private investment funds with arrangements that are entitled to a disproportionate allocation of income, which is also known as carried interest. These investments are accounted for under ASC 323 and the income recognized represents the proportionate share of the income or loss of the fund assuming the fund was liquidated as of each reporting date pursuant to each investment fund's governing agreements. Capital allocation-based income will fluctuate period-to-period to reflect the adjustment to accrued carried interest for the change in value of the affiliated funds' underlying investments assuming the value was realized as of the end of the period, regardless of whether the fund's underlying investments have been realized. The realization of accrued carried interest occurs over a number of years. Accordingly, this income is accounted for outside of the scope of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and recorded as part of capital allocation-based income in our consolidated statements of income. A portion of this income is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to non-controlling interest holders and is reflected as compensation expense.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5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maintain three stockholder-approved employee long-term incentive plans (2020 Long-Term Incentive Plan, 2012 Long-Term Incentive Plan, and 2004 Stock Incentive Plan (collectively, the LTI Plans), and two stockholder-approved non-employee director plans (2017 Non-Employee Director Equity Plan and 2007 Non-Employee Director Equity Plan, collectively the Director Plans). We believe that our stock-based compensation programs align the interests of our employees and directors with those of our common stockholders. As of December 31, 2022, a total of 10,437,953 shares were available for future grant under the 2020 Long-Term Incentive Plan and the 2017 Non-Employee Director Equity Plan (2017 Plan).</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our LTI Plans, we have issued restricted stock units to employees that settle in shares of our common stock after vesting. Vesting of these awards is based on the individual continuing to render service over an average 5.0 year graded schedule. All restricted stock unit holders receive non-forfeitable cash dividends and cash dividend equivalents, respectively, on our dividend payable date. We are also authorized to grant qualified incentive and nonqualified fixed stock options with a maximum term of 10 years. We have not granted options to employees since 2015.</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Compensation expense recognized for performance-based restricted units includes an estimate regarding the probability of the performance thresholds being met. We account for forfeitures as they occur. Both time-based and performance-based restricted stock units are valued on the grant-date using the closing market price of our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sponsored investment products into U.S. dollars. Assets and liabilities are translated into U.S. dollars using year-end exchange rates, and revenues and expenses are translated using weighted-average exchange rates for the period.</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in which the significant reclassifications were recognized.</w:t>
      </w:r>
    </w:p>
    <w:p>
      <w:pPr>
        <w:spacing w:after="0" w:line="2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r>
        <w:rPr>
          <w:rFonts w:ascii="Arial" w:cs="Arial" w:eastAsia="Arial" w:hAnsi="Arial"/>
          <w:sz w:val="18"/>
          <w:szCs w:val="18"/>
          <w:color w:val="auto"/>
        </w:rPr>
        <w:t>.</w:t>
      </w:r>
    </w:p>
    <w:p>
      <w:pPr>
        <w:spacing w:after="0" w:line="252"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As discussed in Note 1, on December 29, 2021, T. Rowe Price Group, Inc. and certain wholly-owned subsidiaries completed the acquisition of Oak Hill Advisors, L.P., a leading alternative credit manager, and other entities that have common ownership (collectively, "OHA").</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upfront purchase consideration transferred included cash consideration of $2,487.4 million, and 4.4 million shares of common stock valued at $881.5 million. The upfront purchase consideration included the retirement of $217.1 million of OHA debt. An additional $8.5 million of cash was paid to the sellers in June 2022 following the finalization of the purchase consideration. The equity consideration transferred was restricted from sale for one year. In addition, contingent consideration in the amount of up to $900.0 million in cash may be due as part of an earnout payment starting in 2025 and ending in 2027, upon satisfying or exceeding certain defined revenue targets. These defined revenue targets are evaluated on a cumulative basis beginning at the end of 2024, with the ability to extend two additional years if the defined revenue targets are not achieved. The earnout amount is subject to a proportional reduction if OHA's actual revenue at the end of the earnout period does not meet the defined revenue targets and could result in no earnout payout if OHA's actual revenue falls below 75% of the defined revenue target. About 22% of the earnout is conditioned upon continued service with T. Rowe Price and was excluded from the purchase consideration transferred as further discussed in Compensation Arrangements below. The portion of the earnout which is not conditioned upon continued service with T. Rowe Price had a fair value of $95.8 million and $306.3 million at December 31, 2022 and 2021, respectively, and is recorded as a contingent consideration liability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sets forth the preliminary and revised fair values of the assets acquired and liabilities assumed in connection with the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Acquisition date fair</w:t>
            </w:r>
          </w:p>
        </w:tc>
        <w:tc>
          <w:tcPr>
            <w:tcW w:w="20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Revised fair value</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9"/>
              </w:rPr>
              <w:t>value</w:t>
            </w:r>
          </w:p>
        </w:tc>
        <w:tc>
          <w:tcPr>
            <w:tcW w:w="200" w:type="dxa"/>
            <w:vAlign w:val="bottom"/>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Operating lease asset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1,977.1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4,076.9</w:t>
            </w: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Deferred tax liabilities, included in other assets in the consolidated</w:t>
            </w:r>
          </w:p>
        </w:tc>
        <w:tc>
          <w:tcPr>
            <w:tcW w:w="4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balance sheet</w:t>
            </w:r>
          </w:p>
        </w:tc>
        <w:tc>
          <w:tcPr>
            <w:tcW w:w="4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to the acquisition date fair values are a result of new information obtained about facts that existed as of the acquisition date.</w:t>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part of the acquisition, T. Rowe Price Group, Inc. incurred approximately $31.9 million of acquisition-related costs in 2021 that are included in general, administrative and other expenses in our 2021 consolidated statement of income. We incurred additional $.9 million of acquisition-related costs during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INTANGIBLE ASSETS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Goodwill is comprised of future benefits for T. Rowe Price from the OHA acquisition, which do not qualify as separately recognized intangible assets.</w:t>
      </w:r>
    </w:p>
    <w:p>
      <w:pPr>
        <w:spacing w:after="0" w:line="180"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Approximately $1.2 billion of the goodwill generated by the acquisition is deductible in future periods for U.S. federal income tax purposes. The remaining goodwill is not deductible for tax purposes. The non-deductible goodwill is part of a tax basis difference associated with our investment in OHA, and, as permitted by accounting guidance, we have adopted an accounting policy to not record a related deferred tax liability.</w:t>
      </w:r>
    </w:p>
    <w:p>
      <w:pPr>
        <w:spacing w:after="0" w:line="20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separately identified intangible assets at acquisition close included an indefinite-lived trade name of $134.7 million and both indefinite-and definite-lived investment advisory agreements totaling $778.7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more details on goodwill and the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 of the OHA acquisition, investments in affiliated private investment funds were recorded at fair value of $761.1 million as of the acquisition date. The difference of $ 375.0 million between the carrying value of these investments on OHA’s books and their fair value represented the basis difference, of which $306.5 million is being amortized on a straight-line basis over the funds’ estimated weighted average life of 5.9 years at acquisition. Since T. Rowe Price acquired the majority, but not 100% of the equity interest in these carried interest entities, non-controlling interests were recorded in permanent stockholders' equity at a fair value of $248.7 million as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acquisition date. The fair value of these non-controlling interests included a basis difference of $154.3 million, of which $129.1 million is attributable to funds with a definite life and is being amortized on a straight-line basis over the funds’ estimated weighted average life of 5.9 years at acquisition. The non-controlling interests are held by employees that participate in the management of the investments in affiliated private investment funds and therefore profit and loss allocations is reflected as compensation expense in the consolidated statements of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OHA acquisition, a portion of the upfront purchase consideration and future payments to sellers or employees related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other compensation arrangements were conditioned upon continued service or a future performance period. These arrangements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treated as post-combination compensation expense recognized over a period of three to five years, and had an aggregate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$459.9 million as of the acquisition closing date. These arrangements include an agreement among certain sellers whereby $283.2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their upfront purchase consideration would be forfeited and redistributed among the other sellers who are party to the agreement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employment with T. Rowe Price or an affiliate was voluntarily terminated prior to the fifth anniversary of the acquisition date. Additionally,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include about 22% of the total earnout with a fair value of $88.2 million as of December 31, 2021, and $58.3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bonuses that will be paid to certain employees of OHA following the completion of a service period. The aggregate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$459.9 million also includes an agreement, referred to as the Value Creation Agreement, whereby certain employees of OHA will receive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payments in the aggregate equal to 10% of the appreciated value of the OHA business, subject to an annualized preferred return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on the fifth anniversary of the acquisition date. The fair value of the earnout and Value Creation Agreement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remeasured each reporting period and recognized over the related service periods. See Note 6 for more information on the Value Creation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2021 statement of cash flow, there were non-cash financing activities of $881.5 million for the issuance of T. Rowe Price Group, Inc. common stock as part of the purchase consideration and non-cash investing activities of $306.3 million related to the contingent consideration for the earnout.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 FORMA SUMMARY</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unaudited pro forma summary presents combined results of operations of T. Rowe Price Group, Inc. as if the OHA acquisition had occurred on January 1, 2020. The pro forma adjustments include acquisition-related costs and adjustments to intangible amortization expense. These pro forma results are not indicative of results of operations that would have been achieved had the acquisition occurred on January 1, 2020, nor are they indicative of future results of operations of the combined entity.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18"/>
                <w:szCs w:val="18"/>
                <w:color w:val="auto"/>
              </w:rPr>
            </w:pPr>
          </w:p>
        </w:tc>
        <w:tc>
          <w:tcPr>
            <w:tcW w:w="3880" w:type="dxa"/>
            <w:vAlign w:val="bottom"/>
            <w:tcBorders>
              <w:bottom w:val="single" w:sz="8" w:color="auto"/>
            </w:tcBorders>
            <w:gridSpan w:val="3"/>
            <w:shd w:val="clear" w:color="auto" w:fill="CCEEFF"/>
          </w:tcPr>
          <w:p>
            <w:pPr>
              <w:jc w:val="right"/>
              <w:ind w:right="213"/>
              <w:spacing w:after="0"/>
              <w:rPr>
                <w:sz w:val="20"/>
                <w:szCs w:val="20"/>
                <w:color w:val="auto"/>
              </w:rPr>
            </w:pPr>
            <w:r>
              <w:rPr>
                <w:rFonts w:ascii="Arial" w:cs="Arial" w:eastAsia="Arial" w:hAnsi="Arial"/>
                <w:sz w:val="16"/>
                <w:szCs w:val="16"/>
                <w:b w:val="1"/>
                <w:bCs w:val="1"/>
                <w:color w:val="auto"/>
              </w:rPr>
              <w:t>Pro forma years ended (unaudited)</w:t>
            </w:r>
          </w:p>
        </w:tc>
        <w:tc>
          <w:tcPr>
            <w:tcW w:w="620" w:type="dxa"/>
            <w:vAlign w:val="bottom"/>
            <w:tcBorders>
              <w:bottom w:val="single" w:sz="8" w:color="auto"/>
            </w:tcBorders>
            <w:shd w:val="clear" w:color="auto" w:fill="CCEEFF"/>
          </w:tcPr>
          <w:p>
            <w:pPr>
              <w:spacing w:after="0"/>
              <w:rPr>
                <w:sz w:val="18"/>
                <w:szCs w:val="18"/>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12/31/2021</w:t>
            </w:r>
          </w:p>
        </w:tc>
        <w:tc>
          <w:tcPr>
            <w:tcW w:w="6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12/31/2020</w:t>
            </w:r>
          </w:p>
        </w:tc>
        <w:tc>
          <w:tcPr>
            <w:tcW w:w="620" w:type="dxa"/>
            <w:vAlign w:val="bottom"/>
            <w:tcBorders>
              <w:bottom w:val="single" w:sz="8" w:color="auto"/>
            </w:tcBorders>
          </w:tcPr>
          <w:p>
            <w:pPr>
              <w:spacing w:after="0"/>
              <w:rPr>
                <w:sz w:val="18"/>
                <w:szCs w:val="18"/>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jc w:val="right"/>
              <w:ind w:right="14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660" w:type="dxa"/>
            <w:vAlign w:val="bottom"/>
            <w:shd w:val="clear" w:color="auto" w:fill="CCEEFF"/>
          </w:tcPr>
          <w:p>
            <w:pPr>
              <w:jc w:val="right"/>
              <w:ind w:right="14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Pr>
          <w:p>
            <w:pPr>
              <w:jc w:val="right"/>
              <w:ind w:right="143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3,016</w:t>
            </w:r>
          </w:p>
        </w:tc>
        <w:tc>
          <w:tcPr>
            <w:tcW w:w="1660" w:type="dxa"/>
            <w:vAlign w:val="bottom"/>
          </w:tcPr>
          <w:p>
            <w:pPr>
              <w:jc w:val="right"/>
              <w:ind w:right="14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 investments in the T. Rowe Price money market mutual funds aggregate to $1,412.0 million at December 31, 2022, and</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$1,183.9 million at December 31, 2021. Dividends earned on these investments totaled $30.0 million in 2022, $0.3 million in 2021, and $4.2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INFORMATION ABOUT RECEIVABLES, REVENUES,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years ended December 31, 2022, 2021 and 2020, under agreements with clients include: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ind w:right="4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5"/>
          </w:tcPr>
          <w:p>
            <w:pPr>
              <w:ind w:left="20"/>
              <w:spacing w:after="0" w:line="134" w:lineRule="exact"/>
              <w:rPr>
                <w:sz w:val="20"/>
                <w:szCs w:val="20"/>
                <w:color w:val="auto"/>
              </w:rPr>
            </w:pPr>
            <w:r>
              <w:rPr>
                <w:rFonts w:ascii="Arial" w:cs="Arial" w:eastAsia="Arial" w:hAnsi="Arial"/>
                <w:sz w:val="13"/>
                <w:szCs w:val="13"/>
                <w:b w:val="1"/>
                <w:bCs w:val="1"/>
                <w:color w:val="auto"/>
              </w:rPr>
              <w:t>Administrative, distribution, and servicing</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fees</w:t>
            </w: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jc w:val="center"/>
              <w:ind w:right="100"/>
              <w:spacing w:after="0" w:line="134" w:lineRule="exact"/>
              <w:rPr>
                <w:sz w:val="20"/>
                <w:szCs w:val="20"/>
                <w:color w:val="auto"/>
              </w:rPr>
            </w:pPr>
            <w:r>
              <w:rPr>
                <w:rFonts w:ascii="Arial" w:cs="Arial" w:eastAsia="Arial" w:hAnsi="Arial"/>
                <w:sz w:val="13"/>
                <w:szCs w:val="13"/>
                <w:b w:val="1"/>
                <w:bCs w:val="1"/>
                <w:color w:val="auto"/>
              </w:rPr>
              <w:t>Investment advisory</w:t>
            </w:r>
          </w:p>
        </w:tc>
        <w:tc>
          <w:tcPr>
            <w:tcW w:w="152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Administrative fees</w:t>
            </w:r>
          </w:p>
        </w:tc>
        <w:tc>
          <w:tcPr>
            <w:tcW w:w="1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3"/>
                <w:szCs w:val="13"/>
                <w:b w:val="1"/>
                <w:bCs w:val="1"/>
                <w:color w:val="auto"/>
                <w:w w:val="99"/>
              </w:rPr>
              <w:t>Capital allocation-</w:t>
            </w: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22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1"/>
        </w:trPr>
        <w:tc>
          <w:tcPr>
            <w:tcW w:w="382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w w:val="99"/>
              </w:rPr>
              <w:t>fees</w:t>
            </w:r>
          </w:p>
        </w:tc>
        <w:tc>
          <w:tcPr>
            <w:tcW w:w="15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based income</w:t>
            </w:r>
          </w:p>
        </w:tc>
        <w:tc>
          <w:tcPr>
            <w:tcW w:w="2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40" w:type="dxa"/>
            <w:vAlign w:val="bottom"/>
            <w:tcBorders>
              <w:top w:val="single" w:sz="8" w:color="auto"/>
            </w:tcBorders>
          </w:tcPr>
          <w:p>
            <w:pPr>
              <w:jc w:val="right"/>
              <w:ind w:right="16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3,486.2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3,916.7</w:t>
            </w: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Subadvised funds, separate accounts, collective</w:t>
            </w: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2,444.7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trusts, and other investment products</w:t>
            </w:r>
          </w:p>
        </w:tc>
        <w:tc>
          <w:tcPr>
            <w:tcW w:w="3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34"/>
        </w:trPr>
        <w:tc>
          <w:tcPr>
            <w:tcW w:w="38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6,488.4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3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00"/>
              <w:spacing w:after="0" w:line="137" w:lineRule="exact"/>
              <w:rPr>
                <w:sz w:val="20"/>
                <w:szCs w:val="20"/>
                <w:color w:val="auto"/>
              </w:rPr>
            </w:pPr>
            <w:r>
              <w:rPr>
                <w:rFonts w:ascii="Arial" w:cs="Arial" w:eastAsia="Arial" w:hAnsi="Arial"/>
                <w:sz w:val="13"/>
                <w:szCs w:val="13"/>
                <w:b w:val="1"/>
                <w:bCs w:val="1"/>
                <w:color w:val="auto"/>
              </w:rPr>
              <w:t>Investment advisory</w:t>
            </w:r>
          </w:p>
        </w:tc>
        <w:tc>
          <w:tcPr>
            <w:tcW w:w="10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7"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24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1"/>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rPr>
              <w:t>fees</w:t>
            </w:r>
          </w:p>
        </w:tc>
        <w:tc>
          <w:tcPr>
            <w:tcW w:w="10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4,388.9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333.4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4,842.6</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2,709.2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35"/>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7,671.9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3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20"/>
              <w:spacing w:after="0" w:line="137" w:lineRule="exact"/>
              <w:rPr>
                <w:sz w:val="20"/>
                <w:szCs w:val="20"/>
                <w:color w:val="auto"/>
              </w:rPr>
            </w:pPr>
            <w:r>
              <w:rPr>
                <w:rFonts w:ascii="Arial" w:cs="Arial" w:eastAsia="Arial" w:hAnsi="Arial"/>
                <w:sz w:val="13"/>
                <w:szCs w:val="13"/>
                <w:b w:val="1"/>
                <w:bCs w:val="1"/>
                <w:color w:val="auto"/>
              </w:rPr>
              <w:t>Investment Advisory</w:t>
            </w:r>
          </w:p>
        </w:tc>
        <w:tc>
          <w:tcPr>
            <w:tcW w:w="154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7"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22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1"/>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w w:val="94"/>
              </w:rPr>
              <w:t>Fees</w:t>
            </w:r>
          </w:p>
        </w:tc>
        <w:tc>
          <w:tcPr>
            <w:tcW w:w="154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3,639.9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4,042.5</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2,053.2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5"/>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6,206.7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Equity and blended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2,482.9</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5280"/>
              <w:spacing w:after="0"/>
              <w:rPr>
                <w:sz w:val="20"/>
                <w:szCs w:val="20"/>
                <w:color w:val="auto"/>
              </w:rPr>
            </w:pPr>
            <w:r>
              <w:rPr>
                <w:rFonts w:ascii="Arial" w:cs="Arial" w:eastAsia="Arial" w:hAnsi="Arial"/>
                <w:sz w:val="18"/>
                <w:szCs w:val="18"/>
                <w:color w:val="auto"/>
              </w:rPr>
              <w:t>Page 73</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earned investment advisory fees.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Average during</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4"/>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As of December 31,</w:t>
            </w:r>
          </w:p>
        </w:tc>
      </w:tr>
      <w:tr>
        <w:trPr>
          <w:trHeight w:val="195"/>
        </w:trPr>
        <w:tc>
          <w:tcPr>
            <w:tcW w:w="3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1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r>
      <w:tr>
        <w:trPr>
          <w:trHeight w:val="223"/>
        </w:trPr>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r>
      <w:tr>
        <w:trPr>
          <w:trHeight w:val="156"/>
        </w:trPr>
        <w:tc>
          <w:tcPr>
            <w:tcW w:w="3620" w:type="dxa"/>
            <w:vAlign w:val="bottom"/>
          </w:tcPr>
          <w:p>
            <w:pPr>
              <w:ind w:left="20"/>
              <w:spacing w:after="0" w:line="156" w:lineRule="exact"/>
              <w:rPr>
                <w:sz w:val="20"/>
                <w:szCs w:val="20"/>
                <w:color w:val="auto"/>
              </w:rPr>
            </w:pPr>
            <w:r>
              <w:rPr>
                <w:rFonts w:ascii="Arial" w:cs="Arial" w:eastAsia="Arial" w:hAnsi="Arial"/>
                <w:sz w:val="18"/>
                <w:szCs w:val="18"/>
                <w:color w:val="auto"/>
              </w:rPr>
              <w:t>Subadvised funds, separate accounts,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6"/>
        </w:trPr>
        <w:tc>
          <w:tcPr>
            <w:tcW w:w="3620" w:type="dxa"/>
            <w:vAlign w:val="bottom"/>
          </w:tcPr>
          <w:p>
            <w:pPr>
              <w:ind w:left="20"/>
              <w:spacing w:after="0" w:line="176" w:lineRule="exact"/>
              <w:rPr>
                <w:sz w:val="20"/>
                <w:szCs w:val="20"/>
                <w:color w:val="auto"/>
              </w:rPr>
            </w:pPr>
            <w:r>
              <w:rPr>
                <w:rFonts w:ascii="Arial" w:cs="Arial" w:eastAsia="Arial" w:hAnsi="Arial"/>
                <w:sz w:val="18"/>
                <w:szCs w:val="18"/>
                <w:color w:val="auto"/>
              </w:rPr>
              <w:t>collective investment trusts, and other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1"/>
        </w:trPr>
        <w:tc>
          <w:tcPr>
            <w:tcW w:w="36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2"/>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30"/>
        </w:trPr>
        <w:tc>
          <w:tcPr>
            <w:tcW w:w="3620" w:type="dxa"/>
            <w:vAlign w:val="bottom"/>
          </w:tcPr>
          <w:p>
            <w:pPr>
              <w:ind w:left="120"/>
              <w:spacing w:after="0"/>
              <w:rPr>
                <w:sz w:val="20"/>
                <w:szCs w:val="20"/>
                <w:color w:val="auto"/>
              </w:rPr>
            </w:pPr>
            <w:r>
              <w:rPr>
                <w:rFonts w:ascii="Arial" w:cs="Arial" w:eastAsia="Arial" w:hAnsi="Arial"/>
                <w:sz w:val="18"/>
                <w:szCs w:val="18"/>
                <w:color w:val="auto"/>
              </w:rPr>
              <w:t>Alternatives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36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3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9.1% and 9.9% of our assets under management at December 31, 2022 and 2021, respectively.</w:t>
      </w:r>
    </w:p>
    <w:p>
      <w:pPr>
        <w:spacing w:after="0" w:line="18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Total net revenues earned from sponsored investment products totaled $5,326.3 million in 2022, $6,259.3 million in 2021, and $5,044.3 million in 2020. Accounts receivable from these products aggregate to $492.4 million at December 31, 2022 and $577.9 million at December 31, 2021.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that are not part of the consolidated sponsored investment products at December 31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Seed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Supplemental savings plan liability economic hedges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881.5</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Seed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UTI Asset Management Company Limited (India)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note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jc w:val="both"/>
        <w:ind w:right="300"/>
        <w:spacing w:after="0" w:line="260" w:lineRule="auto"/>
        <w:rPr>
          <w:sz w:val="20"/>
          <w:szCs w:val="20"/>
          <w:color w:val="auto"/>
        </w:rPr>
      </w:pPr>
      <w:r>
        <w:rPr>
          <w:rFonts w:ascii="Arial" w:cs="Arial" w:eastAsia="Arial" w:hAnsi="Arial"/>
          <w:sz w:val="18"/>
          <w:szCs w:val="18"/>
          <w:color w:val="auto"/>
        </w:rPr>
        <w:t>During 2022, we recognized $240.5 million of net unrealized losses on investments held at fair value that were still held at December 31, 2022. For 2021, we recognized $63.6 million of net unrealized gains on investments held at fair value that were still held at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For 2020, we recognized $142.7 million of net unrealized gains on investments held at fair value that were still held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Dividends, including capital gain distributions, earned on the sponsored investment products held at fair value, totaled $45.3 million in 2022, $90.2 million in 2021, and $50.8 million in 2020.</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each of the last three years, certain sponsored investment products in which we provided initial seed capital at the time of formation were deconsolidated, as we no longer had a controlling interest. Depending on our ownership interest, we are now reporting our residual interests in these sponsored investment products as either an equity method investment or an investment held at fair value. Additionally, during 2022 and 2021, certain sponsored investment products that were being accounted for as either equity method or fair value investments were consolidated, as we regained a controlling interest. The net impact of these changes on our consolidated balance sheets and statements of income as of the dates the portfolios were deconsolidated or reconsolidated is detailed below.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assets of consolidated sponsored investment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(546.1)</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liabilities of consolidated sponsored investment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(308.1)</w:t>
            </w:r>
          </w:p>
        </w:tc>
      </w:tr>
      <w:tr>
        <w:trPr>
          <w:trHeight w:val="216"/>
        </w:trPr>
        <w:tc>
          <w:tcPr>
            <w:tcW w:w="6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9"/>
        </w:trPr>
        <w:tc>
          <w:tcPr>
            <w:tcW w:w="6660" w:type="dxa"/>
            <w:vAlign w:val="bottom"/>
          </w:tcPr>
          <w:p>
            <w:pPr>
              <w:ind w:left="20"/>
              <w:spacing w:after="0"/>
              <w:rPr>
                <w:sz w:val="20"/>
                <w:szCs w:val="20"/>
                <w:color w:val="auto"/>
              </w:rPr>
            </w:pPr>
            <w:r>
              <w:rPr>
                <w:rFonts w:ascii="Arial" w:cs="Arial" w:eastAsia="Arial" w:hAnsi="Arial"/>
                <w:sz w:val="18"/>
                <w:szCs w:val="18"/>
                <w:color w:val="auto"/>
              </w:rPr>
              <w:t>Gains recognized upon deconsolidation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61"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The gains recognized upon deconsolidation were the result of reclassifying currency translation adjustments accumulated on certain sponsored investment products with non-USD functional currencies from accumulated other comprehensive income to non-operating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UTI Asset Management Company Limited (India), one of our equity method investments, held an initial public offering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India. As part of the offering, we sold a portion of our 26% interest and recorded a net gain on the sale of approximately $2.8 million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2020. Subsequent to the sale, we have an ownership interest of 23% in UTI Asset Management Company Limited (India).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part of the OHA acquisition, we acquired long-term investments in collateralized loan obligations ("CLOs") and assumed debt associated with these investments. The European CLOs, which were valued at $116.0 million at December 31, 2022, invest in 5% vertical strips in each class of rated notes and subordinated notes. Certain investments in the debt tranches of the CLOs are measured at amortized cost as investments held to maturity and included in investments in our consolidated balance sheets. The subordinated note tranches of these investments are accounted for as equity method investments and our allocable share of income is included in non-operating income (loss) in the consolidated statements of income. Certain of the investments in the debt tranches of the CLOs have been pledged as collateral against the repurchase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is debt associated with our long-term investments in affiliated CLOs. As of December 31, 2022 and 2021, the debt is carried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$103.0 million and $113.5 million, respectively, and is reported in accounts payable and accrued expenses in our consolidated balance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sheets. The debt includes outstanding repurchase agreements of €66.7 million (equivalent to $71.3 million at December 31, 2022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$75.9 million at December 31, 2021 at the respective EUR spot rates) and collateralized by our CLO investments. Interest income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underlying investments accrues quarterly and those amounts are retained by the counterparty. Interest expense accrues quarterly, which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equal to the interest income retained by the counterparty, plus 0.5% per annum on the notes of the underlying pledged investments. We still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 the legal rights and obligations associated with the underlying assets and therefore continue to satisfy the United Kingdom risk retention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debt also includes outstanding note facilities of €35.6 million (equivalent to $31.7 million at December 31, 2022 and $36.9 million at December 31, 2021 at the respective EUR spot rates) and are collateralized by first priority security interests in the assets of the consolidated OHA entity that is party to the notes. These notes bear interest at rates based on EURIBOR plus the initial margin, which equals all-in rates ranging from 3.16% to 3.41% as of December 31, 2022. The notes mature on various dates through 2032 or if the investment is paid back in full or cancelled, whichever is sooner. Payments are required on the debt when payments are received on the investments. Each deed contains covenants which, if not met, may cause the termination of the note facility and declare principal and interest immediately due and payable. The consolidated entity that is the party to the notes was in compliance with all such covenants at December 31, 2022 and 2021.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34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investments at December 31, 2022 and 2021, include interests in variable interest entities that we do not consolidate as we are not deemed the primary beneficiary. Our maximum risk of loss related to our involvement with these entities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943.3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unfunded capital commitments, totaling $ 84.7 million at December 31, 2022, and $94.2 million at December 31, 2021, relate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FUNDS.</w:t>
      </w:r>
    </w:p>
    <w:p>
      <w:pPr>
        <w:spacing w:after="0" w:line="25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part of the OHA acquisition in December 2021, we acquired a majority of the equity interests in entities that have interests in general partners of affiliated private investment funds and are entitled to a disproportionate allocation of income. These entities are considered variable interest entities and are consolidated as T. Rowe Price is determined to be the primary beneficiary.</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total assets, liabilities and non-controlling interests of these consolidated variable interest entities as of December 31, 2022 and 2021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b w:val="1"/>
                <w:bCs w:val="1"/>
                <w:color w:val="auto"/>
              </w:rPr>
              <w:t>2021</w:t>
            </w: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248.7</w:t>
            </w:r>
          </w:p>
        </w:tc>
      </w:tr>
      <w:tr>
        <w:trPr>
          <w:trHeight w:val="20"/>
        </w:trPr>
        <w:tc>
          <w:tcPr>
            <w:tcW w:w="6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consolidated balance sheets at December 31 using fair value measurements determined based on the differing levels of inputs. This table excludes investments held by consolidated sponsored investment products which are presented separately on our consolidated balance sheets and are detailed in Note 7.</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100"/>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 Rowe Price investment products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Cash equivalents held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Discretionary investments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33399"/>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33399"/>
              </w:rPr>
              <w:t>—</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Seed capital</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Supplemental savings plan liability economic</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nvestments in affiliated collateralized loan</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
        </w:trPr>
        <w:tc>
          <w:tcPr>
            <w:tcW w:w="4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00" w:right="38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5 were $86.4 million and $108.1 million at December 31, 2022 and 2021, respectively.</w:t>
      </w:r>
    </w:p>
    <w:p>
      <w:pPr>
        <w:spacing w:after="0" w:line="198" w:lineRule="exact"/>
        <w:rPr>
          <w:sz w:val="20"/>
          <w:szCs w:val="20"/>
          <w:color w:val="auto"/>
        </w:rPr>
      </w:pPr>
    </w:p>
    <w:p>
      <w:pPr>
        <w:ind w:left="100" w:right="100"/>
        <w:spacing w:after="0" w:line="257" w:lineRule="auto"/>
        <w:rPr>
          <w:sz w:val="20"/>
          <w:szCs w:val="20"/>
          <w:color w:val="auto"/>
        </w:rPr>
      </w:pPr>
      <w:r>
        <w:rPr>
          <w:rFonts w:ascii="Arial" w:cs="Arial" w:eastAsia="Arial" w:hAnsi="Arial"/>
          <w:sz w:val="18"/>
          <w:szCs w:val="18"/>
          <w:color w:val="auto"/>
        </w:rPr>
        <w:t>As part of the purchase consideration for our acquisition of OHA in December 2021, there was contingent consideration in the amount of up to $900.0 million as part of an earnout payment. See Note 2 for more details on the earnout arrangement.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For the year ended December 31, 2022, $ 13.5 million was recorded as part of compensation expense in our consolidated statements of income for the portion of the earnout deemed compensatory.</w:t>
      </w:r>
    </w:p>
    <w:p>
      <w:pPr>
        <w:spacing w:after="0" w:line="209" w:lineRule="exact"/>
        <w:rPr>
          <w:sz w:val="20"/>
          <w:szCs w:val="20"/>
          <w:color w:val="auto"/>
        </w:rPr>
      </w:pPr>
    </w:p>
    <w:p>
      <w:pPr>
        <w:ind w:left="100" w:right="480"/>
        <w:spacing w:after="0" w:line="287"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143510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23495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at beginning of period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Measurement period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12065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Unrealized gains, included in earnings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December 31, 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Contingent Consideration Liability</w:t>
            </w:r>
          </w:p>
        </w:tc>
      </w:tr>
      <w:tr>
        <w:trPr>
          <w:trHeight w:val="196"/>
        </w:trPr>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Year ended 12/31/2022</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30"/>
        </w:trPr>
        <w:tc>
          <w:tcPr>
            <w:tcW w:w="22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5"/>
        </w:trPr>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00"/>
          </w:cols>
          <w:pgMar w:left="220" w:top="121" w:right="339" w:bottom="1440" w:gutter="0" w:footer="0" w:header="0"/>
          <w:type w:val="continuous"/>
        </w:sectPr>
      </w:pPr>
    </w:p>
    <w:p>
      <w:pPr>
        <w:spacing w:after="0" w:line="105" w:lineRule="exact"/>
        <w:rPr>
          <w:sz w:val="20"/>
          <w:szCs w:val="20"/>
          <w:color w:val="auto"/>
        </w:rPr>
      </w:pPr>
    </w:p>
    <w:p>
      <w:pPr>
        <w:ind w:left="100" w:right="200"/>
        <w:spacing w:after="0" w:line="260"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w:t>
      </w:r>
    </w:p>
    <w:p>
      <w:pPr>
        <w:spacing w:after="0" w:line="2" w:lineRule="exact"/>
        <w:rPr>
          <w:sz w:val="20"/>
          <w:szCs w:val="20"/>
          <w:color w:val="auto"/>
        </w:rPr>
      </w:pPr>
    </w:p>
    <w:p>
      <w:pPr>
        <w:ind w:left="100" w:right="40"/>
        <w:spacing w:after="0" w:line="254"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based on the appreciated value of the OHA business on the fifth anniversary of the acquisition date. See Note 2 for more details on this arrangement. This arrangement is treated as a post-combination compensation expense. This arrangement will be remeasured at fair value at each reporting date and recognized over the related service period. For the year ended December 31, 2022, $8.9 million was recognized as part of compensation expense in our consolidated statements of income.</w:t>
      </w:r>
    </w:p>
    <w:p>
      <w:pPr>
        <w:spacing w:after="0" w:line="210" w:lineRule="exact"/>
        <w:rPr>
          <w:sz w:val="20"/>
          <w:szCs w:val="20"/>
          <w:color w:val="auto"/>
        </w:rPr>
      </w:pPr>
    </w:p>
    <w:p>
      <w:pPr>
        <w:ind w:left="100" w:right="240"/>
        <w:spacing w:after="0" w:line="268" w:lineRule="auto"/>
        <w:rPr>
          <w:sz w:val="20"/>
          <w:szCs w:val="20"/>
          <w:color w:val="auto"/>
        </w:rPr>
      </w:pPr>
      <w:r>
        <w:rPr>
          <w:rFonts w:ascii="Arial" w:cs="Arial" w:eastAsia="Arial" w:hAnsi="Arial"/>
          <w:sz w:val="18"/>
          <w:szCs w:val="18"/>
          <w:color w:val="auto"/>
        </w:rPr>
        <w:t>During 2022, we recognized impairment charges on certain of our identified intangible assets related to the OHA acquisition. As part of the impairment recognition, a fair value measurement was determined for these intangible assets. See Note 10 for further discussion of the impairments.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CONSOLIDATED SPONSORED INVESTMENT PRODUCTS.</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sponsored investment products that we consolidate in our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products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95"/>
        </w:trPr>
        <w:tc>
          <w:tcPr>
            <w:tcW w:w="4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6"/>
                <w:szCs w:val="16"/>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24"/>
        </w:trPr>
        <w:tc>
          <w:tcPr>
            <w:tcW w:w="46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1,833.9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1,962.8</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929.0</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r>
      <w:tr>
        <w:trPr>
          <w:trHeight w:val="223"/>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80" w:right="2880" w:hanging="172"/>
        <w:spacing w:after="0" w:line="270" w:lineRule="auto"/>
        <w:tabs>
          <w:tab w:leader="none" w:pos="158"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$2.6 million and $6.5 million at December 31, 2022 and 2021, respectively, of investments in T. Rowe Price money market mutual funds.</w:t>
      </w:r>
    </w:p>
    <w:p>
      <w:pPr>
        <w:ind w:left="140" w:hanging="132"/>
        <w:spacing w:after="0" w:line="229" w:lineRule="auto"/>
        <w:tabs>
          <w:tab w:leader="none" w:pos="140" w:val="left"/>
        </w:tabs>
        <w:numPr>
          <w:ilvl w:val="0"/>
          <w:numId w:val="3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$7.6 million and $42.5 million at December 31, 2022 and 2021, respectively, of sponsored investment products.</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we can generally redeem our net interest in the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sponsored investment products is limited to valuation changes associated with our net interest. We, however,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operating results of the consolidated sponsored investment products, are reflected in our consolidated statements of income for the year ended December 31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VIE</w:t>
            </w:r>
          </w:p>
        </w:tc>
        <w:tc>
          <w:tcPr>
            <w:tcW w:w="18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18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78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color w:val="auto"/>
              </w:rPr>
              <w:t>Operating expenses reflected in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center"/>
              <w:ind w:left="73"/>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8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780" w:type="dxa"/>
            <w:vAlign w:val="bottom"/>
          </w:tcPr>
          <w:p>
            <w:pPr>
              <w:spacing w:after="0" w:line="176" w:lineRule="exact"/>
              <w:rPr>
                <w:sz w:val="20"/>
                <w:szCs w:val="20"/>
                <w:color w:val="auto"/>
              </w:rPr>
            </w:pPr>
            <w:r>
              <w:rPr>
                <w:rFonts w:ascii="Arial" w:cs="Arial" w:eastAsia="Arial" w:hAnsi="Arial"/>
                <w:sz w:val="18"/>
                <w:szCs w:val="18"/>
                <w:color w:val="auto"/>
              </w:rPr>
              <w:t>Net gains (losses) reflected in</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15"/>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center"/>
              <w:ind w:left="93"/>
              <w:spacing w:after="0"/>
              <w:rPr>
                <w:sz w:val="20"/>
                <w:szCs w:val="20"/>
                <w:color w:val="auto"/>
              </w:rPr>
            </w:pPr>
            <w:r>
              <w:rPr>
                <w:rFonts w:ascii="Arial" w:cs="Arial" w:eastAsia="Arial" w:hAnsi="Arial"/>
                <w:sz w:val="18"/>
                <w:szCs w:val="18"/>
                <w:color w:val="auto"/>
                <w:w w:val="96"/>
              </w:rPr>
              <w:t>74.7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income</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w w:val="96"/>
              </w:rPr>
              <w:t>62.</w:t>
            </w:r>
            <w:r>
              <w:rPr>
                <w:rFonts w:ascii="Arial" w:cs="Arial" w:eastAsia="Arial" w:hAnsi="Arial"/>
                <w:sz w:val="18"/>
                <w:szCs w:val="18"/>
                <w:u w:val="single" w:color="auto"/>
                <w:color w:val="auto"/>
                <w:w w:val="96"/>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income (loss) attributable to 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center"/>
              <w:ind w:left="93"/>
              <w:spacing w:after="0"/>
              <w:rPr>
                <w:sz w:val="20"/>
                <w:szCs w:val="20"/>
                <w:color w:val="auto"/>
              </w:rPr>
            </w:pPr>
            <w:r>
              <w:rPr>
                <w:rFonts w:ascii="Arial" w:cs="Arial" w:eastAsia="Arial" w:hAnsi="Arial"/>
                <w:sz w:val="18"/>
                <w:szCs w:val="18"/>
                <w:color w:val="auto"/>
                <w:w w:val="96"/>
              </w:rPr>
              <w:t>46.9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Rowe Price Group</w:t>
            </w:r>
          </w:p>
        </w:tc>
        <w:tc>
          <w:tcPr>
            <w:tcW w:w="18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780" w:type="dxa"/>
            <w:vAlign w:val="bottom"/>
          </w:tcPr>
          <w:p>
            <w:pPr>
              <w:spacing w:after="0" w:line="176" w:lineRule="exact"/>
              <w:rPr>
                <w:sz w:val="20"/>
                <w:szCs w:val="20"/>
                <w:color w:val="auto"/>
              </w:rPr>
            </w:pPr>
            <w:r>
              <w:rPr>
                <w:rFonts w:ascii="Arial" w:cs="Arial" w:eastAsia="Arial" w:hAnsi="Arial"/>
                <w:sz w:val="18"/>
                <w:szCs w:val="18"/>
                <w:color w:val="auto"/>
              </w:rPr>
              <w:t>Net income (loss) attributable to</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780" w:type="dxa"/>
            <w:vAlign w:val="bottom"/>
          </w:tcPr>
          <w:p>
            <w:pPr>
              <w:spacing w:after="0" w:line="183" w:lineRule="exact"/>
              <w:rPr>
                <w:sz w:val="20"/>
                <w:szCs w:val="20"/>
                <w:color w:val="auto"/>
              </w:rPr>
            </w:pPr>
            <w:r>
              <w:rPr>
                <w:rFonts w:ascii="Arial" w:cs="Arial" w:eastAsia="Arial" w:hAnsi="Arial"/>
                <w:sz w:val="18"/>
                <w:szCs w:val="18"/>
                <w:color w:val="auto"/>
              </w:rPr>
              <w:t>redeemable non-controlling</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center"/>
              <w:ind w:left="93"/>
              <w:spacing w:after="0"/>
              <w:rPr>
                <w:sz w:val="20"/>
                <w:szCs w:val="20"/>
                <w:color w:val="auto"/>
              </w:rPr>
            </w:pPr>
            <w:r>
              <w:rPr>
                <w:rFonts w:ascii="Arial" w:cs="Arial" w:eastAsia="Arial" w:hAnsi="Arial"/>
                <w:sz w:val="18"/>
                <w:szCs w:val="18"/>
                <w:color w:val="auto"/>
                <w:w w:val="96"/>
              </w:rPr>
              <w:t>15.6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w w:val="96"/>
              </w:rPr>
              <w:t>62.</w:t>
            </w:r>
            <w:r>
              <w:rPr>
                <w:rFonts w:ascii="Arial" w:cs="Arial" w:eastAsia="Arial" w:hAnsi="Arial"/>
                <w:sz w:val="18"/>
                <w:szCs w:val="18"/>
                <w:u w:val="single" w:color="auto"/>
                <w:color w:val="auto"/>
                <w:w w:val="96"/>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center"/>
              <w:ind w:left="252"/>
              <w:spacing w:after="0"/>
              <w:rPr>
                <w:sz w:val="20"/>
                <w:szCs w:val="20"/>
                <w:color w:val="auto"/>
              </w:rPr>
            </w:pPr>
            <w:r>
              <w:rPr>
                <w:rFonts w:ascii="Arial" w:cs="Arial" w:eastAsia="Arial" w:hAnsi="Arial"/>
                <w:sz w:val="18"/>
                <w:szCs w:val="18"/>
                <w:color w:val="auto"/>
              </w:rPr>
              <w:t>Page 79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operating expenses of these consolidated products are reflected in other operating expenses. In preparing our consolidated financial statements, we eliminated operating expenses of $2.0 million in 2022, $5.5 million in 2021, and $9.9 million in 2020, against the investment advisory and administrative fees earned from these products. The net gains (losses) reflected in non-operating income includes dividend and interest income and realized and unrealized gains and losses on the underlying securities held by the consolidated sponsored investment products.</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consolidated statements of cash flows.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5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6"/>
                <w:szCs w:val="16"/>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56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5"/>
                <w:szCs w:val="15"/>
                <w:color w:val="auto"/>
              </w:rPr>
              <w:t>Net cash provided by</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160.8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(401.3)</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(556.7)</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activities</w:t>
            </w:r>
          </w:p>
        </w:tc>
        <w:tc>
          <w:tcPr>
            <w:tcW w:w="2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560" w:type="dxa"/>
            <w:vAlign w:val="bottom"/>
          </w:tcPr>
          <w:p>
            <w:pPr>
              <w:ind w:left="20"/>
              <w:spacing w:after="0" w:line="158" w:lineRule="exact"/>
              <w:rPr>
                <w:sz w:val="20"/>
                <w:szCs w:val="20"/>
                <w:color w:val="auto"/>
              </w:rPr>
            </w:pPr>
            <w:r>
              <w:rPr>
                <w:rFonts w:ascii="Arial" w:cs="Arial" w:eastAsia="Arial" w:hAnsi="Arial"/>
                <w:sz w:val="15"/>
                <w:szCs w:val="15"/>
                <w:color w:val="auto"/>
              </w:rPr>
              <w:t>Net cash provided by</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60" w:type="dxa"/>
            <w:vAlign w:val="bottom"/>
          </w:tcPr>
          <w:p>
            <w:pPr>
              <w:ind w:left="20"/>
              <w:spacing w:after="0" w:line="153" w:lineRule="exact"/>
              <w:rPr>
                <w:sz w:val="20"/>
                <w:szCs w:val="20"/>
                <w:color w:val="auto"/>
              </w:rPr>
            </w:pPr>
            <w:r>
              <w:rPr>
                <w:rFonts w:ascii="Arial" w:cs="Arial" w:eastAsia="Arial" w:hAnsi="Arial"/>
                <w:sz w:val="15"/>
                <w:szCs w:val="15"/>
                <w:color w:val="auto"/>
              </w:rPr>
              <w:t>(used in) investing</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2"/>
        </w:trPr>
        <w:tc>
          <w:tcPr>
            <w:tcW w:w="1560" w:type="dxa"/>
            <w:vAlign w:val="bottom"/>
          </w:tcPr>
          <w:p>
            <w:pPr>
              <w:ind w:left="20"/>
              <w:spacing w:after="0"/>
              <w:rPr>
                <w:sz w:val="20"/>
                <w:szCs w:val="20"/>
                <w:color w:val="auto"/>
              </w:rPr>
            </w:pPr>
            <w:r>
              <w:rPr>
                <w:rFonts w:ascii="Arial" w:cs="Arial" w:eastAsia="Arial" w:hAnsi="Arial"/>
                <w:sz w:val="15"/>
                <w:szCs w:val="15"/>
                <w:color w:val="auto"/>
              </w:rPr>
              <w:t>activities</w:t>
            </w: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56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Net cash used in</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activities</w:t>
            </w: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60" w:type="dxa"/>
            <w:vAlign w:val="bottom"/>
          </w:tcPr>
          <w:p>
            <w:pPr>
              <w:ind w:left="20"/>
              <w:spacing w:after="0"/>
              <w:rPr>
                <w:sz w:val="20"/>
                <w:szCs w:val="20"/>
                <w:color w:val="auto"/>
              </w:rPr>
            </w:pPr>
            <w:r>
              <w:rPr>
                <w:rFonts w:ascii="Arial" w:cs="Arial" w:eastAsia="Arial" w:hAnsi="Arial"/>
                <w:sz w:val="15"/>
                <w:szCs w:val="15"/>
                <w:color w:val="auto"/>
              </w:rPr>
              <w:t>FX impact on cash</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39"/>
        </w:trPr>
        <w:tc>
          <w:tcPr>
            <w:tcW w:w="156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5"/>
                <w:szCs w:val="15"/>
                <w:color w:val="auto"/>
              </w:rPr>
              <w:t>Net change in cash</w:t>
            </w: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and cash equivalents</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during period</w:t>
            </w: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560" w:type="dxa"/>
            <w:vAlign w:val="bottom"/>
          </w:tcPr>
          <w:p>
            <w:pPr>
              <w:ind w:left="20"/>
              <w:spacing w:after="0" w:line="158" w:lineRule="exact"/>
              <w:rPr>
                <w:sz w:val="20"/>
                <w:szCs w:val="20"/>
                <w:color w:val="auto"/>
              </w:rPr>
            </w:pPr>
            <w:r>
              <w:rPr>
                <w:rFonts w:ascii="Arial" w:cs="Arial" w:eastAsia="Arial" w:hAnsi="Arial"/>
                <w:sz w:val="15"/>
                <w:szCs w:val="15"/>
                <w:color w:val="auto"/>
              </w:rPr>
              <w:t>Cash and cash</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60" w:type="dxa"/>
            <w:vAlign w:val="bottom"/>
          </w:tcPr>
          <w:p>
            <w:pPr>
              <w:ind w:left="20"/>
              <w:spacing w:after="0" w:line="153" w:lineRule="exact"/>
              <w:rPr>
                <w:sz w:val="20"/>
                <w:szCs w:val="20"/>
                <w:color w:val="auto"/>
              </w:rPr>
            </w:pPr>
            <w:r>
              <w:rPr>
                <w:rFonts w:ascii="Arial" w:cs="Arial" w:eastAsia="Arial" w:hAnsi="Arial"/>
                <w:sz w:val="15"/>
                <w:szCs w:val="15"/>
                <w:color w:val="auto"/>
              </w:rPr>
              <w:t>equivalents at</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02"/>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beginning of year</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6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Cash and cash</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equivalents at end of</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102.9</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93.8</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195"/>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net cash provided by financing activities includes $142.8 million in 2022, $51.9 million in 2021 and $79.5 million in 2020, of net subscriptions we made into the consolidated sponsored investment products, net of dividends received. These cash flows were eliminated in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determine the fair value of investments held by consolidated sponsored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2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reflecting our own assumptions based on the best information available.</w:t>
      </w:r>
    </w:p>
    <w:p>
      <w:pPr>
        <w:spacing w:after="0" w:line="23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 as of December 31.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5"/>
        </w:trPr>
        <w:tc>
          <w:tcPr>
            <w:tcW w:w="2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268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26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1"/>
        </w:trPr>
        <w:tc>
          <w:tcPr>
            <w:tcW w:w="2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Level 3 investments held by consolidated sponsored investment products are derived from inputs that are unobservable and which reflect the company's own determinations about the assumptions that market participants would use in pricing the investments, including assumptions about risk. These inputs are developed based on the company's own data, which is adjusted if information indicates that market participants would use different assumptions. Changes in fair value Level 3 are solely attributable to the purchases of investments during 2022. There were no transfers into or out of Level 3 of the fair value hierarchy for the year ended December 31,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significant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20" w:type="dxa"/>
            <w:vAlign w:val="bottom"/>
            <w:tcBorders>
              <w:bottom w:val="single" w:sz="8" w:color="auto"/>
            </w:tcBorders>
            <w:gridSpan w:val="4"/>
            <w:shd w:val="clear" w:color="auto" w:fill="CCEEFF"/>
          </w:tcPr>
          <w:p>
            <w:pPr>
              <w:ind w:left="740"/>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1500" w:type="dxa"/>
            <w:vAlign w:val="bottom"/>
            <w:tcBorders>
              <w:bottom w:val="single" w:sz="8" w:color="auto"/>
            </w:tcBorders>
            <w:shd w:val="clear" w:color="auto" w:fill="CCEEFF"/>
          </w:tcPr>
          <w:p>
            <w:pPr>
              <w:spacing w:after="0"/>
              <w:rPr>
                <w:sz w:val="17"/>
                <w:szCs w:val="17"/>
                <w:color w:val="auto"/>
              </w:rPr>
            </w:pPr>
          </w:p>
        </w:tc>
      </w:tr>
      <w:tr>
        <w:trPr>
          <w:trHeight w:val="195"/>
        </w:trPr>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Ranges</w:t>
            </w:r>
          </w:p>
        </w:tc>
      </w:tr>
      <w:tr>
        <w:trPr>
          <w:trHeight w:val="224"/>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Market Yield (Comparables)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Yield</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9.8% - 12.4%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71"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In December 2020, we announced that we signed a letter of intent for a long-term lease for our global headquarters in a different downtown location in Baltimore, Maryland. We plan to relocate our operations from our East Pratt Street offices in 2024.</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December 31, 2022, the weighted-average remaining lease term on our leases is approximately 10.6 years and the weighted-average discount rate used to measure the lease liabilities is 3.3%.</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lease expense was $50.0 million in 2022, $32.5 million in 2021, and $32.1 million in 2020. Charges related to our operating leases that are variable, including variable common area maintenance charges and other management-related costs, and not included in the measurement of the lease liabilities, were $10.2 million in 2022. We made lease payments of $44.8 million during 2022.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future undiscounted cash flows related to our operating leases, including operating leases associated with OHA, and the reconciliation to the operating lease liability as of December 31, 2022,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future undiscounted cash flows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imputed interest to be recognized in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Operating lease liabilities, as reported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EQUIPMENT AND SOFTWARE.</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220" w:type="dxa"/>
            <w:vAlign w:val="bottom"/>
          </w:tcPr>
          <w:p>
            <w:pPr>
              <w:spacing w:after="0"/>
              <w:rPr>
                <w:sz w:val="20"/>
                <w:szCs w:val="20"/>
                <w:color w:val="auto"/>
              </w:rPr>
            </w:pPr>
            <w:r>
              <w:rPr>
                <w:rFonts w:ascii="Arial" w:cs="Arial" w:eastAsia="Arial" w:hAnsi="Arial"/>
                <w:sz w:val="18"/>
                <w:szCs w:val="18"/>
                <w:color w:val="auto"/>
              </w:rPr>
              <w:t>Property, equipment and software at December 31 consists of:</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$134.6 million in 2022, $137.6 million in 2021, and $125.9 million in 2020, have been capitalized.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As of December 31,</w:t>
            </w:r>
          </w:p>
        </w:tc>
        <w:tc>
          <w:tcPr>
            <w:tcW w:w="13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68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860" w:type="dxa"/>
            <w:vAlign w:val="bottom"/>
          </w:tcPr>
          <w:p>
            <w:pPr>
              <w:ind w:left="5280"/>
              <w:spacing w:after="0"/>
              <w:rPr>
                <w:sz w:val="20"/>
                <w:szCs w:val="20"/>
                <w:color w:val="auto"/>
              </w:rPr>
            </w:pPr>
            <w:r>
              <w:rPr>
                <w:rFonts w:ascii="Arial" w:cs="Arial" w:eastAsia="Arial" w:hAnsi="Arial"/>
                <w:sz w:val="18"/>
                <w:szCs w:val="18"/>
                <w:color w:val="auto"/>
              </w:rPr>
              <w:t>Page 82</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8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during the years ended December 31, 2022 and 2021,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4"/>
                <w:szCs w:val="14"/>
                <w:b w:val="1"/>
                <w:bCs w:val="1"/>
                <w:color w:val="auto"/>
              </w:rPr>
              <w:t>2021</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Balance, beginning of the year</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665.7</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OHA</w:t>
            </w:r>
          </w:p>
        </w:tc>
        <w:tc>
          <w:tcPr>
            <w:tcW w:w="6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2,027.5</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Measurement period adjustments</w:t>
            </w:r>
          </w:p>
        </w:tc>
        <w:tc>
          <w:tcPr>
            <w:tcW w:w="6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fourth quarter of each year using a fair value approach. We did not record any impairment charges for goodwill for the years ended December 31, 2022, 2021, or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indefinite-lived intangible assets are tested for impairment annually, in the fourth quarter, or more frequently if events or changes in circumstances indicate that it is more likely than not that the intangible asset is impaired. Based on a review of qualitative factors, primarily, the current market environment and future outlook, we determined that it was necessary to perform a quantitative impairment test. The impairment test consists of a comparison of the fair value of an intangible asset with its carrying amount. During 2022, we determined that the carrying amount of our indefinite-lived intangible assets exceeded their fair value. Accordingly, we recognized an impairment loss equal to that excess in the amount of $ 99.2 million for the investment advisory agreements and $17.6 million for the trade name. Fair value for each asset was determined using a discounted cash flow analysis where estimated future cash flows were discounted to arrive at a single present value amount. This approach included inputs that required significant management judgment, the most relevant of which included revenue growth, discount rates, and effective tax rates.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Definite-lived intangible assets are reviewed for impairment whenever events or circumstances indicate that their carrying amount may not be recoverable (i.e., the carrying amount is less than the undiscounted estimated future cash flows). Based on a review of factors significant to these assets, we determined that the carrying amount is not recoverable from certain of these intangible assets. Accordingly, we then assessed whether the fair value was less than the asset's carrying amount. During 2022, we determined that the carrying amount of certain intangible assets exceeded their fair value and recorded an impairment loss equal to that excess in the amount of $ 58.3 million. Fair value was determined using a discounted cash flow analysis where estimated future cash flows were discounted to arrive at a single present value amount. This approach included inputs that required significant management judgment, the most relevant of which included revenue growth, discount rates, and effective tax rates.</w:t>
      </w:r>
    </w:p>
    <w:p>
      <w:pPr>
        <w:spacing w:after="0" w:line="2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Should conditions that led us to recognize these impairment charges continue or deteriorate, additional impairments may be recognized in future periods.</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December 31, 2022, the estimated weighted average remaining life for the definite-lived intangible assets is 6.5 years. Amortization expense for the definite-lived investment advisory agreement intangible assets was $108.5 million for 2022. Estimated amortization expense for the definite-lived investment advisory agreements intangible assets for 2023 through 2027 is, $96.3 million for 2023, $93.9 million for 2024, $93.2 million for 2025, $75.9 million for 2026, and $51.6 million for 2027.</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 (benefits)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(benefits) recognized as part of our provision for income taxes is related to:</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Supplemental savings plan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retention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Unrealized holding gains recognized in non-operating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deferred income taxes (benefits)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gridSpan w:val="2"/>
            <w:shd w:val="clear" w:color="auto" w:fill="CCEEFF"/>
          </w:tcPr>
          <w:p>
            <w:pPr>
              <w:ind w:left="6980"/>
              <w:spacing w:after="0"/>
              <w:rPr>
                <w:sz w:val="20"/>
                <w:szCs w:val="20"/>
                <w:color w:val="auto"/>
              </w:rPr>
            </w:pPr>
            <w:r>
              <w:rPr>
                <w:rFonts w:ascii="Arial" w:cs="Arial" w:eastAsia="Arial" w:hAnsi="Arial"/>
                <w:sz w:val="14"/>
                <w:szCs w:val="14"/>
                <w:b w:val="1"/>
                <w:bCs w:val="1"/>
                <w:color w:val="auto"/>
              </w:rPr>
              <w:t>2022</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Statutory U.S. federal income tax rate</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w:t>
            </w:r>
          </w:p>
        </w:tc>
      </w:tr>
      <w:tr>
        <w:trPr>
          <w:trHeight w:val="230"/>
        </w:trPr>
        <w:tc>
          <w:tcPr>
            <w:tcW w:w="7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attributable to redeemable non-controlling interests</w:t>
            </w:r>
            <w:r>
              <w:rPr>
                <w:rFonts w:ascii="Arial" w:cs="Arial" w:eastAsia="Arial" w:hAnsi="Arial"/>
                <w:sz w:val="23"/>
                <w:szCs w:val="23"/>
                <w:color w:val="auto"/>
                <w:vertAlign w:val="superscript"/>
              </w:rPr>
              <w:t>(2)</w:t>
            </w:r>
          </w:p>
        </w:tc>
        <w:tc>
          <w:tcPr>
            <w:tcW w:w="60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(1.2)</w:t>
            </w: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w:t>
            </w:r>
          </w:p>
        </w:tc>
      </w:tr>
      <w:tr>
        <w:trPr>
          <w:trHeight w:val="24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6" w:lineRule="exact"/>
        <w:rPr>
          <w:rFonts w:ascii="Arial" w:cs="Arial" w:eastAsia="Arial" w:hAnsi="Arial"/>
          <w:sz w:val="9"/>
          <w:szCs w:val="9"/>
          <w:i w:val="1"/>
          <w:iCs w:val="1"/>
          <w:color w:val="auto"/>
        </w:rPr>
      </w:pPr>
    </w:p>
    <w:p>
      <w:pPr>
        <w:ind w:left="180" w:hanging="172"/>
        <w:spacing w:after="0" w:line="222" w:lineRule="auto"/>
        <w:tabs>
          <w:tab w:leader="none" w:pos="172"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Supplemental savings plan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holding losses recognized in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r>
      <w:tr>
        <w:trPr>
          <w:trHeight w:val="250"/>
        </w:trPr>
        <w:tc>
          <w:tcPr>
            <w:tcW w:w="8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retention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Investments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Net unrealized holding gains recognized in income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We consider the need for valuation allowances against our deferred tax assets to the extent that we are not able to generate sufficient taxable income. During 2022, we recognized an immaterial amount of valuation allowances against our deferred tax assets. Unless we are able to generate sufficient taxable income in future periods, we may need to record additional valuation allowances to further reduce our deferred tax assets. Any additional amount of valuation allowances could materially increase our income tax expenses in future periods.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intend to repatriate earnings of T. Rowe Price foreign subsidiaries to the U.S. in an amount not to exceed these subsidiaries' previously taxed earnings and profits ("PTEP"), which are estimated to be approximately $874 million at December 31, 2022.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 We did recognize a state deferred tax liability of $0.9 million for the intended repatriation as states have varying rules on taxation of these amounts.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$71.2 million at December 31, 2022, and $11.9 million at December 31, 2021.</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Cash outflows from operating activities include net income taxes paid of $794.2 million in 2022, $948.9 million in 2021, and $643.0 million in 2020.</w:t>
      </w:r>
    </w:p>
    <w:p>
      <w:pPr>
        <w:spacing w:after="0" w:line="1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Additional income tax benefit arising from stock-based compensation plans activity totaling $7.1 million in 2022, $82.7 million in 2021, and $61.9 million in 2020 reduced the amount of income taxes that would have otherwise been payable. These income tax benefits were recognized in the income tax provision.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positions related to</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statute of limitations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2022 and prior years will significantly change in 2023. The U.S. has concluded examinations related to federal tax obligations through the year 2020. A net interest payable related to our unrecognized tax benefits of $2.3 million at December 31, 2022, and $1.6 million at December 31, 2021,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DIVIDEND.</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 June 14, 2021, the Board of Directors declared a special cash dividend of $3.00 per common share, or $699.8 million, that was paid on July 7, 2021, to stockholders of record as of the close of business on June 25,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8,775,217 common shares as of December 31, 2022.</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Accounts payable and accrued expenses includes liabilities of $5.5 million at December 31, 2022 for common stock repurchases that settled during the first week of January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CAPITAL.</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consolidated stockholders' equity at December 31, 2022, includes about $402 million that is restricted as to use by various regulations and agreements arising in the ordinary course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AUTHORIZED FOR STOCK-BASED COMPENSATION PROGRAMS.</w:t>
      </w:r>
    </w:p>
    <w:p>
      <w:pPr>
        <w:spacing w:after="0" w:line="23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At December 31, 2022, a total of 18,652,998 shares of unissued common stock were authorized for issuance under our stock-based compensation plans. Additionally, a total of 907,014 shares are authorized for issuance under a plan whereby substantially all employees may acquire common stock through payroll deductions at prevailing market prices.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Weighted-</w:t>
            </w:r>
          </w:p>
        </w:tc>
        <w:tc>
          <w:tcPr>
            <w:tcW w:w="1760" w:type="dxa"/>
            <w:vAlign w:val="bottom"/>
            <w:shd w:val="clear" w:color="auto" w:fill="CCEEFF"/>
          </w:tcPr>
          <w:p>
            <w:pPr>
              <w:jc w:val="center"/>
              <w:ind w:left="4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gridSpan w:val="2"/>
            <w:vMerge w:val="continue"/>
            <w:shd w:val="clear" w:color="auto" w:fill="CCEEFF"/>
          </w:tcPr>
          <w:p>
            <w:pPr>
              <w:spacing w:after="0"/>
              <w:rPr>
                <w:sz w:val="11"/>
                <w:szCs w:val="11"/>
                <w:color w:val="auto"/>
              </w:rPr>
            </w:pPr>
          </w:p>
        </w:tc>
        <w:tc>
          <w:tcPr>
            <w:tcW w:w="1760" w:type="dxa"/>
            <w:vAlign w:val="bottom"/>
            <w:shd w:val="clear" w:color="auto" w:fill="CCEEFF"/>
          </w:tcPr>
          <w:p>
            <w:pPr>
              <w:jc w:val="center"/>
              <w:ind w:left="43"/>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left="464"/>
              <w:spacing w:after="0" w:line="149" w:lineRule="exact"/>
              <w:rPr>
                <w:sz w:val="20"/>
                <w:szCs w:val="20"/>
                <w:color w:val="auto"/>
              </w:rPr>
            </w:pPr>
            <w:r>
              <w:rPr>
                <w:rFonts w:ascii="Arial" w:cs="Arial" w:eastAsia="Arial" w:hAnsi="Arial"/>
                <w:sz w:val="14"/>
                <w:szCs w:val="14"/>
                <w:b w:val="1"/>
                <w:bCs w:val="1"/>
                <w:color w:val="auto"/>
              </w:rPr>
              <w:t>average</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23"/>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left="464"/>
              <w:spacing w:after="0" w:line="149" w:lineRule="exact"/>
              <w:rPr>
                <w:sz w:val="20"/>
                <w:szCs w:val="20"/>
                <w:color w:val="auto"/>
              </w:rPr>
            </w:pPr>
            <w:r>
              <w:rPr>
                <w:rFonts w:ascii="Arial" w:cs="Arial" w:eastAsia="Arial" w:hAnsi="Arial"/>
                <w:sz w:val="14"/>
                <w:szCs w:val="14"/>
                <w:b w:val="1"/>
                <w:bCs w:val="1"/>
                <w:color w:val="auto"/>
              </w:rPr>
              <w:t>exercise</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43"/>
              <w:spacing w:after="0" w:line="149" w:lineRule="exact"/>
              <w:rPr>
                <w:sz w:val="20"/>
                <w:szCs w:val="20"/>
                <w:color w:val="auto"/>
              </w:rPr>
            </w:pPr>
            <w:r>
              <w:rPr>
                <w:rFonts w:ascii="Arial" w:cs="Arial" w:eastAsia="Arial" w:hAnsi="Arial"/>
                <w:sz w:val="14"/>
                <w:szCs w:val="14"/>
                <w:b w:val="1"/>
                <w:bCs w:val="1"/>
                <w:color w:val="auto"/>
              </w:rPr>
              <w:t>term in</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left="464"/>
              <w:spacing w:after="0"/>
              <w:rPr>
                <w:sz w:val="20"/>
                <w:szCs w:val="20"/>
                <w:color w:val="auto"/>
              </w:rPr>
            </w:pPr>
            <w:r>
              <w:rPr>
                <w:rFonts w:ascii="Arial" w:cs="Arial" w:eastAsia="Arial" w:hAnsi="Arial"/>
                <w:sz w:val="14"/>
                <w:szCs w:val="14"/>
                <w:b w:val="1"/>
                <w:bCs w:val="1"/>
                <w:color w:val="auto"/>
              </w:rPr>
              <w:t>price</w:t>
            </w:r>
          </w:p>
        </w:tc>
        <w:tc>
          <w:tcPr>
            <w:tcW w:w="540" w:type="dxa"/>
            <w:vAlign w:val="bottom"/>
            <w:tcBorders>
              <w:bottom w:val="single" w:sz="8" w:color="auto"/>
            </w:tcBorders>
            <w:shd w:val="clear" w:color="auto" w:fill="CCEEFF"/>
          </w:tcPr>
          <w:p>
            <w:pPr>
              <w:spacing w:after="0"/>
              <w:rPr>
                <w:sz w:val="16"/>
                <w:szCs w:val="16"/>
                <w:color w:val="auto"/>
              </w:rPr>
            </w:pPr>
          </w:p>
        </w:tc>
        <w:tc>
          <w:tcPr>
            <w:tcW w:w="1760" w:type="dxa"/>
            <w:vAlign w:val="bottom"/>
            <w:shd w:val="clear" w:color="auto" w:fill="CCEEFF"/>
          </w:tcPr>
          <w:p>
            <w:pPr>
              <w:jc w:val="center"/>
              <w:ind w:left="2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660" w:type="dxa"/>
            <w:vAlign w:val="bottom"/>
          </w:tcPr>
          <w:p>
            <w:pPr>
              <w:jc w:val="right"/>
              <w:spacing w:after="0"/>
              <w:rPr>
                <w:sz w:val="20"/>
                <w:szCs w:val="20"/>
                <w:color w:val="auto"/>
              </w:rPr>
            </w:pPr>
            <w:r>
              <w:rPr>
                <w:rFonts w:ascii="Arial" w:cs="Arial" w:eastAsia="Arial" w:hAnsi="Arial"/>
                <w:sz w:val="18"/>
                <w:szCs w:val="18"/>
                <w:color w:val="auto"/>
              </w:rPr>
              <w:t>2,846,579</w:t>
            </w:r>
          </w:p>
        </w:tc>
        <w:tc>
          <w:tcPr>
            <w:tcW w:w="100" w:type="dxa"/>
            <w:vAlign w:val="bottom"/>
          </w:tcPr>
          <w:p>
            <w:pPr>
              <w:spacing w:after="0"/>
              <w:rPr>
                <w:sz w:val="19"/>
                <w:szCs w:val="19"/>
                <w:color w:val="auto"/>
              </w:rPr>
            </w:pPr>
          </w:p>
        </w:tc>
        <w:tc>
          <w:tcPr>
            <w:tcW w:w="1120" w:type="dxa"/>
            <w:vAlign w:val="bottom"/>
          </w:tcPr>
          <w:p>
            <w:pPr>
              <w:jc w:val="right"/>
              <w:ind w:right="92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72.87</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(628,073)</w:t>
            </w:r>
          </w:p>
        </w:tc>
        <w:tc>
          <w:tcPr>
            <w:tcW w:w="122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67.79</w:t>
            </w: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2,218,506</w:t>
            </w:r>
          </w:p>
        </w:tc>
        <w:tc>
          <w:tcPr>
            <w:tcW w:w="122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74.31</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2,218,506</w:t>
            </w:r>
          </w:p>
        </w:tc>
        <w:tc>
          <w:tcPr>
            <w:tcW w:w="1220" w:type="dxa"/>
            <w:vAlign w:val="bottom"/>
            <w:tcBorders>
              <w:bottom w:val="single" w:sz="8" w:color="CCEEFF"/>
            </w:tcBorders>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74.31</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Compensation and related costs includes a charge for stock option-based compensation expense. There was no stock option-based compensation expense in 2022 and 2021, but, in 2020, we recorded $2.0 million of stock option-based compensation expense.</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total intrinsic value of options exercised was $40.3 million in 2022, $177.2 million in 2021, and $198.3 million in 2020. At December 31, 2022, the aggregate intrinsic value of in-the-money options outstanding was $77.1 million. All outstanding options are exercisable.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Restricted</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12"/>
                <w:szCs w:val="12"/>
                <w:color w:val="auto"/>
              </w:rPr>
            </w:pPr>
          </w:p>
        </w:tc>
        <w:tc>
          <w:tcPr>
            <w:tcW w:w="1520" w:type="dxa"/>
            <w:vAlign w:val="bottom"/>
            <w:gridSpan w:val="2"/>
            <w:vMerge w:val="continue"/>
            <w:shd w:val="clear" w:color="auto" w:fill="CCEEFF"/>
          </w:tcPr>
          <w:p>
            <w:pPr>
              <w:spacing w:after="0"/>
              <w:rPr>
                <w:sz w:val="12"/>
                <w:szCs w:val="12"/>
                <w:color w:val="auto"/>
              </w:rPr>
            </w:pPr>
          </w:p>
        </w:tc>
        <w:tc>
          <w:tcPr>
            <w:tcW w:w="14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stock</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75"/>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5,701,865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2,191,601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Performance-based grants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77,372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121.33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(value at vest date was $231.4 million)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(1,877,992)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Nonvested dividend equivalents granted to non-employee directors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3,980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5,901,600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Nonvested at December 31, 2022 includes performance-based restricted stock units of 371,890. These nonvested performance-based restricted units include 81,123 units for which the performance period has lapsed, and the performance threshold has been met.</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$285.4 million in 2022, $274.6 million in 2021, and $244.1 million in 2020.</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At December 31, 2022, non-employee directors held 94,939 vested stock units that will convert to common shares upon their separation from the Board.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December 31, 2022. Estimated future compensation expense will change to reflect future grants, changes in the probability of performance thresholds being met, and adjustments for actual forfeitures.</w:t>
      </w:r>
    </w:p>
    <w:tbl>
      <w:tblPr>
        <w:tblLayout w:type="fixed"/>
        <w:tblInd w:w="0" w:type="dxa"/>
        <w:tblCellMar>
          <w:top w:w="0" w:type="dxa"/>
          <w:left w:w="0" w:type="dxa"/>
          <w:bottom w:w="0" w:type="dxa"/>
          <w:right w:w="0" w:type="dxa"/>
        </w:tblCellMar>
      </w:tblPr>
      <w:tr>
        <w:trPr>
          <w:trHeight w:val="203"/>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First quarter 2023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2023</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Third quarter 2023</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2023</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 2023</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through 2028</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r>
      <w:tr>
        <w:trPr>
          <w:trHeight w:val="21"/>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CALCULATIONS.</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1,557.9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2,372.7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2,307.4</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common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5"/>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60" w:type="dxa"/>
            <w:vAlign w:val="bottom"/>
          </w:tcPr>
          <w:p>
            <w:pPr>
              <w:ind w:left="140"/>
              <w:spacing w:after="0" w:line="203" w:lineRule="exact"/>
              <w:rPr>
                <w:sz w:val="20"/>
                <w:szCs w:val="20"/>
                <w:color w:val="auto"/>
              </w:rPr>
            </w:pPr>
            <w:r>
              <w:rPr>
                <w:rFonts w:ascii="Arial" w:cs="Arial" w:eastAsia="Arial" w:hAnsi="Arial"/>
                <w:sz w:val="18"/>
                <w:szCs w:val="18"/>
                <w:color w:val="auto"/>
              </w:rPr>
              <w:t>Outstanding assuming dilution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231.2</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the past three years, no stock options have been excluded from the calculation of diluted earnings per common share as none of the options' inclusion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COMPREHENSIVE INCOME AND ACCUMULATED OTHER COMPREHENSIVE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Net deferred tax benefits (income taxes) on:</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220"/>
              <w:spacing w:after="0" w:line="176" w:lineRule="exact"/>
              <w:rPr>
                <w:sz w:val="20"/>
                <w:szCs w:val="20"/>
                <w:color w:val="auto"/>
              </w:rPr>
            </w:pPr>
            <w:r>
              <w:rPr>
                <w:rFonts w:ascii="Arial" w:cs="Arial" w:eastAsia="Arial" w:hAnsi="Arial"/>
                <w:sz w:val="18"/>
                <w:szCs w:val="18"/>
                <w:color w:val="auto"/>
              </w:rPr>
              <w:t>Reclassification adjustment recognized upon partial disposition of equity method</w:t>
            </w:r>
          </w:p>
        </w:tc>
        <w:tc>
          <w:tcPr>
            <w:tcW w:w="980" w:type="dxa"/>
            <w:vAlign w:val="bottom"/>
          </w:tcPr>
          <w:p>
            <w:pPr>
              <w:spacing w:after="0"/>
              <w:rPr>
                <w:sz w:val="15"/>
                <w:szCs w:val="15"/>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5"/>
                <w:szCs w:val="15"/>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8"/>
                <w:szCs w:val="18"/>
                <w:color w:val="auto"/>
              </w:rPr>
              <w:t>investment</w:t>
            </w:r>
          </w:p>
        </w:tc>
        <w:tc>
          <w:tcPr>
            <w:tcW w:w="98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Reclassification adjustment recognized in the provision for income taxes upon</w:t>
            </w:r>
          </w:p>
        </w:tc>
        <w:tc>
          <w:tcPr>
            <w:tcW w:w="9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deconsolidation of T. Rowe Price investment product</w:t>
            </w:r>
          </w:p>
        </w:tc>
        <w:tc>
          <w:tcPr>
            <w:tcW w:w="9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net deferred tax benefits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3"/>
        </w:trPr>
        <w:tc>
          <w:tcPr>
            <w:tcW w:w="6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5280"/>
              <w:spacing w:after="0"/>
              <w:rPr>
                <w:sz w:val="20"/>
                <w:szCs w:val="20"/>
                <w:color w:val="auto"/>
              </w:rPr>
            </w:pPr>
            <w:r>
              <w:rPr>
                <w:rFonts w:ascii="Arial" w:cs="Arial" w:eastAsia="Arial" w:hAnsi="Arial"/>
                <w:sz w:val="18"/>
                <w:szCs w:val="18"/>
                <w:color w:val="auto"/>
              </w:rPr>
              <w:t>Page 88</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7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income (loss), including reclassification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140" w:type="dxa"/>
            <w:vAlign w:val="bottom"/>
            <w:gridSpan w:val="8"/>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Currency translation adjustments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Consolidated</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sponsored</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investment products -</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 reclassifications and</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 recognized in non-operating income</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76"/>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 reclassifications and</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 recognized in non-operating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76"/>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before reclassifications and income</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 recognized in non-operating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other comprehensive income (loss) in the table above excludes $(21.0) million in 2022, $(26.2) million in 2021, and $34.9 million in 2020 of other comprehensive income (loss) related to redeemable non-controlling interests held in our consolidated products.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$464.1 million to fund OHA products over the next four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27, 2022, two individuals filed a class action lawsuit in the United States District Court for the Southern District of California against T. Rowe Price Retirement Plan Services, Inc. (“RPS”). The complaint alleges that use of certain biometric voiceprints to validate the identity of callers as participants in retirement plans serviced by RPS violated the California Invasion of Privacy Act (“CIPA”) because RPS did not obtain their express written consent.</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While we believe the claims are without merit and will vigorously defend the case, we cannot predict at this time the outcome of the litigation or estimate the possible loss or range of loss that may arise from the proceeding.</w:t>
      </w:r>
    </w:p>
    <w:p>
      <w:pPr>
        <w:spacing w:after="0" w:line="19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$130.2 million in 2022, $124.2 million in 2021, and $117.0 million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SAVINGS PLAN.</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Through the 2020 plan year, the Supplemental Savings Plan provides certain senior officers the opportunity to defer receipt of up to 100% of their cash incentive compensation earned for a respective calendar year during which services are provided. The amounts deferred are adjusted in accordance with the hypothetical investments chosen by the officer from a list of mutual funds. Beginning with the plan's 2021 year, the maximum that certain senior officers can defer is the lesser of 50% of their annual cash incentive earned or $2 million. Previous to the 2021 plan year, the officer could initially defer these amounts for a period of two to 15 years. This was updated to five to 15 years beginning with the plan's 2021 year. Certain senior officers elected to defer $51.8 million in 2022, $62.4 million in 2021, and $105.8 million in 2020.</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2022 and 2021, the related consolidated statements of income, comprehensive income,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4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15,</w:t>
      </w:r>
      <w:r>
        <w:rPr>
          <w:rFonts w:ascii="Arial" w:cs="Arial" w:eastAsia="Arial" w:hAnsi="Arial"/>
          <w:sz w:val="18"/>
          <w:szCs w:val="18"/>
          <w:i w:val="1"/>
          <w:iCs w:val="1"/>
          <w:color w:val="auto"/>
        </w:rPr>
        <w:t xml:space="preserve"> </w:t>
      </w:r>
      <w:r>
        <w:rPr>
          <w:rFonts w:ascii="Arial" w:cs="Arial" w:eastAsia="Arial" w:hAnsi="Arial"/>
          <w:sz w:val="18"/>
          <w:szCs w:val="18"/>
          <w:color w:val="auto"/>
        </w:rPr>
        <w:t>2023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w:t>
      </w:r>
    </w:p>
    <w:p>
      <w:pPr>
        <w:spacing w:after="0" w:line="2" w:lineRule="exact"/>
        <w:rPr>
          <w:sz w:val="20"/>
          <w:szCs w:val="20"/>
          <w:color w:val="auto"/>
        </w:rPr>
      </w:pPr>
    </w:p>
    <w:p>
      <w:pPr>
        <w:jc w:val="both"/>
        <w:ind w:right="20" w:firstLine="8"/>
        <w:spacing w:after="0" w:line="255"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ind w:left="340" w:right="500"/>
        <w:spacing w:after="0" w:line="285" w:lineRule="auto"/>
        <w:rPr>
          <w:sz w:val="20"/>
          <w:szCs w:val="20"/>
          <w:color w:val="auto"/>
        </w:rPr>
      </w:pPr>
      <w:r>
        <w:rPr>
          <w:rFonts w:ascii="Arial" w:cs="Arial" w:eastAsia="Arial" w:hAnsi="Arial"/>
          <w:sz w:val="18"/>
          <w:szCs w:val="18"/>
          <w:i w:val="1"/>
          <w:iCs w:val="1"/>
          <w:color w:val="auto"/>
        </w:rPr>
        <w:t>Evaluation of the completeness and accuracy of assets under management data used in the calculation of investment advisory fee revenue</w:t>
      </w:r>
    </w:p>
    <w:p>
      <w:pPr>
        <w:spacing w:after="0" w:line="154" w:lineRule="exact"/>
        <w:rPr>
          <w:sz w:val="20"/>
          <w:szCs w:val="20"/>
          <w:color w:val="auto"/>
        </w:rPr>
      </w:pPr>
    </w:p>
    <w:p>
      <w:pPr>
        <w:ind w:left="340" w:right="80"/>
        <w:spacing w:after="0" w:line="262" w:lineRule="auto"/>
        <w:rPr>
          <w:sz w:val="20"/>
          <w:szCs w:val="20"/>
          <w:color w:val="auto"/>
        </w:rPr>
      </w:pPr>
      <w:r>
        <w:rPr>
          <w:rFonts w:ascii="Arial" w:cs="Arial" w:eastAsia="Arial" w:hAnsi="Arial"/>
          <w:sz w:val="18"/>
          <w:szCs w:val="18"/>
          <w:color w:val="auto"/>
        </w:rPr>
        <w:t>As discussed in Note 1 to the consolidated financial statements, the Company recognizes fees for its investment advisory agreements based on a percentage of its assets under management (AUM). AUM data represents a significant input to the calculation of investment advisory fees. The Company recognized $3.5 billion in investment advisory fees related to T. Rowe Price U.S. mutual funds (Funds) during the year ended December 31, 2022.</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2" w:name="page93"/>
    <w:bookmarkEnd w:id="92"/>
    <w:p>
      <w:pPr>
        <w:ind w:left="340" w:right="140"/>
        <w:spacing w:after="0" w:line="262" w:lineRule="auto"/>
        <w:rPr>
          <w:sz w:val="20"/>
          <w:szCs w:val="20"/>
          <w:color w:val="auto"/>
        </w:rPr>
      </w:pPr>
      <w:r>
        <w:rPr>
          <w:rFonts w:ascii="Arial" w:cs="Arial" w:eastAsia="Arial" w:hAnsi="Arial"/>
          <w:sz w:val="18"/>
          <w:szCs w:val="18"/>
          <w:color w:val="auto"/>
        </w:rPr>
        <w:t>We identified the evaluation of the completeness and accuracy of AUM data for the Funds as a critical audit matter as AUM data is transmitted through multiple information technology (IT) systems used in the calculation of investment advisory fee revenue. Given the Company's use of multiple IT systems, the nature and extent of audit effort involved in performing procedures to evaluate the completeness and accuracy of AUM data required the use of IT professionals with specialized skills and knowledge.</w:t>
      </w:r>
    </w:p>
    <w:p>
      <w:pPr>
        <w:spacing w:after="0" w:line="136"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following are the primary procedures we performed to address the critical audit matter. We evaluated the design and tested the operational effectiveness of certain controls over the Company’s revenue processes, including manual controls over the completeness and accuracy of AUM data. We involved IT professionals with specialized skills and knowledge, who assisted in the testing of general IT controls and the interface of data between multiple IT systems used to maintain AUM data. To assess the AUM data, we (1) compared AUM used in the calculation of a sample of investment advisory fees to the source IT systems, and (2) for a selection of Funds, compared AUM on select dates from the source IT system to the audited Fund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2022. Based on that evaluation, our principal executive and principal financial officers have concluded that our disclosure controls and procedures as of December 31, 2022,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2022, and has concluded that there was no change during the fourth quarter of 2022 that has materially affected, or is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together with other members of management of T. Rowe Price Group, Inc., (the Company)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9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 xml:space="preserve">Management has evaluated the effectiveness of internal control over financial reporting as of December 31, 2022, in relation to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management’s assessment, we believe that the Company’s internal control over financial reporting was effective as of December 31, 2022.</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0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41"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December 31, 2021, the related consolidated statements of income, comprehensive income, stockholders’ equity, and cash flows for each of the years in the three-year period ended December 31, 2022, and the related notes (collectively, the consolidated financial statements), and our report dated February 15, 2023 expressed an unqualified opinion on those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02"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6" w:name="page97"/>
    <w:bookmarkEnd w:id="96"/>
    <w:p>
      <w:pPr>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2023</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97" w:name="page98"/>
    <w:bookmarkEnd w:id="97"/>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2022 for the 2023 Annual Meeting of our stockholders.</w:t>
      </w:r>
    </w:p>
    <w:p>
      <w:pPr>
        <w:spacing w:after="0" w:line="19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2022 for the 2023 Annual Meeting of our stockholders.</w:t>
      </w:r>
    </w:p>
    <w:p>
      <w:pPr>
        <w:spacing w:after="0" w:line="180" w:lineRule="exact"/>
        <w:rPr>
          <w:sz w:val="20"/>
          <w:szCs w:val="20"/>
          <w:color w:val="auto"/>
        </w:rPr>
      </w:pPr>
    </w:p>
    <w:p>
      <w:pPr>
        <w:ind w:left="1300" w:right="1920" w:hanging="1295"/>
        <w:spacing w:after="0" w:line="296"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2022 for the 2023 Annual Meeting of our stockholders.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2022 for the 2023 Annual Meeting of our stockholders.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2022 for the 2023 Annual Meeting of our stockholders.</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77"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76" w:lineRule="exact"/>
        <w:rPr>
          <w:rFonts w:ascii="Arial" w:cs="Arial" w:eastAsia="Arial" w:hAnsi="Arial"/>
          <w:sz w:val="18"/>
          <w:szCs w:val="18"/>
          <w:color w:val="auto"/>
        </w:rPr>
      </w:pPr>
    </w:p>
    <w:p>
      <w:pPr>
        <w:ind w:left="440" w:hanging="41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76" w:lineRule="exact"/>
        <w:rPr>
          <w:rFonts w:ascii="Arial" w:cs="Arial" w:eastAsia="Arial" w:hAnsi="Arial"/>
          <w:sz w:val="18"/>
          <w:szCs w:val="18"/>
          <w:color w:val="auto"/>
        </w:rPr>
      </w:pPr>
    </w:p>
    <w:p>
      <w:pPr>
        <w:ind w:left="440" w:right="2620" w:hanging="414"/>
        <w:spacing w:after="0" w:line="22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3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3(i)</w:t>
            </w:r>
          </w:p>
        </w:tc>
        <w:tc>
          <w:tcPr>
            <w:tcW w:w="7280" w:type="dxa"/>
            <w:vAlign w:val="bottom"/>
          </w:tcPr>
          <w:p>
            <w:pPr>
              <w:ind w:left="320"/>
              <w:spacing w:after="0"/>
              <w:rPr>
                <w:rFonts w:ascii="Arial" w:cs="Arial" w:eastAsia="Arial" w:hAnsi="Arial"/>
                <w:sz w:val="18"/>
                <w:szCs w:val="18"/>
                <w:color w:val="auto"/>
              </w:rPr>
            </w:pPr>
            <w:hyperlink r:id="rId117">
              <w:r>
                <w:rPr>
                  <w:rFonts w:ascii="Arial" w:cs="Arial" w:eastAsia="Arial" w:hAnsi="Arial"/>
                  <w:sz w:val="18"/>
                  <w:szCs w:val="18"/>
                  <w:color w:val="auto"/>
                </w:rPr>
                <w:t>Charter of T. Rowe Price Group, Inc., as reflected by Articles of Restatement dated</w:t>
              </w:r>
            </w:hyperlink>
          </w:p>
        </w:tc>
      </w:tr>
      <w:tr>
        <w:trPr>
          <w:trHeight w:val="175"/>
        </w:trPr>
        <w:tc>
          <w:tcPr>
            <w:tcW w:w="920" w:type="dxa"/>
            <w:vAlign w:val="bottom"/>
          </w:tcPr>
          <w:p>
            <w:pPr>
              <w:spacing w:after="0"/>
              <w:rPr>
                <w:sz w:val="15"/>
                <w:szCs w:val="15"/>
                <w:color w:val="auto"/>
              </w:rPr>
            </w:pPr>
          </w:p>
        </w:tc>
        <w:tc>
          <w:tcPr>
            <w:tcW w:w="7280" w:type="dxa"/>
            <w:vAlign w:val="bottom"/>
          </w:tcPr>
          <w:p>
            <w:pPr>
              <w:ind w:left="320"/>
              <w:spacing w:after="0" w:line="176" w:lineRule="exact"/>
              <w:rPr>
                <w:rFonts w:ascii="Arial" w:cs="Arial" w:eastAsia="Arial" w:hAnsi="Arial"/>
                <w:sz w:val="18"/>
                <w:szCs w:val="18"/>
                <w:color w:val="auto"/>
              </w:rPr>
            </w:pPr>
            <w:hyperlink r:id="rId117">
              <w:r>
                <w:rPr>
                  <w:rFonts w:ascii="Arial" w:cs="Arial" w:eastAsia="Arial" w:hAnsi="Arial"/>
                  <w:sz w:val="18"/>
                  <w:szCs w:val="18"/>
                  <w:color w:val="auto"/>
                </w:rPr>
                <w:t>June 20, 2018. (Incorporated by reference from Form 10-Q Quarterly Report filed on</w:t>
              </w:r>
            </w:hyperlink>
          </w:p>
        </w:tc>
      </w:tr>
      <w:tr>
        <w:trPr>
          <w:trHeight w:val="239"/>
        </w:trPr>
        <w:tc>
          <w:tcPr>
            <w:tcW w:w="920" w:type="dxa"/>
            <w:vAlign w:val="bottom"/>
          </w:tcPr>
          <w:p>
            <w:pPr>
              <w:spacing w:after="0"/>
              <w:rPr>
                <w:sz w:val="20"/>
                <w:szCs w:val="20"/>
                <w:color w:val="auto"/>
              </w:rPr>
            </w:pPr>
          </w:p>
        </w:tc>
        <w:tc>
          <w:tcPr>
            <w:tcW w:w="7280" w:type="dxa"/>
            <w:vAlign w:val="bottom"/>
          </w:tcPr>
          <w:p>
            <w:pPr>
              <w:ind w:left="320"/>
              <w:spacing w:after="0"/>
              <w:rPr>
                <w:rFonts w:ascii="Arial" w:cs="Arial" w:eastAsia="Arial" w:hAnsi="Arial"/>
                <w:sz w:val="18"/>
                <w:szCs w:val="18"/>
                <w:color w:val="auto"/>
              </w:rPr>
            </w:pPr>
            <w:hyperlink r:id="rId117">
              <w:r>
                <w:rPr>
                  <w:rFonts w:ascii="Arial" w:cs="Arial" w:eastAsia="Arial" w:hAnsi="Arial"/>
                  <w:sz w:val="18"/>
                  <w:szCs w:val="18"/>
                  <w:color w:val="auto"/>
                </w:rPr>
                <w:t>July 25, 2018.)</w:t>
              </w:r>
            </w:hyperlink>
          </w:p>
        </w:tc>
      </w:tr>
      <w:tr>
        <w:trPr>
          <w:trHeight w:val="234"/>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7280" w:type="dxa"/>
            <w:vAlign w:val="bottom"/>
          </w:tcPr>
          <w:p>
            <w:pPr>
              <w:ind w:left="320"/>
              <w:spacing w:after="0"/>
              <w:rPr>
                <w:rFonts w:ascii="Arial" w:cs="Arial" w:eastAsia="Arial" w:hAnsi="Arial"/>
                <w:sz w:val="18"/>
                <w:szCs w:val="18"/>
                <w:color w:val="auto"/>
              </w:rPr>
            </w:pPr>
            <w:hyperlink r:id="rId118">
              <w:r>
                <w:rPr>
                  <w:rFonts w:ascii="Arial" w:cs="Arial" w:eastAsia="Arial" w:hAnsi="Arial"/>
                  <w:sz w:val="18"/>
                  <w:szCs w:val="18"/>
                  <w:color w:val="auto"/>
                </w:rPr>
                <w:t>Amended and Restated By-Laws of T. Rowe Price Group, Inc., as of February 9, 2021.</w:t>
              </w:r>
            </w:hyperlink>
          </w:p>
        </w:tc>
      </w:tr>
      <w:tr>
        <w:trPr>
          <w:trHeight w:val="239"/>
        </w:trPr>
        <w:tc>
          <w:tcPr>
            <w:tcW w:w="920" w:type="dxa"/>
            <w:vAlign w:val="bottom"/>
          </w:tcPr>
          <w:p>
            <w:pPr>
              <w:spacing w:after="0"/>
              <w:rPr>
                <w:sz w:val="20"/>
                <w:szCs w:val="20"/>
                <w:color w:val="auto"/>
              </w:rPr>
            </w:pPr>
          </w:p>
        </w:tc>
        <w:tc>
          <w:tcPr>
            <w:tcW w:w="7280" w:type="dxa"/>
            <w:vAlign w:val="bottom"/>
          </w:tcPr>
          <w:p>
            <w:pPr>
              <w:ind w:left="320"/>
              <w:spacing w:after="0"/>
              <w:rPr>
                <w:rFonts w:ascii="Arial" w:cs="Arial" w:eastAsia="Arial" w:hAnsi="Arial"/>
                <w:sz w:val="18"/>
                <w:szCs w:val="18"/>
                <w:color w:val="auto"/>
              </w:rPr>
            </w:pPr>
            <w:hyperlink r:id="rId118">
              <w:r>
                <w:rPr>
                  <w:rFonts w:ascii="Arial" w:cs="Arial" w:eastAsia="Arial" w:hAnsi="Arial"/>
                  <w:sz w:val="18"/>
                  <w:szCs w:val="18"/>
                  <w:color w:val="auto"/>
                </w:rPr>
                <w:t>(Incorporated by reference from Form 10-K Annual Report filed on February 11, 2021.)</w:t>
              </w:r>
            </w:hyperlink>
          </w:p>
        </w:tc>
      </w:tr>
      <w:tr>
        <w:trPr>
          <w:trHeight w:val="234"/>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7280" w:type="dxa"/>
            <w:vAlign w:val="bottom"/>
          </w:tcPr>
          <w:p>
            <w:pPr>
              <w:ind w:left="320"/>
              <w:spacing w:after="0"/>
              <w:rPr>
                <w:rFonts w:ascii="Arial" w:cs="Arial" w:eastAsia="Arial" w:hAnsi="Arial"/>
                <w:sz w:val="18"/>
                <w:szCs w:val="18"/>
                <w:color w:val="auto"/>
              </w:rPr>
            </w:pPr>
            <w:hyperlink r:id="rId119">
              <w:r>
                <w:rPr>
                  <w:rFonts w:ascii="Arial" w:cs="Arial" w:eastAsia="Arial" w:hAnsi="Arial"/>
                  <w:sz w:val="18"/>
                  <w:szCs w:val="18"/>
                  <w:color w:val="auto"/>
                </w:rPr>
                <w:t>Description of Capital Stock (Incorporated by reference from Form 10-K Annual Report</w:t>
              </w:r>
            </w:hyperlink>
          </w:p>
        </w:tc>
      </w:tr>
      <w:tr>
        <w:trPr>
          <w:trHeight w:val="239"/>
        </w:trPr>
        <w:tc>
          <w:tcPr>
            <w:tcW w:w="920" w:type="dxa"/>
            <w:vAlign w:val="bottom"/>
          </w:tcPr>
          <w:p>
            <w:pPr>
              <w:spacing w:after="0"/>
              <w:rPr>
                <w:sz w:val="20"/>
                <w:szCs w:val="20"/>
                <w:color w:val="auto"/>
              </w:rPr>
            </w:pPr>
          </w:p>
        </w:tc>
        <w:tc>
          <w:tcPr>
            <w:tcW w:w="7280" w:type="dxa"/>
            <w:vAlign w:val="bottom"/>
          </w:tcPr>
          <w:p>
            <w:pPr>
              <w:ind w:left="320"/>
              <w:spacing w:after="0"/>
              <w:rPr>
                <w:rFonts w:ascii="Arial" w:cs="Arial" w:eastAsia="Arial" w:hAnsi="Arial"/>
                <w:sz w:val="18"/>
                <w:szCs w:val="18"/>
                <w:color w:val="auto"/>
              </w:rPr>
            </w:pPr>
            <w:hyperlink r:id="rId119">
              <w:r>
                <w:rPr>
                  <w:rFonts w:ascii="Arial" w:cs="Arial" w:eastAsia="Arial" w:hAnsi="Arial"/>
                  <w:sz w:val="18"/>
                  <w:szCs w:val="18"/>
                  <w:color w:val="auto"/>
                </w:rPr>
                <w:t>filed on February 13, 2020.)</w:t>
              </w:r>
            </w:hyperlink>
          </w:p>
        </w:tc>
      </w:tr>
      <w:tr>
        <w:trPr>
          <w:trHeight w:val="246"/>
        </w:trPr>
        <w:tc>
          <w:tcPr>
            <w:tcW w:w="920" w:type="dxa"/>
            <w:vAlign w:val="bottom"/>
          </w:tcPr>
          <w:p>
            <w:pPr>
              <w:spacing w:after="0"/>
              <w:rPr>
                <w:sz w:val="20"/>
                <w:szCs w:val="20"/>
                <w:color w:val="auto"/>
              </w:rPr>
            </w:pPr>
            <w:r>
              <w:rPr>
                <w:rFonts w:ascii="Arial" w:cs="Arial" w:eastAsia="Arial" w:hAnsi="Arial"/>
                <w:sz w:val="18"/>
                <w:szCs w:val="18"/>
                <w:color w:val="auto"/>
              </w:rPr>
              <w:t>10.01.1</w:t>
            </w:r>
          </w:p>
        </w:tc>
        <w:tc>
          <w:tcPr>
            <w:tcW w:w="7280" w:type="dxa"/>
            <w:vAlign w:val="bottom"/>
          </w:tcPr>
          <w:p>
            <w:pPr>
              <w:ind w:left="320"/>
              <w:spacing w:after="0"/>
              <w:rPr>
                <w:rFonts w:ascii="Arial" w:cs="Arial" w:eastAsia="Arial" w:hAnsi="Arial"/>
                <w:sz w:val="18"/>
                <w:szCs w:val="18"/>
                <w:color w:val="auto"/>
                <w:w w:val="99"/>
              </w:rPr>
            </w:pPr>
            <w:hyperlink r:id="rId120">
              <w:r>
                <w:rPr>
                  <w:rFonts w:ascii="Arial" w:cs="Arial" w:eastAsia="Arial" w:hAnsi="Arial"/>
                  <w:sz w:val="18"/>
                  <w:szCs w:val="18"/>
                  <w:color w:val="auto"/>
                  <w:w w:val="99"/>
                </w:rPr>
                <w:t>Representative Investment Management Agreement for the T. Rowe Price mutual funds</w:t>
              </w:r>
            </w:hyperlink>
          </w:p>
        </w:tc>
      </w:tr>
    </w:tbl>
    <w:p>
      <w:pPr>
        <w:ind w:left="1680" w:right="2580"/>
        <w:spacing w:after="0" w:line="223" w:lineRule="auto"/>
        <w:rPr>
          <w:rFonts w:ascii="Arial" w:cs="Arial" w:eastAsia="Arial" w:hAnsi="Arial"/>
          <w:sz w:val="17"/>
          <w:szCs w:val="17"/>
          <w:color w:val="auto"/>
        </w:rPr>
      </w:pPr>
      <w:hyperlink r:id="rId120">
        <w:r>
          <w:rPr>
            <w:rFonts w:ascii="Arial" w:cs="Arial" w:eastAsia="Arial" w:hAnsi="Arial"/>
            <w:sz w:val="17"/>
            <w:szCs w:val="17"/>
            <w:color w:val="auto"/>
          </w:rPr>
          <w:t>that pay a management fee consisting of two components - a group management fee</w:t>
        </w:r>
      </w:hyperlink>
      <w:r>
        <w:rPr>
          <w:rFonts w:ascii="Arial" w:cs="Arial" w:eastAsia="Arial" w:hAnsi="Arial"/>
          <w:sz w:val="17"/>
          <w:szCs w:val="17"/>
          <w:color w:val="auto"/>
        </w:rPr>
        <w:t xml:space="preserve"> </w:t>
      </w:r>
      <w:hyperlink r:id="rId120">
        <w:r>
          <w:rPr>
            <w:rFonts w:ascii="Arial" w:cs="Arial" w:eastAsia="Arial" w:hAnsi="Arial"/>
            <w:sz w:val="17"/>
            <w:szCs w:val="17"/>
            <w:color w:val="auto"/>
          </w:rPr>
          <w:t>and individual management fee. (Incorporated by reference from Form 485BPOS filed</w:t>
        </w:r>
      </w:hyperlink>
    </w:p>
    <w:p>
      <w:pPr>
        <w:spacing w:after="0" w:line="1" w:lineRule="exact"/>
        <w:rPr>
          <w:sz w:val="20"/>
          <w:szCs w:val="20"/>
          <w:color w:val="auto"/>
        </w:rPr>
      </w:pPr>
    </w:p>
    <w:p>
      <w:pPr>
        <w:ind w:left="1680"/>
        <w:spacing w:after="0"/>
        <w:rPr>
          <w:rFonts w:ascii="Arial" w:cs="Arial" w:eastAsia="Arial" w:hAnsi="Arial"/>
          <w:sz w:val="18"/>
          <w:szCs w:val="18"/>
          <w:color w:val="auto"/>
        </w:rPr>
      </w:pPr>
      <w:hyperlink r:id="rId120">
        <w:r>
          <w:rPr>
            <w:rFonts w:ascii="Arial" w:cs="Arial" w:eastAsia="Arial" w:hAnsi="Arial"/>
            <w:sz w:val="18"/>
            <w:szCs w:val="18"/>
            <w:color w:val="auto"/>
          </w:rPr>
          <w:t>on July 27, 2017.)</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0" w:right="4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10.01.2</w:t>
            </w:r>
          </w:p>
        </w:tc>
        <w:tc>
          <w:tcPr>
            <w:tcW w:w="7460" w:type="dxa"/>
            <w:vAlign w:val="bottom"/>
          </w:tcPr>
          <w:p>
            <w:pPr>
              <w:ind w:left="480"/>
              <w:spacing w:after="0"/>
              <w:rPr>
                <w:rFonts w:ascii="Arial" w:cs="Arial" w:eastAsia="Arial" w:hAnsi="Arial"/>
                <w:sz w:val="18"/>
                <w:szCs w:val="18"/>
                <w:color w:val="auto"/>
                <w:w w:val="99"/>
              </w:rPr>
            </w:pPr>
            <w:hyperlink r:id="rId122">
              <w:r>
                <w:rPr>
                  <w:rFonts w:ascii="Arial" w:cs="Arial" w:eastAsia="Arial" w:hAnsi="Arial"/>
                  <w:sz w:val="18"/>
                  <w:szCs w:val="18"/>
                  <w:color w:val="auto"/>
                  <w:w w:val="99"/>
                </w:rPr>
                <w:t>Representative Investment Management Agreement for the T. Rowe Price mutual funds</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2">
              <w:r>
                <w:rPr>
                  <w:rFonts w:ascii="Arial" w:cs="Arial" w:eastAsia="Arial" w:hAnsi="Arial"/>
                  <w:sz w:val="18"/>
                  <w:szCs w:val="18"/>
                  <w:color w:val="auto"/>
                </w:rPr>
                <w:t>that pay an individual management fee. (Incorporated by reference from Form</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2">
              <w:r>
                <w:rPr>
                  <w:rFonts w:ascii="Arial" w:cs="Arial" w:eastAsia="Arial" w:hAnsi="Arial"/>
                  <w:sz w:val="18"/>
                  <w:szCs w:val="18"/>
                  <w:color w:val="auto"/>
                </w:rPr>
                <w:t>485BPOS filed on August 13, 2015.)</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10.01.3</w:t>
            </w:r>
          </w:p>
        </w:tc>
        <w:tc>
          <w:tcPr>
            <w:tcW w:w="7460" w:type="dxa"/>
            <w:vAlign w:val="bottom"/>
          </w:tcPr>
          <w:p>
            <w:pPr>
              <w:ind w:left="480"/>
              <w:spacing w:after="0"/>
              <w:rPr>
                <w:rFonts w:ascii="Arial" w:cs="Arial" w:eastAsia="Arial" w:hAnsi="Arial"/>
                <w:sz w:val="18"/>
                <w:szCs w:val="18"/>
                <w:color w:val="auto"/>
                <w:w w:val="99"/>
              </w:rPr>
            </w:pPr>
            <w:hyperlink r:id="rId123">
              <w:r>
                <w:rPr>
                  <w:rFonts w:ascii="Arial" w:cs="Arial" w:eastAsia="Arial" w:hAnsi="Arial"/>
                  <w:sz w:val="18"/>
                  <w:szCs w:val="18"/>
                  <w:color w:val="auto"/>
                  <w:w w:val="99"/>
                </w:rPr>
                <w:t>Representative Investment Management Agreement for the T. Rowe Price mutual funds</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3">
              <w:r>
                <w:rPr>
                  <w:rFonts w:ascii="Arial" w:cs="Arial" w:eastAsia="Arial" w:hAnsi="Arial"/>
                  <w:sz w:val="18"/>
                  <w:szCs w:val="18"/>
                  <w:color w:val="auto"/>
                </w:rPr>
                <w:t>that pay an all-inclusive fee (i.e., a single fee that covers investment management and</w:t>
              </w:r>
            </w:hyperlink>
          </w:p>
        </w:tc>
      </w:tr>
      <w:tr>
        <w:trPr>
          <w:trHeight w:val="184"/>
        </w:trPr>
        <w:tc>
          <w:tcPr>
            <w:tcW w:w="760" w:type="dxa"/>
            <w:vAlign w:val="bottom"/>
          </w:tcPr>
          <w:p>
            <w:pPr>
              <w:spacing w:after="0"/>
              <w:rPr>
                <w:sz w:val="15"/>
                <w:szCs w:val="15"/>
                <w:color w:val="auto"/>
              </w:rPr>
            </w:pPr>
          </w:p>
        </w:tc>
        <w:tc>
          <w:tcPr>
            <w:tcW w:w="7460" w:type="dxa"/>
            <w:vAlign w:val="bottom"/>
          </w:tcPr>
          <w:p>
            <w:pPr>
              <w:ind w:left="480"/>
              <w:spacing w:after="0" w:line="183" w:lineRule="exact"/>
              <w:rPr>
                <w:rFonts w:ascii="Arial" w:cs="Arial" w:eastAsia="Arial" w:hAnsi="Arial"/>
                <w:sz w:val="18"/>
                <w:szCs w:val="18"/>
                <w:color w:val="auto"/>
              </w:rPr>
            </w:pPr>
            <w:hyperlink r:id="rId123">
              <w:r>
                <w:rPr>
                  <w:rFonts w:ascii="Arial" w:cs="Arial" w:eastAsia="Arial" w:hAnsi="Arial"/>
                  <w:sz w:val="18"/>
                  <w:szCs w:val="18"/>
                  <w:color w:val="auto"/>
                </w:rPr>
                <w:t>ordinary recurring operating expenses). (Incorporated by reference from Form</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3">
              <w:r>
                <w:rPr>
                  <w:rFonts w:ascii="Arial" w:cs="Arial" w:eastAsia="Arial" w:hAnsi="Arial"/>
                  <w:sz w:val="18"/>
                  <w:szCs w:val="18"/>
                  <w:color w:val="auto"/>
                </w:rPr>
                <w:t>485BPOS filed on April 23, 2014.)</w:t>
              </w:r>
            </w:hyperlink>
          </w:p>
        </w:tc>
      </w:tr>
      <w:tr>
        <w:trPr>
          <w:trHeight w:val="226"/>
        </w:trPr>
        <w:tc>
          <w:tcPr>
            <w:tcW w:w="760" w:type="dxa"/>
            <w:vAlign w:val="bottom"/>
          </w:tcPr>
          <w:p>
            <w:pPr>
              <w:spacing w:after="0"/>
              <w:rPr>
                <w:sz w:val="20"/>
                <w:szCs w:val="20"/>
                <w:color w:val="auto"/>
              </w:rPr>
            </w:pPr>
            <w:r>
              <w:rPr>
                <w:rFonts w:ascii="Arial" w:cs="Arial" w:eastAsia="Arial" w:hAnsi="Arial"/>
                <w:sz w:val="18"/>
                <w:szCs w:val="18"/>
                <w:color w:val="auto"/>
              </w:rPr>
              <w:t>10.02</w:t>
            </w:r>
          </w:p>
        </w:tc>
        <w:tc>
          <w:tcPr>
            <w:tcW w:w="7460" w:type="dxa"/>
            <w:vAlign w:val="bottom"/>
          </w:tcPr>
          <w:p>
            <w:pPr>
              <w:ind w:left="480"/>
              <w:spacing w:after="0"/>
              <w:rPr>
                <w:rFonts w:ascii="Arial" w:cs="Arial" w:eastAsia="Arial" w:hAnsi="Arial"/>
                <w:sz w:val="18"/>
                <w:szCs w:val="18"/>
                <w:color w:val="auto"/>
              </w:rPr>
            </w:pPr>
            <w:hyperlink r:id="rId124">
              <w:r>
                <w:rPr>
                  <w:rFonts w:ascii="Arial" w:cs="Arial" w:eastAsia="Arial" w:hAnsi="Arial"/>
                  <w:sz w:val="18"/>
                  <w:szCs w:val="18"/>
                  <w:color w:val="auto"/>
                </w:rPr>
                <w:t>Representative Underwriting Agreement between a T. Rowe Price mutual fund and T.</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4">
              <w:r>
                <w:rPr>
                  <w:rFonts w:ascii="Arial" w:cs="Arial" w:eastAsia="Arial" w:hAnsi="Arial"/>
                  <w:sz w:val="18"/>
                  <w:szCs w:val="18"/>
                  <w:color w:val="auto"/>
                </w:rPr>
                <w:t>Rowe Price Investment Services, Inc. (Incorporated by reference from Form N-1A/A</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4">
              <w:r>
                <w:rPr>
                  <w:rFonts w:ascii="Arial" w:cs="Arial" w:eastAsia="Arial" w:hAnsi="Arial"/>
                  <w:sz w:val="18"/>
                  <w:szCs w:val="18"/>
                  <w:color w:val="auto"/>
                </w:rPr>
                <w:t>filed on August 30, 2017.)</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10.03</w:t>
            </w:r>
          </w:p>
        </w:tc>
        <w:tc>
          <w:tcPr>
            <w:tcW w:w="7460" w:type="dxa"/>
            <w:vAlign w:val="bottom"/>
          </w:tcPr>
          <w:p>
            <w:pPr>
              <w:ind w:left="480"/>
              <w:spacing w:after="0"/>
              <w:rPr>
                <w:rFonts w:ascii="Arial" w:cs="Arial" w:eastAsia="Arial" w:hAnsi="Arial"/>
                <w:sz w:val="18"/>
                <w:szCs w:val="18"/>
                <w:color w:val="auto"/>
                <w:w w:val="99"/>
              </w:rPr>
            </w:pPr>
            <w:hyperlink r:id="rId125">
              <w:r>
                <w:rPr>
                  <w:rFonts w:ascii="Arial" w:cs="Arial" w:eastAsia="Arial" w:hAnsi="Arial"/>
                  <w:sz w:val="18"/>
                  <w:szCs w:val="18"/>
                  <w:color w:val="auto"/>
                  <w:w w:val="99"/>
                </w:rPr>
                <w:t>Transfer Agency and Service Agreement as of January 1, 2018, between T. Rowe Price</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5">
              <w:r>
                <w:rPr>
                  <w:rFonts w:ascii="Arial" w:cs="Arial" w:eastAsia="Arial" w:hAnsi="Arial"/>
                  <w:sz w:val="18"/>
                  <w:szCs w:val="18"/>
                  <w:color w:val="auto"/>
                </w:rPr>
                <w:t>Services, Inc. and the T. Rowe Price Funds. (Incorporated by reference from Form</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5">
              <w:r>
                <w:rPr>
                  <w:rFonts w:ascii="Arial" w:cs="Arial" w:eastAsia="Arial" w:hAnsi="Arial"/>
                  <w:sz w:val="18"/>
                  <w:szCs w:val="18"/>
                  <w:color w:val="auto"/>
                </w:rPr>
                <w:t>485BPOS filed on April 26, 2018.)</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10.04</w:t>
            </w:r>
          </w:p>
        </w:tc>
        <w:tc>
          <w:tcPr>
            <w:tcW w:w="7460" w:type="dxa"/>
            <w:vAlign w:val="bottom"/>
          </w:tcPr>
          <w:p>
            <w:pPr>
              <w:ind w:left="480"/>
              <w:spacing w:after="0"/>
              <w:rPr>
                <w:rFonts w:ascii="Arial" w:cs="Arial" w:eastAsia="Arial" w:hAnsi="Arial"/>
                <w:sz w:val="18"/>
                <w:szCs w:val="18"/>
                <w:color w:val="auto"/>
              </w:rPr>
            </w:pPr>
            <w:hyperlink r:id="rId126">
              <w:r>
                <w:rPr>
                  <w:rFonts w:ascii="Arial" w:cs="Arial" w:eastAsia="Arial" w:hAnsi="Arial"/>
                  <w:sz w:val="18"/>
                  <w:szCs w:val="18"/>
                  <w:color w:val="auto"/>
                </w:rPr>
                <w:t>Agreement as of January 1, 2018, between T. Rowe Price Retirement Plan Services,</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6">
              <w:r>
                <w:rPr>
                  <w:rFonts w:ascii="Arial" w:cs="Arial" w:eastAsia="Arial" w:hAnsi="Arial"/>
                  <w:sz w:val="18"/>
                  <w:szCs w:val="18"/>
                  <w:color w:val="auto"/>
                </w:rPr>
                <w:t>Inc. and certain of the T. Rowe Price Funds. (Incorporated by reference from Form</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6">
              <w:r>
                <w:rPr>
                  <w:rFonts w:ascii="Arial" w:cs="Arial" w:eastAsia="Arial" w:hAnsi="Arial"/>
                  <w:sz w:val="18"/>
                  <w:szCs w:val="18"/>
                  <w:color w:val="auto"/>
                </w:rPr>
                <w:t>485BPOS filed on April 26, 2018.)</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10.05</w:t>
            </w:r>
          </w:p>
        </w:tc>
        <w:tc>
          <w:tcPr>
            <w:tcW w:w="7460" w:type="dxa"/>
            <w:vAlign w:val="bottom"/>
          </w:tcPr>
          <w:p>
            <w:pPr>
              <w:ind w:left="480"/>
              <w:spacing w:after="0"/>
              <w:rPr>
                <w:rFonts w:ascii="Arial" w:cs="Arial" w:eastAsia="Arial" w:hAnsi="Arial"/>
                <w:sz w:val="18"/>
                <w:szCs w:val="18"/>
                <w:color w:val="auto"/>
              </w:rPr>
            </w:pPr>
            <w:hyperlink r:id="rId127">
              <w:r>
                <w:rPr>
                  <w:rFonts w:ascii="Arial" w:cs="Arial" w:eastAsia="Arial" w:hAnsi="Arial"/>
                  <w:sz w:val="18"/>
                  <w:szCs w:val="18"/>
                  <w:color w:val="auto"/>
                </w:rPr>
                <w:t>Fund Accounting Services Agreement as of August 1, 2015 between T. Rowe Price</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7">
              <w:r>
                <w:rPr>
                  <w:rFonts w:ascii="Arial" w:cs="Arial" w:eastAsia="Arial" w:hAnsi="Arial"/>
                  <w:sz w:val="18"/>
                  <w:szCs w:val="18"/>
                  <w:color w:val="auto"/>
                </w:rPr>
                <w:t>Associates, Inc. and the T. Rowe Price Funds. (Incorporated by reference from Form</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7">
              <w:r>
                <w:rPr>
                  <w:rFonts w:ascii="Arial" w:cs="Arial" w:eastAsia="Arial" w:hAnsi="Arial"/>
                  <w:sz w:val="18"/>
                  <w:szCs w:val="18"/>
                  <w:color w:val="auto"/>
                </w:rPr>
                <w:t>485BPOS filed on April 26, 2018.)</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10.08</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28">
              <w:r>
                <w:rPr>
                  <w:rFonts w:ascii="Arial" w:cs="Arial" w:eastAsia="Arial" w:hAnsi="Arial"/>
                  <w:sz w:val="18"/>
                  <w:szCs w:val="18"/>
                  <w:color w:val="auto"/>
                </w:rPr>
                <w:t>Statements of additional terms and conditions for awards granted under the Amended</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8">
              <w:r>
                <w:rPr>
                  <w:rFonts w:ascii="Arial" w:cs="Arial" w:eastAsia="Arial" w:hAnsi="Arial"/>
                  <w:sz w:val="18"/>
                  <w:szCs w:val="18"/>
                  <w:color w:val="auto"/>
                </w:rPr>
                <w:t>and Restated 2007 Non-Employee Director Equity Plans after February 12, 2009.</w:t>
              </w:r>
            </w:hyperlink>
          </w:p>
        </w:tc>
      </w:tr>
      <w:tr>
        <w:trPr>
          <w:trHeight w:val="184"/>
        </w:trPr>
        <w:tc>
          <w:tcPr>
            <w:tcW w:w="760" w:type="dxa"/>
            <w:vAlign w:val="bottom"/>
          </w:tcPr>
          <w:p>
            <w:pPr>
              <w:spacing w:after="0"/>
              <w:rPr>
                <w:sz w:val="15"/>
                <w:szCs w:val="15"/>
                <w:color w:val="auto"/>
              </w:rPr>
            </w:pPr>
          </w:p>
        </w:tc>
        <w:tc>
          <w:tcPr>
            <w:tcW w:w="7460" w:type="dxa"/>
            <w:vAlign w:val="bottom"/>
          </w:tcPr>
          <w:p>
            <w:pPr>
              <w:ind w:left="480"/>
              <w:spacing w:after="0" w:line="183" w:lineRule="exact"/>
              <w:rPr>
                <w:rFonts w:ascii="Arial" w:cs="Arial" w:eastAsia="Arial" w:hAnsi="Arial"/>
                <w:sz w:val="18"/>
                <w:szCs w:val="18"/>
                <w:color w:val="auto"/>
              </w:rPr>
            </w:pPr>
            <w:hyperlink r:id="rId128">
              <w:r>
                <w:rPr>
                  <w:rFonts w:ascii="Arial" w:cs="Arial" w:eastAsia="Arial" w:hAnsi="Arial"/>
                  <w:sz w:val="18"/>
                  <w:szCs w:val="18"/>
                  <w:color w:val="auto"/>
                </w:rPr>
                <w:t>(Incorporated by reference from Form 10-Q for the quarterly period ended March 31,</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8">
              <w:r>
                <w:rPr>
                  <w:rFonts w:ascii="Arial" w:cs="Arial" w:eastAsia="Arial" w:hAnsi="Arial"/>
                  <w:sz w:val="18"/>
                  <w:szCs w:val="18"/>
                  <w:color w:val="auto"/>
                </w:rPr>
                <w:t>2009 filed on April 22, 2009.)</w:t>
              </w:r>
            </w:hyperlink>
          </w:p>
        </w:tc>
      </w:tr>
      <w:tr>
        <w:trPr>
          <w:trHeight w:val="225"/>
        </w:trPr>
        <w:tc>
          <w:tcPr>
            <w:tcW w:w="760" w:type="dxa"/>
            <w:vAlign w:val="bottom"/>
          </w:tcPr>
          <w:p>
            <w:pPr>
              <w:spacing w:after="0"/>
              <w:rPr>
                <w:sz w:val="20"/>
                <w:szCs w:val="20"/>
                <w:color w:val="auto"/>
              </w:rPr>
            </w:pPr>
            <w:r>
              <w:rPr>
                <w:rFonts w:ascii="Arial" w:cs="Arial" w:eastAsia="Arial" w:hAnsi="Arial"/>
                <w:sz w:val="18"/>
                <w:szCs w:val="18"/>
                <w:color w:val="auto"/>
              </w:rPr>
              <w:t>10.08.1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29">
              <w:r>
                <w:rPr>
                  <w:rFonts w:ascii="Arial" w:cs="Arial" w:eastAsia="Arial" w:hAnsi="Arial"/>
                  <w:sz w:val="18"/>
                  <w:szCs w:val="18"/>
                  <w:color w:val="auto"/>
                </w:rPr>
                <w:t>Amended and Restated 2007 Non-Employee Director Equity Plan. (Incorporated by</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29">
              <w:r>
                <w:rPr>
                  <w:rFonts w:ascii="Arial" w:cs="Arial" w:eastAsia="Arial" w:hAnsi="Arial"/>
                  <w:sz w:val="18"/>
                  <w:szCs w:val="18"/>
                  <w:color w:val="auto"/>
                </w:rPr>
                <w:t>reference from Form 10-K Annual Report for fiscal year ended December 31, 2015 filed</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29">
              <w:r>
                <w:rPr>
                  <w:rFonts w:ascii="Arial" w:cs="Arial" w:eastAsia="Arial" w:hAnsi="Arial"/>
                  <w:sz w:val="18"/>
                  <w:szCs w:val="18"/>
                  <w:color w:val="auto"/>
                </w:rPr>
                <w:t>on February 5, 2016.)</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0">
              <w:r>
                <w:rPr>
                  <w:rFonts w:ascii="Arial" w:cs="Arial" w:eastAsia="Arial" w:hAnsi="Arial"/>
                  <w:sz w:val="18"/>
                  <w:szCs w:val="18"/>
                  <w:color w:val="auto"/>
                </w:rPr>
                <w:t>T. Rowe Price Group, Inc. Outside Directors Deferred Compensation Plan.</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0">
              <w:r>
                <w:rPr>
                  <w:rFonts w:ascii="Arial" w:cs="Arial" w:eastAsia="Arial" w:hAnsi="Arial"/>
                  <w:sz w:val="18"/>
                  <w:szCs w:val="18"/>
                  <w:color w:val="auto"/>
                </w:rPr>
                <w:t>(Incorporated by reference from Form 10-K for 2004 filed on March 1, 2005.)</w:t>
              </w:r>
            </w:hyperlink>
          </w:p>
        </w:tc>
      </w:tr>
      <w:tr>
        <w:trPr>
          <w:trHeight w:val="288"/>
        </w:trPr>
        <w:tc>
          <w:tcPr>
            <w:tcW w:w="760" w:type="dxa"/>
            <w:vAlign w:val="bottom"/>
          </w:tcPr>
          <w:p>
            <w:pPr>
              <w:spacing w:after="0"/>
              <w:rPr>
                <w:sz w:val="20"/>
                <w:szCs w:val="20"/>
                <w:color w:val="auto"/>
              </w:rPr>
            </w:pPr>
            <w:r>
              <w:rPr>
                <w:rFonts w:ascii="Arial" w:cs="Arial" w:eastAsia="Arial" w:hAnsi="Arial"/>
                <w:sz w:val="18"/>
                <w:szCs w:val="18"/>
                <w:color w:val="auto"/>
              </w:rPr>
              <w:t>10.11.1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1">
              <w:r>
                <w:rPr>
                  <w:rFonts w:ascii="Arial" w:cs="Arial" w:eastAsia="Arial" w:hAnsi="Arial"/>
                  <w:sz w:val="18"/>
                  <w:szCs w:val="18"/>
                  <w:color w:val="auto"/>
                </w:rPr>
                <w:t>2004 Stock Incentive Plan. (Incorporated by reference from Form DEF 14A filed on</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1">
              <w:r>
                <w:rPr>
                  <w:rFonts w:ascii="Arial" w:cs="Arial" w:eastAsia="Arial" w:hAnsi="Arial"/>
                  <w:sz w:val="18"/>
                  <w:szCs w:val="18"/>
                  <w:color w:val="auto"/>
                </w:rPr>
                <w:t>February 27, 2004.)</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10.11.2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2">
              <w:r>
                <w:rPr>
                  <w:rFonts w:ascii="Arial" w:cs="Arial" w:eastAsia="Arial" w:hAnsi="Arial"/>
                  <w:sz w:val="18"/>
                  <w:szCs w:val="18"/>
                  <w:color w:val="auto"/>
                </w:rPr>
                <w:t>HM Revenue and Customs Approved Sub-Plan for UK Employees under the 2004</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2">
              <w:r>
                <w:rPr>
                  <w:rFonts w:ascii="Arial" w:cs="Arial" w:eastAsia="Arial" w:hAnsi="Arial"/>
                  <w:sz w:val="18"/>
                  <w:szCs w:val="18"/>
                  <w:color w:val="auto"/>
                </w:rPr>
                <w:t>Stock Incentive Plan. (Incorporated by reference from Form 10-Q for the quarterly</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2">
              <w:r>
                <w:rPr>
                  <w:rFonts w:ascii="Arial" w:cs="Arial" w:eastAsia="Arial" w:hAnsi="Arial"/>
                  <w:sz w:val="18"/>
                  <w:szCs w:val="18"/>
                  <w:color w:val="auto"/>
                </w:rPr>
                <w:t>period ended June 30, 2010 filed on July 23, 2010.)</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10.11.3</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3">
              <w:r>
                <w:rPr>
                  <w:rFonts w:ascii="Arial" w:cs="Arial" w:eastAsia="Arial" w:hAnsi="Arial"/>
                  <w:sz w:val="18"/>
                  <w:szCs w:val="18"/>
                  <w:color w:val="auto"/>
                </w:rPr>
                <w:t>First Amendment to 2004 Stock Incentive Plan dated December 12, 2008.</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3">
              <w:r>
                <w:rPr>
                  <w:rFonts w:ascii="Arial" w:cs="Arial" w:eastAsia="Arial" w:hAnsi="Arial"/>
                  <w:sz w:val="18"/>
                  <w:szCs w:val="18"/>
                  <w:color w:val="auto"/>
                </w:rPr>
                <w:t>(Incorporated by reference from Form 10-Q for the quarterly period ended March 31,</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3">
              <w:r>
                <w:rPr>
                  <w:rFonts w:ascii="Arial" w:cs="Arial" w:eastAsia="Arial" w:hAnsi="Arial"/>
                  <w:sz w:val="18"/>
                  <w:szCs w:val="18"/>
                  <w:color w:val="auto"/>
                </w:rPr>
                <w:t>2009 filed on April 22, 2009.)</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4">
              <w:r>
                <w:rPr>
                  <w:rFonts w:ascii="Arial" w:cs="Arial" w:eastAsia="Arial" w:hAnsi="Arial"/>
                  <w:sz w:val="18"/>
                  <w:szCs w:val="18"/>
                  <w:color w:val="auto"/>
                </w:rPr>
                <w:t>Forms of agreements available for stock-based awards issued under the 2001 and</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4">
              <w:r>
                <w:rPr>
                  <w:rFonts w:ascii="Arial" w:cs="Arial" w:eastAsia="Arial" w:hAnsi="Arial"/>
                  <w:sz w:val="18"/>
                  <w:szCs w:val="18"/>
                  <w:color w:val="auto"/>
                </w:rPr>
                <w:t>2004 Stock Incentive Plans. (Incorporated by reference from Form 10-Q for the</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4">
              <w:r>
                <w:rPr>
                  <w:rFonts w:ascii="Arial" w:cs="Arial" w:eastAsia="Arial" w:hAnsi="Arial"/>
                  <w:sz w:val="18"/>
                  <w:szCs w:val="18"/>
                  <w:color w:val="auto"/>
                </w:rPr>
                <w:t>quarterly period ended June 30, 2010 filed on July 23, 2010.)</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10.12.1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5">
              <w:r>
                <w:rPr>
                  <w:rFonts w:ascii="Arial" w:cs="Arial" w:eastAsia="Arial" w:hAnsi="Arial"/>
                  <w:sz w:val="18"/>
                  <w:szCs w:val="18"/>
                  <w:color w:val="auto"/>
                </w:rPr>
                <w:t>Forms of agreement for stock options issued under the HM Revenue and Customs</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5">
              <w:r>
                <w:rPr>
                  <w:rFonts w:ascii="Arial" w:cs="Arial" w:eastAsia="Arial" w:hAnsi="Arial"/>
                  <w:sz w:val="18"/>
                  <w:szCs w:val="18"/>
                  <w:color w:val="auto"/>
                </w:rPr>
                <w:t>Approved Sub-Plan for UK Employees under the 2004 Stock Incentive Plan.</w:t>
              </w:r>
            </w:hyperlink>
          </w:p>
        </w:tc>
      </w:tr>
      <w:tr>
        <w:trPr>
          <w:trHeight w:val="184"/>
        </w:trPr>
        <w:tc>
          <w:tcPr>
            <w:tcW w:w="760" w:type="dxa"/>
            <w:vAlign w:val="bottom"/>
          </w:tcPr>
          <w:p>
            <w:pPr>
              <w:spacing w:after="0"/>
              <w:rPr>
                <w:sz w:val="15"/>
                <w:szCs w:val="15"/>
                <w:color w:val="auto"/>
              </w:rPr>
            </w:pPr>
          </w:p>
        </w:tc>
        <w:tc>
          <w:tcPr>
            <w:tcW w:w="7460" w:type="dxa"/>
            <w:vAlign w:val="bottom"/>
          </w:tcPr>
          <w:p>
            <w:pPr>
              <w:ind w:left="480"/>
              <w:spacing w:after="0" w:line="183" w:lineRule="exact"/>
              <w:rPr>
                <w:rFonts w:ascii="Arial" w:cs="Arial" w:eastAsia="Arial" w:hAnsi="Arial"/>
                <w:sz w:val="18"/>
                <w:szCs w:val="18"/>
                <w:color w:val="auto"/>
              </w:rPr>
            </w:pPr>
            <w:hyperlink r:id="rId135">
              <w:r>
                <w:rPr>
                  <w:rFonts w:ascii="Arial" w:cs="Arial" w:eastAsia="Arial" w:hAnsi="Arial"/>
                  <w:sz w:val="18"/>
                  <w:szCs w:val="18"/>
                  <w:color w:val="auto"/>
                </w:rPr>
                <w:t>(Incorporated by reference from Form 10-Q for the quarterly period ended June 30,</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5">
              <w:r>
                <w:rPr>
                  <w:rFonts w:ascii="Arial" w:cs="Arial" w:eastAsia="Arial" w:hAnsi="Arial"/>
                  <w:sz w:val="18"/>
                  <w:szCs w:val="18"/>
                  <w:color w:val="auto"/>
                </w:rPr>
                <w:t>2010 filed on July 23, 2010.)</w:t>
              </w:r>
            </w:hyperlink>
          </w:p>
        </w:tc>
      </w:tr>
      <w:tr>
        <w:trPr>
          <w:trHeight w:val="226"/>
        </w:trPr>
        <w:tc>
          <w:tcPr>
            <w:tcW w:w="760" w:type="dxa"/>
            <w:vAlign w:val="bottom"/>
          </w:tcPr>
          <w:p>
            <w:pPr>
              <w:spacing w:after="0"/>
              <w:rPr>
                <w:sz w:val="20"/>
                <w:szCs w:val="20"/>
                <w:color w:val="auto"/>
              </w:rPr>
            </w:pPr>
            <w:r>
              <w:rPr>
                <w:rFonts w:ascii="Arial" w:cs="Arial" w:eastAsia="Arial" w:hAnsi="Arial"/>
                <w:sz w:val="18"/>
                <w:szCs w:val="18"/>
                <w:color w:val="auto"/>
              </w:rPr>
              <w:t>10.12.2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6">
              <w:r>
                <w:rPr>
                  <w:rFonts w:ascii="Arial" w:cs="Arial" w:eastAsia="Arial" w:hAnsi="Arial"/>
                  <w:sz w:val="18"/>
                  <w:szCs w:val="18"/>
                  <w:color w:val="auto"/>
                </w:rPr>
                <w:t>Forms of agreement for stock options issued after February 2, 2012 under the 2004</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6">
              <w:r>
                <w:rPr>
                  <w:rFonts w:ascii="Arial" w:cs="Arial" w:eastAsia="Arial" w:hAnsi="Arial"/>
                  <w:sz w:val="18"/>
                  <w:szCs w:val="18"/>
                  <w:color w:val="auto"/>
                </w:rPr>
                <w:t>Stock Incentive Plan. (Incorporated by reference from Form 10-K for 2011 filed on</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6">
              <w:r>
                <w:rPr>
                  <w:rFonts w:ascii="Arial" w:cs="Arial" w:eastAsia="Arial" w:hAnsi="Arial"/>
                  <w:sz w:val="18"/>
                  <w:szCs w:val="18"/>
                  <w:color w:val="auto"/>
                </w:rPr>
                <w:t>February 3, 2012.)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10.12.3</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7">
              <w:r>
                <w:rPr>
                  <w:rFonts w:ascii="Arial" w:cs="Arial" w:eastAsia="Arial" w:hAnsi="Arial"/>
                  <w:sz w:val="18"/>
                  <w:szCs w:val="18"/>
                  <w:color w:val="auto"/>
                </w:rPr>
                <w:t>Forms of agreement for restricted stock units issued after February 2, 2012 under the</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7">
              <w:r>
                <w:rPr>
                  <w:rFonts w:ascii="Arial" w:cs="Arial" w:eastAsia="Arial" w:hAnsi="Arial"/>
                  <w:sz w:val="18"/>
                  <w:szCs w:val="18"/>
                  <w:color w:val="auto"/>
                </w:rPr>
                <w:t>2004 Stock Incentive Plan. (Incorporated by reference from Form 10-K for 2011 filed on</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7">
              <w:r>
                <w:rPr>
                  <w:rFonts w:ascii="Arial" w:cs="Arial" w:eastAsia="Arial" w:hAnsi="Arial"/>
                  <w:sz w:val="18"/>
                  <w:szCs w:val="18"/>
                  <w:color w:val="auto"/>
                </w:rPr>
                <w:t>February 3, 2012.)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10.12.4</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8">
              <w:r>
                <w:rPr>
                  <w:rFonts w:ascii="Arial" w:cs="Arial" w:eastAsia="Arial" w:hAnsi="Arial"/>
                  <w:sz w:val="18"/>
                  <w:szCs w:val="18"/>
                  <w:color w:val="auto"/>
                </w:rPr>
                <w:t>Forms of agreement for restricted stock awards issued after February 2, 2012 under the</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8">
              <w:r>
                <w:rPr>
                  <w:rFonts w:ascii="Arial" w:cs="Arial" w:eastAsia="Arial" w:hAnsi="Arial"/>
                  <w:sz w:val="18"/>
                  <w:szCs w:val="18"/>
                  <w:color w:val="auto"/>
                </w:rPr>
                <w:t>2004 Stock Incentive Plan. (Incorporated by reference from Form 10-K for 2011 filed on</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8">
              <w:r>
                <w:rPr>
                  <w:rFonts w:ascii="Arial" w:cs="Arial" w:eastAsia="Arial" w:hAnsi="Arial"/>
                  <w:sz w:val="18"/>
                  <w:szCs w:val="18"/>
                  <w:color w:val="auto"/>
                </w:rPr>
                <w:t>February 3, 2012.)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9">
              <w:r>
                <w:rPr>
                  <w:rFonts w:ascii="Arial" w:cs="Arial" w:eastAsia="Arial" w:hAnsi="Arial"/>
                  <w:sz w:val="18"/>
                  <w:szCs w:val="18"/>
                  <w:color w:val="auto"/>
                </w:rPr>
                <w:t>Policy for Recoupment of Incentive Compensation. (Incorporated by reference from</w:t>
              </w:r>
            </w:hyperlink>
          </w:p>
        </w:tc>
      </w:tr>
      <w:tr>
        <w:trPr>
          <w:trHeight w:val="239"/>
        </w:trPr>
        <w:tc>
          <w:tcPr>
            <w:tcW w:w="760" w:type="dxa"/>
            <w:vAlign w:val="bottom"/>
          </w:tcPr>
          <w:p>
            <w:pPr>
              <w:spacing w:after="0"/>
              <w:rPr>
                <w:sz w:val="20"/>
                <w:szCs w:val="20"/>
                <w:color w:val="auto"/>
              </w:rPr>
            </w:pPr>
          </w:p>
        </w:tc>
        <w:tc>
          <w:tcPr>
            <w:tcW w:w="7460" w:type="dxa"/>
            <w:vAlign w:val="bottom"/>
          </w:tcPr>
          <w:p>
            <w:pPr>
              <w:ind w:left="480"/>
              <w:spacing w:after="0"/>
              <w:rPr>
                <w:rFonts w:ascii="Arial" w:cs="Arial" w:eastAsia="Arial" w:hAnsi="Arial"/>
                <w:sz w:val="18"/>
                <w:szCs w:val="18"/>
                <w:color w:val="auto"/>
              </w:rPr>
            </w:pPr>
            <w:hyperlink r:id="rId139">
              <w:r>
                <w:rPr>
                  <w:rFonts w:ascii="Arial" w:cs="Arial" w:eastAsia="Arial" w:hAnsi="Arial"/>
                  <w:sz w:val="18"/>
                  <w:szCs w:val="18"/>
                  <w:color w:val="auto"/>
                </w:rPr>
                <w:t>Form 8-K Current Report as of April 14, 2010 filed on April 16, 2010.)</w:t>
              </w:r>
            </w:hyperlink>
          </w:p>
        </w:tc>
      </w:tr>
    </w:tbl>
    <w:p>
      <w:pPr>
        <w:spacing w:after="0" w:line="215"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216535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999"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1">
              <w:r>
                <w:rPr>
                  <w:rFonts w:ascii="Arial" w:cs="Arial" w:eastAsia="Arial" w:hAnsi="Arial"/>
                  <w:sz w:val="18"/>
                  <w:szCs w:val="18"/>
                  <w:color w:val="auto"/>
                </w:rPr>
                <w:t>2012 Long-term Incentive Plan. (Incorporated by reference from Form DEF14A filed on</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1">
              <w:r>
                <w:rPr>
                  <w:rFonts w:ascii="Arial" w:cs="Arial" w:eastAsia="Arial" w:hAnsi="Arial"/>
                  <w:sz w:val="18"/>
                  <w:szCs w:val="18"/>
                  <w:color w:val="auto"/>
                </w:rPr>
                <w:t>March 17, 2017)</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10.15.1</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2">
              <w:r>
                <w:rPr>
                  <w:rFonts w:ascii="Arial" w:cs="Arial" w:eastAsia="Arial" w:hAnsi="Arial"/>
                  <w:sz w:val="18"/>
                  <w:szCs w:val="18"/>
                  <w:color w:val="auto"/>
                </w:rPr>
                <w:t>Forms of agreement for restricted stock awards issued under the 2012 Long-term</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2">
              <w:r>
                <w:rPr>
                  <w:rFonts w:ascii="Arial" w:cs="Arial" w:eastAsia="Arial" w:hAnsi="Arial"/>
                  <w:sz w:val="18"/>
                  <w:szCs w:val="18"/>
                  <w:color w:val="auto"/>
                </w:rPr>
                <w:t>Incentive Plan. (Incorporated by reference from Form 10-Q Report for the quarterly</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2">
              <w:r>
                <w:rPr>
                  <w:rFonts w:ascii="Arial" w:cs="Arial" w:eastAsia="Arial" w:hAnsi="Arial"/>
                  <w:sz w:val="18"/>
                  <w:szCs w:val="18"/>
                  <w:color w:val="auto"/>
                </w:rPr>
                <w:t>period ended June 30, 2012 filed on July 25, 2012.)</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10.15.2</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3">
              <w:r>
                <w:rPr>
                  <w:rFonts w:ascii="Arial" w:cs="Arial" w:eastAsia="Arial" w:hAnsi="Arial"/>
                  <w:sz w:val="18"/>
                  <w:szCs w:val="18"/>
                  <w:color w:val="auto"/>
                </w:rPr>
                <w:t>Forms of agreement for restricted stock units issued under the 2012 Long-term</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3">
              <w:r>
                <w:rPr>
                  <w:rFonts w:ascii="Arial" w:cs="Arial" w:eastAsia="Arial" w:hAnsi="Arial"/>
                  <w:sz w:val="18"/>
                  <w:szCs w:val="18"/>
                  <w:color w:val="auto"/>
                </w:rPr>
                <w:t>Incentive Plan. (Incorporated by reference from Form 10-Q Report for the quarterly</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3">
              <w:r>
                <w:rPr>
                  <w:rFonts w:ascii="Arial" w:cs="Arial" w:eastAsia="Arial" w:hAnsi="Arial"/>
                  <w:sz w:val="18"/>
                  <w:szCs w:val="18"/>
                  <w:color w:val="auto"/>
                </w:rPr>
                <w:t>period ended June 30, 2012 filed on July 25, 2012.)</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10.15.3</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4">
              <w:r>
                <w:rPr>
                  <w:rFonts w:ascii="Arial" w:cs="Arial" w:eastAsia="Arial" w:hAnsi="Arial"/>
                  <w:sz w:val="18"/>
                  <w:szCs w:val="18"/>
                  <w:color w:val="auto"/>
                </w:rPr>
                <w:t>Forms of agreement of stock options issued under the 2012 Long-term Incentive Plan.</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4">
              <w:r>
                <w:rPr>
                  <w:rFonts w:ascii="Arial" w:cs="Arial" w:eastAsia="Arial" w:hAnsi="Arial"/>
                  <w:sz w:val="18"/>
                  <w:szCs w:val="18"/>
                  <w:color w:val="auto"/>
                </w:rPr>
                <w:t>(Incorporated by reference from Form 10-Q Report for the quarterly period ended June</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4">
              <w:r>
                <w:rPr>
                  <w:rFonts w:ascii="Arial" w:cs="Arial" w:eastAsia="Arial" w:hAnsi="Arial"/>
                  <w:sz w:val="18"/>
                  <w:szCs w:val="18"/>
                  <w:color w:val="auto"/>
                </w:rPr>
                <w:t>30, 2012 filed on July 25, 2012.)</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10.15.4</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5">
              <w:r>
                <w:rPr>
                  <w:rFonts w:ascii="Arial" w:cs="Arial" w:eastAsia="Arial" w:hAnsi="Arial"/>
                  <w:sz w:val="18"/>
                  <w:szCs w:val="18"/>
                  <w:color w:val="auto"/>
                </w:rPr>
                <w:t>HM Revenue and Customs Approved Sub-Plan for UK Employees under the 2012</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5">
              <w:r>
                <w:rPr>
                  <w:rFonts w:ascii="Arial" w:cs="Arial" w:eastAsia="Arial" w:hAnsi="Arial"/>
                  <w:sz w:val="18"/>
                  <w:szCs w:val="18"/>
                  <w:color w:val="auto"/>
                </w:rPr>
                <w:t>Long-Term Incentive Plan. (Incorporated by reference from Form 10-Q for the quarterly</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5">
              <w:r>
                <w:rPr>
                  <w:rFonts w:ascii="Arial" w:cs="Arial" w:eastAsia="Arial" w:hAnsi="Arial"/>
                  <w:sz w:val="18"/>
                  <w:szCs w:val="18"/>
                  <w:color w:val="auto"/>
                </w:rPr>
                <w:t>period ended March 31, 2013 filed on April 24, 2013.)</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10.15.5</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6">
              <w:r>
                <w:rPr>
                  <w:rFonts w:ascii="Arial" w:cs="Arial" w:eastAsia="Arial" w:hAnsi="Arial"/>
                  <w:sz w:val="18"/>
                  <w:szCs w:val="18"/>
                  <w:color w:val="auto"/>
                </w:rPr>
                <w:t>Forms of Agreement for Stock Options issued under the HM Revenue and Customs</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6">
              <w:r>
                <w:rPr>
                  <w:rFonts w:ascii="Arial" w:cs="Arial" w:eastAsia="Arial" w:hAnsi="Arial"/>
                  <w:sz w:val="18"/>
                  <w:szCs w:val="18"/>
                  <w:color w:val="auto"/>
                </w:rPr>
                <w:t>Approved Sub-Plan for UK Employees under the 2012 Long-Term Incentive Plan.</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46">
              <w:r>
                <w:rPr>
                  <w:rFonts w:ascii="Arial" w:cs="Arial" w:eastAsia="Arial" w:hAnsi="Arial"/>
                  <w:sz w:val="18"/>
                  <w:szCs w:val="18"/>
                  <w:color w:val="auto"/>
                </w:rPr>
                <w:t>(Incorporated by reference from Form 10-Q for the quarterly period ended March 31,</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6">
              <w:r>
                <w:rPr>
                  <w:rFonts w:ascii="Arial" w:cs="Arial" w:eastAsia="Arial" w:hAnsi="Arial"/>
                  <w:sz w:val="18"/>
                  <w:szCs w:val="18"/>
                  <w:color w:val="auto"/>
                </w:rPr>
                <w:t>2013 filed on April 24, 2013.)</w:t>
              </w:r>
            </w:hyperlink>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10.15.6</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7">
              <w:r>
                <w:rPr>
                  <w:rFonts w:ascii="Arial" w:cs="Arial" w:eastAsia="Arial" w:hAnsi="Arial"/>
                  <w:sz w:val="18"/>
                  <w:szCs w:val="18"/>
                  <w:color w:val="auto"/>
                </w:rPr>
                <w:t>Form of Statement of Additional Terms Regarding Awards of Restricted Stock Units</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7">
              <w:r>
                <w:rPr>
                  <w:rFonts w:ascii="Arial" w:cs="Arial" w:eastAsia="Arial" w:hAnsi="Arial"/>
                  <w:sz w:val="18"/>
                  <w:szCs w:val="18"/>
                  <w:color w:val="auto"/>
                </w:rPr>
                <w:t>(Version 3A) issued on or after December 6, 2017 under the T. Rowe Price Group, Inc.</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47">
              <w:r>
                <w:rPr>
                  <w:rFonts w:ascii="Arial" w:cs="Arial" w:eastAsia="Arial" w:hAnsi="Arial"/>
                  <w:sz w:val="18"/>
                  <w:szCs w:val="18"/>
                  <w:color w:val="auto"/>
                </w:rPr>
                <w:t>2012 Long-Term Incentive Plan. (Incorporated by reference from Form 8-K Current</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7">
              <w:r>
                <w:rPr>
                  <w:rFonts w:ascii="Arial" w:cs="Arial" w:eastAsia="Arial" w:hAnsi="Arial"/>
                  <w:sz w:val="18"/>
                  <w:szCs w:val="18"/>
                  <w:color w:val="auto"/>
                </w:rPr>
                <w:t>Report filed on December 12, 2017.)</w:t>
              </w:r>
            </w:hyperlink>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10.15.7</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8">
              <w:r>
                <w:rPr>
                  <w:rFonts w:ascii="Arial" w:cs="Arial" w:eastAsia="Arial" w:hAnsi="Arial"/>
                  <w:sz w:val="18"/>
                  <w:szCs w:val="18"/>
                  <w:color w:val="auto"/>
                </w:rPr>
                <w:t>Form of Statement of Additional Terms Regarding Awards of Restricted Stock Units</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8">
              <w:r>
                <w:rPr>
                  <w:rFonts w:ascii="Arial" w:cs="Arial" w:eastAsia="Arial" w:hAnsi="Arial"/>
                  <w:sz w:val="18"/>
                  <w:szCs w:val="18"/>
                  <w:color w:val="auto"/>
                </w:rPr>
                <w:t>(Version 3B) issued on or after December 6, 2017 under the T. Rowe Price Group, Inc.</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48">
              <w:r>
                <w:rPr>
                  <w:rFonts w:ascii="Arial" w:cs="Arial" w:eastAsia="Arial" w:hAnsi="Arial"/>
                  <w:sz w:val="18"/>
                  <w:szCs w:val="18"/>
                  <w:color w:val="auto"/>
                </w:rPr>
                <w:t>2012 Long-Term Incentive Plan. (Incorporated by reference from Form 8-K Current</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8">
              <w:r>
                <w:rPr>
                  <w:rFonts w:ascii="Arial" w:cs="Arial" w:eastAsia="Arial" w:hAnsi="Arial"/>
                  <w:sz w:val="18"/>
                  <w:szCs w:val="18"/>
                  <w:color w:val="auto"/>
                </w:rPr>
                <w:t>Report filed on December 12, 2017.)</w:t>
              </w:r>
            </w:hyperlink>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10.15.8</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9">
              <w:r>
                <w:rPr>
                  <w:rFonts w:ascii="Arial" w:cs="Arial" w:eastAsia="Arial" w:hAnsi="Arial"/>
                  <w:sz w:val="18"/>
                  <w:szCs w:val="18"/>
                  <w:color w:val="auto"/>
                </w:rPr>
                <w:t>Form of Statement of Additional Terms Regarding Awards of Stock Options (Version</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49">
              <w:r>
                <w:rPr>
                  <w:rFonts w:ascii="Arial" w:cs="Arial" w:eastAsia="Arial" w:hAnsi="Arial"/>
                  <w:sz w:val="18"/>
                  <w:szCs w:val="18"/>
                  <w:color w:val="auto"/>
                </w:rPr>
                <w:t>3A) issued on or after December 6, 2017 under the T. Rowe Price Group, Inc. 2012</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49">
              <w:r>
                <w:rPr>
                  <w:rFonts w:ascii="Arial" w:cs="Arial" w:eastAsia="Arial" w:hAnsi="Arial"/>
                  <w:sz w:val="18"/>
                  <w:szCs w:val="18"/>
                  <w:color w:val="auto"/>
                </w:rPr>
                <w:t>Long-Term Incentive Plan. (Incorporated by reference from Form 8-K Current Report</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49">
              <w:r>
                <w:rPr>
                  <w:rFonts w:ascii="Arial" w:cs="Arial" w:eastAsia="Arial" w:hAnsi="Arial"/>
                  <w:sz w:val="18"/>
                  <w:szCs w:val="18"/>
                  <w:color w:val="auto"/>
                </w:rPr>
                <w:t>filed on December 12, 2017.)</w:t>
              </w:r>
            </w:hyperlink>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10.15.9</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0">
              <w:r>
                <w:rPr>
                  <w:rFonts w:ascii="Arial" w:cs="Arial" w:eastAsia="Arial" w:hAnsi="Arial"/>
                  <w:sz w:val="18"/>
                  <w:szCs w:val="18"/>
                  <w:color w:val="auto"/>
                </w:rPr>
                <w:t>Form of Statement of Additional Terms Regarding Awards of Stock Options (Version</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0">
              <w:r>
                <w:rPr>
                  <w:rFonts w:ascii="Arial" w:cs="Arial" w:eastAsia="Arial" w:hAnsi="Arial"/>
                  <w:sz w:val="18"/>
                  <w:szCs w:val="18"/>
                  <w:color w:val="auto"/>
                </w:rPr>
                <w:t>3B) issued on or after December 6, 2017 under the T. Rowe Price Group, Inc. 2012</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50">
              <w:r>
                <w:rPr>
                  <w:rFonts w:ascii="Arial" w:cs="Arial" w:eastAsia="Arial" w:hAnsi="Arial"/>
                  <w:sz w:val="18"/>
                  <w:szCs w:val="18"/>
                  <w:color w:val="auto"/>
                </w:rPr>
                <w:t>Long-Term Incentive Plan. (Incorporated by reference from Form 8-K Current Report</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0">
              <w:r>
                <w:rPr>
                  <w:rFonts w:ascii="Arial" w:cs="Arial" w:eastAsia="Arial" w:hAnsi="Arial"/>
                  <w:sz w:val="18"/>
                  <w:szCs w:val="18"/>
                  <w:color w:val="auto"/>
                </w:rPr>
                <w:t>filed on December 12, 2017.)</w:t>
              </w:r>
            </w:hyperlink>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10.15.10</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1">
              <w:r>
                <w:rPr>
                  <w:rFonts w:ascii="Arial" w:cs="Arial" w:eastAsia="Arial" w:hAnsi="Arial"/>
                  <w:sz w:val="18"/>
                  <w:szCs w:val="18"/>
                  <w:color w:val="auto"/>
                </w:rPr>
                <w:t>Form of Notice of Grant of Restricted Stock Units Award issued on or after December 6,</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1">
              <w:r>
                <w:rPr>
                  <w:rFonts w:ascii="Arial" w:cs="Arial" w:eastAsia="Arial" w:hAnsi="Arial"/>
                  <w:sz w:val="18"/>
                  <w:szCs w:val="18"/>
                  <w:color w:val="auto"/>
                </w:rPr>
                <w:t>2017 under the T. Rowe Price Group, Inc. 2012 Long-Term Incentive Plan.</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w w:val="99"/>
              </w:rPr>
            </w:pPr>
            <w:hyperlink r:id="rId151">
              <w:r>
                <w:rPr>
                  <w:rFonts w:ascii="Arial" w:cs="Arial" w:eastAsia="Arial" w:hAnsi="Arial"/>
                  <w:sz w:val="18"/>
                  <w:szCs w:val="18"/>
                  <w:color w:val="auto"/>
                  <w:w w:val="99"/>
                </w:rPr>
                <w:t>(Incorporated by reference from Form 8-K Current Report filed on December 12, 2017.)</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10.15.11</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2">
              <w:r>
                <w:rPr>
                  <w:rFonts w:ascii="Arial" w:cs="Arial" w:eastAsia="Arial" w:hAnsi="Arial"/>
                  <w:sz w:val="18"/>
                  <w:szCs w:val="18"/>
                  <w:color w:val="auto"/>
                </w:rPr>
                <w:t>Form of Statement of Additional Terms Regarding Awards of Restricted Stock Units</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2">
              <w:r>
                <w:rPr>
                  <w:rFonts w:ascii="Arial" w:cs="Arial" w:eastAsia="Arial" w:hAnsi="Arial"/>
                  <w:sz w:val="18"/>
                  <w:szCs w:val="18"/>
                  <w:color w:val="auto"/>
                </w:rPr>
                <w:t>(Version 4A) issued on or after December 9, 2018 under the T. Rowe Price Group, Inc.</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52">
              <w:r>
                <w:rPr>
                  <w:rFonts w:ascii="Arial" w:cs="Arial" w:eastAsia="Arial" w:hAnsi="Arial"/>
                  <w:sz w:val="18"/>
                  <w:szCs w:val="18"/>
                  <w:color w:val="auto"/>
                </w:rPr>
                <w:t>2012 Long-Term Incentive Plan. (Incorporated by reference from Form 10-Q for the</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2">
              <w:r>
                <w:rPr>
                  <w:rFonts w:ascii="Arial" w:cs="Arial" w:eastAsia="Arial" w:hAnsi="Arial"/>
                  <w:sz w:val="18"/>
                  <w:szCs w:val="18"/>
                  <w:color w:val="auto"/>
                </w:rPr>
                <w:t>quarterly period ended September 30, 2018 filed on October 25, 2018.)</w:t>
              </w:r>
            </w:hyperlink>
          </w:p>
        </w:tc>
      </w:tr>
      <w:tr>
        <w:trPr>
          <w:trHeight w:val="226"/>
        </w:trPr>
        <w:tc>
          <w:tcPr>
            <w:tcW w:w="800" w:type="dxa"/>
            <w:vAlign w:val="bottom"/>
          </w:tcPr>
          <w:p>
            <w:pPr>
              <w:spacing w:after="0"/>
              <w:rPr>
                <w:sz w:val="20"/>
                <w:szCs w:val="20"/>
                <w:color w:val="auto"/>
              </w:rPr>
            </w:pPr>
            <w:r>
              <w:rPr>
                <w:rFonts w:ascii="Arial" w:cs="Arial" w:eastAsia="Arial" w:hAnsi="Arial"/>
                <w:sz w:val="18"/>
                <w:szCs w:val="18"/>
                <w:color w:val="auto"/>
              </w:rPr>
              <w:t>10.15.12</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3">
              <w:r>
                <w:rPr>
                  <w:rFonts w:ascii="Arial" w:cs="Arial" w:eastAsia="Arial" w:hAnsi="Arial"/>
                  <w:sz w:val="18"/>
                  <w:szCs w:val="18"/>
                  <w:color w:val="auto"/>
                </w:rPr>
                <w:t>Form of Statement of Additional Terms Regarding Awards of Restricted Stock Units</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3">
              <w:r>
                <w:rPr>
                  <w:rFonts w:ascii="Arial" w:cs="Arial" w:eastAsia="Arial" w:hAnsi="Arial"/>
                  <w:sz w:val="18"/>
                  <w:szCs w:val="18"/>
                  <w:color w:val="auto"/>
                </w:rPr>
                <w:t>(Version 4B) issued on or after December 9, 2018 under the T. Rowe Price Group, Inc.</w:t>
              </w:r>
            </w:hyperlink>
          </w:p>
        </w:tc>
      </w:tr>
      <w:tr>
        <w:trPr>
          <w:trHeight w:val="184"/>
        </w:trPr>
        <w:tc>
          <w:tcPr>
            <w:tcW w:w="800" w:type="dxa"/>
            <w:vAlign w:val="bottom"/>
          </w:tcPr>
          <w:p>
            <w:pPr>
              <w:spacing w:after="0"/>
              <w:rPr>
                <w:sz w:val="15"/>
                <w:szCs w:val="15"/>
                <w:color w:val="auto"/>
              </w:rPr>
            </w:pPr>
          </w:p>
        </w:tc>
        <w:tc>
          <w:tcPr>
            <w:tcW w:w="7400" w:type="dxa"/>
            <w:vAlign w:val="bottom"/>
          </w:tcPr>
          <w:p>
            <w:pPr>
              <w:ind w:left="440"/>
              <w:spacing w:after="0" w:line="183" w:lineRule="exact"/>
              <w:rPr>
                <w:rFonts w:ascii="Arial" w:cs="Arial" w:eastAsia="Arial" w:hAnsi="Arial"/>
                <w:sz w:val="18"/>
                <w:szCs w:val="18"/>
                <w:color w:val="auto"/>
              </w:rPr>
            </w:pPr>
            <w:hyperlink r:id="rId153">
              <w:r>
                <w:rPr>
                  <w:rFonts w:ascii="Arial" w:cs="Arial" w:eastAsia="Arial" w:hAnsi="Arial"/>
                  <w:sz w:val="18"/>
                  <w:szCs w:val="18"/>
                  <w:color w:val="auto"/>
                </w:rPr>
                <w:t>2012 Long-Term Incentive Plan. (Incorporated by reference from Form 10-Q for the</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3">
              <w:r>
                <w:rPr>
                  <w:rFonts w:ascii="Arial" w:cs="Arial" w:eastAsia="Arial" w:hAnsi="Arial"/>
                  <w:sz w:val="18"/>
                  <w:szCs w:val="18"/>
                  <w:color w:val="auto"/>
                </w:rPr>
                <w:t>quarterly period ended September 30, 2018 filed on October 25, 2018.)</w:t>
              </w:r>
            </w:hyperlink>
          </w:p>
        </w:tc>
      </w:tr>
      <w:tr>
        <w:trPr>
          <w:trHeight w:val="226"/>
        </w:trPr>
        <w:tc>
          <w:tcPr>
            <w:tcW w:w="800" w:type="dxa"/>
            <w:vAlign w:val="bottom"/>
          </w:tcPr>
          <w:p>
            <w:pPr>
              <w:spacing w:after="0"/>
              <w:rPr>
                <w:sz w:val="20"/>
                <w:szCs w:val="20"/>
                <w:color w:val="auto"/>
              </w:rPr>
            </w:pPr>
            <w:r>
              <w:rPr>
                <w:rFonts w:ascii="Arial" w:cs="Arial" w:eastAsia="Arial" w:hAnsi="Arial"/>
                <w:sz w:val="18"/>
                <w:szCs w:val="18"/>
                <w:color w:val="auto"/>
              </w:rPr>
              <w:t>10.15.13</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4">
              <w:r>
                <w:rPr>
                  <w:rFonts w:ascii="Arial" w:cs="Arial" w:eastAsia="Arial" w:hAnsi="Arial"/>
                  <w:sz w:val="18"/>
                  <w:szCs w:val="18"/>
                  <w:color w:val="auto"/>
                </w:rPr>
                <w:t>Form of Notice of Grant of Restricted Stock Units Award issued under the T. Rowe</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w w:val="99"/>
              </w:rPr>
            </w:pPr>
            <w:hyperlink r:id="rId154">
              <w:r>
                <w:rPr>
                  <w:rFonts w:ascii="Arial" w:cs="Arial" w:eastAsia="Arial" w:hAnsi="Arial"/>
                  <w:sz w:val="18"/>
                  <w:szCs w:val="18"/>
                  <w:color w:val="auto"/>
                  <w:w w:val="99"/>
                </w:rPr>
                <w:t>Price Group, Inc. 2012 Long-Term Incentive Plan (Incorporated by reference from Form</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4">
              <w:r>
                <w:rPr>
                  <w:rFonts w:ascii="Arial" w:cs="Arial" w:eastAsia="Arial" w:hAnsi="Arial"/>
                  <w:sz w:val="18"/>
                  <w:szCs w:val="18"/>
                  <w:color w:val="auto"/>
                </w:rPr>
                <w:t>10-K Annual Report filed on February 13, 2020.)</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10.15.14</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5">
              <w:r>
                <w:rPr>
                  <w:rFonts w:ascii="Arial" w:cs="Arial" w:eastAsia="Arial" w:hAnsi="Arial"/>
                  <w:sz w:val="18"/>
                  <w:szCs w:val="18"/>
                  <w:color w:val="auto"/>
                </w:rPr>
                <w:t>Supplemental Savings Plan (Incorporated by reference from Form S-8 registration</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5">
              <w:r>
                <w:rPr>
                  <w:rFonts w:ascii="Arial" w:cs="Arial" w:eastAsia="Arial" w:hAnsi="Arial"/>
                  <w:sz w:val="18"/>
                  <w:szCs w:val="18"/>
                  <w:color w:val="auto"/>
                </w:rPr>
                <w:t>statement filed on October 23, 2014.)</w:t>
              </w:r>
            </w:hyperlink>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6">
              <w:r>
                <w:rPr>
                  <w:rFonts w:ascii="Arial" w:cs="Arial" w:eastAsia="Arial" w:hAnsi="Arial"/>
                  <w:sz w:val="18"/>
                  <w:szCs w:val="18"/>
                  <w:color w:val="auto"/>
                </w:rPr>
                <w:t>Supplemental Savings Plan - Schedule 1 - Sponsoring Employers (Incorporated by</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6">
              <w:r>
                <w:rPr>
                  <w:rFonts w:ascii="Arial" w:cs="Arial" w:eastAsia="Arial" w:hAnsi="Arial"/>
                  <w:sz w:val="18"/>
                  <w:szCs w:val="18"/>
                  <w:color w:val="auto"/>
                </w:rPr>
                <w:t>reference from Form S-8 registration statement filed on October 23, 2014.)</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10.16.1</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7">
              <w:r>
                <w:rPr>
                  <w:rFonts w:ascii="Arial" w:cs="Arial" w:eastAsia="Arial" w:hAnsi="Arial"/>
                  <w:sz w:val="18"/>
                  <w:szCs w:val="18"/>
                  <w:color w:val="auto"/>
                </w:rPr>
                <w:t>Supplemental Savings Plan - Schedule 2 - UK Addendum (Incorporated by reference</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7">
              <w:r>
                <w:rPr>
                  <w:rFonts w:ascii="Arial" w:cs="Arial" w:eastAsia="Arial" w:hAnsi="Arial"/>
                  <w:sz w:val="18"/>
                  <w:szCs w:val="18"/>
                  <w:color w:val="auto"/>
                </w:rPr>
                <w:t>from Form S-8 registration statement filed on October 23, 2014.)</w:t>
              </w:r>
            </w:hyperlink>
          </w:p>
        </w:tc>
      </w:tr>
      <w:tr>
        <w:trPr>
          <w:trHeight w:val="234"/>
        </w:trPr>
        <w:tc>
          <w:tcPr>
            <w:tcW w:w="800" w:type="dxa"/>
            <w:vAlign w:val="bottom"/>
          </w:tcPr>
          <w:p>
            <w:pPr>
              <w:spacing w:after="0"/>
              <w:rPr>
                <w:sz w:val="20"/>
                <w:szCs w:val="20"/>
                <w:color w:val="auto"/>
              </w:rPr>
            </w:pPr>
            <w:r>
              <w:rPr>
                <w:rFonts w:ascii="Arial" w:cs="Arial" w:eastAsia="Arial" w:hAnsi="Arial"/>
                <w:sz w:val="18"/>
                <w:szCs w:val="18"/>
                <w:color w:val="auto"/>
              </w:rPr>
              <w:t>10.16.2</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8">
              <w:r>
                <w:rPr>
                  <w:rFonts w:ascii="Arial" w:cs="Arial" w:eastAsia="Arial" w:hAnsi="Arial"/>
                  <w:sz w:val="18"/>
                  <w:szCs w:val="18"/>
                  <w:color w:val="auto"/>
                </w:rPr>
                <w:t>Supplemental Savings Plan - Schedule 3 - Sweden Addendum (Incorporated by</w:t>
              </w:r>
            </w:hyperlink>
          </w:p>
        </w:tc>
      </w:tr>
      <w:tr>
        <w:trPr>
          <w:trHeight w:val="239"/>
        </w:trPr>
        <w:tc>
          <w:tcPr>
            <w:tcW w:w="800" w:type="dxa"/>
            <w:vAlign w:val="bottom"/>
          </w:tcPr>
          <w:p>
            <w:pPr>
              <w:spacing w:after="0"/>
              <w:rPr>
                <w:sz w:val="20"/>
                <w:szCs w:val="20"/>
                <w:color w:val="auto"/>
              </w:rPr>
            </w:pPr>
          </w:p>
        </w:tc>
        <w:tc>
          <w:tcPr>
            <w:tcW w:w="7400" w:type="dxa"/>
            <w:vAlign w:val="bottom"/>
          </w:tcPr>
          <w:p>
            <w:pPr>
              <w:ind w:left="440"/>
              <w:spacing w:after="0"/>
              <w:rPr>
                <w:rFonts w:ascii="Arial" w:cs="Arial" w:eastAsia="Arial" w:hAnsi="Arial"/>
                <w:sz w:val="18"/>
                <w:szCs w:val="18"/>
                <w:color w:val="auto"/>
              </w:rPr>
            </w:pPr>
            <w:hyperlink r:id="rId158">
              <w:r>
                <w:rPr>
                  <w:rFonts w:ascii="Arial" w:cs="Arial" w:eastAsia="Arial" w:hAnsi="Arial"/>
                  <w:sz w:val="18"/>
                  <w:szCs w:val="18"/>
                  <w:color w:val="auto"/>
                </w:rPr>
                <w:t>reference from Form S-8 registration statement filed on July 27, 2016.)</w:t>
              </w:r>
            </w:hyperlink>
          </w:p>
        </w:tc>
      </w:tr>
    </w:tbl>
    <w:p>
      <w:pPr>
        <w:spacing w:after="0" w:line="16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999"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10.16.3</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0">
              <w:r>
                <w:rPr>
                  <w:rFonts w:ascii="Arial" w:cs="Arial" w:eastAsia="Arial" w:hAnsi="Arial"/>
                  <w:sz w:val="18"/>
                  <w:szCs w:val="18"/>
                  <w:color w:val="auto"/>
                </w:rPr>
                <w:t>Supplemental Savings Plan - Schedule 4 - Luxembourg Addendum (Incorporated by</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0">
              <w:r>
                <w:rPr>
                  <w:rFonts w:ascii="Arial" w:cs="Arial" w:eastAsia="Arial" w:hAnsi="Arial"/>
                  <w:sz w:val="18"/>
                  <w:szCs w:val="18"/>
                  <w:color w:val="auto"/>
                </w:rPr>
                <w:t>reference from Form S-8 registration statement filed on July 27, 2016.)</w:t>
              </w:r>
            </w:hyperlink>
          </w:p>
        </w:tc>
      </w:tr>
      <w:tr>
        <w:trPr>
          <w:trHeight w:val="336"/>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1">
              <w:r>
                <w:rPr>
                  <w:rFonts w:ascii="Arial" w:cs="Arial" w:eastAsia="Arial" w:hAnsi="Arial"/>
                  <w:sz w:val="18"/>
                  <w:szCs w:val="18"/>
                  <w:color w:val="auto"/>
                </w:rPr>
                <w:t>2017 Non-Employee Director Equity Plan, as amended (Incorporated by reference from</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1">
              <w:r>
                <w:rPr>
                  <w:rFonts w:ascii="Arial" w:cs="Arial" w:eastAsia="Arial" w:hAnsi="Arial"/>
                  <w:sz w:val="18"/>
                  <w:szCs w:val="18"/>
                  <w:color w:val="auto"/>
                </w:rPr>
                <w:t>Form 10-K Annual Report filed on February 13, 2020.)</w:t>
              </w:r>
            </w:hyperlink>
          </w:p>
        </w:tc>
      </w:tr>
      <w:tr>
        <w:trPr>
          <w:trHeight w:val="355"/>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2">
              <w:r>
                <w:rPr>
                  <w:rFonts w:ascii="Arial" w:cs="Arial" w:eastAsia="Arial" w:hAnsi="Arial"/>
                  <w:sz w:val="18"/>
                  <w:szCs w:val="18"/>
                  <w:color w:val="auto"/>
                </w:rPr>
                <w:t>Statements of additional terms and conditions for awards granted under the 2017 Non-</w:t>
              </w:r>
            </w:hyperlink>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20" w:type="dxa"/>
            <w:vAlign w:val="bottom"/>
          </w:tcPr>
          <w:p>
            <w:pPr>
              <w:ind w:left="140"/>
              <w:spacing w:after="0"/>
              <w:rPr>
                <w:rFonts w:ascii="Arial" w:cs="Arial" w:eastAsia="Arial" w:hAnsi="Arial"/>
                <w:sz w:val="18"/>
                <w:szCs w:val="18"/>
                <w:color w:val="auto"/>
              </w:rPr>
            </w:pPr>
            <w:hyperlink r:id="rId162">
              <w:r>
                <w:rPr>
                  <w:rFonts w:ascii="Arial" w:cs="Arial" w:eastAsia="Arial" w:hAnsi="Arial"/>
                  <w:sz w:val="18"/>
                  <w:szCs w:val="18"/>
                  <w:color w:val="auto"/>
                </w:rPr>
                <w:t>Employee Director Equity Plan (Incorporated by reference from Form S-8 registration</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2">
              <w:r>
                <w:rPr>
                  <w:rFonts w:ascii="Arial" w:cs="Arial" w:eastAsia="Arial" w:hAnsi="Arial"/>
                  <w:sz w:val="18"/>
                  <w:szCs w:val="18"/>
                  <w:color w:val="auto"/>
                </w:rPr>
                <w:t>statement filed on April 27, 2017.)</w:t>
              </w:r>
            </w:hyperlink>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10.19.1</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3">
              <w:r>
                <w:rPr>
                  <w:rFonts w:ascii="Arial" w:cs="Arial" w:eastAsia="Arial" w:hAnsi="Arial"/>
                  <w:sz w:val="18"/>
                  <w:szCs w:val="18"/>
                  <w:color w:val="auto"/>
                </w:rPr>
                <w:t>T. Rowe Price Group, Inc. 2019 Annual Incentive Compensation Plan for Executive</w:t>
              </w:r>
            </w:hyperlink>
          </w:p>
        </w:tc>
      </w:tr>
      <w:tr>
        <w:trPr>
          <w:trHeight w:val="176"/>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63">
              <w:r>
                <w:rPr>
                  <w:rFonts w:ascii="Arial" w:cs="Arial" w:eastAsia="Arial" w:hAnsi="Arial"/>
                  <w:sz w:val="18"/>
                  <w:szCs w:val="18"/>
                  <w:color w:val="auto"/>
                </w:rPr>
                <w:t>Officers. (Incorporated by reference from Form 8-K Current Report filed on February</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3">
              <w:r>
                <w:rPr>
                  <w:rFonts w:ascii="Arial" w:cs="Arial" w:eastAsia="Arial" w:hAnsi="Arial"/>
                  <w:sz w:val="18"/>
                  <w:szCs w:val="18"/>
                  <w:color w:val="auto"/>
                </w:rPr>
                <w:t>13, 2019).</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4">
              <w:r>
                <w:rPr>
                  <w:rFonts w:ascii="Arial" w:cs="Arial" w:eastAsia="Arial" w:hAnsi="Arial"/>
                  <w:sz w:val="18"/>
                  <w:szCs w:val="18"/>
                  <w:color w:val="auto"/>
                </w:rPr>
                <w:t>2020 Long-Term Incentive Plan (Incorporated by reference from Registration Statement</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4">
              <w:r>
                <w:rPr>
                  <w:rFonts w:ascii="Arial" w:cs="Arial" w:eastAsia="Arial" w:hAnsi="Arial"/>
                  <w:sz w:val="18"/>
                  <w:szCs w:val="18"/>
                  <w:color w:val="auto"/>
                </w:rPr>
                <w:t>on Form S-8 filed on May 15, 2020).</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10.21.1</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5">
              <w:r>
                <w:rPr>
                  <w:rFonts w:ascii="Arial" w:cs="Arial" w:eastAsia="Arial" w:hAnsi="Arial"/>
                  <w:sz w:val="18"/>
                  <w:szCs w:val="18"/>
                  <w:color w:val="auto"/>
                </w:rPr>
                <w:t>Form of Notice of Grant of Restricted Stock Units Award issued under the T. Rowe</w:t>
              </w:r>
            </w:hyperlink>
          </w:p>
        </w:tc>
      </w:tr>
      <w:tr>
        <w:trPr>
          <w:trHeight w:val="175"/>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65">
              <w:r>
                <w:rPr>
                  <w:rFonts w:ascii="Arial" w:cs="Arial" w:eastAsia="Arial" w:hAnsi="Arial"/>
                  <w:sz w:val="18"/>
                  <w:szCs w:val="18"/>
                  <w:color w:val="auto"/>
                </w:rPr>
                <w:t>Price Group, Inc. 2020 Long-Term Incentive Plan. (Incorporated by reference from</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5">
              <w:r>
                <w:rPr>
                  <w:rFonts w:ascii="Arial" w:cs="Arial" w:eastAsia="Arial" w:hAnsi="Arial"/>
                  <w:sz w:val="18"/>
                  <w:szCs w:val="18"/>
                  <w:color w:val="auto"/>
                </w:rPr>
                <w:t>Form 10-K filed on February 11, 2021.)</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10.21.2</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6">
              <w:r>
                <w:rPr>
                  <w:rFonts w:ascii="Arial" w:cs="Arial" w:eastAsia="Arial" w:hAnsi="Arial"/>
                  <w:sz w:val="18"/>
                  <w:szCs w:val="18"/>
                  <w:color w:val="auto"/>
                </w:rPr>
                <w:t>Form of Notice of Grant of Restricted Stock Units Award (with supplemental vesting)</w:t>
              </w:r>
            </w:hyperlink>
          </w:p>
        </w:tc>
      </w:tr>
      <w:tr>
        <w:trPr>
          <w:trHeight w:val="176"/>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66">
              <w:r>
                <w:rPr>
                  <w:rFonts w:ascii="Arial" w:cs="Arial" w:eastAsia="Arial" w:hAnsi="Arial"/>
                  <w:sz w:val="18"/>
                  <w:szCs w:val="18"/>
                  <w:color w:val="auto"/>
                </w:rPr>
                <w:t>issued under the T. Rowe Price Group, Inc. 2020 Long-Term Incentive Plan.</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6">
              <w:r>
                <w:rPr>
                  <w:rFonts w:ascii="Arial" w:cs="Arial" w:eastAsia="Arial" w:hAnsi="Arial"/>
                  <w:sz w:val="18"/>
                  <w:szCs w:val="18"/>
                  <w:color w:val="auto"/>
                </w:rPr>
                <w:t>(Incorporated by reference from Form 10-K filed on February 11, 2021.)</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10.22.1</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7">
              <w:r>
                <w:rPr>
                  <w:rFonts w:ascii="Arial" w:cs="Arial" w:eastAsia="Arial" w:hAnsi="Arial"/>
                  <w:sz w:val="18"/>
                  <w:szCs w:val="18"/>
                  <w:color w:val="auto"/>
                </w:rPr>
                <w:t>Form of Notice of Grant of Performance-Based Restricted Stock Units Award issued</w:t>
              </w:r>
            </w:hyperlink>
          </w:p>
        </w:tc>
      </w:tr>
      <w:tr>
        <w:trPr>
          <w:trHeight w:val="176"/>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67">
              <w:r>
                <w:rPr>
                  <w:rFonts w:ascii="Arial" w:cs="Arial" w:eastAsia="Arial" w:hAnsi="Arial"/>
                  <w:sz w:val="18"/>
                  <w:szCs w:val="18"/>
                  <w:color w:val="auto"/>
                </w:rPr>
                <w:t>under the T. Rowe Price Group, Inc. 2020 Long-Term Incentive Plan. (Incorporated by</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7">
              <w:r>
                <w:rPr>
                  <w:rFonts w:ascii="Arial" w:cs="Arial" w:eastAsia="Arial" w:hAnsi="Arial"/>
                  <w:sz w:val="18"/>
                  <w:szCs w:val="18"/>
                  <w:color w:val="auto"/>
                </w:rPr>
                <w:t>reference from Form 10-K filed on February 11, 2021.)</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10.22.2</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8">
              <w:r>
                <w:rPr>
                  <w:rFonts w:ascii="Arial" w:cs="Arial" w:eastAsia="Arial" w:hAnsi="Arial"/>
                  <w:sz w:val="18"/>
                  <w:szCs w:val="18"/>
                  <w:color w:val="auto"/>
                </w:rPr>
                <w:t>Form of Notice of Grant of Performance-Based Restricted Stock Units Award (with</w:t>
              </w:r>
            </w:hyperlink>
          </w:p>
        </w:tc>
      </w:tr>
      <w:tr>
        <w:trPr>
          <w:trHeight w:val="176"/>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68">
              <w:r>
                <w:rPr>
                  <w:rFonts w:ascii="Arial" w:cs="Arial" w:eastAsia="Arial" w:hAnsi="Arial"/>
                  <w:sz w:val="18"/>
                  <w:szCs w:val="18"/>
                  <w:color w:val="auto"/>
                </w:rPr>
                <w:t>supplemental vesting) issued under the T. Rowe Price Group, Inc. 2020 Long-Term</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8">
              <w:r>
                <w:rPr>
                  <w:rFonts w:ascii="Arial" w:cs="Arial" w:eastAsia="Arial" w:hAnsi="Arial"/>
                  <w:sz w:val="18"/>
                  <w:szCs w:val="18"/>
                  <w:color w:val="auto"/>
                </w:rPr>
                <w:t>Incentive Plan. (Incorporated by reference from Form 10-K filed on February 11, 2021.)</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9">
              <w:r>
                <w:rPr>
                  <w:rFonts w:ascii="Arial" w:cs="Arial" w:eastAsia="Arial" w:hAnsi="Arial"/>
                  <w:sz w:val="18"/>
                  <w:szCs w:val="18"/>
                  <w:color w:val="auto"/>
                </w:rPr>
                <w:t>Transaction Agreement dated October 28, 2021, between T. Rowe Price Group, Inc.,</w:t>
              </w:r>
            </w:hyperlink>
          </w:p>
        </w:tc>
      </w:tr>
      <w:tr>
        <w:trPr>
          <w:trHeight w:val="175"/>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69">
              <w:r>
                <w:rPr>
                  <w:rFonts w:ascii="Arial" w:cs="Arial" w:eastAsia="Arial" w:hAnsi="Arial"/>
                  <w:sz w:val="18"/>
                  <w:szCs w:val="18"/>
                  <w:color w:val="auto"/>
                </w:rPr>
                <w:t>Oak Hill Advisors, L.P., and the holders of equity interests in OHA. (Incorporated by</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69">
              <w:r>
                <w:rPr>
                  <w:rFonts w:ascii="Arial" w:cs="Arial" w:eastAsia="Arial" w:hAnsi="Arial"/>
                  <w:sz w:val="18"/>
                  <w:szCs w:val="18"/>
                  <w:color w:val="auto"/>
                </w:rPr>
                <w:t>reference from Form 10-K filed on February 24, 2022.)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0">
              <w:r>
                <w:rPr>
                  <w:rFonts w:ascii="Arial" w:cs="Arial" w:eastAsia="Arial" w:hAnsi="Arial"/>
                  <w:sz w:val="18"/>
                  <w:szCs w:val="18"/>
                  <w:color w:val="auto"/>
                </w:rPr>
                <w:t>Employment Agreement as of October 28, 2021, between T. Rowe Price Group, Inc.</w:t>
              </w:r>
            </w:hyperlink>
          </w:p>
        </w:tc>
      </w:tr>
      <w:tr>
        <w:trPr>
          <w:trHeight w:val="175"/>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70">
              <w:r>
                <w:rPr>
                  <w:rFonts w:ascii="Arial" w:cs="Arial" w:eastAsia="Arial" w:hAnsi="Arial"/>
                  <w:sz w:val="18"/>
                  <w:szCs w:val="18"/>
                  <w:color w:val="auto"/>
                </w:rPr>
                <w:t>and Glenn R. August. (Incorporated by reference from Form 10-K filed on February 24,</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0">
              <w:r>
                <w:rPr>
                  <w:rFonts w:ascii="Arial" w:cs="Arial" w:eastAsia="Arial" w:hAnsi="Arial"/>
                  <w:sz w:val="18"/>
                  <w:szCs w:val="18"/>
                  <w:color w:val="auto"/>
                </w:rPr>
                <w:t>2022.)</w:t>
              </w:r>
            </w:hyperlink>
          </w:p>
        </w:tc>
      </w:tr>
      <w:tr>
        <w:trPr>
          <w:trHeight w:val="274"/>
        </w:trPr>
        <w:tc>
          <w:tcPr>
            <w:tcW w:w="760" w:type="dxa"/>
            <w:vAlign w:val="bottom"/>
          </w:tcPr>
          <w:p>
            <w:pPr>
              <w:spacing w:after="0"/>
              <w:rPr>
                <w:sz w:val="20"/>
                <w:szCs w:val="20"/>
                <w:color w:val="auto"/>
              </w:rPr>
            </w:pPr>
            <w:r>
              <w:rPr>
                <w:rFonts w:ascii="Arial" w:cs="Arial" w:eastAsia="Arial" w:hAnsi="Arial"/>
                <w:sz w:val="18"/>
                <w:szCs w:val="18"/>
                <w:color w:val="auto"/>
              </w:rPr>
              <w:t>10.25.1</w:t>
            </w:r>
          </w:p>
        </w:tc>
        <w:tc>
          <w:tcPr>
            <w:tcW w:w="340" w:type="dxa"/>
            <w:vAlign w:val="bottom"/>
          </w:tcPr>
          <w:p>
            <w:pPr>
              <w:spacing w:after="0"/>
              <w:rPr>
                <w:sz w:val="23"/>
                <w:szCs w:val="23"/>
                <w:color w:val="auto"/>
              </w:rPr>
            </w:pPr>
          </w:p>
        </w:tc>
        <w:tc>
          <w:tcPr>
            <w:tcW w:w="7120" w:type="dxa"/>
            <w:vAlign w:val="bottom"/>
          </w:tcPr>
          <w:p>
            <w:pPr>
              <w:ind w:left="140"/>
              <w:spacing w:after="0"/>
              <w:rPr>
                <w:rFonts w:ascii="Arial" w:cs="Arial" w:eastAsia="Arial" w:hAnsi="Arial"/>
                <w:sz w:val="18"/>
                <w:szCs w:val="18"/>
                <w:color w:val="auto"/>
              </w:rPr>
            </w:pPr>
            <w:hyperlink r:id="rId171">
              <w:r>
                <w:rPr>
                  <w:rFonts w:ascii="Arial" w:cs="Arial" w:eastAsia="Arial" w:hAnsi="Arial"/>
                  <w:sz w:val="18"/>
                  <w:szCs w:val="18"/>
                  <w:color w:val="auto"/>
                </w:rPr>
                <w:t>Form of Lock Up Agreement as of October 28, 2021, between T. Rowe Price Group,</w:t>
              </w:r>
            </w:hyperlink>
          </w:p>
        </w:tc>
      </w:tr>
      <w:tr>
        <w:trPr>
          <w:trHeight w:val="176"/>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w w:val="99"/>
              </w:rPr>
            </w:pPr>
            <w:hyperlink r:id="rId171">
              <w:r>
                <w:rPr>
                  <w:rFonts w:ascii="Arial" w:cs="Arial" w:eastAsia="Arial" w:hAnsi="Arial"/>
                  <w:sz w:val="18"/>
                  <w:szCs w:val="18"/>
                  <w:color w:val="auto"/>
                  <w:w w:val="99"/>
                </w:rPr>
                <w:t>Inc. and each of Glenn R. August, William H. Bohnsack, Jr., Adam B. Kertzner and Alan</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1">
              <w:r>
                <w:rPr>
                  <w:rFonts w:ascii="Arial" w:cs="Arial" w:eastAsia="Arial" w:hAnsi="Arial"/>
                  <w:sz w:val="18"/>
                  <w:szCs w:val="18"/>
                  <w:color w:val="auto"/>
                </w:rPr>
                <w:t>Schrager. (Incorporated by reference from Form 10-K filed on February 24, 2022.)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10.25.2</w:t>
            </w: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2">
              <w:r>
                <w:rPr>
                  <w:rFonts w:ascii="Arial" w:cs="Arial" w:eastAsia="Arial" w:hAnsi="Arial"/>
                  <w:sz w:val="18"/>
                  <w:szCs w:val="18"/>
                  <w:color w:val="auto"/>
                </w:rPr>
                <w:t>Form of Lock Up Agreement as of October 28, 2021, between T. Rowe Price Group,</w:t>
              </w:r>
            </w:hyperlink>
          </w:p>
        </w:tc>
      </w:tr>
      <w:tr>
        <w:trPr>
          <w:trHeight w:val="176"/>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72">
              <w:r>
                <w:rPr>
                  <w:rFonts w:ascii="Arial" w:cs="Arial" w:eastAsia="Arial" w:hAnsi="Arial"/>
                  <w:sz w:val="18"/>
                  <w:szCs w:val="18"/>
                  <w:color w:val="auto"/>
                </w:rPr>
                <w:t>Inc. and the other holders of equity interests in OHA. (Incorporated by reference from</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2">
              <w:r>
                <w:rPr>
                  <w:rFonts w:ascii="Arial" w:cs="Arial" w:eastAsia="Arial" w:hAnsi="Arial"/>
                  <w:sz w:val="18"/>
                  <w:szCs w:val="18"/>
                  <w:color w:val="auto"/>
                </w:rPr>
                <w:t>Form 10-K filed on February 24, 2022.)</w:t>
              </w:r>
            </w:hyperlink>
          </w:p>
        </w:tc>
      </w:tr>
      <w:tr>
        <w:trPr>
          <w:trHeight w:val="274"/>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3">
              <w:r>
                <w:rPr>
                  <w:rFonts w:ascii="Arial" w:cs="Arial" w:eastAsia="Arial" w:hAnsi="Arial"/>
                  <w:sz w:val="18"/>
                  <w:szCs w:val="18"/>
                  <w:color w:val="auto"/>
                </w:rPr>
                <w:t>Value Creation Agreement as of December 29, 2021 between T. Rowe Price Group,</w:t>
              </w:r>
            </w:hyperlink>
          </w:p>
        </w:tc>
      </w:tr>
      <w:tr>
        <w:trPr>
          <w:trHeight w:val="175"/>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w w:val="99"/>
              </w:rPr>
            </w:pPr>
            <w:hyperlink r:id="rId173">
              <w:r>
                <w:rPr>
                  <w:rFonts w:ascii="Arial" w:cs="Arial" w:eastAsia="Arial" w:hAnsi="Arial"/>
                  <w:sz w:val="18"/>
                  <w:szCs w:val="18"/>
                  <w:color w:val="auto"/>
                  <w:w w:val="99"/>
                </w:rPr>
                <w:t>Inc. and each of Glenn R. August, William H. Bohnsack, Jr., Adam B. Kertzner and Alan</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3">
              <w:r>
                <w:rPr>
                  <w:rFonts w:ascii="Arial" w:cs="Arial" w:eastAsia="Arial" w:hAnsi="Arial"/>
                  <w:sz w:val="18"/>
                  <w:szCs w:val="18"/>
                  <w:color w:val="auto"/>
                </w:rPr>
                <w:t>Schrager. (Incorporated by reference from Form 10-K filed on February 24, 2022.)</w:t>
              </w:r>
            </w:hyperlink>
          </w:p>
        </w:tc>
      </w:tr>
      <w:tr>
        <w:trPr>
          <w:trHeight w:val="274"/>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3"/>
                <w:szCs w:val="23"/>
                <w:color w:val="auto"/>
              </w:rPr>
            </w:pPr>
          </w:p>
        </w:tc>
        <w:tc>
          <w:tcPr>
            <w:tcW w:w="7120" w:type="dxa"/>
            <w:vAlign w:val="bottom"/>
          </w:tcPr>
          <w:p>
            <w:pPr>
              <w:ind w:left="140"/>
              <w:spacing w:after="0"/>
              <w:rPr>
                <w:rFonts w:ascii="Arial" w:cs="Arial" w:eastAsia="Arial" w:hAnsi="Arial"/>
                <w:sz w:val="18"/>
                <w:szCs w:val="18"/>
                <w:color w:val="auto"/>
              </w:rPr>
            </w:pPr>
            <w:hyperlink r:id="rId174">
              <w:r>
                <w:rPr>
                  <w:rFonts w:ascii="Arial" w:cs="Arial" w:eastAsia="Arial" w:hAnsi="Arial"/>
                  <w:sz w:val="18"/>
                  <w:szCs w:val="18"/>
                  <w:color w:val="auto"/>
                </w:rPr>
                <w:t>T. Rowe Price, Inc. 1986 Employee Stock Purchase Plan, Restated as of April 26,</w:t>
              </w:r>
            </w:hyperlink>
          </w:p>
        </w:tc>
      </w:tr>
      <w:tr>
        <w:trPr>
          <w:trHeight w:val="175"/>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74">
              <w:r>
                <w:rPr>
                  <w:rFonts w:ascii="Arial" w:cs="Arial" w:eastAsia="Arial" w:hAnsi="Arial"/>
                  <w:sz w:val="18"/>
                  <w:szCs w:val="18"/>
                  <w:color w:val="auto"/>
                </w:rPr>
                <w:t>2017, as amended. (Incorporated by reference from Form 10-K filed on February 24,</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4">
              <w:r>
                <w:rPr>
                  <w:rFonts w:ascii="Arial" w:cs="Arial" w:eastAsia="Arial" w:hAnsi="Arial"/>
                  <w:sz w:val="18"/>
                  <w:szCs w:val="18"/>
                  <w:color w:val="auto"/>
                </w:rPr>
                <w:t>2022.)</w:t>
              </w:r>
            </w:hyperlink>
          </w:p>
        </w:tc>
      </w:tr>
      <w:tr>
        <w:trPr>
          <w:trHeight w:val="274"/>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5">
              <w:r>
                <w:rPr>
                  <w:rFonts w:ascii="Arial" w:cs="Arial" w:eastAsia="Arial" w:hAnsi="Arial"/>
                  <w:sz w:val="18"/>
                  <w:szCs w:val="18"/>
                  <w:color w:val="auto"/>
                </w:rPr>
                <w:t>Employment Agreement as of December 31, 2020, between T. Rowe Price International</w:t>
              </w:r>
            </w:hyperlink>
          </w:p>
        </w:tc>
      </w:tr>
      <w:tr>
        <w:trPr>
          <w:trHeight w:val="175"/>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Pr>
          <w:p>
            <w:pPr>
              <w:ind w:left="140"/>
              <w:spacing w:after="0" w:line="176" w:lineRule="exact"/>
              <w:rPr>
                <w:rFonts w:ascii="Arial" w:cs="Arial" w:eastAsia="Arial" w:hAnsi="Arial"/>
                <w:sz w:val="18"/>
                <w:szCs w:val="18"/>
                <w:color w:val="auto"/>
              </w:rPr>
            </w:pPr>
            <w:hyperlink r:id="rId175">
              <w:r>
                <w:rPr>
                  <w:rFonts w:ascii="Arial" w:cs="Arial" w:eastAsia="Arial" w:hAnsi="Arial"/>
                  <w:sz w:val="18"/>
                  <w:szCs w:val="18"/>
                  <w:color w:val="auto"/>
                </w:rPr>
                <w:t>Limited and Justin Thomson. (Incorporated by reference from Form 10-K filed on</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5">
              <w:r>
                <w:rPr>
                  <w:rFonts w:ascii="Arial" w:cs="Arial" w:eastAsia="Arial" w:hAnsi="Arial"/>
                  <w:sz w:val="18"/>
                  <w:szCs w:val="18"/>
                  <w:color w:val="auto"/>
                </w:rPr>
                <w:t>February 24, 2022.)</w:t>
              </w:r>
            </w:hyperlink>
          </w:p>
        </w:tc>
      </w:tr>
      <w:tr>
        <w:trPr>
          <w:trHeight w:val="274"/>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6">
              <w:r>
                <w:rPr>
                  <w:rFonts w:ascii="Arial" w:cs="Arial" w:eastAsia="Arial" w:hAnsi="Arial"/>
                  <w:sz w:val="18"/>
                  <w:szCs w:val="18"/>
                  <w:color w:val="auto"/>
                </w:rPr>
                <w:t>Summary of OHA Compensation Program. (Incorporated by reference from Form 10-K</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6">
              <w:r>
                <w:rPr>
                  <w:rFonts w:ascii="Arial" w:cs="Arial" w:eastAsia="Arial" w:hAnsi="Arial"/>
                  <w:sz w:val="18"/>
                  <w:szCs w:val="18"/>
                  <w:color w:val="auto"/>
                </w:rPr>
                <w:t>filed on February 24, 2022.)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120" w:type="dxa"/>
            <w:vAlign w:val="bottom"/>
          </w:tcPr>
          <w:p>
            <w:pPr>
              <w:ind w:left="180"/>
              <w:spacing w:after="0"/>
              <w:rPr>
                <w:rFonts w:ascii="Arial" w:cs="Arial" w:eastAsia="Arial" w:hAnsi="Arial"/>
                <w:sz w:val="18"/>
                <w:szCs w:val="18"/>
                <w:color w:val="auto"/>
              </w:rPr>
            </w:pPr>
            <w:hyperlink r:id="rId177">
              <w:r>
                <w:rPr>
                  <w:rFonts w:ascii="Arial" w:cs="Arial" w:eastAsia="Arial" w:hAnsi="Arial"/>
                  <w:sz w:val="18"/>
                  <w:szCs w:val="18"/>
                  <w:color w:val="auto"/>
                </w:rPr>
                <w:t>T. Rowe Price Group, Inc. Mutual Fund Unit Plan. (Incorporated by reference from</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7">
              <w:r>
                <w:rPr>
                  <w:rFonts w:ascii="Arial" w:cs="Arial" w:eastAsia="Arial" w:hAnsi="Arial"/>
                  <w:sz w:val="18"/>
                  <w:szCs w:val="18"/>
                  <w:color w:val="auto"/>
                </w:rPr>
                <w:t>Form 8-K Current Report filed on December 2, 2022.)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8">
              <w:r>
                <w:rPr>
                  <w:rFonts w:ascii="Arial" w:cs="Arial" w:eastAsia="Arial" w:hAnsi="Arial"/>
                  <w:sz w:val="18"/>
                  <w:szCs w:val="18"/>
                  <w:color w:val="auto"/>
                </w:rPr>
                <w:t>Form of Notice of Grant--U.S. 6-Month Notice Period--Material Risk Taker (Incorporated</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8">
              <w:r>
                <w:rPr>
                  <w:rFonts w:ascii="Arial" w:cs="Arial" w:eastAsia="Arial" w:hAnsi="Arial"/>
                  <w:sz w:val="18"/>
                  <w:szCs w:val="18"/>
                  <w:color w:val="auto"/>
                </w:rPr>
                <w:t>by reference from Form 8-K Current Report filed on December 2, 2022.)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10.32</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9">
              <w:r>
                <w:rPr>
                  <w:rFonts w:ascii="Arial" w:cs="Arial" w:eastAsia="Arial" w:hAnsi="Arial"/>
                  <w:sz w:val="18"/>
                  <w:szCs w:val="18"/>
                  <w:color w:val="auto"/>
                </w:rPr>
                <w:t>Form of Notice of Grant--U.S. 6-Month Notice Period--Non-Material Risk Taker</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79">
              <w:r>
                <w:rPr>
                  <w:rFonts w:ascii="Arial" w:cs="Arial" w:eastAsia="Arial" w:hAnsi="Arial"/>
                  <w:sz w:val="18"/>
                  <w:szCs w:val="18"/>
                  <w:color w:val="auto"/>
                </w:rPr>
                <w:t xml:space="preserve">(Incorporated by reference from Form 8-K Current Report filed on December </w:t>
              </w:r>
            </w:hyperlink>
            <w:r>
              <w:rPr>
                <w:rFonts w:ascii="Arial" w:cs="Arial" w:eastAsia="Arial" w:hAnsi="Arial"/>
                <w:sz w:val="18"/>
                <w:szCs w:val="18"/>
                <w:color w:val="auto"/>
              </w:rPr>
              <w:t xml:space="preserve">2, </w:t>
            </w:r>
            <w:hyperlink r:id="rId179">
              <w:r>
                <w:rPr>
                  <w:rFonts w:ascii="Arial" w:cs="Arial" w:eastAsia="Arial" w:hAnsi="Arial"/>
                  <w:sz w:val="18"/>
                  <w:szCs w:val="18"/>
                  <w:color w:val="auto"/>
                </w:rPr>
                <w:t>2022.)</w:t>
              </w:r>
            </w:hyperlink>
          </w:p>
        </w:tc>
      </w:tr>
      <w:tr>
        <w:trPr>
          <w:trHeight w:val="234"/>
        </w:trPr>
        <w:tc>
          <w:tcPr>
            <w:tcW w:w="760" w:type="dxa"/>
            <w:vAlign w:val="bottom"/>
          </w:tcPr>
          <w:p>
            <w:pPr>
              <w:spacing w:after="0"/>
              <w:rPr>
                <w:sz w:val="20"/>
                <w:szCs w:val="20"/>
                <w:color w:val="auto"/>
              </w:rPr>
            </w:pPr>
            <w:r>
              <w:rPr>
                <w:rFonts w:ascii="Arial" w:cs="Arial" w:eastAsia="Arial" w:hAnsi="Arial"/>
                <w:sz w:val="18"/>
                <w:szCs w:val="18"/>
                <w:color w:val="auto"/>
              </w:rPr>
              <w:t>10.33</w:t>
            </w:r>
          </w:p>
        </w:tc>
        <w:tc>
          <w:tcPr>
            <w:tcW w:w="7460" w:type="dxa"/>
            <w:vAlign w:val="bottom"/>
            <w:gridSpan w:val="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0">
              <w:r>
                <w:rPr>
                  <w:rFonts w:ascii="Arial" w:cs="Arial" w:eastAsia="Arial" w:hAnsi="Arial"/>
                  <w:sz w:val="18"/>
                  <w:szCs w:val="18"/>
                  <w:color w:val="auto"/>
                </w:rPr>
                <w:t>Form of Notice of Grant--U.S. 3-Month Notice Period--Material Risk Taker (Incorporated</w:t>
              </w:r>
            </w:hyperlink>
          </w:p>
        </w:tc>
      </w:tr>
      <w:tr>
        <w:trPr>
          <w:trHeight w:val="239"/>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20" w:type="dxa"/>
            <w:vAlign w:val="bottom"/>
          </w:tcPr>
          <w:p>
            <w:pPr>
              <w:ind w:left="140"/>
              <w:spacing w:after="0"/>
              <w:rPr>
                <w:rFonts w:ascii="Arial" w:cs="Arial" w:eastAsia="Arial" w:hAnsi="Arial"/>
                <w:sz w:val="18"/>
                <w:szCs w:val="18"/>
                <w:color w:val="auto"/>
              </w:rPr>
            </w:pPr>
            <w:hyperlink r:id="rId180">
              <w:r>
                <w:rPr>
                  <w:rFonts w:ascii="Arial" w:cs="Arial" w:eastAsia="Arial" w:hAnsi="Arial"/>
                  <w:sz w:val="18"/>
                  <w:szCs w:val="18"/>
                  <w:color w:val="auto"/>
                </w:rPr>
                <w:t>by reference from Form 8-K Current Report filed on December 2, 2022.)</w:t>
              </w:r>
            </w:hyperlink>
          </w:p>
        </w:tc>
      </w:tr>
    </w:tbl>
    <w:p>
      <w:pPr>
        <w:spacing w:after="0" w:line="215"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216535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053" w:right="1440" w:bottom="1440" w:gutter="0" w:footer="0" w:header="0"/>
        </w:sectPr>
      </w:pPr>
    </w:p>
    <w:bookmarkStart w:id="101" w:name="page102"/>
    <w:bookmarkEnd w:id="101"/>
    <w:tbl>
      <w:tblPr>
        <w:tblLayout w:type="fixed"/>
        <w:tblInd w:w="44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10.34</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2">
              <w:r>
                <w:rPr>
                  <w:rFonts w:ascii="Arial" w:cs="Arial" w:eastAsia="Arial" w:hAnsi="Arial"/>
                  <w:sz w:val="18"/>
                  <w:szCs w:val="18"/>
                  <w:color w:val="auto"/>
                </w:rPr>
                <w:t>Form of Notice of Grant--U.S. 3-Month Notice Period--Non-Material Risk Taker</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2">
              <w:r>
                <w:rPr>
                  <w:rFonts w:ascii="Arial" w:cs="Arial" w:eastAsia="Arial" w:hAnsi="Arial"/>
                  <w:sz w:val="18"/>
                  <w:szCs w:val="18"/>
                  <w:color w:val="auto"/>
                </w:rPr>
                <w:t xml:space="preserve">(Incorporated by reference from Form 8-K Current Report filed on December </w:t>
              </w:r>
            </w:hyperlink>
            <w:r>
              <w:rPr>
                <w:rFonts w:ascii="Arial" w:cs="Arial" w:eastAsia="Arial" w:hAnsi="Arial"/>
                <w:sz w:val="18"/>
                <w:szCs w:val="18"/>
                <w:color w:val="auto"/>
              </w:rPr>
              <w:t xml:space="preserve">2, </w:t>
            </w:r>
            <w:hyperlink r:id="rId182">
              <w:r>
                <w:rPr>
                  <w:rFonts w:ascii="Arial" w:cs="Arial" w:eastAsia="Arial" w:hAnsi="Arial"/>
                  <w:sz w:val="18"/>
                  <w:szCs w:val="18"/>
                  <w:color w:val="auto"/>
                </w:rPr>
                <w:t>2022.)</w:t>
              </w:r>
            </w:hyperlink>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10.35</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3">
              <w:r>
                <w:rPr>
                  <w:rFonts w:ascii="Arial" w:cs="Arial" w:eastAsia="Arial" w:hAnsi="Arial"/>
                  <w:sz w:val="18"/>
                  <w:szCs w:val="18"/>
                  <w:color w:val="auto"/>
                </w:rPr>
                <w:t>Form of Notice of Grant--U.S. No Notice Period (Incorporated by reference from Form</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3">
              <w:r>
                <w:rPr>
                  <w:rFonts w:ascii="Arial" w:cs="Arial" w:eastAsia="Arial" w:hAnsi="Arial"/>
                  <w:sz w:val="18"/>
                  <w:szCs w:val="18"/>
                  <w:color w:val="auto"/>
                </w:rPr>
                <w:t>8-K Current Report filed on December 2, 2022.)</w:t>
              </w:r>
            </w:hyperlink>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10.36</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4">
              <w:r>
                <w:rPr>
                  <w:rFonts w:ascii="Arial" w:cs="Arial" w:eastAsia="Arial" w:hAnsi="Arial"/>
                  <w:sz w:val="18"/>
                  <w:szCs w:val="18"/>
                  <w:color w:val="auto"/>
                </w:rPr>
                <w:t>Form of Notice of Grant--Non-U.S.--Material Risk Taker (Incorporated by reference from</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4">
              <w:r>
                <w:rPr>
                  <w:rFonts w:ascii="Arial" w:cs="Arial" w:eastAsia="Arial" w:hAnsi="Arial"/>
                  <w:sz w:val="18"/>
                  <w:szCs w:val="18"/>
                  <w:color w:val="auto"/>
                </w:rPr>
                <w:t>Form 8-K Current Report filed on December 2, 2022.)</w:t>
              </w:r>
            </w:hyperlink>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10.37</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5">
              <w:r>
                <w:rPr>
                  <w:rFonts w:ascii="Arial" w:cs="Arial" w:eastAsia="Arial" w:hAnsi="Arial"/>
                  <w:sz w:val="18"/>
                  <w:szCs w:val="18"/>
                  <w:color w:val="auto"/>
                </w:rPr>
                <w:t>Form of Notice of Grant--Non-U.S.--Non-Material Risk Taker (Incorporated by reference</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5">
              <w:r>
                <w:rPr>
                  <w:rFonts w:ascii="Arial" w:cs="Arial" w:eastAsia="Arial" w:hAnsi="Arial"/>
                  <w:sz w:val="18"/>
                  <w:szCs w:val="18"/>
                  <w:color w:val="auto"/>
                </w:rPr>
                <w:t>from Form 8-K Current Report filed on December 2, 2022.)</w:t>
              </w:r>
            </w:hyperlink>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10.38</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6">
              <w:r>
                <w:rPr>
                  <w:rFonts w:ascii="Arial" w:cs="Arial" w:eastAsia="Arial" w:hAnsi="Arial"/>
                  <w:sz w:val="18"/>
                  <w:szCs w:val="18"/>
                  <w:color w:val="auto"/>
                </w:rPr>
                <w:t>Form of Notice of Grant for Performance Based Awards--U.S.--Material Risk Taker</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6">
              <w:r>
                <w:rPr>
                  <w:rFonts w:ascii="Arial" w:cs="Arial" w:eastAsia="Arial" w:hAnsi="Arial"/>
                  <w:sz w:val="18"/>
                  <w:szCs w:val="18"/>
                  <w:color w:val="auto"/>
                </w:rPr>
                <w:t xml:space="preserve">(Incorporated by reference from Form 8-K Current Report filed on December </w:t>
              </w:r>
            </w:hyperlink>
            <w:r>
              <w:rPr>
                <w:rFonts w:ascii="Arial" w:cs="Arial" w:eastAsia="Arial" w:hAnsi="Arial"/>
                <w:sz w:val="18"/>
                <w:szCs w:val="18"/>
                <w:color w:val="auto"/>
              </w:rPr>
              <w:t xml:space="preserve">2, </w:t>
            </w:r>
            <w:hyperlink r:id="rId186">
              <w:r>
                <w:rPr>
                  <w:rFonts w:ascii="Arial" w:cs="Arial" w:eastAsia="Arial" w:hAnsi="Arial"/>
                  <w:sz w:val="18"/>
                  <w:szCs w:val="18"/>
                  <w:color w:val="auto"/>
                </w:rPr>
                <w:t>2022.)</w:t>
              </w:r>
            </w:hyperlink>
          </w:p>
        </w:tc>
      </w:tr>
      <w:tr>
        <w:trPr>
          <w:trHeight w:val="274"/>
        </w:trPr>
        <w:tc>
          <w:tcPr>
            <w:tcW w:w="700" w:type="dxa"/>
            <w:vAlign w:val="bottom"/>
          </w:tcPr>
          <w:p>
            <w:pPr>
              <w:spacing w:after="0"/>
              <w:rPr>
                <w:sz w:val="20"/>
                <w:szCs w:val="20"/>
                <w:color w:val="auto"/>
              </w:rPr>
            </w:pPr>
            <w:r>
              <w:rPr>
                <w:rFonts w:ascii="Arial" w:cs="Arial" w:eastAsia="Arial" w:hAnsi="Arial"/>
                <w:sz w:val="18"/>
                <w:szCs w:val="18"/>
                <w:color w:val="auto"/>
              </w:rPr>
              <w:t>10.39</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7">
              <w:r>
                <w:rPr>
                  <w:rFonts w:ascii="Arial" w:cs="Arial" w:eastAsia="Arial" w:hAnsi="Arial"/>
                  <w:sz w:val="18"/>
                  <w:szCs w:val="18"/>
                  <w:color w:val="auto"/>
                </w:rPr>
                <w:t>Form of Notice of Grant for Performance Based Awards--U.S.--Non-Material Risk Taker</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7">
              <w:r>
                <w:rPr>
                  <w:rFonts w:ascii="Arial" w:cs="Arial" w:eastAsia="Arial" w:hAnsi="Arial"/>
                  <w:sz w:val="18"/>
                  <w:szCs w:val="18"/>
                  <w:color w:val="auto"/>
                </w:rPr>
                <w:t xml:space="preserve">(Incorporated by reference from Form 8-K Current Report filed on December </w:t>
              </w:r>
            </w:hyperlink>
            <w:r>
              <w:rPr>
                <w:rFonts w:ascii="Arial" w:cs="Arial" w:eastAsia="Arial" w:hAnsi="Arial"/>
                <w:sz w:val="18"/>
                <w:szCs w:val="18"/>
                <w:color w:val="auto"/>
              </w:rPr>
              <w:t xml:space="preserve">2, </w:t>
            </w:r>
            <w:hyperlink r:id="rId187">
              <w:r>
                <w:rPr>
                  <w:rFonts w:ascii="Arial" w:cs="Arial" w:eastAsia="Arial" w:hAnsi="Arial"/>
                  <w:sz w:val="18"/>
                  <w:szCs w:val="18"/>
                  <w:color w:val="auto"/>
                </w:rPr>
                <w:t>2022.)</w:t>
              </w:r>
            </w:hyperlink>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10.40</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8">
              <w:r>
                <w:rPr>
                  <w:rFonts w:ascii="Arial" w:cs="Arial" w:eastAsia="Arial" w:hAnsi="Arial"/>
                  <w:sz w:val="18"/>
                  <w:szCs w:val="18"/>
                  <w:color w:val="auto"/>
                </w:rPr>
                <w:t>Form of Notice of Grant for Performance Based Awards--Non-U.S.--Material Risk Taker</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8">
              <w:r>
                <w:rPr>
                  <w:rFonts w:ascii="Arial" w:cs="Arial" w:eastAsia="Arial" w:hAnsi="Arial"/>
                  <w:sz w:val="18"/>
                  <w:szCs w:val="18"/>
                  <w:color w:val="auto"/>
                </w:rPr>
                <w:t xml:space="preserve">(Incorporated by reference from Form 8-K Current Report filed on December </w:t>
              </w:r>
            </w:hyperlink>
            <w:r>
              <w:rPr>
                <w:rFonts w:ascii="Arial" w:cs="Arial" w:eastAsia="Arial" w:hAnsi="Arial"/>
                <w:sz w:val="18"/>
                <w:szCs w:val="18"/>
                <w:color w:val="auto"/>
              </w:rPr>
              <w:t xml:space="preserve">2, </w:t>
            </w:r>
            <w:hyperlink r:id="rId188">
              <w:r>
                <w:rPr>
                  <w:rFonts w:ascii="Arial" w:cs="Arial" w:eastAsia="Arial" w:hAnsi="Arial"/>
                  <w:sz w:val="18"/>
                  <w:szCs w:val="18"/>
                  <w:color w:val="auto"/>
                </w:rPr>
                <w:t>2022.)</w:t>
              </w:r>
            </w:hyperlink>
          </w:p>
        </w:tc>
      </w:tr>
      <w:tr>
        <w:trPr>
          <w:trHeight w:val="274"/>
        </w:trPr>
        <w:tc>
          <w:tcPr>
            <w:tcW w:w="700" w:type="dxa"/>
            <w:vAlign w:val="bottom"/>
          </w:tcPr>
          <w:p>
            <w:pPr>
              <w:spacing w:after="0"/>
              <w:rPr>
                <w:sz w:val="20"/>
                <w:szCs w:val="20"/>
                <w:color w:val="auto"/>
              </w:rPr>
            </w:pPr>
            <w:r>
              <w:rPr>
                <w:rFonts w:ascii="Arial" w:cs="Arial" w:eastAsia="Arial" w:hAnsi="Arial"/>
                <w:sz w:val="18"/>
                <w:szCs w:val="18"/>
                <w:color w:val="auto"/>
              </w:rPr>
              <w:t>10.41</w:t>
            </w:r>
          </w:p>
        </w:tc>
        <w:tc>
          <w:tcPr>
            <w:tcW w:w="750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9">
              <w:r>
                <w:rPr>
                  <w:rFonts w:ascii="Arial" w:cs="Arial" w:eastAsia="Arial" w:hAnsi="Arial"/>
                  <w:sz w:val="18"/>
                  <w:szCs w:val="18"/>
                  <w:color w:val="auto"/>
                </w:rPr>
                <w:t>Form of Notice of Grant for Performance Based Awards--Non-U.S.--Non-Material Risk</w:t>
              </w:r>
            </w:hyperlink>
          </w:p>
        </w:tc>
      </w:tr>
      <w:tr>
        <w:trPr>
          <w:trHeight w:val="175"/>
        </w:trPr>
        <w:tc>
          <w:tcPr>
            <w:tcW w:w="700" w:type="dxa"/>
            <w:vAlign w:val="bottom"/>
          </w:tcPr>
          <w:p>
            <w:pPr>
              <w:spacing w:after="0"/>
              <w:rPr>
                <w:sz w:val="15"/>
                <w:szCs w:val="15"/>
                <w:color w:val="auto"/>
              </w:rPr>
            </w:pPr>
          </w:p>
        </w:tc>
        <w:tc>
          <w:tcPr>
            <w:tcW w:w="7500" w:type="dxa"/>
            <w:vAlign w:val="bottom"/>
          </w:tcPr>
          <w:p>
            <w:pPr>
              <w:ind w:left="540"/>
              <w:spacing w:after="0" w:line="176" w:lineRule="exact"/>
              <w:rPr>
                <w:rFonts w:ascii="Arial" w:cs="Arial" w:eastAsia="Arial" w:hAnsi="Arial"/>
                <w:sz w:val="18"/>
                <w:szCs w:val="18"/>
                <w:color w:val="auto"/>
              </w:rPr>
            </w:pPr>
            <w:hyperlink r:id="rId189">
              <w:r>
                <w:rPr>
                  <w:rFonts w:ascii="Arial" w:cs="Arial" w:eastAsia="Arial" w:hAnsi="Arial"/>
                  <w:sz w:val="18"/>
                  <w:szCs w:val="18"/>
                  <w:color w:val="auto"/>
                </w:rPr>
                <w:t>Taker (Incorporated by reference from Form 8-K Current Report filed on December 2,</w:t>
              </w:r>
            </w:hyperlink>
          </w:p>
        </w:tc>
      </w:tr>
      <w:tr>
        <w:trPr>
          <w:trHeight w:val="239"/>
        </w:trPr>
        <w:tc>
          <w:tcPr>
            <w:tcW w:w="700" w:type="dxa"/>
            <w:vAlign w:val="bottom"/>
          </w:tcPr>
          <w:p>
            <w:pPr>
              <w:spacing w:after="0"/>
              <w:rPr>
                <w:sz w:val="20"/>
                <w:szCs w:val="20"/>
                <w:color w:val="auto"/>
              </w:rPr>
            </w:pPr>
          </w:p>
        </w:tc>
        <w:tc>
          <w:tcPr>
            <w:tcW w:w="7500" w:type="dxa"/>
            <w:vAlign w:val="bottom"/>
          </w:tcPr>
          <w:p>
            <w:pPr>
              <w:ind w:left="540"/>
              <w:spacing w:after="0"/>
              <w:rPr>
                <w:rFonts w:ascii="Arial" w:cs="Arial" w:eastAsia="Arial" w:hAnsi="Arial"/>
                <w:sz w:val="18"/>
                <w:szCs w:val="18"/>
                <w:color w:val="auto"/>
              </w:rPr>
            </w:pPr>
            <w:hyperlink r:id="rId189">
              <w:r>
                <w:rPr>
                  <w:rFonts w:ascii="Arial" w:cs="Arial" w:eastAsia="Arial" w:hAnsi="Arial"/>
                  <w:sz w:val="18"/>
                  <w:szCs w:val="18"/>
                  <w:color w:val="auto"/>
                </w:rPr>
                <w:t>2022.)</w:t>
              </w:r>
            </w:hyperlink>
          </w:p>
        </w:tc>
      </w:tr>
      <w:tr>
        <w:trPr>
          <w:trHeight w:val="292"/>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7500" w:type="dxa"/>
            <w:vAlign w:val="bottom"/>
          </w:tcPr>
          <w:p>
            <w:pPr>
              <w:ind w:left="540"/>
              <w:spacing w:after="0"/>
              <w:rPr>
                <w:sz w:val="20"/>
                <w:szCs w:val="20"/>
                <w:color w:val="auto"/>
              </w:rPr>
            </w:pPr>
            <w:r>
              <w:rPr>
                <w:rFonts w:ascii="Arial" w:cs="Arial" w:eastAsia="Arial" w:hAnsi="Arial"/>
                <w:sz w:val="18"/>
                <w:szCs w:val="18"/>
                <w:color w:val="auto"/>
              </w:rPr>
              <w:t>Subsidiaries of T. Rowe Price Group, Inc.</w:t>
            </w: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23</w:t>
            </w:r>
          </w:p>
        </w:tc>
        <w:tc>
          <w:tcPr>
            <w:tcW w:w="750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31(i).1</w:t>
            </w:r>
          </w:p>
        </w:tc>
        <w:tc>
          <w:tcPr>
            <w:tcW w:w="7500" w:type="dxa"/>
            <w:vAlign w:val="bottom"/>
          </w:tcPr>
          <w:p>
            <w:pPr>
              <w:ind w:left="54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31(i).2</w:t>
            </w:r>
          </w:p>
        </w:tc>
        <w:tc>
          <w:tcPr>
            <w:tcW w:w="7500" w:type="dxa"/>
            <w:vAlign w:val="bottom"/>
          </w:tcPr>
          <w:p>
            <w:pPr>
              <w:ind w:left="54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7500" w:type="dxa"/>
            <w:vAlign w:val="bottom"/>
          </w:tcPr>
          <w:p>
            <w:pPr>
              <w:ind w:left="540"/>
              <w:spacing w:after="0"/>
              <w:rPr>
                <w:sz w:val="20"/>
                <w:szCs w:val="20"/>
                <w:color w:val="auto"/>
              </w:rPr>
            </w:pPr>
            <w:r>
              <w:rPr>
                <w:rFonts w:ascii="Arial" w:cs="Arial" w:eastAsia="Arial" w:hAnsi="Arial"/>
                <w:sz w:val="18"/>
                <w:szCs w:val="18"/>
                <w:color w:val="auto"/>
              </w:rPr>
              <w:t>Section 1350 Certifications.</w:t>
            </w:r>
          </w:p>
        </w:tc>
      </w:tr>
    </w:tbl>
    <w:p>
      <w:pPr>
        <w:spacing w:after="0" w:line="45" w:lineRule="exact"/>
        <w:rPr>
          <w:sz w:val="20"/>
          <w:szCs w:val="20"/>
          <w:color w:val="auto"/>
        </w:rPr>
      </w:pPr>
    </w:p>
    <w:p>
      <w:pPr>
        <w:ind w:left="1680" w:right="1499" w:hanging="1249"/>
        <w:spacing w:after="0" w:line="225"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2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7020" w:type="dxa"/>
            <w:vAlign w:val="bottom"/>
          </w:tcPr>
          <w:p>
            <w:pPr>
              <w:ind w:left="260"/>
              <w:spacing w:after="0"/>
              <w:rPr>
                <w:sz w:val="20"/>
                <w:szCs w:val="20"/>
                <w:color w:val="auto"/>
              </w:rPr>
            </w:pPr>
            <w:r>
              <w:rPr>
                <w:rFonts w:ascii="Arial" w:cs="Arial" w:eastAsia="Arial" w:hAnsi="Arial"/>
                <w:sz w:val="18"/>
                <w:szCs w:val="18"/>
                <w:color w:val="auto"/>
                <w:w w:val="99"/>
              </w:rPr>
              <w:t>XBRL Instance Document - the instance document does not appear in the Interactive</w:t>
            </w:r>
          </w:p>
        </w:tc>
      </w:tr>
      <w:tr>
        <w:trPr>
          <w:trHeight w:val="239"/>
        </w:trPr>
        <w:tc>
          <w:tcPr>
            <w:tcW w:w="980" w:type="dxa"/>
            <w:vAlign w:val="bottom"/>
          </w:tcPr>
          <w:p>
            <w:pPr>
              <w:spacing w:after="0"/>
              <w:rPr>
                <w:sz w:val="20"/>
                <w:szCs w:val="20"/>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Data File because its XBRL tags are embedded within the Inline XBRL document.</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702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702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r>
      <w:tr>
        <w:trPr>
          <w:trHeight w:val="283"/>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702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r>
      <w:tr>
        <w:trPr>
          <w:trHeight w:val="284"/>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7020" w:type="dxa"/>
            <w:vAlign w:val="bottom"/>
          </w:tcPr>
          <w:p>
            <w:pPr>
              <w:ind w:left="260"/>
              <w:spacing w:after="0"/>
              <w:rPr>
                <w:sz w:val="20"/>
                <w:szCs w:val="20"/>
                <w:color w:val="auto"/>
              </w:rPr>
            </w:pPr>
            <w:r>
              <w:rPr>
                <w:rFonts w:ascii="Arial" w:cs="Arial" w:eastAsia="Arial" w:hAnsi="Arial"/>
                <w:sz w:val="18"/>
                <w:szCs w:val="18"/>
                <w:color w:val="auto"/>
              </w:rPr>
              <w:t>XBRL Taxonomy Presentation Linkbase Document</w:t>
            </w:r>
          </w:p>
        </w:tc>
      </w:tr>
      <w:tr>
        <w:trPr>
          <w:trHeight w:val="283"/>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7020" w:type="dxa"/>
            <w:vAlign w:val="bottom"/>
          </w:tcPr>
          <w:p>
            <w:pPr>
              <w:ind w:left="260"/>
              <w:spacing w:after="0"/>
              <w:rPr>
                <w:sz w:val="20"/>
                <w:szCs w:val="20"/>
                <w:color w:val="auto"/>
              </w:rPr>
            </w:pPr>
            <w:r>
              <w:rPr>
                <w:rFonts w:ascii="Arial" w:cs="Arial" w:eastAsia="Arial" w:hAnsi="Arial"/>
                <w:sz w:val="18"/>
                <w:szCs w:val="18"/>
                <w:color w:val="auto"/>
              </w:rPr>
              <w:t>XBRL Taxonomy Definition Linkbase Document</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15,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 Robert W. Sharps, Chief Executive Officer and President (Principal Executive Officer)</w:t>
      </w:r>
    </w:p>
    <w:p>
      <w:pPr>
        <w:spacing w:after="0" w:line="2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15,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 Chief Executive Officer, President, and Director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Glenn R. August,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Dina Dublon,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Eileen P. Rominger,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J. Stevens,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 Richard R. Verma,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 Vice President, Chief Financial Officer and Treasurer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(Principal Accounting Officer)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102</w:t>
      </w:r>
    </w:p>
    <w:p>
      <w:pPr>
        <w:sectPr>
          <w:pgSz w:w="11900" w:h="16838" w:orient="portrait"/>
          <w:cols w:equalWidth="0" w:num="1">
            <w:col w:w="11220"/>
          </w:cols>
          <w:pgMar w:left="320" w:top="890"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5900" w:type="dxa"/>
            <w:vAlign w:val="bottom"/>
          </w:tcPr>
          <w:p>
            <w:pPr>
              <w:ind w:left="20"/>
              <w:spacing w:after="0"/>
              <w:rPr>
                <w:sz w:val="20"/>
                <w:szCs w:val="20"/>
                <w:color w:val="auto"/>
              </w:rPr>
            </w:pPr>
            <w:r>
              <w:rPr>
                <w:rFonts w:ascii="Arial" w:cs="Arial" w:eastAsia="Arial" w:hAnsi="Arial"/>
                <w:sz w:val="18"/>
                <w:szCs w:val="18"/>
                <w:color w:val="auto"/>
              </w:rPr>
              <w:t>EXHIBIT 21</w:t>
            </w:r>
          </w:p>
        </w:tc>
      </w:tr>
      <w:tr>
        <w:trPr>
          <w:trHeight w:val="239"/>
        </w:trPr>
        <w:tc>
          <w:tcPr>
            <w:tcW w:w="5300" w:type="dxa"/>
            <w:vAlign w:val="bottom"/>
          </w:tcPr>
          <w:p>
            <w:pPr>
              <w:spacing w:after="0"/>
              <w:rPr>
                <w:sz w:val="20"/>
                <w:szCs w:val="20"/>
                <w:color w:val="auto"/>
              </w:rPr>
            </w:pPr>
            <w:r>
              <w:rPr>
                <w:rFonts w:ascii="Arial" w:cs="Arial" w:eastAsia="Arial" w:hAnsi="Arial"/>
                <w:sz w:val="18"/>
                <w:szCs w:val="18"/>
                <w:color w:val="auto"/>
              </w:rPr>
              <w:t>DECEMBER 31, 2022</w:t>
            </w:r>
          </w:p>
        </w:tc>
        <w:tc>
          <w:tcPr>
            <w:tcW w:w="5900" w:type="dxa"/>
            <w:vAlign w:val="bottom"/>
          </w:tcPr>
          <w:p>
            <w:pPr>
              <w:spacing w:after="0"/>
              <w:rPr>
                <w:sz w:val="20"/>
                <w:szCs w:val="20"/>
                <w:color w:val="auto"/>
              </w:rPr>
            </w:pPr>
          </w:p>
        </w:tc>
      </w:tr>
      <w:tr>
        <w:trPr>
          <w:trHeight w:val="23"/>
        </w:trPr>
        <w:tc>
          <w:tcPr>
            <w:tcW w:w="53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5900" w:type="dxa"/>
            <w:vAlign w:val="bottom"/>
            <w:shd w:val="clear" w:color="auto" w:fill="CCEEFF"/>
          </w:tcPr>
          <w:p>
            <w:pPr>
              <w:spacing w:after="0"/>
              <w:rPr>
                <w:sz w:val="23"/>
                <w:szCs w:val="23"/>
                <w:color w:val="auto"/>
              </w:rPr>
            </w:pPr>
          </w:p>
        </w:tc>
      </w:tr>
      <w:tr>
        <w:trPr>
          <w:trHeight w:val="230"/>
        </w:trPr>
        <w:tc>
          <w:tcPr>
            <w:tcW w:w="53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3"/>
                <w:szCs w:val="23"/>
                <w:b w:val="1"/>
                <w:bCs w:val="1"/>
                <w:color w:val="auto"/>
                <w:vertAlign w:val="superscript"/>
              </w:rPr>
              <w:t>(1)</w:t>
            </w:r>
          </w:p>
        </w:tc>
        <w:tc>
          <w:tcPr>
            <w:tcW w:w="5900" w:type="dxa"/>
            <w:vAlign w:val="bottom"/>
          </w:tcPr>
          <w:p>
            <w:pPr>
              <w:ind w:left="2360"/>
              <w:spacing w:after="0"/>
              <w:rPr>
                <w:sz w:val="20"/>
                <w:szCs w:val="20"/>
                <w:color w:val="auto"/>
              </w:rPr>
            </w:pPr>
            <w:r>
              <w:rPr>
                <w:rFonts w:ascii="Arial" w:cs="Arial" w:eastAsia="Arial" w:hAnsi="Arial"/>
                <w:sz w:val="18"/>
                <w:szCs w:val="18"/>
                <w:b w:val="1"/>
                <w:bCs w:val="1"/>
                <w:color w:val="auto"/>
              </w:rPr>
              <w:t>Place of incorporation</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Advisory Services,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 Rowe Price Associates,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Suburban,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TRP Suburban Second,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Colorado Springs, LLC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TRP Office Florida, LLC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Trust Company</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Investment Services,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Services,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Retirement Plan Services,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(Canada),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Investment Management,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TRPH Corporation</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Exchange-Traded Funds,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International Funds,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Multi-Sector Account Portfolios,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Funds SICAV</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Luxembourg</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International Ltd</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29"/>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UK Ltd.</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29"/>
        </w:trPr>
        <w:tc>
          <w:tcPr>
            <w:tcW w:w="5300" w:type="dxa"/>
            <w:vAlign w:val="bottom"/>
          </w:tcPr>
          <w:p>
            <w:pPr>
              <w:ind w:left="680"/>
              <w:spacing w:after="0"/>
              <w:rPr>
                <w:sz w:val="20"/>
                <w:szCs w:val="20"/>
                <w:color w:val="auto"/>
              </w:rPr>
            </w:pPr>
            <w:r>
              <w:rPr>
                <w:rFonts w:ascii="Arial" w:cs="Arial" w:eastAsia="Arial" w:hAnsi="Arial"/>
                <w:sz w:val="18"/>
                <w:szCs w:val="18"/>
                <w:color w:val="auto"/>
              </w:rPr>
              <w:t>T. Rowe Price Hong Kong Limited</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Hong Kong</w:t>
            </w:r>
          </w:p>
        </w:tc>
      </w:tr>
      <w:tr>
        <w:trPr>
          <w:trHeight w:val="230"/>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Singapore Private Ltd.</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Singapore</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rPr>
              <w:t>T. Rowe Price (Switzerland) GmbH</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8"/>
              </w:rPr>
              <w:t>Switzerland</w:t>
            </w:r>
          </w:p>
        </w:tc>
      </w:tr>
      <w:tr>
        <w:trPr>
          <w:trHeight w:val="230"/>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(Luxembourg) Management Sarl</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Luxembourg</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rPr>
              <w:t>T. Rowe Price Japan, Inc.</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7"/>
              </w:rPr>
              <w:t>Japan</w:t>
            </w:r>
          </w:p>
        </w:tc>
      </w:tr>
      <w:tr>
        <w:trPr>
          <w:trHeight w:val="229"/>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Australia, Ltd.</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Australia</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w w:val="99"/>
              </w:rPr>
              <w:t>T. Rowe Price Investment Consulting (Shanghai) Co., Ltd.</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rPr>
              <w:t>China</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Oak Hill Advisors, L.P.</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Delaware</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Oak Hill Advisors (Australia) Pty Ltd</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Australia</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(Hong Kong) Limited</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Hong Kong</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Oak Hill Advisors Sarl Luxembourg</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Luxembourg</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(U.K. Services), Limited</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Oak Hill Advisors (Europe), LLP</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OHA (UK), LLP</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OHA Private Credit Advisors, L.P.</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Delaware</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OHA Private Credit Advisors II, L.P.</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Delaware</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200"/>
          </w:cols>
          <w:pgMar w:left="320" w:top="890" w:right="3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333-7012, No. 333-59714, No. 333-120882, No. 333-120883, No. 333-142092, No. 333-167317, No. 333-180904, No. 333-199560, No. 333-212705, No. 333-217483, and No. 333-238319) on Form S-8 of T. Rowe Price Group, Inc. of our reports dated February 15, 2023, with respect to the consolidated financial statements of T. Rowe Price Group, Inc., and the effectiveness of internal control over financial reporting, which reports appear in the Form 10-K of T. Rowe Price Group, Inc. dated December 31,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ectPr>
          <w:pgSz w:w="11900" w:h="16838" w:orient="portrait"/>
          <w:cols w:equalWidth="0" w:num="1">
            <w:col w:w="11240"/>
          </w:cols>
          <w:pgMar w:left="320" w:top="985" w:right="339" w:bottom="1440" w:gutter="0" w:footer="0" w:header="0"/>
        </w:sectPr>
      </w:pPr>
    </w:p>
    <w:bookmarkStart w:id="105" w:name="page106"/>
    <w:bookmarkEnd w:id="105"/>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106" w:name="page107"/>
    <w:bookmarkEnd w:id="106"/>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107" w:name="page108"/>
    <w:bookmarkEnd w:id="107"/>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2022, of T. Rowe Price Group, Inc., that:</w:t>
      </w:r>
    </w:p>
    <w:p>
      <w:pPr>
        <w:spacing w:after="0" w:line="31" w:lineRule="exact"/>
        <w:rPr>
          <w:sz w:val="20"/>
          <w:szCs w:val="20"/>
          <w:color w:val="auto"/>
        </w:rPr>
      </w:pPr>
    </w:p>
    <w:p>
      <w:pPr>
        <w:ind w:firstLine="8"/>
        <w:spacing w:after="0" w:line="287"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10-K Annual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right="240" w:firstLine="8"/>
        <w:spacing w:after="0" w:line="287"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200"/>
      </w:cols>
      <w:pgMar w:left="320" w:top="9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3"/>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lvl w:ilvl="1">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3"/>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6"/>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6"/>
    </w:lvl>
    <w:lvl w:ilvl="1">
      <w:lvlJc w:val="left"/>
      <w:lvlText w:val="%2"/>
      <w:numFmt w:val="upperLetter"/>
      <w:start w:val="1"/>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lvl w:ilvl="1">
      <w:lvlJc w:val="left"/>
      <w:lvlText w:val="%2"/>
      <w:numFmt w:val="upperLetter"/>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0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1" Type="http://schemas.openxmlformats.org/officeDocument/2006/relationships/image" Target="media/image110.png"/><Relationship Id="rId140" Type="http://schemas.openxmlformats.org/officeDocument/2006/relationships/image" Target="media/image111.png"/><Relationship Id="rId159" Type="http://schemas.openxmlformats.org/officeDocument/2006/relationships/image" Target="media/image112.png"/><Relationship Id="rId181" Type="http://schemas.openxmlformats.org/officeDocument/2006/relationships/image" Target="media/image113.png"/><Relationship Id="rId190" Type="http://schemas.openxmlformats.org/officeDocument/2006/relationships/image" Target="media/image114.png"/><Relationship Id="rId117" Type="http://schemas.openxmlformats.org/officeDocument/2006/relationships/hyperlink" Target="http://www.sec.gov/Archives/edgar/data/1113169/000111316918000018/articlesofrestatementfin.htm" TargetMode="External"/><Relationship Id="rId118" Type="http://schemas.openxmlformats.org/officeDocument/2006/relationships/hyperlink" Target="http://www.sec.gov/Archives/edgar/data/0001113169/000111316921000006/exhibit3-1trpgamendedandre.htm" TargetMode="External"/><Relationship Id="rId119" Type="http://schemas.openxmlformats.org/officeDocument/2006/relationships/hyperlink" Target="https://www.sec.gov/Archives/edgar/data/1113169/000111316920000008/exhibit41-descriptiono.htm" TargetMode="External"/><Relationship Id="rId120" Type="http://schemas.openxmlformats.org/officeDocument/2006/relationships/hyperlink" Target="http://www.sec.gov/Archives/edgar/data/313212/000031321217000151/ibhinvestmentmanagemen-20164.htm" TargetMode="External"/><Relationship Id="rId122" Type="http://schemas.openxmlformats.org/officeDocument/2006/relationships/hyperlink" Target="http://www.sec.gov/Archives/edgar/data/858581/000085858115000111/midcapindexfundandicla-20159.htm" TargetMode="External"/><Relationship Id="rId123" Type="http://schemas.openxmlformats.org/officeDocument/2006/relationships/hyperlink" Target="http://www.sec.gov/Archives/edgar/data/1169187/000116918714000006/icoinvestmentmanagemen-20126.htm" TargetMode="External"/><Relationship Id="rId124" Type="http://schemas.openxmlformats.org/officeDocument/2006/relationships/hyperlink" Target="http://www.sec.gov/Archives/edgar/data/1689311/000168931117000012/canunderwritingagreeme-20163.htm" TargetMode="External"/><Relationship Id="rId125" Type="http://schemas.openxmlformats.org/officeDocument/2006/relationships/hyperlink" Target="http://www.sec.gov/Archives/edgar/data/902259/000090225918000003/c2018transferagencyagr-20182.htm" TargetMode="External"/><Relationship Id="rId126" Type="http://schemas.openxmlformats.org/officeDocument/2006/relationships/hyperlink" Target="http://www.sec.gov/Archives/edgar/data/902259/000090225918000003/c2018rpsagmt-20183.htm" TargetMode="External"/><Relationship Id="rId127" Type="http://schemas.openxmlformats.org/officeDocument/2006/relationships/hyperlink" Target="http://www.sec.gov/Archives/edgar/data/819930/000081993017000005/retainedfaagmtre-foraugtoaug.htm" TargetMode="External"/><Relationship Id="rId128" Type="http://schemas.openxmlformats.org/officeDocument/2006/relationships/hyperlink" Target="http://www.sec.gov/Archives/edgar/data/1113169/000095013309001209/w73659exv10w08.htm" TargetMode="External"/><Relationship Id="rId129" Type="http://schemas.openxmlformats.org/officeDocument/2006/relationships/hyperlink" Target="http://www.sec.gov/Archives/edgar/data/1113169/000111316916000033/trow-ex10081_bodltiplan.htm" TargetMode="External"/><Relationship Id="rId130" Type="http://schemas.openxmlformats.org/officeDocument/2006/relationships/hyperlink" Target="http://www.sec.gov/Archives/edgar/data/1113169/000095013305000815/w05557exv10w9.htm" TargetMode="External"/><Relationship Id="rId131" Type="http://schemas.openxmlformats.org/officeDocument/2006/relationships/hyperlink" Target="http://www.sec.gov/Archives/edgar/data/1113169/000111316904000023/proxy04.txt" TargetMode="External"/><Relationship Id="rId132" Type="http://schemas.openxmlformats.org/officeDocument/2006/relationships/hyperlink" Target="http://www.sec.gov/Archives/edgar/data/1113169/000095012310067622/w79032exv10w14w2.htm" TargetMode="External"/><Relationship Id="rId133" Type="http://schemas.openxmlformats.org/officeDocument/2006/relationships/hyperlink" Target="http://www.sec.gov/Archives/edgar/data/1113169/000095013309001209/w73659exv10w17w2.htm" TargetMode="External"/><Relationship Id="rId134" Type="http://schemas.openxmlformats.org/officeDocument/2006/relationships/hyperlink" Target="http://www.sec.gov/Archives/edgar/data/1113169/000095012310067622/w79032exv10w15.htm" TargetMode="External"/><Relationship Id="rId135" Type="http://schemas.openxmlformats.org/officeDocument/2006/relationships/hyperlink" Target="http://www.sec.gov/Archives/edgar/data/1113169/000095012310067622/w79032exv10w15w1.htm" TargetMode="External"/><Relationship Id="rId136" Type="http://schemas.openxmlformats.org/officeDocument/2006/relationships/hyperlink" Target="http://www.sec.gov/Archives/edgar/data/1113169/000119312512038736/d292752dex10152.htm" TargetMode="External"/><Relationship Id="rId137" Type="http://schemas.openxmlformats.org/officeDocument/2006/relationships/hyperlink" Target="http://www.sec.gov/Archives/edgar/data/1113169/000119312512038736/d292752dex10153.htm" TargetMode="External"/><Relationship Id="rId138" Type="http://schemas.openxmlformats.org/officeDocument/2006/relationships/hyperlink" Target="http://www.sec.gov/Archives/edgar/data/1113169/000119312512038736/d292752dex10154.htm" TargetMode="External"/><Relationship Id="rId139" Type="http://schemas.openxmlformats.org/officeDocument/2006/relationships/hyperlink" Target="http://www.sec.gov/Archives/edgar/data/1113169/000095012310035398/w77991exv10w19.htm" TargetMode="External"/><Relationship Id="rId141" Type="http://schemas.openxmlformats.org/officeDocument/2006/relationships/hyperlink" Target="http://www.sec.gov/Archives/edgar/data/1113169/000111316917000016/a2017proxystatement.htm" TargetMode="External"/><Relationship Id="rId142" Type="http://schemas.openxmlformats.org/officeDocument/2006/relationships/hyperlink" Target="http://www.sec.gov/Archives/edgar/data/1113169/000119312512314482/d378254dex10182.htm" TargetMode="External"/><Relationship Id="rId143" Type="http://schemas.openxmlformats.org/officeDocument/2006/relationships/hyperlink" Target="http://www.sec.gov/Archives/edgar/data/1113169/000119312512314482/d378254dex10183.htm" TargetMode="External"/><Relationship Id="rId144" Type="http://schemas.openxmlformats.org/officeDocument/2006/relationships/hyperlink" Target="http://www.sec.gov/Archives/edgar/data/1113169/000119312512314482/d378254dex10184.htm" TargetMode="External"/><Relationship Id="rId145" Type="http://schemas.openxmlformats.org/officeDocument/2006/relationships/hyperlink" Target="http://www.sec.gov/Archives/edgar/data/1113169/000111316913000020/trow-ex10185_q12013x10q.htm" TargetMode="External"/><Relationship Id="rId146" Type="http://schemas.openxmlformats.org/officeDocument/2006/relationships/hyperlink" Target="http://www.sec.gov/Archives/edgar/data/1113169/000111316913000020/trow-ex10186_q12013x10q.htm" TargetMode="External"/><Relationship Id="rId147" Type="http://schemas.openxmlformats.org/officeDocument/2006/relationships/hyperlink" Target="http://www.sec.gov/Archives/edgar/data/1113169/000111316917000047/exhibit_101xstmtofaddtlter.htm" TargetMode="External"/><Relationship Id="rId148" Type="http://schemas.openxmlformats.org/officeDocument/2006/relationships/hyperlink" Target="http://www.sec.gov/Archives/edgar/data/1113169/000111316917000047/exhibit_102xstmtaddtlterms.htm" TargetMode="External"/><Relationship Id="rId149" Type="http://schemas.openxmlformats.org/officeDocument/2006/relationships/hyperlink" Target="http://www.sec.gov/Archives/edgar/data/1113169/000111316917000047/exhibit_103xstmtaddtlterms.htm" TargetMode="External"/><Relationship Id="rId150" Type="http://schemas.openxmlformats.org/officeDocument/2006/relationships/hyperlink" Target="http://www.sec.gov/Archives/edgar/data/1113169/000111316917000047/exhibit_104xstmtofaddtlter.htm" TargetMode="External"/><Relationship Id="rId151" Type="http://schemas.openxmlformats.org/officeDocument/2006/relationships/hyperlink" Target="http://www.sec.gov/Archives/edgar/data/1113169/000111316917000047/exhibit105.htm" TargetMode="External"/><Relationship Id="rId152" Type="http://schemas.openxmlformats.org/officeDocument/2006/relationships/hyperlink" Target="http://www.sec.gov/Archives/edgar/data/1113169/000111316918000023/trow-ex101812.htm" TargetMode="External"/><Relationship Id="rId153" Type="http://schemas.openxmlformats.org/officeDocument/2006/relationships/hyperlink" Target="http://www.sec.gov/Archives/edgar/data/1113169/000111316918000023/trow-ex101813.htm" TargetMode="External"/><Relationship Id="rId154" Type="http://schemas.openxmlformats.org/officeDocument/2006/relationships/hyperlink" Target="https://www.sec.gov/Archives/edgar/data/1113169/000111316920000008/exhibit101814noticeofg.htm" TargetMode="External"/><Relationship Id="rId155" Type="http://schemas.openxmlformats.org/officeDocument/2006/relationships/hyperlink" Target="http://www.sec.gov/Archives/edgar/data/1113169/000111316914000027/exhibit991_supplementalsav.htm" TargetMode="External"/><Relationship Id="rId156" Type="http://schemas.openxmlformats.org/officeDocument/2006/relationships/hyperlink" Target="http://www.sec.gov/Archives/edgar/data/1113169/000111316914000027/exhibit992_schedule1.htm" TargetMode="External"/><Relationship Id="rId157" Type="http://schemas.openxmlformats.org/officeDocument/2006/relationships/hyperlink" Target="http://www.sec.gov/Archives/edgar/data/1113169/000111316914000027/exhibit993_schedule2.htm" TargetMode="External"/><Relationship Id="rId158" Type="http://schemas.openxmlformats.org/officeDocument/2006/relationships/hyperlink" Target="http://www.sec.gov/Archives/edgar/data/1113169/000111316916000053/exhibit991_schedule3xswede.htm" TargetMode="External"/><Relationship Id="rId160" Type="http://schemas.openxmlformats.org/officeDocument/2006/relationships/hyperlink" Target="http://www.sec.gov/Archives/edgar/data/1113169/000111316916000053/exhibit992_schedule4xluxem.htm" TargetMode="External"/><Relationship Id="rId161" Type="http://schemas.openxmlformats.org/officeDocument/2006/relationships/hyperlink" Target="https://www.sec.gov/Archives/edgar/data/1113169/000111316920000008/exhibit1023amendmentto.htm" TargetMode="External"/><Relationship Id="rId162" Type="http://schemas.openxmlformats.org/officeDocument/2006/relationships/hyperlink" Target="http://www.sec.gov/Archives/edgar/data/1113169/000111316917000029/exhibit993statementofaddtion.htm" TargetMode="External"/><Relationship Id="rId163" Type="http://schemas.openxmlformats.org/officeDocument/2006/relationships/hyperlink" Target="http://www.sec.gov/Archives/edgar/data/1113169/000111316919000007/a2019annualincentivecompens.htm" TargetMode="External"/><Relationship Id="rId164" Type="http://schemas.openxmlformats.org/officeDocument/2006/relationships/hyperlink" Target="https://www.sec.gov/Archives/edgar/data/1113169/000111316920000028/exh991lti2020plan.htm" TargetMode="External"/><Relationship Id="rId165" Type="http://schemas.openxmlformats.org/officeDocument/2006/relationships/hyperlink" Target="http://www.sec.gov/Archives/edgar/data/0001113169/000111316921000006/exh102112020ltipgrantnotice.htm" TargetMode="External"/><Relationship Id="rId166" Type="http://schemas.openxmlformats.org/officeDocument/2006/relationships/hyperlink" Target="http://www.sec.gov/Archives/edgar/data/0001113169/000111316921000006/exh102122020annualltigrant.htm" TargetMode="External"/><Relationship Id="rId167" Type="http://schemas.openxmlformats.org/officeDocument/2006/relationships/hyperlink" Target="http://www.sec.gov/Archives/edgar/data/0001113169/000111316921000006/exh102212020ltiperformance.htm" TargetMode="External"/><Relationship Id="rId168" Type="http://schemas.openxmlformats.org/officeDocument/2006/relationships/hyperlink" Target="http://www.sec.gov/Archives/edgar/data/0001113169/000111316921000006/exh102222020performancersu.htm" TargetMode="External"/><Relationship Id="rId169" Type="http://schemas.openxmlformats.org/officeDocument/2006/relationships/hyperlink" Target="https://www.sec.gov/Archives/edgar/data/1113169/000111316922000005/exh1023transactionagreemen.htm" TargetMode="External"/><Relationship Id="rId170" Type="http://schemas.openxmlformats.org/officeDocument/2006/relationships/hyperlink" Target="https://www.sec.gov/Archives/edgar/data/1113169/000111316922000005/exh1024-employmentagreemen.htm" TargetMode="External"/><Relationship Id="rId171" Type="http://schemas.openxmlformats.org/officeDocument/2006/relationships/hyperlink" Target="https://www.sec.gov/Archives/edgar/data/1113169/000111316922000005/exh10251formoflockupagreem.htm" TargetMode="External"/><Relationship Id="rId172" Type="http://schemas.openxmlformats.org/officeDocument/2006/relationships/hyperlink" Target="https://www.sec.gov/Archives/edgar/data/1113169/000111316922000005/exh10252formoflockupagreem.htm" TargetMode="External"/><Relationship Id="rId173" Type="http://schemas.openxmlformats.org/officeDocument/2006/relationships/hyperlink" Target="https://www.sec.gov/Archives/edgar/data/1113169/000111316922000005/exh1026valuecreationagreem.htm" TargetMode="External"/><Relationship Id="rId174" Type="http://schemas.openxmlformats.org/officeDocument/2006/relationships/hyperlink" Target="https://www.sec.gov/Archives/edgar/data/1113169/000111316922000005/exh1027employeestockpurcha.htm" TargetMode="External"/><Relationship Id="rId175" Type="http://schemas.openxmlformats.org/officeDocument/2006/relationships/hyperlink" Target="https://www.sec.gov/Archives/edgar/data/1113169/000111316922000005/exh1028thomsonemploymentle.htm" TargetMode="External"/><Relationship Id="rId176" Type="http://schemas.openxmlformats.org/officeDocument/2006/relationships/hyperlink" Target="https://www.sec.gov/Archives/edgar/data/1113169/000111316922000005/exh1029summaryofcompensati.htm" TargetMode="External"/><Relationship Id="rId177" Type="http://schemas.openxmlformats.org/officeDocument/2006/relationships/hyperlink" Target="https://www.sec.gov/Archives/edgar/data/1113169/000111316922000027/a101mfuplan-final.htm" TargetMode="External"/><Relationship Id="rId178" Type="http://schemas.openxmlformats.org/officeDocument/2006/relationships/hyperlink" Target="https://www.sec.gov/Archives/edgar/data/1113169/000111316922000027/a102ltip-noticeofgrantwith.htm" TargetMode="External"/><Relationship Id="rId179" Type="http://schemas.openxmlformats.org/officeDocument/2006/relationships/hyperlink" Target="https://www.sec.gov/Archives/edgar/data/1113169/000111316922000027/a103ltip-noticeofgrantwith.htm" TargetMode="External"/><Relationship Id="rId180" Type="http://schemas.openxmlformats.org/officeDocument/2006/relationships/hyperlink" Target="https://www.sec.gov/Archives/edgar/data/1113169/000111316922000027/a104ltip-noticeofgrantwith.htm" TargetMode="External"/><Relationship Id="rId182" Type="http://schemas.openxmlformats.org/officeDocument/2006/relationships/hyperlink" Target="https://www.sec.gov/Archives/edgar/data/1113169/000111316922000027/a105ltip-noticeofgrantwith.htm" TargetMode="External"/><Relationship Id="rId183" Type="http://schemas.openxmlformats.org/officeDocument/2006/relationships/hyperlink" Target="https://www.sec.gov/Archives/edgar/data/1113169/000111316922000027/a106ltip-noticeofgrantwith.htm" TargetMode="External"/><Relationship Id="rId184" Type="http://schemas.openxmlformats.org/officeDocument/2006/relationships/hyperlink" Target="https://www.sec.gov/Archives/edgar/data/1113169/000111316922000027/a107ltip-noticeofgrantousm.htm" TargetMode="External"/><Relationship Id="rId185" Type="http://schemas.openxmlformats.org/officeDocument/2006/relationships/hyperlink" Target="https://www.sec.gov/Archives/edgar/data/1113169/000111316922000027/a108ltip-noticeofgrantousn.htm" TargetMode="External"/><Relationship Id="rId186" Type="http://schemas.openxmlformats.org/officeDocument/2006/relationships/hyperlink" Target="https://www.sec.gov/Archives/edgar/data/1113169/000111316922000027/a109ltip-noticeofgrantperf.htm" TargetMode="External"/><Relationship Id="rId187" Type="http://schemas.openxmlformats.org/officeDocument/2006/relationships/hyperlink" Target="https://www.sec.gov/Archives/edgar/data/1113169/000111316922000027/a1010ltip-noticeofgrantper.htm" TargetMode="External"/><Relationship Id="rId188" Type="http://schemas.openxmlformats.org/officeDocument/2006/relationships/hyperlink" Target="https://www.sec.gov/Archives/edgar/data/1113169/000111316922000027/a1011ltip-noticeofgrantper.htm" TargetMode="External"/><Relationship Id="rId189" Type="http://schemas.openxmlformats.org/officeDocument/2006/relationships/hyperlink" Target="https://www.sec.gov/Archives/edgar/data/1113169/000111316922000027/a1012ltip-noticeofgrantp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2023-02-15T12:31:54Z</dcterms:created>
  <dcterms:modified xsi:type="dcterms:W3CDTF">2023-02-15T12:31:54Z</dcterms:modified>
</cp:coreProperties>
</file>