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517525</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-170815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67" w:lineRule="exact"/>
        <w:rPr>
          <w:sz w:val="24"/>
          <w:szCs w:val="24"/>
          <w:color w:val="auto"/>
        </w:rPr>
      </w:pPr>
    </w:p>
    <w:p>
      <w:pPr>
        <w:ind w:left="720" w:hanging="44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2"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203" w:lineRule="exact"/>
        <w:rPr>
          <w:sz w:val="24"/>
          <w:szCs w:val="24"/>
          <w:color w:val="auto"/>
        </w:rPr>
      </w:pPr>
    </w:p>
    <w:p>
      <w:pPr>
        <w:ind w:left="720" w:hanging="449"/>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 ROWE PRICE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933" w:right="419" w:bottom="1440" w:gutter="0" w:footer="0" w:header="0"/>
        </w:sectPr>
      </w:pPr>
    </w:p>
    <w:p>
      <w:pPr>
        <w:spacing w:after="0" w:line="149"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200" w:space="720"/>
            <w:col w:w="3240"/>
          </w:cols>
          <w:pgMar w:left="320" w:top="933" w:right="419" w:bottom="1440" w:gutter="0" w:footer="0" w:header="0"/>
          <w:type w:val="continuous"/>
        </w:sectPr>
      </w:pPr>
    </w:p>
    <w:p>
      <w:pPr>
        <w:ind w:left="18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0" w:lineRule="exact"/>
        <w:rPr>
          <w:sz w:val="24"/>
          <w:szCs w:val="24"/>
          <w:color w:val="auto"/>
        </w:rPr>
      </w:pPr>
    </w:p>
    <w:p>
      <w:pPr>
        <w:sectPr>
          <w:pgSz w:w="11900" w:h="16838" w:orient="portrait"/>
          <w:cols w:equalWidth="0" w:num="2">
            <w:col w:w="6500" w:space="720"/>
            <w:col w:w="3940"/>
          </w:cols>
          <w:pgMar w:left="320" w:top="933" w:right="419" w:bottom="1440" w:gutter="0" w:footer="0" w:header="0"/>
          <w:type w:val="continuous"/>
        </w:sectPr>
      </w:pPr>
    </w:p>
    <w:p>
      <w:pPr>
        <w:ind w:left="35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160"/>
          </w:cols>
          <w:pgMar w:left="320" w:top="933" w:right="419" w:bottom="1440" w:gutter="0" w:footer="0" w:header="0"/>
          <w:type w:val="continuous"/>
        </w:sectPr>
      </w:pPr>
    </w:p>
    <w:p>
      <w:pPr>
        <w:spacing w:after="0" w:line="203" w:lineRule="exact"/>
        <w:rPr>
          <w:sz w:val="24"/>
          <w:szCs w:val="24"/>
          <w:color w:val="auto"/>
        </w:rPr>
      </w:pPr>
    </w:p>
    <w:p>
      <w:pPr>
        <w:ind w:left="660"/>
        <w:spacing w:after="0"/>
        <w:rPr>
          <w:sz w:val="20"/>
          <w:szCs w:val="20"/>
          <w:color w:val="auto"/>
        </w:rPr>
      </w:pPr>
      <w:r>
        <w:rPr>
          <w:rFonts w:ascii="Arial" w:cs="Arial" w:eastAsia="Arial" w:hAnsi="Arial"/>
          <w:sz w:val="17"/>
          <w:szCs w:val="17"/>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838" w:orient="portrait"/>
          <w:cols w:equalWidth="0" w:num="3">
            <w:col w:w="4580" w:space="720"/>
            <w:col w:w="1440" w:space="720"/>
            <w:col w:w="3700"/>
          </w:cols>
          <w:pgMar w:left="320" w:top="933" w:right="419" w:bottom="1440" w:gutter="0" w:footer="0" w:header="0"/>
          <w:type w:val="continuous"/>
        </w:sectPr>
      </w:pPr>
    </w:p>
    <w:p>
      <w:pPr>
        <w:ind w:left="182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14" w:lineRule="exact"/>
        <w:rPr>
          <w:sz w:val="24"/>
          <w:szCs w:val="24"/>
          <w:color w:val="auto"/>
        </w:rPr>
      </w:pPr>
    </w:p>
    <w:p>
      <w:pPr>
        <w:sectPr>
          <w:pgSz w:w="11900" w:h="16838" w:orient="portrait"/>
          <w:cols w:equalWidth="0" w:num="3">
            <w:col w:w="4340" w:space="720"/>
            <w:col w:w="1660" w:space="720"/>
            <w:col w:w="3720"/>
          </w:cols>
          <w:pgMar w:left="320" w:top="933" w:right="4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160"/>
          </w:cols>
          <w:pgMar w:left="320" w:top="933" w:right="419" w:bottom="1440" w:gutter="0" w:footer="0" w:header="0"/>
          <w:type w:val="continuous"/>
        </w:sectPr>
      </w:pPr>
    </w:p>
    <w:p>
      <w:pPr>
        <w:spacing w:after="0" w:line="66"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ind w:right="4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7"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82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18"/>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82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3"/>
                <w:szCs w:val="23"/>
                <w:color w:val="auto"/>
              </w:rPr>
            </w:pPr>
          </w:p>
        </w:tc>
        <w:tc>
          <w:tcPr>
            <w:tcW w:w="370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82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79"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27, 2020, is 226,985,631.</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054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60"/>
          </w:cols>
          <w:pgMar w:left="320" w:top="933"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6/30/2020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12/31/2019</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1,781.8</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646.6</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2,939.8</w:t>
            </w:r>
          </w:p>
        </w:tc>
      </w:tr>
      <w:tr>
        <w:trPr>
          <w:trHeight w:val="229"/>
        </w:trPr>
        <w:tc>
          <w:tcPr>
            <w:tcW w:w="840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($2,005.4 million at June 30, 2020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400" w:type="dxa"/>
            <w:vAlign w:val="bottom"/>
          </w:tcPr>
          <w:p>
            <w:pPr>
              <w:ind w:left="40"/>
              <w:spacing w:after="0"/>
              <w:rPr>
                <w:sz w:val="20"/>
                <w:szCs w:val="20"/>
                <w:color w:val="auto"/>
              </w:rPr>
            </w:pPr>
            <w:r>
              <w:rPr>
                <w:rFonts w:ascii="Arial" w:cs="Arial" w:eastAsia="Arial" w:hAnsi="Arial"/>
                <w:sz w:val="18"/>
                <w:szCs w:val="18"/>
                <w:color w:val="auto"/>
              </w:rPr>
              <w:t>$1,975.3 million at December 31, 2019, related to variable interest entities)</w:t>
            </w:r>
          </w:p>
        </w:tc>
        <w:tc>
          <w:tcPr>
            <w:tcW w:w="2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2,276.9</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110.8</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674.4</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234.4</w:t>
            </w: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9,477.3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9,330.4</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214.5</w:t>
            </w:r>
          </w:p>
        </w:tc>
      </w:tr>
      <w:tr>
        <w:trPr>
          <w:trHeight w:val="235"/>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consolidated T. Rowe Price investment products ($41.6 million at June 30, 2020</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$27.0 million at December 31, 2019, related to variable interest entities)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146.3</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563.4</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5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1,636.5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1,107.3</w:t>
            </w:r>
          </w:p>
        </w:tc>
      </w:tr>
      <w:tr>
        <w:trPr>
          <w:trHeight w:val="324"/>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1,121.0</w:t>
            </w:r>
          </w:p>
        </w:tc>
      </w:tr>
      <w:tr>
        <w:trPr>
          <w:trHeight w:val="331"/>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226,990,000 shares at June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400" w:type="dxa"/>
            <w:vAlign w:val="bottom"/>
          </w:tcPr>
          <w:p>
            <w:pPr>
              <w:ind w:left="180"/>
              <w:spacing w:after="0"/>
              <w:rPr>
                <w:sz w:val="20"/>
                <w:szCs w:val="20"/>
                <w:color w:val="auto"/>
              </w:rPr>
            </w:pPr>
            <w:r>
              <w:rPr>
                <w:rFonts w:ascii="Arial" w:cs="Arial" w:eastAsia="Arial" w:hAnsi="Arial"/>
                <w:sz w:val="18"/>
                <w:szCs w:val="18"/>
                <w:color w:val="auto"/>
              </w:rPr>
              <w:t>30, 2020 and 235,214,000 at December 31, 2019</w:t>
            </w:r>
          </w:p>
        </w:tc>
        <w:tc>
          <w:tcPr>
            <w:tcW w:w="2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47.0</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6,102.9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6,443.5</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50"/>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6,750.7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7,102.1</w:t>
            </w: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9,477.3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9,330.4</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549" w:right="339" w:bottom="1440" w:gutter="0" w:footer="0" w:header="0"/>
        </w:sectPr>
      </w:pPr>
    </w:p>
    <w:bookmarkStart w:id="2" w:name="page3"/>
    <w:bookmarkEnd w:id="2"/>
    <w:p>
      <w:pPr>
        <w:ind w:right="518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00" w:type="dxa"/>
            <w:vAlign w:val="bottom"/>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4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6/30/2019</w:t>
            </w: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1,270.2</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2,621.6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2,464.4</w:t>
            </w:r>
          </w:p>
        </w:tc>
      </w:tr>
      <w:tr>
        <w:trPr>
          <w:trHeight w:val="27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r>
      <w:tr>
        <w:trPr>
          <w:trHeight w:val="250"/>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1,415.4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1,395.2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2,878.0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2,722.5</w:t>
            </w:r>
          </w:p>
        </w:tc>
      </w:tr>
      <w:tr>
        <w:trPr>
          <w:trHeight w:val="324"/>
        </w:trPr>
        <w:tc>
          <w:tcPr>
            <w:tcW w:w="5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974.7</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130.8</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203.0</w:t>
            </w:r>
          </w:p>
        </w:tc>
      </w:tr>
      <w:tr>
        <w:trPr>
          <w:trHeight w:val="263"/>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147.4</w:t>
            </w:r>
          </w:p>
        </w:tc>
      </w:tr>
      <w:tr>
        <w:trPr>
          <w:trHeight w:val="25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861.7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1,617.1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1,574.9</w:t>
            </w:r>
          </w:p>
        </w:tc>
      </w:tr>
      <w:tr>
        <w:trPr>
          <w:trHeight w:val="324"/>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1,147.6</w:t>
            </w:r>
          </w:p>
        </w:tc>
      </w:tr>
      <w:tr>
        <w:trPr>
          <w:trHeight w:val="324"/>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 (loss)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161.9</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164.7</w:t>
            </w:r>
          </w:p>
        </w:tc>
      </w:tr>
      <w:tr>
        <w:trPr>
          <w:trHeight w:val="263"/>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5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327.3</w:t>
            </w:r>
          </w:p>
        </w:tc>
      </w:tr>
      <w:tr>
        <w:trPr>
          <w:trHeight w:val="324"/>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1,474.9</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365.0</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1,109.9</w:t>
            </w: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Less: net income (loss) attributable to redeemable non-controlling</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69.8</w:t>
            </w:r>
          </w:p>
        </w:tc>
      </w:tr>
      <w:tr>
        <w:trPr>
          <w:trHeight w:val="25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1,040.1</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6"/>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4.29</w:t>
            </w:r>
          </w:p>
        </w:tc>
      </w:tr>
      <w:tr>
        <w:trPr>
          <w:trHeight w:val="237"/>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549" w:right="339" w:bottom="1440" w:gutter="0" w:footer="0" w:header="0"/>
        </w:sectPr>
      </w:pPr>
    </w:p>
    <w:bookmarkStart w:id="3" w:name="page4"/>
    <w:bookmarkEnd w:id="3"/>
    <w:p>
      <w:pPr>
        <w:ind w:right="356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00" w:type="dxa"/>
            <w:vAlign w:val="bottom"/>
            <w:gridSpan w:val="4"/>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4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6/30/2019</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895.1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1,109.9</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546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460" w:type="dxa"/>
            <w:vAlign w:val="bottom"/>
          </w:tcPr>
          <w:p>
            <w:pPr>
              <w:ind w:left="280"/>
              <w:spacing w:after="0"/>
              <w:rPr>
                <w:sz w:val="20"/>
                <w:szCs w:val="20"/>
                <w:color w:val="auto"/>
              </w:rPr>
            </w:pPr>
            <w:r>
              <w:rPr>
                <w:rFonts w:ascii="Arial" w:cs="Arial" w:eastAsia="Arial" w:hAnsi="Arial"/>
                <w:sz w:val="18"/>
                <w:szCs w:val="18"/>
                <w:color w:val="auto"/>
              </w:rPr>
              <w:t>interest entities</w:t>
            </w: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5"/>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gains recognized in non-operating income upon</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deconsolidation of certain T. Rowe Price investment products</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460" w:type="dxa"/>
            <w:vAlign w:val="bottom"/>
          </w:tcPr>
          <w:p>
            <w:pPr>
              <w:ind w:left="260"/>
              <w:spacing w:after="0"/>
              <w:rPr>
                <w:sz w:val="20"/>
                <w:szCs w:val="20"/>
                <w:color w:val="auto"/>
              </w:rPr>
            </w:pPr>
            <w:r>
              <w:rPr>
                <w:rFonts w:ascii="Arial" w:cs="Arial" w:eastAsia="Arial" w:hAnsi="Arial"/>
                <w:sz w:val="18"/>
                <w:szCs w:val="18"/>
                <w:color w:val="auto"/>
              </w:rPr>
              <w:t>Total currency translation adjustments of consolidated T. Rowe</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5460" w:type="dxa"/>
            <w:vAlign w:val="bottom"/>
          </w:tcPr>
          <w:p>
            <w:pPr>
              <w:ind w:left="260"/>
              <w:spacing w:after="0"/>
              <w:rPr>
                <w:sz w:val="20"/>
                <w:szCs w:val="20"/>
                <w:color w:val="auto"/>
              </w:rPr>
            </w:pPr>
            <w:r>
              <w:rPr>
                <w:rFonts w:ascii="Arial" w:cs="Arial" w:eastAsia="Arial" w:hAnsi="Arial"/>
                <w:sz w:val="18"/>
                <w:szCs w:val="18"/>
                <w:color w:val="auto"/>
              </w:rPr>
              <w:t>Price investment products - variable interest entities</w:t>
            </w: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5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1,113.1</w:t>
            </w:r>
          </w:p>
        </w:tc>
      </w:tr>
      <w:tr>
        <w:trPr>
          <w:trHeight w:val="235"/>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Total comprehensive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936.9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1,043.6</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549" w:right="339" w:bottom="1440" w:gutter="0" w:footer="0" w:header="0"/>
        </w:sectPr>
      </w:pPr>
    </w:p>
    <w:bookmarkStart w:id="4" w:name="page5"/>
    <w:bookmarkEnd w:id="4"/>
    <w:p>
      <w:pPr>
        <w:ind w:right="468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0"/>
        </w:trPr>
        <w:tc>
          <w:tcPr>
            <w:tcW w:w="8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6/30/2019</w:t>
            </w:r>
          </w:p>
        </w:tc>
        <w:tc>
          <w:tcPr>
            <w:tcW w:w="0" w:type="dxa"/>
            <w:vAlign w:val="bottom"/>
          </w:tcPr>
          <w:p>
            <w:pPr>
              <w:spacing w:after="0"/>
              <w:rPr>
                <w:sz w:val="1"/>
                <w:szCs w:val="1"/>
                <w:color w:val="auto"/>
              </w:rPr>
            </w:pPr>
          </w:p>
        </w:tc>
      </w:tr>
      <w:tr>
        <w:trPr>
          <w:trHeight w:val="269"/>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63"/>
        </w:trPr>
        <w:tc>
          <w:tcPr>
            <w:tcW w:w="8380" w:type="dxa"/>
            <w:vAlign w:val="bottom"/>
          </w:tcPr>
          <w:p>
            <w:pPr>
              <w:ind w:left="340"/>
              <w:spacing w:after="0"/>
              <w:rPr>
                <w:sz w:val="20"/>
                <w:szCs w:val="20"/>
                <w:color w:val="auto"/>
              </w:rPr>
            </w:pPr>
            <w:r>
              <w:rPr>
                <w:rFonts w:ascii="Arial" w:cs="Arial" w:eastAsia="Arial" w:hAnsi="Arial"/>
                <w:sz w:val="18"/>
                <w:szCs w:val="18"/>
                <w:color w:val="auto"/>
              </w:rPr>
              <w:t>Net (gains) losses recognized on investments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5"/>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used to economically hedge supplemental</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 plan liability</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63"/>
        </w:trPr>
        <w:tc>
          <w:tcPr>
            <w:tcW w:w="838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324"/>
        </w:trPr>
        <w:tc>
          <w:tcPr>
            <w:tcW w:w="8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Dispositions of T. Rowe Price investment products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deconsolidation</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324"/>
        </w:trPr>
        <w:tc>
          <w:tcPr>
            <w:tcW w:w="8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5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324"/>
        </w:trPr>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29"/>
        </w:trPr>
        <w:tc>
          <w:tcPr>
            <w:tcW w:w="83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 including $76.5 million at December 31, 2019,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$70.1 million at December 31, 2018, held by consolidated T. Rowe Price investment products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15"/>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including $124.8 million at June 30, 2020, and $110.7</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2,182.9</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1,913.1</w:t>
            </w:r>
          </w:p>
        </w:tc>
        <w:tc>
          <w:tcPr>
            <w:tcW w:w="0" w:type="dxa"/>
            <w:vAlign w:val="bottom"/>
          </w:tcPr>
          <w:p>
            <w:pPr>
              <w:spacing w:after="0"/>
              <w:rPr>
                <w:sz w:val="1"/>
                <w:szCs w:val="1"/>
                <w:color w:val="auto"/>
              </w:rPr>
            </w:pPr>
          </w:p>
        </w:tc>
      </w:tr>
      <w:tr>
        <w:trPr>
          <w:trHeight w:val="217"/>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 at June 30, 2019, held by consolidated T. Rowe Price investment products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20"/>
          </w:cols>
          <w:pgMar w:left="320" w:top="549" w:right="359" w:bottom="1440" w:gutter="0" w:footer="0" w:header="0"/>
        </w:sectPr>
      </w:pPr>
    </w:p>
    <w:bookmarkStart w:id="5" w:name="page6"/>
    <w:bookmarkEnd w:id="5"/>
    <w:p>
      <w:pPr>
        <w:ind w:right="362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Three months ended 6/30/2020</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40"/>
        </w:trPr>
        <w:tc>
          <w:tcPr>
            <w:tcW w:w="5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capital in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4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Common</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excess of</w:t>
            </w: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r>
      <w:tr>
        <w:trPr>
          <w:trHeight w:val="177"/>
        </w:trPr>
        <w:tc>
          <w:tcPr>
            <w:tcW w:w="54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stock</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par value</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5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March 31, 2020</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227,985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$5,782.9</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6,434.0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971.0</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603.0</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603.0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125.5</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10.3</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Dividends declared ($0.90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(1,305)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26.1</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243"/>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June 30, 2020</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226,990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$6,102.9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1,090.1</w:t>
            </w:r>
          </w:p>
        </w:tc>
      </w:tr>
      <w:tr>
        <w:trPr>
          <w:trHeight w:val="20"/>
        </w:trPr>
        <w:tc>
          <w:tcPr>
            <w:tcW w:w="5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5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63"/>
        </w:trPr>
        <w:tc>
          <w:tcPr>
            <w:tcW w:w="54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Three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40"/>
        </w:trPr>
        <w:tc>
          <w:tcPr>
            <w:tcW w:w="5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capital in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4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Common</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excess of</w:t>
            </w: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r>
      <w:tr>
        <w:trPr>
          <w:trHeight w:val="177"/>
        </w:trPr>
        <w:tc>
          <w:tcPr>
            <w:tcW w:w="54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stock</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par value</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5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March 31, 2019</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236,432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$5,650.8</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6,311.0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886.7</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527.5</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28.4</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Dividends declared ($0.76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(183.4)</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125.7</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43"/>
        </w:trPr>
        <w:tc>
          <w:tcPr>
            <w:tcW w:w="5400" w:type="dxa"/>
            <w:vAlign w:val="bottom"/>
          </w:tcPr>
          <w:p>
            <w:pPr>
              <w:ind w:left="40"/>
              <w:spacing w:after="0"/>
              <w:rPr>
                <w:sz w:val="20"/>
                <w:szCs w:val="20"/>
                <w:color w:val="auto"/>
              </w:rPr>
            </w:pPr>
            <w:r>
              <w:rPr>
                <w:rFonts w:ascii="Arial" w:cs="Arial" w:eastAsia="Arial" w:hAnsi="Arial"/>
                <w:sz w:val="14"/>
                <w:szCs w:val="14"/>
                <w:color w:val="auto"/>
              </w:rPr>
              <w:t>Balances at June 30, 2019</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235,518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$5,915.9</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6,579.1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1,012.3</w:t>
            </w: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i w:val="1"/>
          <w:iCs w:val="1"/>
          <w:color w:val="auto"/>
        </w:rPr>
      </w:pPr>
      <w:r>
        <w:rPr>
          <w:rFonts w:ascii="Arial" w:cs="Arial" w:eastAsia="Arial" w:hAnsi="Arial"/>
          <w:sz w:val="13"/>
          <w:szCs w:val="13"/>
          <w:i w:val="1"/>
          <w:iCs w:val="1"/>
          <w:color w:val="auto"/>
        </w:rPr>
        <w:t>Accumulated other comprehensive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549" w:right="339" w:bottom="1440" w:gutter="0" w:footer="0" w:header="0"/>
        </w:sectPr>
      </w:pPr>
    </w:p>
    <w:bookmarkStart w:id="6" w:name="page7"/>
    <w:bookmarkEnd w:id="6"/>
    <w:p>
      <w:pPr>
        <w:ind w:right="36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42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gridSpan w:val="8"/>
            <w:shd w:val="clear" w:color="auto" w:fill="CCEEFF"/>
          </w:tcPr>
          <w:p>
            <w:pPr>
              <w:ind w:left="440"/>
              <w:spacing w:after="0"/>
              <w:rPr>
                <w:sz w:val="20"/>
                <w:szCs w:val="20"/>
                <w:color w:val="auto"/>
              </w:rPr>
            </w:pPr>
            <w:r>
              <w:rPr>
                <w:rFonts w:ascii="Arial" w:cs="Arial" w:eastAsia="Arial" w:hAnsi="Arial"/>
                <w:sz w:val="13"/>
                <w:szCs w:val="13"/>
                <w:b w:val="1"/>
                <w:bCs w:val="1"/>
                <w:color w:val="auto"/>
              </w:rPr>
              <w:t>Six months ended 6/30/2020</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40"/>
        </w:trPr>
        <w:tc>
          <w:tcPr>
            <w:tcW w:w="4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426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42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14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excess of</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r>
      <w:tr>
        <w:trPr>
          <w:trHeight w:val="177"/>
        </w:trPr>
        <w:tc>
          <w:tcPr>
            <w:tcW w:w="42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stock</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par value</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2019</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235,214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6,443.5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7,102.1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1,121.0</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946.1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946.1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(51.0)</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Dividends declared ($1.80 per share)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00"/>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vesting of restricted stock units, net of shares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111.6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(9,639)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89.9</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(62.9)</w:t>
            </w:r>
          </w:p>
        </w:tc>
      </w:tr>
      <w:tr>
        <w:trPr>
          <w:trHeight w:val="243"/>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2020</w:t>
            </w: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226,990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6,102.9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1,090.1</w:t>
            </w:r>
          </w:p>
        </w:tc>
      </w:tr>
      <w:tr>
        <w:trPr>
          <w:trHeight w:val="20"/>
        </w:trPr>
        <w:tc>
          <w:tcPr>
            <w:tcW w:w="4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3"/>
        </w:trPr>
        <w:tc>
          <w:tcPr>
            <w:tcW w:w="4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63"/>
        </w:trPr>
        <w:tc>
          <w:tcPr>
            <w:tcW w:w="42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gridSpan w:val="8"/>
            <w:shd w:val="clear" w:color="auto" w:fill="CCEEFF"/>
          </w:tcPr>
          <w:p>
            <w:pPr>
              <w:ind w:left="440"/>
              <w:spacing w:after="0"/>
              <w:rPr>
                <w:sz w:val="20"/>
                <w:szCs w:val="20"/>
                <w:color w:val="auto"/>
              </w:rPr>
            </w:pPr>
            <w:r>
              <w:rPr>
                <w:rFonts w:ascii="Arial" w:cs="Arial" w:eastAsia="Arial" w:hAnsi="Arial"/>
                <w:sz w:val="13"/>
                <w:szCs w:val="13"/>
                <w:b w:val="1"/>
                <w:bCs w:val="1"/>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40"/>
        </w:trPr>
        <w:tc>
          <w:tcPr>
            <w:tcW w:w="4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426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42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14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excess of</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r>
      <w:tr>
        <w:trPr>
          <w:trHeight w:val="177"/>
        </w:trPr>
        <w:tc>
          <w:tcPr>
            <w:tcW w:w="42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stock</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par value</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r>
      <w:tr>
        <w:trPr>
          <w:trHeight w:val="25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2018</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238,069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5,464.1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6,124.3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740.3</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1,040.1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1,040.1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69.8</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Dividends declared ($1.52 per share)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00"/>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vesting of restricted stock units, net of shares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Forfeiture of restricted awards</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211.6</w:t>
            </w: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43"/>
        </w:trPr>
        <w:tc>
          <w:tcPr>
            <w:tcW w:w="4260" w:type="dxa"/>
            <w:vAlign w:val="bottom"/>
          </w:tcPr>
          <w:p>
            <w:pPr>
              <w:ind w:left="20"/>
              <w:spacing w:after="0"/>
              <w:rPr>
                <w:sz w:val="20"/>
                <w:szCs w:val="20"/>
                <w:color w:val="auto"/>
              </w:rPr>
            </w:pPr>
            <w:r>
              <w:rPr>
                <w:rFonts w:ascii="Arial" w:cs="Arial" w:eastAsia="Arial" w:hAnsi="Arial"/>
                <w:sz w:val="14"/>
                <w:szCs w:val="14"/>
                <w:color w:val="auto"/>
              </w:rPr>
              <w:t>Balances at June 30, 2019</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235,518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654.6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5,915.9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6,579.1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1,012.3</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Accumulated other comprehensive income.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20"/>
          </w:cols>
          <w:pgMar w:left="320" w:top="54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separately managed accounts, subadvised funds, and other T. Rowe Price products. The other T. Rowe Price products include: collective investment trusts,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Certain prior year amounts have been reclassified to conform to the 2020 presentation.</w:t>
      </w:r>
    </w:p>
    <w:p>
      <w:pPr>
        <w:spacing w:after="0" w:line="2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2019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adopted Accounting Standards Update No. 2018-15 — Intangibles—Goodwill and Other— Internal-Use Software (Subtopic 350-40): Customer’s Accounting for Implementation Costs Incurred in a Cloud Computing Arrangement That Is a Service Contract on January 1, 2020 using the prospective method of adoption. This update required implementation costs incurred in cloud computing arrangements to be deferred and recognized over the term of the hosting arrangement. A hosting arrangement is an agreement that allows customers, like us, to access and use software on an as-needed basis without having possession of the software. Beginning on January 1, 2020, we are required to defer such qualifying implementation costs. As of June 30, 2020, we capitalized an immaterial amount of implementation costs incurred in a cloud computing arrangement. Accordingly, the adoption of this guidance did not have a material impact on our consolidated balance sheets or our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ECONOMIC RELIEF LEGISLATION</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27, 2020, the U.S. enacted the Coronavirus Aid, Relief and Economic Security ("CARES") Act. The CARES Act provides economic relief to eligible businesses and individuals impacted by the novel coronavirus pandemic. The CARES Act’s provisions will not have a material impact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three- and six-month periods ended June 30, 2020 and 2019 under agreements with clients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Three months ended 6/30/2020</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Three months ended 6/30/2019</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63"/>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9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r>
      <w:tr>
        <w:trPr>
          <w:trHeight w:val="163"/>
        </w:trPr>
        <w:tc>
          <w:tcPr>
            <w:tcW w:w="1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8"/>
        </w:trPr>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82"/>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2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823.1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918.2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860.7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960.5</w:t>
            </w:r>
          </w:p>
        </w:tc>
      </w:tr>
      <w:tr>
        <w:trPr>
          <w:trHeight w:val="228"/>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9"/>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4"/>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409.5</w:t>
            </w:r>
          </w:p>
        </w:tc>
      </w:tr>
      <w:tr>
        <w:trPr>
          <w:trHeight w:val="264"/>
        </w:trPr>
        <w:tc>
          <w:tcPr>
            <w:tcW w:w="192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36"/>
        </w:trPr>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1,293.8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95.9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94.9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1,395.2</w:t>
            </w:r>
          </w:p>
        </w:tc>
      </w:tr>
      <w:tr>
        <w:trPr>
          <w:trHeight w:val="20"/>
        </w:trPr>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1"/>
        </w:trPr>
        <w:tc>
          <w:tcPr>
            <w:tcW w:w="19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63"/>
        </w:trPr>
        <w:tc>
          <w:tcPr>
            <w:tcW w:w="19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Six months ended 6/30/2020</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Six months ended 6/30/2019</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63"/>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9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r>
      <w:tr>
        <w:trPr>
          <w:trHeight w:val="163"/>
        </w:trPr>
        <w:tc>
          <w:tcPr>
            <w:tcW w:w="1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8"/>
        </w:trPr>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82"/>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2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1,899.5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1,676.6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1,883.2</w:t>
            </w:r>
          </w:p>
        </w:tc>
      </w:tr>
      <w:tr>
        <w:trPr>
          <w:trHeight w:val="228"/>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9"/>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4"/>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787.8</w:t>
            </w:r>
          </w:p>
        </w:tc>
      </w:tr>
      <w:tr>
        <w:trPr>
          <w:trHeight w:val="263"/>
        </w:trPr>
        <w:tc>
          <w:tcPr>
            <w:tcW w:w="192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51.5</w:t>
            </w:r>
          </w:p>
        </w:tc>
      </w:tr>
      <w:tr>
        <w:trPr>
          <w:trHeight w:val="236"/>
        </w:trPr>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202.8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2,464.4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197.8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2,722.5</w:t>
            </w: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$1,142.8 million and $1,147.6 million for the three months ended June 30, 2020 and 2019, respectively. Total net revenues earned during the six months ended June 30, 2020 and 2019 aggregate $2,350.5 million and $2,241.0 million, respectively. Accounts receivable from these products aggregate to $410.6 million at June 30, 2020, and $424.8 million at December 31, 2019.</w:t>
      </w:r>
    </w:p>
    <w:p>
      <w:pPr>
        <w:spacing w:after="0" w:line="20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Following a change to the fee structure of the target date retirement funds in the second quarter of 2020, we have modified our investment advisory fee and assets under management presentation below to separately breakout the fees earned from clients and related assets under management of our multi-asset portfolios. All prior periods have been recast to conform to this new presentation and to provide comparability.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300" w:type="dxa"/>
            <w:vAlign w:val="bottom"/>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6/30/2019</w:t>
            </w:r>
          </w:p>
        </w:tc>
      </w:tr>
      <w:tr>
        <w:trPr>
          <w:trHeight w:val="269"/>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6340" w:type="dxa"/>
            <w:vAlign w:val="bottom"/>
          </w:tcPr>
          <w:p>
            <w:pPr>
              <w:ind w:left="28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1,071.2</w:t>
            </w:r>
          </w:p>
        </w:tc>
      </w:tr>
      <w:tr>
        <w:trPr>
          <w:trHeight w:val="257"/>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w:t>
            </w:r>
          </w:p>
        </w:tc>
      </w:tr>
      <w:tr>
        <w:trPr>
          <w:trHeight w:val="263"/>
        </w:trPr>
        <w:tc>
          <w:tcPr>
            <w:tcW w:w="6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467.5</w:t>
            </w:r>
          </w:p>
        </w:tc>
      </w:tr>
      <w:tr>
        <w:trPr>
          <w:trHeight w:val="257"/>
        </w:trPr>
        <w:tc>
          <w:tcPr>
            <w:tcW w:w="63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860.7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1,699.3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1,676.6</w:t>
            </w:r>
          </w:p>
        </w:tc>
      </w:tr>
      <w:tr>
        <w:trPr>
          <w:trHeight w:val="257"/>
        </w:trPr>
        <w:tc>
          <w:tcPr>
            <w:tcW w:w="6340" w:type="dxa"/>
            <w:vAlign w:val="bottom"/>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491.5</w:t>
            </w:r>
          </w:p>
        </w:tc>
      </w:tr>
      <w:tr>
        <w:trPr>
          <w:trHeight w:val="263"/>
        </w:trPr>
        <w:tc>
          <w:tcPr>
            <w:tcW w:w="6340" w:type="dxa"/>
            <w:vAlign w:val="bottom"/>
          </w:tcPr>
          <w:p>
            <w:pPr>
              <w:ind w:left="2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22"/>
                <w:szCs w:val="22"/>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70"/>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220.0</w:t>
            </w:r>
          </w:p>
        </w:tc>
      </w:tr>
      <w:tr>
        <w:trPr>
          <w:trHeight w:val="250"/>
        </w:trPr>
        <w:tc>
          <w:tcPr>
            <w:tcW w:w="6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787.8</w:t>
            </w: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1,270.2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2,621.6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2,464.4</w:t>
            </w: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4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Pr>
          <w:p>
            <w:pPr>
              <w:spacing w:after="0"/>
              <w:rPr>
                <w:sz w:val="22"/>
                <w:szCs w:val="22"/>
                <w:color w:val="auto"/>
              </w:rPr>
            </w:pPr>
          </w:p>
        </w:tc>
      </w:tr>
      <w:tr>
        <w:trPr>
          <w:trHeight w:val="270"/>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12/31/2019</w:t>
            </w: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7"/>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407.1</w:t>
            </w:r>
          </w:p>
        </w:tc>
      </w:tr>
      <w:tr>
        <w:trPr>
          <w:trHeight w:val="263"/>
        </w:trPr>
        <w:tc>
          <w:tcPr>
            <w:tcW w:w="4540" w:type="dxa"/>
            <w:vAlign w:val="bottom"/>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Pr>
          <w:p>
            <w:pPr>
              <w:spacing w:after="0"/>
              <w:rPr>
                <w:sz w:val="22"/>
                <w:szCs w:val="22"/>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73.7</w:t>
            </w:r>
          </w:p>
        </w:tc>
      </w:tr>
      <w:tr>
        <w:trPr>
          <w:trHeight w:val="277"/>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Multi-asset</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w:t>
            </w:r>
          </w:p>
        </w:tc>
      </w:tr>
      <w:tr>
        <w:trPr>
          <w:trHeight w:val="243"/>
        </w:trPr>
        <w:tc>
          <w:tcPr>
            <w:tcW w:w="45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641.5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670.8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682.7</w:t>
            </w:r>
          </w:p>
        </w:tc>
      </w:tr>
      <w:tr>
        <w:trPr>
          <w:trHeight w:val="215"/>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3"/>
        </w:trPr>
        <w:tc>
          <w:tcPr>
            <w:tcW w:w="4540" w:type="dxa"/>
            <w:vAlign w:val="bottom"/>
          </w:tcPr>
          <w:p>
            <w:pPr>
              <w:ind w:left="28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2"/>
                <w:szCs w:val="22"/>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291.7</w:t>
            </w:r>
          </w:p>
        </w:tc>
      </w:tr>
      <w:tr>
        <w:trPr>
          <w:trHeight w:val="257"/>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r>
      <w:tr>
        <w:trPr>
          <w:trHeight w:val="264"/>
        </w:trPr>
        <w:tc>
          <w:tcPr>
            <w:tcW w:w="45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Multi-asset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158.2</w:t>
            </w:r>
          </w:p>
        </w:tc>
      </w:tr>
      <w:tr>
        <w:trPr>
          <w:trHeight w:val="250"/>
        </w:trPr>
        <w:tc>
          <w:tcPr>
            <w:tcW w:w="45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524.1</w:t>
            </w:r>
          </w:p>
        </w:tc>
      </w:tr>
      <w:tr>
        <w:trPr>
          <w:trHeight w:val="256"/>
        </w:trPr>
        <w:tc>
          <w:tcPr>
            <w:tcW w:w="4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1,151.4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1,071.8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1,206.8</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8.2% and 6.9% of our assets under management at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20"/>
          </w:cols>
          <w:pgMar w:left="320" w:top="57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6/30/2020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12/31/2019</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 - discretionary investments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1,221.8</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T. Rowe Price investment products - seed capital</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181.1</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 - supplemental savings plan liability economic hedges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561.1</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99.7</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T. Rowe Price investment products - discretionary investments</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610.0</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 - seed capital</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T. Rowe Price investment products - supplemental savings plan liability economic hedges</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2,939.8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During the three- and six- months ended June 30, 2020, net gains on investments included $125.5 million and $ 21.9 million, respectively, of net unrealized gains related to investments held at fair value that were still held at June 30, 2020. For the same period of 2019, the net gains on investments included $28.7 million and $79.3 million, respectively, of net unrealized gains on investments held at fair value that were still held at June 30, 2019.</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six months ended June 30, 2020 and 2019,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six months ended 2019,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4"/>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Six months ended</w:t>
            </w:r>
          </w:p>
        </w:tc>
      </w:tr>
      <w:tr>
        <w:trPr>
          <w:trHeight w:val="258"/>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6/30/2019</w:t>
            </w:r>
          </w:p>
        </w:tc>
      </w:tr>
      <w:tr>
        <w:trPr>
          <w:trHeight w:val="21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5940" w:type="dxa"/>
            <w:vAlign w:val="bottom"/>
          </w:tcPr>
          <w:p>
            <w:pPr>
              <w:ind w:left="40"/>
              <w:spacing w:after="0"/>
              <w:rPr>
                <w:sz w:val="20"/>
                <w:szCs w:val="20"/>
                <w:color w:val="auto"/>
              </w:rPr>
            </w:pPr>
            <w:r>
              <w:rPr>
                <w:rFonts w:ascii="Arial" w:cs="Arial" w:eastAsia="Arial" w:hAnsi="Arial"/>
                <w:sz w:val="18"/>
                <w:szCs w:val="18"/>
                <w:color w:val="auto"/>
              </w:rPr>
              <w:t>Net decrease in liabilities of consolidated T. Rowe Price investment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940" w:type="dxa"/>
            <w:vAlign w:val="bottom"/>
          </w:tcPr>
          <w:p>
            <w:pPr>
              <w:ind w:left="40"/>
              <w:spacing w:after="0"/>
              <w:rPr>
                <w:sz w:val="20"/>
                <w:szCs w:val="20"/>
                <w:color w:val="auto"/>
              </w:rPr>
            </w:pPr>
            <w:r>
              <w:rPr>
                <w:rFonts w:ascii="Arial" w:cs="Arial" w:eastAsia="Arial" w:hAnsi="Arial"/>
                <w:sz w:val="18"/>
                <w:szCs w:val="18"/>
                <w:color w:val="auto"/>
              </w:rPr>
              <w:t>products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3"/>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recognized upon deconsolidation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549" w:right="339" w:bottom="1440" w:gutter="0" w:footer="0" w:header="0"/>
        </w:sectPr>
      </w:pPr>
    </w:p>
    <w:bookmarkStart w:id="11" w:name="page12"/>
    <w:bookmarkEnd w:id="11"/>
    <w:p>
      <w:pPr>
        <w:jc w:val="both"/>
        <w:ind w:right="56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investments at June 30, 2020 and December 31, 2019, include interests in variable interest entities that we do not consolidate as we are not deemed the primary beneficiary. Our maximum risk of loss related to our involvement with these entities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6/30/2020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12/31/2019</w:t>
            </w:r>
          </w:p>
        </w:tc>
      </w:tr>
      <w:tr>
        <w:trPr>
          <w:trHeight w:val="249"/>
        </w:trPr>
        <w:tc>
          <w:tcPr>
            <w:tcW w:w="864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156.0</w:t>
            </w:r>
          </w:p>
        </w:tc>
      </w:tr>
      <w:tr>
        <w:trPr>
          <w:trHeight w:val="277"/>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63"/>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r>
      <w:tr>
        <w:trPr>
          <w:trHeight w:val="250"/>
        </w:trPr>
        <w:tc>
          <w:tcPr>
            <w:tcW w:w="8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184.6</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unfunded capital commitments totaling $ 14.4 million at June 30, 2020, and $18.1 million at December 31, 2019, relate primarily to the investment partnerships in which we have an existing investment. In addition to such amounts, a percentage of prior distributions may be called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240" w:hanging="728"/>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w:t>
      </w: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220" w:hanging="1457"/>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62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6/30/2020</w:t>
            </w: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12/31/2019</w:t>
            </w:r>
          </w:p>
        </w:tc>
        <w:tc>
          <w:tcPr>
            <w:tcW w:w="800" w:type="dxa"/>
            <w:vAlign w:val="bottom"/>
            <w:tcBorders>
              <w:bottom w:val="single" w:sz="8" w:color="auto"/>
            </w:tcBorders>
            <w:shd w:val="clear" w:color="auto" w:fill="CCEEFF"/>
          </w:tcPr>
          <w:p>
            <w:pPr>
              <w:spacing w:after="0"/>
              <w:rPr>
                <w:sz w:val="22"/>
                <w:szCs w:val="22"/>
                <w:color w:val="auto"/>
              </w:rPr>
            </w:pPr>
          </w:p>
        </w:tc>
      </w:tr>
      <w:tr>
        <w:trPr>
          <w:trHeight w:val="263"/>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Level 2</w:t>
            </w:r>
          </w:p>
        </w:tc>
      </w:tr>
      <w:tr>
        <w:trPr>
          <w:trHeight w:val="256"/>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1,705.1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1,355.6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T. Rowe Price investment products - discretionary investments</w:t>
            </w:r>
          </w:p>
        </w:tc>
        <w:tc>
          <w:tcPr>
            <w:tcW w:w="22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 - seed capital</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29"/>
        </w:trPr>
        <w:tc>
          <w:tcPr>
            <w:tcW w:w="6280" w:type="dxa"/>
            <w:vAlign w:val="bottom"/>
          </w:tcPr>
          <w:p>
            <w:pPr>
              <w:ind w:left="40"/>
              <w:spacing w:after="0"/>
              <w:rPr>
                <w:sz w:val="20"/>
                <w:szCs w:val="20"/>
                <w:color w:val="auto"/>
              </w:rPr>
            </w:pPr>
            <w:r>
              <w:rPr>
                <w:rFonts w:ascii="Arial" w:cs="Arial" w:eastAsia="Arial" w:hAnsi="Arial"/>
                <w:sz w:val="18"/>
                <w:szCs w:val="18"/>
                <w:color w:val="auto"/>
              </w:rPr>
              <w:t>T. Rowe Price investment products - supplemental savings plan liability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6280" w:type="dxa"/>
            <w:vAlign w:val="bottom"/>
          </w:tcPr>
          <w:p>
            <w:pPr>
              <w:ind w:left="40"/>
              <w:spacing w:after="0"/>
              <w:rPr>
                <w:sz w:val="20"/>
                <w:szCs w:val="20"/>
                <w:color w:val="auto"/>
              </w:rPr>
            </w:pPr>
            <w:r>
              <w:rPr>
                <w:rFonts w:ascii="Arial" w:cs="Arial" w:eastAsia="Arial" w:hAnsi="Arial"/>
                <w:sz w:val="18"/>
                <w:szCs w:val="18"/>
                <w:color w:val="auto"/>
              </w:rPr>
              <w:t>economic hedges</w:t>
            </w:r>
          </w:p>
        </w:tc>
        <w:tc>
          <w:tcPr>
            <w:tcW w:w="2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6"/>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3,349.2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3,309.7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required by the accounting guidance, the fair value hierarchy level table above does not include the investment partnerships and other investments for which fair value is estimated using their NAV per share as a practical expedient. The carrying value of these investments as disclosed in Note 3 were $90.5 million at June 30, 2020, and $99.7 million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57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4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175"/>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5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6"/>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1,865.8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2,003.8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1,891.3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2,172.4</w:t>
            </w:r>
          </w:p>
        </w:tc>
      </w:tr>
      <w:tr>
        <w:trPr>
          <w:trHeight w:val="26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r>
      <w:tr>
        <w:trPr>
          <w:trHeight w:val="250"/>
        </w:trPr>
        <w:tc>
          <w:tcPr>
            <w:tcW w:w="4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2,276.9</w:t>
            </w: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r>
      <w:tr>
        <w:trPr>
          <w:trHeight w:val="297"/>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1,963.8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2,106.7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1,948.3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2,237.7</w:t>
            </w:r>
          </w:p>
        </w:tc>
      </w:tr>
      <w:tr>
        <w:trPr>
          <w:trHeight w:val="304"/>
        </w:trPr>
        <w:tc>
          <w:tcPr>
            <w:tcW w:w="4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1,116.7</w:t>
            </w: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1,058.6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1,031.2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1,121.0</w:t>
            </w:r>
          </w:p>
        </w:tc>
      </w:tr>
      <w:tr>
        <w:trPr>
          <w:trHeight w:val="250"/>
        </w:trPr>
        <w:tc>
          <w:tcPr>
            <w:tcW w:w="45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1,963.8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2,106.7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2,237.7</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Cash and cash equivalents includes $10.5 million at June 30, 2020, and $9.1 million at December 31, 2019, of T. Rowe Price money market mutual funds.</w:t>
      </w:r>
    </w:p>
    <w:p>
      <w:pPr>
        <w:ind w:left="140" w:hanging="132"/>
        <w:spacing w:after="0" w:line="224"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includes $45.9 million at June 30, 2020, and $40.2 million at December 31, 2019 of T. Rowe Price investment products.</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20"/>
          </w:cols>
          <w:pgMar w:left="320" w:top="549" w:right="359" w:bottom="1440" w:gutter="0" w:footer="0" w:header="0"/>
        </w:sectPr>
      </w:pPr>
    </w:p>
    <w:bookmarkStart w:id="13" w:name="page14"/>
    <w:bookmarkEnd w:id="13"/>
    <w:p>
      <w:pPr>
        <w:ind w:right="18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for the three- and six- months ended June 30, 2020 and 2019, are reflected in our unaudited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234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6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4251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bottom w:val="single" w:sz="8" w:color="CCEEFF"/>
            </w:tcBorders>
          </w:tcPr>
          <w:p>
            <w:pPr>
              <w:spacing w:after="0"/>
              <w:rPr>
                <w:sz w:val="17"/>
                <w:szCs w:val="17"/>
                <w:color w:val="auto"/>
              </w:rPr>
            </w:pPr>
          </w:p>
        </w:tc>
        <w:tc>
          <w:tcPr>
            <w:tcW w:w="45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75"/>
        </w:trPr>
        <w:tc>
          <w:tcPr>
            <w:tcW w:w="2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62"/>
        </w:trPr>
        <w:tc>
          <w:tcPr>
            <w:tcW w:w="2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r>
      <w:tr>
        <w:trPr>
          <w:trHeight w:val="249"/>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top w:val="single" w:sz="8" w:color="auto"/>
            </w:tcBorders>
          </w:tcPr>
          <w:p>
            <w:pPr>
              <w:spacing w:after="0"/>
              <w:rPr>
                <w:sz w:val="21"/>
                <w:szCs w:val="21"/>
                <w:color w:val="auto"/>
              </w:rPr>
            </w:pPr>
          </w:p>
        </w:tc>
      </w:tr>
      <w:tr>
        <w:trPr>
          <w:trHeight w:val="23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 (loss) reflected in non-operating</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4"/>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20" w:type="dxa"/>
            <w:vAlign w:val="bottom"/>
            <w:tcBorders>
              <w:bottom w:val="single" w:sz="8" w:color="auto"/>
            </w:tcBorders>
            <w:shd w:val="clear" w:color="auto" w:fill="CCEEFF"/>
          </w:tcPr>
          <w:p>
            <w:pPr>
              <w:spacing w:after="0"/>
              <w:rPr>
                <w:sz w:val="19"/>
                <w:szCs w:val="19"/>
                <w:color w:val="auto"/>
              </w:rPr>
            </w:pPr>
          </w:p>
        </w:tc>
      </w:tr>
      <w:tr>
        <w:trPr>
          <w:trHeight w:val="297"/>
        </w:trPr>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16.1</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222.7</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238.8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59.0</w:t>
            </w:r>
          </w:p>
        </w:tc>
        <w:tc>
          <w:tcPr>
            <w:tcW w:w="20" w:type="dxa"/>
            <w:vAlign w:val="bottom"/>
            <w:tcBorders>
              <w:bottom w:val="single" w:sz="8" w:color="auto"/>
            </w:tcBorders>
          </w:tcPr>
          <w:p>
            <w:pPr>
              <w:spacing w:after="0"/>
              <w:rPr>
                <w:sz w:val="24"/>
                <w:szCs w:val="24"/>
                <w:color w:val="auto"/>
              </w:rPr>
            </w:pPr>
          </w:p>
        </w:tc>
      </w:tr>
      <w:tr>
        <w:trPr>
          <w:trHeight w:val="305"/>
        </w:trPr>
        <w:tc>
          <w:tcPr>
            <w:tcW w:w="2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100.4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2"/>
                <w:szCs w:val="22"/>
                <w:color w:val="auto"/>
              </w:rPr>
            </w:pPr>
          </w:p>
        </w:tc>
      </w:tr>
      <w:tr>
        <w:trPr>
          <w:trHeight w:val="23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redeemable non-</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4"/>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auto"/>
            </w:tcBorders>
            <w:shd w:val="clear" w:color="auto" w:fill="CCEEFF"/>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59.0</w:t>
            </w:r>
          </w:p>
        </w:tc>
        <w:tc>
          <w:tcPr>
            <w:tcW w:w="20" w:type="dxa"/>
            <w:vAlign w:val="bottom"/>
            <w:tcBorders>
              <w:bottom w:val="single" w:sz="8" w:color="auto"/>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1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gridSpan w:val="7"/>
            <w:shd w:val="clear" w:color="auto" w:fill="CCEEFF"/>
          </w:tcPr>
          <w:p>
            <w:pPr>
              <w:ind w:left="2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66"/>
        </w:trPr>
        <w:tc>
          <w:tcPr>
            <w:tcW w:w="20" w:type="dxa"/>
            <w:vAlign w:val="bottom"/>
          </w:tcPr>
          <w:p>
            <w:pPr>
              <w:spacing w:after="0"/>
              <w:rPr>
                <w:sz w:val="5"/>
                <w:szCs w:val="5"/>
                <w:color w:val="auto"/>
              </w:rPr>
            </w:pPr>
          </w:p>
        </w:tc>
        <w:tc>
          <w:tcPr>
            <w:tcW w:w="4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258"/>
        </w:trPr>
        <w:tc>
          <w:tcPr>
            <w:tcW w:w="20" w:type="dxa"/>
            <w:vAlign w:val="bottom"/>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(loss) reflected in non-operating</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45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 Group</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redeemable non-</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$2.1 million and $2.2 million for the three months ended June 30, 2020 and 2019, respectively, against the investment advisory and administrative fees earned from these products. Operating expenses eliminated for the six months ended June 30, 2020 and 2019, were $4.6 million and $3.7 million, respectively. The net investment income (loss) reflected in non-operating income (loss) includes dividend and interest income and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571" w:right="339" w:bottom="1440" w:gutter="0" w:footer="0" w:header="0"/>
        </w:sectPr>
      </w:pPr>
    </w:p>
    <w:bookmarkStart w:id="14" w:name="page15"/>
    <w:bookmarkEnd w:id="14"/>
    <w:p>
      <w:pPr>
        <w:ind w:right="1040"/>
        <w:spacing w:after="0" w:line="261"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4251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540" w:type="dxa"/>
            <w:vAlign w:val="bottom"/>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4540" w:type="dxa"/>
            <w:vAlign w:val="bottom"/>
          </w:tcPr>
          <w:p>
            <w:pPr>
              <w:ind w:left="40"/>
              <w:spacing w:after="0"/>
              <w:rPr>
                <w:sz w:val="20"/>
                <w:szCs w:val="20"/>
                <w:color w:val="auto"/>
              </w:rPr>
            </w:pPr>
            <w:r>
              <w:rPr>
                <w:rFonts w:ascii="Arial" w:cs="Arial" w:eastAsia="Arial" w:hAnsi="Arial"/>
                <w:sz w:val="16"/>
                <w:szCs w:val="16"/>
                <w:color w:val="auto"/>
              </w:rPr>
              <w:t>Net cash provided by in financing activities</w:t>
            </w:r>
          </w:p>
        </w:tc>
        <w:tc>
          <w:tcPr>
            <w:tcW w:w="20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equivalents of consolidated</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53"/>
        </w:trPr>
        <w:tc>
          <w:tcPr>
            <w:tcW w:w="45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net cash provided by financing activities during the six months ended June 30, 2020 and 2019 includes $26.2 million and $146.9 million, respectively, of net subscriptions we made into the consolidated T. Rowe Price investment products, net of dividends received. These cash flows were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6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8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6/30/2020</w:t>
            </w:r>
          </w:p>
        </w:tc>
        <w:tc>
          <w:tcPr>
            <w:tcW w:w="7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12/31/2019</w:t>
            </w:r>
          </w:p>
        </w:tc>
      </w:tr>
      <w:tr>
        <w:trPr>
          <w:trHeight w:val="263"/>
        </w:trPr>
        <w:tc>
          <w:tcPr>
            <w:tcW w:w="68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Level 2</w:t>
            </w:r>
          </w:p>
        </w:tc>
      </w:tr>
      <w:tr>
        <w:trPr>
          <w:trHeight w:val="270"/>
        </w:trPr>
        <w:tc>
          <w:tcPr>
            <w:tcW w:w="6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3"/>
        </w:trPr>
        <w:tc>
          <w:tcPr>
            <w:tcW w:w="68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724.5</w:t>
            </w:r>
          </w:p>
        </w:tc>
      </w:tr>
      <w:tr>
        <w:trPr>
          <w:trHeight w:val="263"/>
        </w:trPr>
        <w:tc>
          <w:tcPr>
            <w:tcW w:w="680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1,123.1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1,248.6</w:t>
            </w: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90"/>
        </w:trPr>
        <w:tc>
          <w:tcPr>
            <w:tcW w:w="68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1,816.2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2,008.0</w:t>
            </w:r>
          </w:p>
        </w:tc>
      </w:tr>
      <w:tr>
        <w:trPr>
          <w:trHeight w:val="284"/>
        </w:trPr>
        <w:tc>
          <w:tcPr>
            <w:tcW w:w="6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56"/>
        </w:trPr>
        <w:tc>
          <w:tcPr>
            <w:tcW w:w="68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Accounts payable and accrued expenses includes liabilities of $10.6 million at June 30, 2020, and $12.2 million at December 31, 2019, for common stock repurchases that settled during the first week of July 2020 and January 2020, respectively.</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57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w w:val="99"/>
              </w:rPr>
              <w:t>exercise</w:t>
            </w:r>
          </w:p>
        </w:tc>
      </w:tr>
      <w:tr>
        <w:trPr>
          <w:trHeight w:val="196"/>
        </w:trPr>
        <w:tc>
          <w:tcPr>
            <w:tcW w:w="844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price</w:t>
            </w:r>
          </w:p>
        </w:tc>
      </w:tr>
      <w:tr>
        <w:trPr>
          <w:trHeight w:val="249"/>
        </w:trPr>
        <w:tc>
          <w:tcPr>
            <w:tcW w:w="844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7,388,068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71.06</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(1,944,942)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68.29</w:t>
            </w: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74.09</w:t>
            </w: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2020</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5,437,669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72.05</w:t>
            </w: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Exercisable at June 30, 2020</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4,772,891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71.52</w:t>
            </w: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4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six months ended June 30,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Restricted</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3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7320" w:type="dxa"/>
            <w:vAlign w:val="bottom"/>
          </w:tcPr>
          <w:p>
            <w:pPr>
              <w:ind w:left="40"/>
              <w:spacing w:after="0"/>
              <w:rPr>
                <w:sz w:val="20"/>
                <w:szCs w:val="20"/>
                <w:color w:val="auto"/>
              </w:rPr>
            </w:pPr>
            <w:r>
              <w:rPr>
                <w:rFonts w:ascii="Arial" w:cs="Arial" w:eastAsia="Arial" w:hAnsi="Arial"/>
                <w:sz w:val="18"/>
                <w:szCs w:val="18"/>
                <w:color w:val="auto"/>
              </w:rPr>
              <w:t>Nonvested at December 31, 2019</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6,718,261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98.75</w:t>
            </w:r>
          </w:p>
        </w:tc>
      </w:tr>
      <w:tr>
        <w:trPr>
          <w:trHeight w:val="27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7,412</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39,925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116.08</w:t>
            </w:r>
          </w:p>
        </w:tc>
      </w:tr>
      <w:tr>
        <w:trPr>
          <w:trHeight w:val="263"/>
        </w:trPr>
        <w:tc>
          <w:tcPr>
            <w:tcW w:w="7320" w:type="dxa"/>
            <w:vAlign w:val="bottom"/>
          </w:tcPr>
          <w:p>
            <w:pPr>
              <w:ind w:left="40"/>
              <w:spacing w:after="0"/>
              <w:rPr>
                <w:sz w:val="20"/>
                <w:szCs w:val="20"/>
                <w:color w:val="auto"/>
              </w:rPr>
            </w:pPr>
            <w:r>
              <w:rPr>
                <w:rFonts w:ascii="Arial" w:cs="Arial" w:eastAsia="Arial" w:hAnsi="Arial"/>
                <w:sz w:val="18"/>
                <w:szCs w:val="18"/>
                <w:color w:val="auto"/>
              </w:rPr>
              <w:t>Dividend equivalents granted to non-employee directors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1,243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110.74</w:t>
            </w:r>
          </w:p>
        </w:tc>
      </w:tr>
      <w:tr>
        <w:trPr>
          <w:trHeight w:val="27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97.44</w:t>
            </w:r>
          </w:p>
        </w:tc>
      </w:tr>
      <w:tr>
        <w:trPr>
          <w:trHeight w:val="264"/>
        </w:trPr>
        <w:tc>
          <w:tcPr>
            <w:tcW w:w="7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(67,294)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96.82</w:t>
            </w:r>
          </w:p>
        </w:tc>
      </w:tr>
      <w:tr>
        <w:trPr>
          <w:trHeight w:val="256"/>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2020</w:t>
            </w:r>
          </w:p>
        </w:tc>
        <w:tc>
          <w:tcPr>
            <w:tcW w:w="1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7,412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6,605,114</w:t>
            </w:r>
          </w:p>
        </w:tc>
        <w:tc>
          <w:tcPr>
            <w:tcW w:w="3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98.91</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Nonvested at June 30, 2020, includes 403,008 performance-based restricted stock units, including 318,768 restricted stock units for which the performance period has expired and the performance threshold has been met.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47"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2020.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0" w:type="dxa"/>
            <w:vAlign w:val="bottom"/>
          </w:tcPr>
          <w:p>
            <w:pPr>
              <w:ind w:left="40"/>
              <w:spacing w:after="0"/>
              <w:rPr>
                <w:sz w:val="20"/>
                <w:szCs w:val="20"/>
                <w:color w:val="auto"/>
              </w:rPr>
            </w:pPr>
            <w:r>
              <w:rPr>
                <w:rFonts w:ascii="Arial" w:cs="Arial" w:eastAsia="Arial" w:hAnsi="Arial"/>
                <w:sz w:val="18"/>
                <w:szCs w:val="18"/>
                <w:color w:val="auto"/>
              </w:rPr>
              <w:t>Third quarter 2020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63"/>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2020</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50"/>
        </w:trPr>
        <w:tc>
          <w:tcPr>
            <w:tcW w:w="1000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108.7</w:t>
            </w:r>
          </w:p>
        </w:tc>
      </w:tr>
      <w:tr>
        <w:trPr>
          <w:trHeight w:val="257"/>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 through 2026</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57"/>
        </w:trPr>
        <w:tc>
          <w:tcPr>
            <w:tcW w:w="1000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w:t>
            </w:r>
          </w:p>
        </w:tc>
      </w:tr>
      <w:tr>
        <w:trPr>
          <w:trHeight w:val="20"/>
        </w:trPr>
        <w:tc>
          <w:tcPr>
            <w:tcW w:w="10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333" w:right="339" w:bottom="1440" w:gutter="0" w:footer="0" w:header="0"/>
          <w:type w:val="continuous"/>
        </w:sectPr>
      </w:pPr>
    </w:p>
    <w:bookmarkStart w:id="16" w:name="page17"/>
    <w:bookmarkEnd w:id="16"/>
    <w:p>
      <w:pPr>
        <w:ind w:right="300"/>
        <w:spacing w:after="0" w:line="261" w:lineRule="auto"/>
        <w:rPr>
          <w:sz w:val="20"/>
          <w:szCs w:val="20"/>
          <w:color w:val="auto"/>
        </w:rPr>
      </w:pPr>
      <w:r>
        <w:rPr>
          <w:rFonts w:ascii="Arial" w:cs="Arial" w:eastAsia="Arial" w:hAnsi="Arial"/>
          <w:sz w:val="18"/>
          <w:szCs w:val="18"/>
          <w:color w:val="auto"/>
        </w:rPr>
        <w:t>options were exercised and non-participating stock awards vested. No outstanding stock options had an anti-dilutive impact on the diluted earnings per common share calculation in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8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380" w:type="dxa"/>
            <w:vAlign w:val="bottom"/>
            <w:gridSpan w:val="4"/>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1,040.1</w:t>
            </w:r>
          </w:p>
        </w:tc>
      </w:tr>
      <w:tr>
        <w:trPr>
          <w:trHeight w:val="229"/>
        </w:trPr>
        <w:tc>
          <w:tcPr>
            <w:tcW w:w="594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1,013.3</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4"/>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97"/>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236.2</w:t>
            </w:r>
          </w:p>
        </w:tc>
      </w:tr>
      <w:tr>
        <w:trPr>
          <w:trHeight w:val="23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239.4</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June 30, 2020 and 2019 are presented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0" w:type="dxa"/>
            <w:vAlign w:val="bottom"/>
            <w:gridSpan w:val="8"/>
            <w:shd w:val="clear" w:color="auto" w:fill="CCEEFF"/>
          </w:tcPr>
          <w:p>
            <w:pPr>
              <w:ind w:left="740"/>
              <w:spacing w:after="0"/>
              <w:rPr>
                <w:sz w:val="20"/>
                <w:szCs w:val="20"/>
                <w:color w:val="auto"/>
              </w:rPr>
            </w:pPr>
            <w:r>
              <w:rPr>
                <w:rFonts w:ascii="Arial" w:cs="Arial" w:eastAsia="Arial" w:hAnsi="Arial"/>
                <w:sz w:val="14"/>
                <w:szCs w:val="14"/>
                <w:b w:val="1"/>
                <w:bCs w:val="1"/>
                <w:color w:val="auto"/>
              </w:rPr>
              <w:t>Three months ended 6/30/2020</w:t>
            </w:r>
          </w:p>
        </w:tc>
        <w:tc>
          <w:tcPr>
            <w:tcW w:w="140" w:type="dxa"/>
            <w:vAlign w:val="bottom"/>
            <w:shd w:val="clear" w:color="auto" w:fill="CCEEFF"/>
          </w:tcPr>
          <w:p>
            <w:pPr>
              <w:spacing w:after="0"/>
              <w:rPr>
                <w:sz w:val="22"/>
                <w:szCs w:val="22"/>
                <w:color w:val="auto"/>
              </w:rPr>
            </w:pPr>
          </w:p>
        </w:tc>
        <w:tc>
          <w:tcPr>
            <w:tcW w:w="3660" w:type="dxa"/>
            <w:vAlign w:val="bottom"/>
            <w:gridSpan w:val="7"/>
            <w:shd w:val="clear" w:color="auto" w:fill="CCEEFF"/>
          </w:tcPr>
          <w:p>
            <w:pPr>
              <w:jc w:val="right"/>
              <w:ind w:right="762"/>
              <w:spacing w:after="0"/>
              <w:rPr>
                <w:sz w:val="20"/>
                <w:szCs w:val="20"/>
                <w:color w:val="auto"/>
              </w:rPr>
            </w:pPr>
            <w:r>
              <w:rPr>
                <w:rFonts w:ascii="Arial" w:cs="Arial" w:eastAsia="Arial" w:hAnsi="Arial"/>
                <w:sz w:val="14"/>
                <w:szCs w:val="14"/>
                <w:b w:val="1"/>
                <w:bCs w:val="1"/>
                <w:color w:val="auto"/>
              </w:rPr>
              <w:t>Three months ended 6/30/2019</w:t>
            </w:r>
          </w:p>
        </w:tc>
      </w:tr>
      <w:tr>
        <w:trPr>
          <w:trHeight w:val="175"/>
        </w:trPr>
        <w:tc>
          <w:tcPr>
            <w:tcW w:w="35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 -</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100" w:type="dxa"/>
            <w:vAlign w:val="bottom"/>
          </w:tcPr>
          <w:p>
            <w:pPr>
              <w:jc w:val="center"/>
              <w:ind w:right="42"/>
              <w:spacing w:after="0"/>
              <w:rPr>
                <w:sz w:val="20"/>
                <w:szCs w:val="20"/>
                <w:color w:val="auto"/>
              </w:rPr>
            </w:pPr>
            <w:r>
              <w:rPr>
                <w:rFonts w:ascii="Arial" w:cs="Arial" w:eastAsia="Arial" w:hAnsi="Arial"/>
                <w:sz w:val="14"/>
                <w:szCs w:val="14"/>
                <w:b w:val="1"/>
                <w:bCs w:val="1"/>
                <w:color w:val="auto"/>
              </w:rPr>
              <w:t>Total currency</w:t>
            </w:r>
          </w:p>
        </w:tc>
      </w:tr>
      <w:tr>
        <w:trPr>
          <w:trHeight w:val="162"/>
        </w:trPr>
        <w:tc>
          <w:tcPr>
            <w:tcW w:w="35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translation</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100" w:type="dxa"/>
            <w:vAlign w:val="bottom"/>
          </w:tcPr>
          <w:p>
            <w:pPr>
              <w:jc w:val="center"/>
              <w:ind w:right="42"/>
              <w:spacing w:after="0"/>
              <w:rPr>
                <w:sz w:val="20"/>
                <w:szCs w:val="20"/>
                <w:color w:val="auto"/>
              </w:rPr>
            </w:pPr>
            <w:r>
              <w:rPr>
                <w:rFonts w:ascii="Arial" w:cs="Arial" w:eastAsia="Arial" w:hAnsi="Arial"/>
                <w:sz w:val="14"/>
                <w:szCs w:val="14"/>
                <w:b w:val="1"/>
                <w:bCs w:val="1"/>
                <w:color w:val="auto"/>
              </w:rPr>
              <w:t>translation</w:t>
            </w:r>
          </w:p>
        </w:tc>
      </w:tr>
      <w:tr>
        <w:trPr>
          <w:trHeight w:val="196"/>
        </w:trPr>
        <w:tc>
          <w:tcPr>
            <w:tcW w:w="35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r>
      <w:tr>
        <w:trPr>
          <w:trHeight w:val="256"/>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198"/>
        </w:trPr>
        <w:tc>
          <w:tcPr>
            <w:tcW w:w="3500" w:type="dxa"/>
            <w:vAlign w:val="bottom"/>
          </w:tcPr>
          <w:p>
            <w:pPr>
              <w:ind w:left="4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3500" w:type="dxa"/>
            <w:vAlign w:val="bottom"/>
          </w:tcPr>
          <w:p>
            <w:pPr>
              <w:ind w:left="4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4.2</w:t>
            </w:r>
          </w:p>
        </w:tc>
      </w:tr>
      <w:tr>
        <w:trPr>
          <w:trHeight w:val="228"/>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adjustments recognized in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8"/>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7"/>
        </w:trPr>
        <w:tc>
          <w:tcPr>
            <w:tcW w:w="35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4.1</w:t>
            </w:r>
          </w:p>
        </w:tc>
      </w:tr>
      <w:tr>
        <w:trPr>
          <w:trHeight w:val="273"/>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w:t>
            </w:r>
          </w:p>
        </w:tc>
      </w:tr>
      <w:tr>
        <w:trPr>
          <w:trHeight w:val="24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other comprehensive income (loss) in the table above excludes $10.3 million in the 2020 quarter and $1.0 million in the 2019 quarter of other comprehensive income related to redeemable non-controlling interests held in our consolidated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40"/>
          </w:cols>
          <w:pgMar w:left="320" w:top="571" w:right="339" w:bottom="1440" w:gutter="0" w:footer="0" w:header="0"/>
        </w:sectPr>
      </w:pPr>
    </w:p>
    <w:bookmarkStart w:id="17" w:name="page18"/>
    <w:bookmarkEnd w:id="17"/>
    <w:p>
      <w:pPr>
        <w:ind w:right="48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six months ended June 30, 2020 and 2019, are presented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20" w:type="dxa"/>
            <w:vAlign w:val="bottom"/>
            <w:gridSpan w:val="8"/>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Six months ended 6/30/2020</w:t>
            </w:r>
          </w:p>
        </w:tc>
        <w:tc>
          <w:tcPr>
            <w:tcW w:w="160" w:type="dxa"/>
            <w:vAlign w:val="bottom"/>
            <w:shd w:val="clear" w:color="auto" w:fill="CCEEFF"/>
          </w:tcPr>
          <w:p>
            <w:pPr>
              <w:spacing w:after="0"/>
              <w:rPr>
                <w:sz w:val="22"/>
                <w:szCs w:val="22"/>
                <w:color w:val="auto"/>
              </w:rPr>
            </w:pPr>
          </w:p>
        </w:tc>
        <w:tc>
          <w:tcPr>
            <w:tcW w:w="3900" w:type="dxa"/>
            <w:vAlign w:val="bottom"/>
            <w:gridSpan w:val="7"/>
            <w:shd w:val="clear" w:color="auto" w:fill="CCEEFF"/>
          </w:tcPr>
          <w:p>
            <w:pPr>
              <w:jc w:val="center"/>
              <w:ind w:right="55"/>
              <w:spacing w:after="0"/>
              <w:rPr>
                <w:sz w:val="20"/>
                <w:szCs w:val="20"/>
                <w:color w:val="auto"/>
              </w:rPr>
            </w:pPr>
            <w:r>
              <w:rPr>
                <w:rFonts w:ascii="Arial" w:cs="Arial" w:eastAsia="Arial" w:hAnsi="Arial"/>
                <w:sz w:val="14"/>
                <w:szCs w:val="14"/>
                <w:b w:val="1"/>
                <w:bCs w:val="1"/>
                <w:color w:val="auto"/>
              </w:rPr>
              <w:t>Six months ended 6/30/2019</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products - variable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translation</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4"/>
                <w:szCs w:val="14"/>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96"/>
        </w:trPr>
        <w:tc>
          <w:tcPr>
            <w:tcW w:w="30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 entities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98"/>
        </w:trPr>
        <w:tc>
          <w:tcPr>
            <w:tcW w:w="300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40"/>
              <w:spacing w:after="0"/>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7"/>
        </w:trPr>
        <w:tc>
          <w:tcPr>
            <w:tcW w:w="3000" w:type="dxa"/>
            <w:vAlign w:val="bottom"/>
          </w:tcPr>
          <w:p>
            <w:pPr>
              <w:ind w:left="4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adjustments</w:t>
            </w: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recognized in non-operating income</w:t>
            </w: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3"/>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other comprehensive income (loss) in the table above excludes $6.9 million for the 2020 period and $.3 million for the 2019 period of other comprehensive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expert discovery phase of litigation and we cannot predict the eventual outcome, or whether it will have a material negative impact on our financial results, or estimate the possible loss or range of loss that may arise from any negative outcome.</w:t>
      </w:r>
    </w:p>
    <w:p>
      <w:pPr>
        <w:spacing w:after="0" w:line="205"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7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2020, the related condensed consolidated statements of income and comprehensive income, and stockholders’ equity for the three-month and six-month periods ended June 30, 2020 and 2019, the related condensed consolidated statements of cash flows for the six-month periods ended June 30, 2020 and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2019, and the related consolidated statements of income, comprehensive income, stockholders’ equity, and cash flows for the year then ended (not presented herein); and in our report dated February 13, 2020, we expressed an unqualified opinion on those consolidated financial statements. In our opinion, the information set forth in the accompanying condensed consolidated balance sheet as of December 31, 2019, is fairly stated, in all material respects, in relation to the consolidated balance sheet from which it has been derived.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57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and other T. Rowe Price products. The other T. Rowe Price products include: collective investment trusts,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are impacted by fluctuations in our assets under management.</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technologies, and new product offerings; and, most importantly, we provide our clients with strong investment management expertise and service both now and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4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U.S. equities surged during the second quarter 2020, bouncing back sharply to recover some of their steep losses in February and March. Massive stimulus efforts from the Federal Reserve and the federal government as well as the gradual lifting of lockdowns and the reopening of economies drove the market’s vigorous gains during the quarter. While most U.S. economic data were dismal, some better-than-expected readings later in the quarter boosted investor sentiment. However, as the quarter ended, investors were somewhat concerned about increasing coronavirus cases in a number of states, which prompted some governors to stop or reverse some of their reopening efforts.</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Stocks in developed non-U.S. equity markets advanced but underperformed U.S. shares. European stock markets were positive in U.S. dollar terms, with German stocks leading the way. All developed Asian and Far East markets were positive, with Australia and New Zealand displaying the best returns. Japanese stocks returned almost 12% in U.S. dollar terms.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Emerging markets stocks outperformed developed non-U.S. markets. Asian markets were positive, with Indonesian shares leading the region. Latin American shares were also very strong, led by Argentina and Brazil. In emerging Europe, Russian and Turkish stocks returned about 19% in U.S. dollar terms.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460" w:type="dxa"/>
            <w:vAlign w:val="bottom"/>
            <w:shd w:val="clear" w:color="auto" w:fill="CCEEFF"/>
          </w:tcPr>
          <w:p>
            <w:pPr>
              <w:spacing w:after="0"/>
              <w:rPr>
                <w:sz w:val="15"/>
                <w:szCs w:val="15"/>
                <w:color w:val="auto"/>
              </w:rPr>
            </w:pPr>
          </w:p>
        </w:tc>
      </w:tr>
      <w:tr>
        <w:trPr>
          <w:trHeight w:val="202"/>
        </w:trPr>
        <w:tc>
          <w:tcPr>
            <w:tcW w:w="8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14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6/30/2020</w:t>
            </w:r>
          </w:p>
        </w:tc>
      </w:tr>
      <w:tr>
        <w:trPr>
          <w:trHeight w:val="25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20.5%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(3.1)%</w:t>
            </w:r>
          </w:p>
        </w:tc>
      </w:tr>
      <w:tr>
        <w:trPr>
          <w:trHeight w:val="270"/>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30.6%</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12.1%</w:t>
            </w:r>
          </w:p>
        </w:tc>
      </w:tr>
      <w:tr>
        <w:trPr>
          <w:trHeight w:val="270"/>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25.4%</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(13.0)%</w:t>
            </w: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15.1%</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(11.1)%</w:t>
            </w:r>
          </w:p>
        </w:tc>
      </w:tr>
      <w:tr>
        <w:trPr>
          <w:trHeight w:val="270"/>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18.2%</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hanging="132"/>
        <w:spacing w:after="0"/>
        <w:tabs>
          <w:tab w:leader="none" w:pos="18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Global bonds produced positive returns. In the U.S. investment-grade market, corporate bonds fared best as credit spreads narrowed in part because the Federal Reserve announced that it would begin buying a broad portfolio of U.S. corporate bonds. Asset-backed securities rose to a lesser extent, while mortgage-backed securities and Treasuries lagged with modest returns. The Fed kept short-term interest rates near zero percent; the 10-year Treasury note yield decreased from .70% to .66%. Tax-free municipal bonds produced positive returns but narrowly underperformed the broad taxable bond market. High yield bonds easily outperformed the investment-grade market.</w:t>
      </w:r>
    </w:p>
    <w:p>
      <w:pPr>
        <w:spacing w:after="0" w:line="20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Bonds in developed non-U.S. markets produced gains in U.S. dollar terms. Eurozone bond returns to U.S. investors were helped by dollar weakness against the Euro.</w:t>
      </w:r>
    </w:p>
    <w:p>
      <w:pPr>
        <w:spacing w:after="0" w:line="19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Emerging markets bonds displayed strong positive returns. Bonds denominated in U.S. dollars outperformed local currency issues, as weakness in certain currencies, such as the Brazilian real and the Turkish lira, weighed on local bond performance in U.S. dollar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460" w:type="dxa"/>
            <w:vAlign w:val="bottom"/>
            <w:shd w:val="clear" w:color="auto" w:fill="CCEEFF"/>
          </w:tcPr>
          <w:p>
            <w:pPr>
              <w:spacing w:after="0"/>
              <w:rPr>
                <w:sz w:val="15"/>
                <w:szCs w:val="15"/>
                <w:color w:val="auto"/>
              </w:rPr>
            </w:pPr>
          </w:p>
        </w:tc>
      </w:tr>
      <w:tr>
        <w:trPr>
          <w:trHeight w:val="202"/>
        </w:trPr>
        <w:tc>
          <w:tcPr>
            <w:tcW w:w="8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14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6/30/2020</w:t>
            </w:r>
          </w:p>
        </w:tc>
      </w:tr>
      <w:tr>
        <w:trPr>
          <w:trHeight w:val="25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w:t>
            </w:r>
          </w:p>
        </w:tc>
      </w:tr>
      <w:tr>
        <w:trPr>
          <w:trHeight w:val="26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10.8%</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(5.7)%</w:t>
            </w:r>
          </w:p>
        </w:tc>
      </w:tr>
      <w:tr>
        <w:trPr>
          <w:trHeight w:val="277"/>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w:t>
            </w:r>
          </w:p>
        </w:tc>
      </w:tr>
      <w:tr>
        <w:trPr>
          <w:trHeight w:val="26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.6%</w:t>
            </w:r>
          </w:p>
        </w:tc>
      </w:tr>
      <w:tr>
        <w:trPr>
          <w:trHeight w:val="277"/>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57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Assets under management ended the second quarter of 2020 at $1,220.0 billion, an increase of $211.2 billion from March 31, 2020 and $13.2 billion from the end of 2019. Net cash inflows were $14.7 billion, including large subscriptions from institutional clients into U.S. equity and multi-asset, and clients transferred $4.4 billion in net assets from the U.S. mutual funds to other investment products, of which $1.8 billion transferred into the retirement date trusts. Market appreciation and income, net of dividends not reinvested, increased our assets under management by $196.5 billion in the second quarter of 2020.</w:t>
      </w:r>
    </w:p>
    <w:p>
      <w:pPr>
        <w:spacing w:after="0" w:line="20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the six months ended June 30, 2020, net cash inflows were $8.7 billion, and clients transferred $8.8 billion in net assets from the U.S. mutual funds to other investment products, of which $6.1 billion transferred into the retirement date trusts. Market appreciation and income, net of dividends not reinvested, increased our assets under management by $4.5 billion in the six months ended June 30, 2020.</w:t>
      </w:r>
    </w:p>
    <w:p>
      <w:pPr>
        <w:spacing w:after="0" w:line="20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tables detail changes in our assets under management, by vehicle and asset class during the three- and six-month periods ended June 30,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6/30/2020</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Six months ended 6/30/2020</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U.S. mutual</w:t>
            </w: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U.S. mutual</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6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8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funds</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funds</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8"/>
        </w:trPr>
        <w:tc>
          <w:tcPr>
            <w:tcW w:w="2160" w:type="dxa"/>
            <w:vAlign w:val="bottom"/>
          </w:tcPr>
          <w:p>
            <w:pPr>
              <w:ind w:left="40"/>
              <w:spacing w:after="0"/>
              <w:rPr>
                <w:sz w:val="20"/>
                <w:szCs w:val="20"/>
                <w:color w:val="auto"/>
              </w:rPr>
            </w:pPr>
            <w:r>
              <w:rPr>
                <w:rFonts w:ascii="Arial" w:cs="Arial" w:eastAsia="Arial" w:hAnsi="Arial"/>
                <w:sz w:val="16"/>
                <w:szCs w:val="16"/>
                <w:color w:val="auto"/>
              </w:rPr>
              <w:t>Net market appreciation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tcPr>
          <w:p>
            <w:pPr>
              <w:ind w:left="40"/>
              <w:spacing w:after="0"/>
              <w:rPr>
                <w:sz w:val="20"/>
                <w:szCs w:val="20"/>
                <w:color w:val="auto"/>
              </w:rPr>
            </w:pPr>
            <w:r>
              <w:rPr>
                <w:rFonts w:ascii="Arial" w:cs="Arial" w:eastAsia="Arial" w:hAnsi="Arial"/>
                <w:sz w:val="16"/>
                <w:szCs w:val="16"/>
                <w:color w:val="auto"/>
              </w:rPr>
              <w:t>(depreciation) and income</w:t>
            </w:r>
          </w:p>
        </w:tc>
        <w:tc>
          <w:tcPr>
            <w:tcW w:w="18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not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reinvested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160" w:type="dxa"/>
            <w:vAlign w:val="bottom"/>
          </w:tcPr>
          <w:p>
            <w:pPr>
              <w:ind w:left="40"/>
              <w:spacing w:after="0"/>
              <w:rPr>
                <w:sz w:val="20"/>
                <w:szCs w:val="20"/>
                <w:color w:val="auto"/>
              </w:rPr>
            </w:pPr>
            <w:r>
              <w:rPr>
                <w:rFonts w:ascii="Arial" w:cs="Arial" w:eastAsia="Arial" w:hAnsi="Arial"/>
                <w:sz w:val="16"/>
                <w:szCs w:val="16"/>
                <w:color w:val="auto"/>
              </w:rPr>
              <w:t>Assets under management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670.8</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327.5</w:t>
            </w:r>
          </w:p>
        </w:tc>
        <w:tc>
          <w:tcPr>
            <w:tcW w:w="12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1,220.0</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670.8</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42"/>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1,220.0</w:t>
            </w: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6"/>
                <w:szCs w:val="16"/>
                <w:color w:val="auto"/>
              </w:rPr>
              <w:t>at June 30, 2020</w:t>
            </w:r>
          </w:p>
        </w:tc>
        <w:tc>
          <w:tcPr>
            <w:tcW w:w="1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6/30/2020</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Six months ended 6/30/2020</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including money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8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money market</w:t>
            </w:r>
          </w:p>
        </w:tc>
        <w:tc>
          <w:tcPr>
            <w:tcW w:w="12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Multi-asset</w:t>
            </w:r>
            <w:r>
              <w:rPr>
                <w:rFonts w:ascii="Arial" w:cs="Arial" w:eastAsia="Arial" w:hAnsi="Arial"/>
                <w:sz w:val="17"/>
                <w:szCs w:val="17"/>
                <w:b w:val="1"/>
                <w:bCs w:val="1"/>
                <w:color w:val="auto"/>
                <w:w w:val="98"/>
                <w:vertAlign w:val="superscript"/>
              </w:rPr>
              <w:t>(1)</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beginning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569.3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2160" w:type="dxa"/>
            <w:vAlign w:val="bottom"/>
          </w:tcPr>
          <w:p>
            <w:pPr>
              <w:ind w:left="40"/>
              <w:spacing w:after="0"/>
              <w:rPr>
                <w:sz w:val="20"/>
                <w:szCs w:val="20"/>
                <w:color w:val="auto"/>
              </w:rPr>
            </w:pPr>
            <w:r>
              <w:rPr>
                <w:rFonts w:ascii="Arial" w:cs="Arial" w:eastAsia="Arial" w:hAnsi="Arial"/>
                <w:sz w:val="16"/>
                <w:szCs w:val="16"/>
                <w:color w:val="auto"/>
              </w:rPr>
              <w:t>Net market appreciation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tcPr>
          <w:p>
            <w:pPr>
              <w:ind w:left="40"/>
              <w:spacing w:after="0" w:line="219" w:lineRule="exact"/>
              <w:rPr>
                <w:sz w:val="20"/>
                <w:szCs w:val="20"/>
                <w:color w:val="auto"/>
              </w:rPr>
            </w:pPr>
            <w:r>
              <w:rPr>
                <w:rFonts w:ascii="Arial" w:cs="Arial" w:eastAsia="Arial" w:hAnsi="Arial"/>
                <w:sz w:val="16"/>
                <w:szCs w:val="16"/>
                <w:color w:val="auto"/>
              </w:rPr>
              <w:t>(depreciation) and income</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8"/>
        </w:trPr>
        <w:tc>
          <w:tcPr>
            <w:tcW w:w="2160" w:type="dxa"/>
            <w:vAlign w:val="bottom"/>
          </w:tcPr>
          <w:p>
            <w:pPr>
              <w:ind w:left="40"/>
              <w:spacing w:after="0"/>
              <w:rPr>
                <w:sz w:val="20"/>
                <w:szCs w:val="20"/>
                <w:color w:val="auto"/>
              </w:rPr>
            </w:pPr>
            <w:r>
              <w:rPr>
                <w:rFonts w:ascii="Arial" w:cs="Arial" w:eastAsia="Arial" w:hAnsi="Arial"/>
                <w:sz w:val="16"/>
                <w:szCs w:val="16"/>
                <w:color w:val="auto"/>
              </w:rPr>
              <w:t>Assets under management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718.9</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2"/>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7"/>
                <w:szCs w:val="17"/>
                <w:color w:val="auto"/>
              </w:rPr>
            </w:pPr>
          </w:p>
        </w:tc>
        <w:tc>
          <w:tcPr>
            <w:tcW w:w="260" w:type="dxa"/>
            <w:vAlign w:val="bottom"/>
            <w:gridSpan w:val="2"/>
            <w:vMerge w:val="restart"/>
          </w:tcPr>
          <w:p>
            <w:pPr>
              <w:jc w:val="right"/>
              <w:ind w:right="64"/>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1,220.0</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718.9</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42"/>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1,220.0</w:t>
            </w:r>
          </w:p>
        </w:tc>
        <w:tc>
          <w:tcPr>
            <w:tcW w:w="0" w:type="dxa"/>
            <w:vAlign w:val="bottom"/>
          </w:tcPr>
          <w:p>
            <w:pPr>
              <w:spacing w:after="0"/>
              <w:rPr>
                <w:sz w:val="1"/>
                <w:szCs w:val="1"/>
                <w:color w:val="auto"/>
              </w:rPr>
            </w:pPr>
          </w:p>
        </w:tc>
      </w:tr>
      <w:tr>
        <w:trPr>
          <w:trHeight w:val="195"/>
        </w:trPr>
        <w:tc>
          <w:tcPr>
            <w:tcW w:w="2160" w:type="dxa"/>
            <w:vAlign w:val="bottom"/>
          </w:tcPr>
          <w:p>
            <w:pPr>
              <w:ind w:left="40"/>
              <w:spacing w:after="0"/>
              <w:rPr>
                <w:sz w:val="20"/>
                <w:szCs w:val="20"/>
                <w:color w:val="auto"/>
              </w:rPr>
            </w:pPr>
            <w:r>
              <w:rPr>
                <w:rFonts w:ascii="Arial" w:cs="Arial" w:eastAsia="Arial" w:hAnsi="Arial"/>
                <w:sz w:val="16"/>
                <w:szCs w:val="16"/>
                <w:color w:val="auto"/>
              </w:rPr>
              <w:t>at June 30, 2020</w:t>
            </w:r>
          </w:p>
        </w:tc>
        <w:tc>
          <w:tcPr>
            <w:tcW w:w="1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3810</wp:posOffset>
            </wp:positionV>
            <wp:extent cx="576897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pacing w:after="0" w:line="17" w:lineRule="exact"/>
        <w:rPr>
          <w:sz w:val="20"/>
          <w:szCs w:val="20"/>
          <w:color w:val="auto"/>
        </w:rPr>
      </w:pPr>
    </w:p>
    <w:p>
      <w:pPr>
        <w:ind w:left="180" w:right="160" w:hanging="172"/>
        <w:spacing w:after="0"/>
        <w:tabs>
          <w:tab w:leader="none" w:pos="153" w:val="left"/>
        </w:tabs>
        <w:numPr>
          <w:ilvl w:val="0"/>
          <w:numId w:val="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42" w:lineRule="exact"/>
        <w:rPr>
          <w:rFonts w:ascii="Arial" w:cs="Arial" w:eastAsia="Arial" w:hAnsi="Arial"/>
          <w:sz w:val="17"/>
          <w:szCs w:val="17"/>
          <w:i w:val="1"/>
          <w:iCs w:val="1"/>
          <w:color w:val="auto"/>
          <w:vertAlign w:val="superscript"/>
        </w:rPr>
      </w:pPr>
    </w:p>
    <w:p>
      <w:pPr>
        <w:ind w:left="160" w:hanging="152"/>
        <w:spacing w:after="0" w:line="199" w:lineRule="auto"/>
        <w:tabs>
          <w:tab w:leader="none" w:pos="16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distributions reinvested and not reinvested.</w:t>
      </w:r>
    </w:p>
    <w:p>
      <w:pPr>
        <w:spacing w:after="0" w:line="14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Investment advisory clients outside the U.S. account for about 8.2% of our assets under management at June 30, 2020 and 6.9% at December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549" w:right="339" w:bottom="1440" w:gutter="0" w:footer="0" w:header="0"/>
        </w:sectPr>
      </w:pPr>
    </w:p>
    <w:bookmarkStart w:id="22" w:name="page23"/>
    <w:bookmarkEnd w:id="22"/>
    <w:p>
      <w:pPr>
        <w:ind w:right="160"/>
        <w:spacing w:after="0" w:line="26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were as follows:</w:t>
      </w:r>
    </w:p>
    <w:p>
      <w:pPr>
        <w:spacing w:after="0" w:line="118"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6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6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12/31/2019</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date retirement U.S. mutual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164.8</w:t>
            </w:r>
          </w:p>
        </w:tc>
      </w:tr>
      <w:tr>
        <w:trPr>
          <w:trHeight w:val="263"/>
        </w:trPr>
        <w:tc>
          <w:tcPr>
            <w:tcW w:w="6140" w:type="dxa"/>
            <w:vAlign w:val="bottom"/>
          </w:tcPr>
          <w:p>
            <w:pPr>
              <w:ind w:left="20"/>
              <w:spacing w:after="0"/>
              <w:rPr>
                <w:sz w:val="20"/>
                <w:szCs w:val="20"/>
                <w:color w:val="auto"/>
              </w:rPr>
            </w:pPr>
            <w:r>
              <w:rPr>
                <w:rFonts w:ascii="Arial" w:cs="Arial" w:eastAsia="Arial" w:hAnsi="Arial"/>
                <w:sz w:val="18"/>
                <w:szCs w:val="18"/>
                <w:color w:val="auto"/>
              </w:rPr>
              <w:t>Target date separate accounts</w:t>
            </w:r>
          </w:p>
        </w:tc>
        <w:tc>
          <w:tcPr>
            <w:tcW w:w="26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8.4</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date retirement trusts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119.2</w:t>
            </w:r>
          </w:p>
        </w:tc>
      </w:tr>
      <w:tr>
        <w:trPr>
          <w:trHeight w:val="237"/>
        </w:trPr>
        <w:tc>
          <w:tcPr>
            <w:tcW w:w="614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284.2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292.4</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target date retirement products experienced net cash outflows of $.2 billion in the second quarter of 2020 and net cash inflows of $.5 billion in the first six months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4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June 30, 2020,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1 year</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63"/>
        </w:trPr>
        <w:tc>
          <w:tcPr>
            <w:tcW w:w="3740" w:type="dxa"/>
            <w:vAlign w:val="bottom"/>
          </w:tcPr>
          <w:p>
            <w:pPr>
              <w:ind w:left="40"/>
              <w:spacing w:after="0"/>
              <w:rPr>
                <w:sz w:val="20"/>
                <w:szCs w:val="20"/>
                <w:color w:val="auto"/>
              </w:rPr>
            </w:pPr>
            <w:r>
              <w:rPr>
                <w:rFonts w:ascii="Arial" w:cs="Arial" w:eastAsia="Arial" w:hAnsi="Arial"/>
                <w:sz w:val="16"/>
                <w:szCs w:val="16"/>
                <w:color w:val="auto"/>
              </w:rPr>
              <w:t>Outperformed Morningstar median</w:t>
            </w:r>
            <w:r>
              <w:rPr>
                <w:rFonts w:ascii="Arial" w:cs="Arial" w:eastAsia="Arial" w:hAnsi="Arial"/>
                <w:sz w:val="21"/>
                <w:szCs w:val="21"/>
                <w:color w:val="auto"/>
                <w:vertAlign w:val="superscript"/>
              </w:rPr>
              <w:t>(2)</w:t>
            </w: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60"/>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88%</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89%</w:t>
            </w:r>
          </w:p>
        </w:tc>
      </w:tr>
      <w:tr>
        <w:trPr>
          <w:trHeight w:val="172"/>
        </w:trPr>
        <w:tc>
          <w:tcPr>
            <w:tcW w:w="37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Top Morningstar quartile</w:t>
            </w:r>
            <w:r>
              <w:rPr>
                <w:rFonts w:ascii="Arial" w:cs="Arial" w:eastAsia="Arial" w:hAnsi="Arial"/>
                <w:sz w:val="21"/>
                <w:szCs w:val="21"/>
                <w:color w:val="auto"/>
                <w:vertAlign w:val="superscript"/>
              </w:rPr>
              <w:t>(2)</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r>
      <w:tr>
        <w:trPr>
          <w:trHeight w:val="250"/>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74%</w:t>
            </w:r>
          </w:p>
        </w:tc>
      </w:tr>
    </w:tbl>
    <w:p>
      <w:pPr>
        <w:spacing w:after="0" w:line="2" w:lineRule="exact"/>
        <w:rPr>
          <w:sz w:val="20"/>
          <w:szCs w:val="20"/>
          <w:color w:val="auto"/>
        </w:rPr>
      </w:pPr>
    </w:p>
    <w:p>
      <w:pPr>
        <w:ind w:left="160" w:hanging="152"/>
        <w:spacing w:after="0"/>
        <w:tabs>
          <w:tab w:leader="none" w:pos="160" w:val="left"/>
        </w:tabs>
        <w:numPr>
          <w:ilvl w:val="0"/>
          <w:numId w:val="8"/>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11" w:lineRule="exact"/>
        <w:rPr>
          <w:rFonts w:ascii="Arial" w:cs="Arial" w:eastAsia="Arial" w:hAnsi="Arial"/>
          <w:sz w:val="9"/>
          <w:szCs w:val="9"/>
          <w:i w:val="1"/>
          <w:iCs w:val="1"/>
          <w:color w:val="auto"/>
        </w:rPr>
      </w:pPr>
    </w:p>
    <w:p>
      <w:pPr>
        <w:jc w:val="both"/>
        <w:ind w:left="180" w:right="40" w:hanging="172"/>
        <w:spacing w:after="0"/>
        <w:tabs>
          <w:tab w:leader="none" w:pos="153" w:val="left"/>
        </w:tabs>
        <w:numPr>
          <w:ilvl w:val="0"/>
          <w:numId w:val="8"/>
        </w:numPr>
        <w:rPr>
          <w:rFonts w:ascii="Arial" w:cs="Arial" w:eastAsia="Arial" w:hAnsi="Arial"/>
          <w:sz w:val="9"/>
          <w:szCs w:val="9"/>
          <w:i w:val="1"/>
          <w:iCs w:val="1"/>
          <w:color w:val="auto"/>
        </w:rPr>
      </w:pPr>
      <w:r>
        <w:rPr>
          <w:rFonts w:ascii="Arial" w:cs="Arial" w:eastAsia="Arial" w:hAnsi="Arial"/>
          <w:sz w:val="13"/>
          <w:szCs w:val="13"/>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21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In addition, 79% of assets under management in our rated U.S. mutual funds (across primary share classes) ended the quarter with an overall rating of four or five stars from Morningstar. The performance of our institutional strategies against their benchmarks remains competitive, especially over longer time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4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 months ended June 30, 2020 and 2019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240"/>
          </w:cols>
          <w:pgMar w:left="320" w:top="78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Q2 2020 vs. Q2 2019</w:t>
            </w:r>
          </w:p>
        </w:tc>
        <w:tc>
          <w:tcPr>
            <w:tcW w:w="2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YTD 2020 vs. YTD 2019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0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Pr>
          <w:p>
            <w:pPr>
              <w:spacing w:after="0"/>
              <w:rPr>
                <w:sz w:val="22"/>
                <w:szCs w:val="22"/>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22"/>
                <w:szCs w:val="22"/>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U.S. GAAP basis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0" w:type="dxa"/>
            <w:vAlign w:val="bottom"/>
          </w:tcPr>
          <w:p>
            <w:pPr>
              <w:spacing w:after="0"/>
              <w:rPr>
                <w:sz w:val="22"/>
                <w:szCs w:val="22"/>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1,293.8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1,270.2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1.9 %</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2,621.6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2,464.4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2,878.0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2,722.5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861.7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780.1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10.5 %</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1,617.1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1,574.9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Non-operating income (loss)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415.1</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290.6</w:t>
            </w:r>
          </w:p>
        </w:tc>
        <w:tc>
          <w:tcPr>
            <w:tcW w:w="100" w:type="dxa"/>
            <w:vAlign w:val="bottom"/>
          </w:tcPr>
          <w:p>
            <w:pPr>
              <w:spacing w:after="0"/>
              <w:rPr>
                <w:sz w:val="18"/>
                <w:szCs w:val="18"/>
                <w:color w:val="auto"/>
              </w:rPr>
            </w:pPr>
          </w:p>
        </w:tc>
        <w:tc>
          <w:tcPr>
            <w:tcW w:w="1320" w:type="dxa"/>
            <w:vAlign w:val="bottom"/>
            <w:gridSpan w:val="2"/>
            <w:vMerge w:val="restart"/>
          </w:tcPr>
          <w:p>
            <w:pPr>
              <w:ind w:left="600"/>
              <w:spacing w:after="0"/>
              <w:rPr>
                <w:sz w:val="20"/>
                <w:szCs w:val="20"/>
                <w:color w:val="auto"/>
              </w:rPr>
            </w:pPr>
            <w:r>
              <w:rPr>
                <w:rFonts w:ascii="Arial" w:cs="Arial" w:eastAsia="Arial" w:hAnsi="Arial"/>
                <w:sz w:val="16"/>
                <w:szCs w:val="16"/>
                <w:color w:val="auto"/>
              </w:rPr>
              <w:t>n/m</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18"/>
                <w:szCs w:val="18"/>
                <w:color w:val="auto"/>
              </w:rPr>
            </w:pPr>
          </w:p>
        </w:tc>
        <w:tc>
          <w:tcPr>
            <w:tcW w:w="1100" w:type="dxa"/>
            <w:vAlign w:val="bottom"/>
            <w:vMerge w:val="restart"/>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2"/>
        </w:trPr>
        <w:tc>
          <w:tcPr>
            <w:tcW w:w="1460" w:type="dxa"/>
            <w:vAlign w:val="bottom"/>
            <w:gridSpan w:val="2"/>
          </w:tcPr>
          <w:p>
            <w:pPr>
              <w:ind w:left="40"/>
              <w:spacing w:after="0"/>
              <w:rPr>
                <w:sz w:val="20"/>
                <w:szCs w:val="20"/>
                <w:color w:val="auto"/>
              </w:rPr>
            </w:pPr>
            <w:r>
              <w:rPr>
                <w:rFonts w:ascii="Arial" w:cs="Arial" w:eastAsia="Arial" w:hAnsi="Arial"/>
                <w:sz w:val="11"/>
                <w:szCs w:val="11"/>
                <w:color w:val="auto"/>
              </w:rPr>
              <w:t>(1)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Rowe Price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Diluted earnings per</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common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Weighted average common</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shares outstanding</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assuming dilution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24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Adjusted non-GAAP basis</w:t>
            </w:r>
            <w:r>
              <w:rPr>
                <w:rFonts w:ascii="Arial" w:cs="Arial" w:eastAsia="Arial" w:hAnsi="Arial"/>
                <w:sz w:val="21"/>
                <w:szCs w:val="21"/>
                <w:b w:val="1"/>
                <w:bCs w:val="1"/>
                <w:color w:val="auto"/>
                <w:vertAlign w:val="superscript"/>
              </w:rPr>
              <w:t>(2)</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Borders>
              <w:top w:val="single" w:sz="8" w:color="CCEEFF"/>
            </w:tcBorders>
          </w:tcPr>
          <w:p>
            <w:pPr>
              <w:spacing w:after="0"/>
              <w:rPr>
                <w:sz w:val="22"/>
                <w:szCs w:val="22"/>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CCEEFF"/>
            </w:tcBorders>
            <w:gridSpan w:val="2"/>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785.8</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764.6</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21.2</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2.8 %</w:t>
            </w:r>
          </w:p>
        </w:tc>
        <w:tc>
          <w:tcPr>
            <w:tcW w:w="2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1,603.7</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1,521.2</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82.5</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Non-operating income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3"/>
                <w:szCs w:val="23"/>
                <w:color w:val="auto"/>
              </w:rPr>
            </w:pPr>
          </w:p>
        </w:tc>
        <w:tc>
          <w:tcPr>
            <w:tcW w:w="1320" w:type="dxa"/>
            <w:vAlign w:val="bottom"/>
            <w:gridSpan w:val="2"/>
          </w:tcPr>
          <w:p>
            <w:pPr>
              <w:ind w:left="600"/>
              <w:spacing w:after="0"/>
              <w:rPr>
                <w:sz w:val="20"/>
                <w:szCs w:val="20"/>
                <w:color w:val="auto"/>
              </w:rPr>
            </w:pPr>
            <w:r>
              <w:rPr>
                <w:rFonts w:ascii="Arial" w:cs="Arial" w:eastAsia="Arial" w:hAnsi="Arial"/>
                <w:sz w:val="16"/>
                <w:szCs w:val="16"/>
                <w:color w:val="auto"/>
              </w:rPr>
              <w:t>n/m</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4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Rowe Price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Diluted earnings per</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common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145"/>
        </w:trPr>
        <w:tc>
          <w:tcPr>
            <w:tcW w:w="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Average assets under</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Ending assets under</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rPr>
              <w:t>management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1,220.0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8.4 %</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1,220.0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bl>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4408805</wp:posOffset>
            </wp:positionH>
            <wp:positionV relativeFrom="page">
              <wp:posOffset>311785</wp:posOffset>
            </wp:positionV>
            <wp:extent cx="8255" cy="4517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4517390"/>
                    </a:xfrm>
                    <a:prstGeom prst="rect">
                      <a:avLst/>
                    </a:prstGeom>
                    <a:noFill/>
                  </pic:spPr>
                </pic:pic>
              </a:graphicData>
            </a:graphic>
          </wp:anchor>
        </w:drawing>
      </w: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(loss) is not meaningful (n/m).</w:t>
      </w:r>
    </w:p>
    <w:p>
      <w:pPr>
        <w:ind w:left="140" w:hanging="132"/>
        <w:spacing w:after="0" w:line="224"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June 30, 2020</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Investment advisory revenues earned in the second quarter of 2020 increased over the comparable 2019 quarter as average assets under our management increased $40.4 billion, or 3.7%, to $1,140.2 billion. The average annualized effective fee rate earned during the second quarter of 2020 was 45.6 basis points, compared with 46.3 basis points earned during the second quarter of 2019.</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Further, beginning in the second quarter of 2020, we voluntarily waived a portion of our money market advisory fees and fund expenses in order to maintain a positive yield for investors. We waived $2.7 million, or less than 1% of total investment advisory fees from certain of our money market mutual funds, trusts and other investment portfolios during the second quarter of 2020. At June 30, 2020, combined net assets of the funds and trusts in which we waived fees in the second quarter of 2020 were $22.4 billion. We expect to continue to waive fees for at least the remainder of 2020.</w:t>
      </w:r>
    </w:p>
    <w:p>
      <w:pPr>
        <w:spacing w:after="0" w:line="20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annualized effective fee rate declined primarily due to client transfers within the complex to lower fee vehicles or share classes over the last twelve months.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220"/>
          </w:cols>
          <w:pgMar w:left="320" w:top="490" w:right="359" w:bottom="1440" w:gutter="0" w:footer="0" w:header="0"/>
        </w:sectPr>
      </w:pPr>
    </w:p>
    <w:bookmarkStart w:id="24" w:name="page25"/>
    <w:bookmarkEnd w:id="24"/>
    <w:p>
      <w:pPr>
        <w:ind w:right="100"/>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$861.7 million in the second quarter of 2020 compared with $780.1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The increase in operating expenses for the second quarter of 2020 was primarily due to an increase in market-related compensation expense of $60.5 million related to the increase in the supplemental savings plan liability and, to a lesser extent, higher salaries and the firm’s continued strategic investments. For the second quarter of 2020, the higher compensation expense related to the supplemental savings plan was largely offset by the non-operating gains earned on the investments used to economically hedge the related liability.</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non-GAAP basis, our operating expenses in the second quarter of 2020 increased 2.8% to $785.8 million compared to the second quarter of 2019. Our non-GAAP operating expenses do not include the impact of our supplemental savings plan and consolidated sponsored investment products. See our non-GAAP reconciliations later in this Management’s Discussion and Analysis section.</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second quarter of 2020 was 39.1%, compared to 44.1% earned in the 2019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operating margin for the second quarter of 2020 compared to the 2019 period was primarily driven by the higher compensation expense related to our supplemental savings plan as markets in the second quarter of 2020 outperformed the same period in 2019.</w:t>
      </w:r>
    </w:p>
    <w:p>
      <w:pPr>
        <w:spacing w:after="0" w:line="18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$ 2.55 for the second quarter of 2020 as compared to $2.15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The 18.6% increase was primarily driven by the significantly higher investment gains recognized in the second quarter of 2020 as compared to the second quarter of 2019 as well as a 4.1% decline in weighted average shares outstanding. These drivers of the increase in diluted earnings per share were partially offset by lower operating income in the second quarter of 2020.</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a non-GAAP basis, diluted earnings per share was $2.29 for the second quarter of 2020 as compared to $2.03 for the second quarter of 2019. The increase in diluted earnings per share was primarily due to higher investment gains and lower shares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June 30, 2020</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the six months ended June 30, 2020 increased over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2019 period as average assets under our management increased $79.6 billion, or 7.4%, to $1,151.4 billion. The average annualized effective fee rate earned on our assets under management during the six months ended June 30, 2020 was 45.8 basis points compared with 46.4 basis points earned during the same period of 2019.</w:t>
      </w:r>
    </w:p>
    <w:p>
      <w:pPr>
        <w:spacing w:after="0" w:line="19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annualized effective fee rate declined primarily due to client transfers within the complex to lower fee vehicles or share classes over the last twelve months.</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$1,617.1 million in the six months ended June 30, 2020 compared with $1,574.9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2019 period. The increase in operating expenses was primarily due to higher salary and benefits expense, interim bonus accrual, stock-based compensation expense and our continued strategic investments. These increases were partially offset by lower market-related compensation expense of $39.8 million related to the supplemental savings plan.</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 non-GAAP basis, our operating expenses for the six months ended June 30, 2020 increased 5.4% to $1,603.7 million compared to the 2019 period. Our non-GAAP operating expenses do not include the impact of our supplemental savings plan and consolidated sponsored investment products. See our non-GAAP reconciliations later in this Management’s Discussion and Analysis section.</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While we anticipate that the coronavirus pandemic will continue to reduce certain expense categories, such as travel, we have changed our expected full-year 2020 non-GAAP operating expense growth to 3%-6%, from the 1%-4% provided in April 2020 as the sharp market recovery in the second quarter of 2020 has increased our AUM-related expenses. This range includes investments in our critical strategic initiatives to promote long-term growth of the business. We could elect to further adjust our expense growth should unforeseen circumstances arise, including significant market movements and ongoing disruption resulting from the coronavirus pandemic.</w:t>
      </w:r>
    </w:p>
    <w:p>
      <w:pPr>
        <w:spacing w:after="0" w:line="18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six months ended June 30, 2020 was 43.8%, compared to 42.2% earned in the 2019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our operating margin for the six months ended June 30, 2020 compared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200"/>
          </w:cols>
          <w:pgMar w:left="320" w:top="337" w:right="379" w:bottom="1440" w:gutter="0" w:footer="0" w:header="0"/>
        </w:sectPr>
      </w:pPr>
    </w:p>
    <w:bookmarkStart w:id="25" w:name="page26"/>
    <w:bookmarkEnd w:id="25"/>
    <w:p>
      <w:pPr>
        <w:ind w:right="180"/>
        <w:spacing w:after="0" w:line="261" w:lineRule="auto"/>
        <w:rPr>
          <w:sz w:val="20"/>
          <w:szCs w:val="20"/>
          <w:color w:val="auto"/>
        </w:rPr>
      </w:pPr>
      <w:r>
        <w:rPr>
          <w:rFonts w:ascii="Arial" w:cs="Arial" w:eastAsia="Arial" w:hAnsi="Arial"/>
          <w:sz w:val="18"/>
          <w:szCs w:val="18"/>
          <w:color w:val="auto"/>
        </w:rPr>
        <w:t>to the 2019 period was primarily driven by the lower compensation expense related to our supplemental savings plan as markets in the first half of 2020 underperformed the same period in 2019 as global markets were disrupted by the coronavirus pandemic during 2020.</w:t>
      </w:r>
    </w:p>
    <w:p>
      <w:pPr>
        <w:spacing w:after="0" w:line="18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$3.95 for the six months ended June 30, 2020 as compared to $4.23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The 6.6% decrease was primarily driven by investment losses recognized in the six months ended June 30, 2020 as compared to gains generated in the six months ended June 30, 2019. Higher operating income, lower outstanding shares, and a lower effective tax rate in the first half of 2020 reduced the impact of the investment losses.</w:t>
      </w:r>
    </w:p>
    <w:p>
      <w:pPr>
        <w:spacing w:after="0" w:line="19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Diluted earnings per share on a non-GAAP basis was $ 4.15 for the six months ended June 30, 2020 as compared to $3.90 for the six months ended June 30, 2019. The increase in adjusted diluted earnings per share was primarily due to higher operating income, lower shares outstanding, and a lower effective tax rate. The impact of these drivers were partially offset by investment losses recognized in the 2020 period. See our non-GAAP reconciliations later in this Management’s Discussion and Analysis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Q2 2020 vs. Q2 2019</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YTD 2020 vs. YTD 2019</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184"/>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advisory</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3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fees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U.S. mutual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823.1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860.7</w:t>
            </w:r>
          </w:p>
        </w:tc>
        <w:tc>
          <w:tcPr>
            <w:tcW w:w="100" w:type="dxa"/>
            <w:vAlign w:val="bottom"/>
          </w:tcPr>
          <w:p>
            <w:pPr>
              <w:spacing w:after="0"/>
              <w:rPr>
                <w:sz w:val="22"/>
                <w:szCs w:val="22"/>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1,676.6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2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Subadvised and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separate accounts and</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investment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134.5</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r>
      <w:tr>
        <w:trPr>
          <w:trHeight w:val="250"/>
        </w:trPr>
        <w:tc>
          <w:tcPr>
            <w:tcW w:w="19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1,293.8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1,270.2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2,621.6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2,464.4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157.2</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r>
      <w:tr>
        <w:trPr>
          <w:trHeight w:val="18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Administrative,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distribution, and</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servicing fees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Administrative fees</w:t>
            </w:r>
          </w:p>
        </w:tc>
        <w:tc>
          <w:tcPr>
            <w:tcW w:w="14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2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and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servicing fees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50"/>
        </w:trPr>
        <w:tc>
          <w:tcPr>
            <w:tcW w:w="19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256.4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4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1,415.4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2,878.0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2,722.5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155.5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advisory revenues earned in the second quarter of 2020 from our U.S. mutual funds were $823.1 million, a decrease of 4.4% from the comparable 2019 quarter. Average assets under management in these funds for the second quarter of 2020 decreased 1.6% from the 2019 quarter to $628.6 billion.</w:t>
      </w:r>
    </w:p>
    <w:p>
      <w:pPr>
        <w:spacing w:after="0" w:line="20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Investment advisory revenues earned in the six months ended June 30, 2020 from the firm's U.S. mutual funds were $1,699.3 million, an increase of 1.4% from the comparable 2019 period. Average assets under management in these funds for the six months ended June 30, 2020 increased 2.7% from the 2019 period to $641.5 billion.</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difference in the percentage of change in revenue compared with assets under management for both the 2020 quarter and year-to-date periods from the 2019 period is primarily due to client transfers within the complex to lower fee vehicles or shares classes during the last twelve months.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and separate accounts and other investment products</w:t>
      </w:r>
    </w:p>
    <w:p>
      <w:pPr>
        <w:spacing w:after="0" w:line="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Investment advisory revenues earned in the second quarter of 2020 from subadvised and separate accounts and other investment products were $470.7 million, an increase of 14.9% from the comparable 2019 quarter. Average assets under management for these products increased 10.9% from the 2019 quarter to $511.6 billion.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240"/>
          </w:cols>
          <w:pgMar w:left="320" w:top="355" w:right="339" w:bottom="1440" w:gutter="0" w:footer="0" w:header="0"/>
        </w:sectPr>
      </w:pPr>
    </w:p>
    <w:bookmarkStart w:id="26" w:name="page27"/>
    <w:bookmarkEnd w:id="26"/>
    <w:p>
      <w:pPr>
        <w:ind w:right="80"/>
        <w:spacing w:after="0" w:line="256" w:lineRule="auto"/>
        <w:rPr>
          <w:sz w:val="20"/>
          <w:szCs w:val="20"/>
          <w:color w:val="auto"/>
        </w:rPr>
      </w:pPr>
      <w:r>
        <w:rPr>
          <w:rFonts w:ascii="Arial" w:cs="Arial" w:eastAsia="Arial" w:hAnsi="Arial"/>
          <w:sz w:val="18"/>
          <w:szCs w:val="18"/>
          <w:color w:val="auto"/>
        </w:rPr>
        <w:t>Investment advisory revenues earned in the six months ended June 30, 2020 from subadvised and separate accounts as well as other investment products were $922.3 million, an increase of 17.1% from the 2019 period. Average assets under management for these products increased 14.0% from the 2019 period to $509.9 billion.</w:t>
      </w:r>
    </w:p>
    <w:p>
      <w:pPr>
        <w:spacing w:after="0" w:line="202"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Inflows into the Japanese ITMs, which have a higher than average fee rate have caused investment advisory fees in these portfolios to increase at a rate greater than the increase in their average assets under management. The fee rate earned on the Japanese ITMs is substantially offset by the costs incurred to distribute these products. Those costs are recorded as part of distribution and servicing expenses.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second quarter of 2020 were $121.6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$3.4 million, or 2.7%, from the comparable 2019 quarter. For the six months ended June 30, 2020, these fees were $256.4 million, a decrease of $ 1.7 million, or .7%, from the 2019 period. In this line, we recognize fees earned from providing administrative and distribution services to our investment advisory clients, primarily our U.S. mutual funds and their investors. The decrease for both periods was primarily due to lower 12b-1 revenue earned on certain share classes, including the Advisor and R classes, of the U.S. mutual funds as lower markets in 2020 as well as client transfers to lower fee vehicles and share classes over the last twelve months have reduced assets under management in these share classes. The decline in 12b-1 revenue is offset entirely by a reduction in the costs paid to third-party intermediaries that source these assets and reported in distribution and servicing expense. For the six months ended June 30, 2020 compared to the same period of 2019, the lower 12b-1 revenue was partially offset by increased retail transfer agent servicing activities and higher administrative services provided to fund shareholders.</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second quarter net revenues reflect the elimination of $2.1 million in 2020 and $2.2 million in 2019, of revenue earned from our consolidated T. Rowe Price investment products. For the six months ended June 30, 2020 and 2019, we eliminated $4.6 million in 2020 and $3.7 million in 2019 of net revenue. The corresponding expenses recognized by these products, and consolidated in our financial statements, were eliminated from operating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Q2 2020 vs. Q2 2019</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gridSpan w:val="4"/>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YTD 2020 vs. YTD 2019</w:t>
            </w:r>
          </w:p>
        </w:tc>
      </w:tr>
      <w:tr>
        <w:trPr>
          <w:trHeight w:val="263"/>
        </w:trPr>
        <w:tc>
          <w:tcPr>
            <w:tcW w:w="19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6/30/2019</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04"/>
        </w:trPr>
        <w:tc>
          <w:tcPr>
            <w:tcW w:w="1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4"/>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14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8"/>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promotion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14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28"/>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facility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18"/>
        </w:trPr>
        <w:tc>
          <w:tcPr>
            <w:tcW w:w="1940" w:type="dxa"/>
            <w:vAlign w:val="bottom"/>
          </w:tcPr>
          <w:p>
            <w:pPr>
              <w:ind w:left="40"/>
              <w:spacing w:after="0"/>
              <w:rPr>
                <w:sz w:val="20"/>
                <w:szCs w:val="20"/>
                <w:color w:val="auto"/>
              </w:rPr>
            </w:pPr>
            <w:r>
              <w:rPr>
                <w:rFonts w:ascii="Arial" w:cs="Arial" w:eastAsia="Arial" w:hAnsi="Arial"/>
                <w:sz w:val="16"/>
                <w:szCs w:val="16"/>
                <w:color w:val="auto"/>
              </w:rPr>
              <w:t>General, administrative,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and other</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16.1 %</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10.9 %</w:t>
            </w:r>
          </w:p>
        </w:tc>
      </w:tr>
      <w:tr>
        <w:trPr>
          <w:trHeight w:val="24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861.7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1,617.1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$549.0 million in the second quarter of 2020, an increase of $65.8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13.6%, compared to the 2019 quarter. The increase was primarily due to an increase in market-related expense of $60.5 million related to our supplemental savings plan as the sharp market recovery in the second quarter of 2020 increased the liability. Additionally, increases in base salaries and related employee costs, due to a 5.1% increase in our average staff size and, to a lesser extent, the modest increases in base salaries at the beginning of 2020, and higher non-cash stock-based compensation expense contributed to the increase in compensation and related costs in the 2020 period. These increases in compensation and related costs were offset in part by higher labor capitalization related to internally developed software and a lower interim accrual for annual variable compensation, primarily bonus compensation, from the 2019 quarter. We recognize the interim bonus accrual ratably over the year using the ratio of recognized quarterly net revenues to currently forecasted annual net revenues.</w:t>
      </w:r>
    </w:p>
    <w:p>
      <w:pPr>
        <w:spacing w:after="0" w:line="20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Compensation and related costs were $989.7 million in the six months ended June 30, 2020, an increase of $15.0 million, or 1.5%, compared to the 2019 period. The increase in compensation and related costs was primarily due to an increase in salaries, benefits and related employee costs, which have increased $32.2 million from the 2019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240"/>
          </w:cols>
          <w:pgMar w:left="320" w:top="355" w:right="339" w:bottom="1440" w:gutter="0" w:footer="0" w:header="0"/>
        </w:sectPr>
      </w:pPr>
    </w:p>
    <w:bookmarkStart w:id="27" w:name="page28"/>
    <w:bookmarkEnd w:id="27"/>
    <w:p>
      <w:pPr>
        <w:spacing w:after="0" w:line="253" w:lineRule="auto"/>
        <w:rPr>
          <w:sz w:val="20"/>
          <w:szCs w:val="20"/>
          <w:color w:val="auto"/>
        </w:rPr>
      </w:pPr>
      <w:r>
        <w:rPr>
          <w:rFonts w:ascii="Arial" w:cs="Arial" w:eastAsia="Arial" w:hAnsi="Arial"/>
          <w:sz w:val="18"/>
          <w:szCs w:val="18"/>
          <w:color w:val="auto"/>
        </w:rPr>
        <w:t>period. An increase of 5.4% in our average staff size and modest increases in base salaries at the beginning of 2020 have contributed to higher associate-related costs. Our interim accrual for annual variable compensation, primarily bonus compensation, also increased $10.8 million in 2020 from the 2019 period. These increases in compensation and related costs were offset in part by $39.8 million in lower market-related expense related to our supplemental savings plan and $13.0 million in higher labor capitalization related to internally developed software in 2020 period.</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includes those costs incurred to distribute T. Rowe Price products as well as client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servicing, recordkeeping, and administrative services. These costs were $62.0 million for the second quarter of 2020, a decrease of 3.7% from the $64.4 million recognized in the 2019 quarter. For the six months ended June 30, 2020, these costs were $127.7 million, a decrease of 2.4% over the $130.8 million recognized in the comparable 2019 period. The decrease for both periods is primarily driven by lower assets under management in those mutual funds for which we pay distribution and servicing costs as lower markets and client transfers to lower fee vehicles or share classes over the last twelve months reduced assets under management for these share classes. The decreases in costs related to these products were partially offset by higher distribution costs as a result of inflows into our Japanese ITMs.</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are recognized in this expense line and are offset entirely by the 12b-1 revenue we earn and report in administrative, distribution, and servicing fees.</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$13.4 million in the second quarter of 2020, a decrease of $6.4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32.3%, compared to the $19.8 million recognized in the 2019 quarter. For the six months ended June 30, 2020, these costs were $38.3 million, a decrease of $3.1 million, or 7.5%, compared to the 2019 period. The decrease for both periods is due primarily to lower media activity and fewer conference events in 2020 as compared to 2019.</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$111.3 million in the second quarter of 2020, an increase of $6.4 million, or 6.1%, compared to the $104.9 million recognized in the 2019 quarter. For the six months ended June 30, 2020, these costs were $216.7 million, an increase of $13.7 million, or 6.7%, compared to the 2019 period. The increase for both periods is due primarily to the ongoing investment in our technology capabilities, including related depreciation and hosted solution licenses.</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$86.4 million in the second quarter of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$12.0 million, or 16.1%, compared to the $74.4 million recognized in the 2019 quarter. For the six months ended June 30, 2020, these costs were $163.5 million, an increase of $16.1 million, or 10.9%, compared to the 2019 period. The increase for both periods is primarily due to certain nonrecurring administrative expenses, along with higher third-party investment research costs and higher professional fees. These increases were partially offset by lower travel expenses in the second quarter of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4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Non-operating income for the second quarter of 2020 was $415.1 million, an increase of $290.6 million from non-operating income in the second quarter of 2019 of $124.5 million. Non-operating loss for the six months ended June 30, 2020 was $85.2 million, a decrease of $412.5 million from non-operating income in the comparable 2019 period of $327.3 million. The following table details the components of non-operating income for the quarter and year-to-date periods.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180"/>
          </w:cols>
          <w:pgMar w:left="320" w:top="355"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64"/>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00" w:type="dxa"/>
            <w:vAlign w:val="bottom"/>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6/30/2019</w:t>
            </w:r>
          </w:p>
        </w:tc>
      </w:tr>
      <w:tr>
        <w:trPr>
          <w:trHeight w:val="269"/>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Cash and discretionary investments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6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r>
      <w:tr>
        <w:trPr>
          <w:trHeight w:val="263"/>
        </w:trPr>
        <w:tc>
          <w:tcPr>
            <w:tcW w:w="6600" w:type="dxa"/>
            <w:vAlign w:val="bottom"/>
          </w:tcPr>
          <w:p>
            <w:pPr>
              <w:ind w:left="280"/>
              <w:spacing w:after="0"/>
              <w:rPr>
                <w:sz w:val="20"/>
                <w:szCs w:val="20"/>
                <w:color w:val="auto"/>
              </w:rPr>
            </w:pPr>
            <w:r>
              <w:rPr>
                <w:rFonts w:ascii="Arial" w:cs="Arial" w:eastAsia="Arial" w:hAnsi="Arial"/>
                <w:sz w:val="18"/>
                <w:szCs w:val="18"/>
                <w:color w:val="auto"/>
              </w:rPr>
              <w:t>Market related gains and equity in earnings</w:t>
            </w:r>
          </w:p>
        </w:tc>
        <w:tc>
          <w:tcPr>
            <w:tcW w:w="16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45.9</w:t>
            </w: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6600" w:type="dxa"/>
            <w:vAlign w:val="bottom"/>
          </w:tcPr>
          <w:p>
            <w:pPr>
              <w:ind w:left="280"/>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7"/>
        </w:trPr>
        <w:tc>
          <w:tcPr>
            <w:tcW w:w="6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related gains (losses) and equity in earnings (losses)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178.8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152.4</w:t>
            </w: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 (loss)</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Net gains (losses) on investments</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170.6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161.9</w:t>
            </w:r>
          </w:p>
        </w:tc>
      </w:tr>
      <w:tr>
        <w:trPr>
          <w:trHeight w:val="277"/>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consolidated sponsored investment portfolios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164.7</w:t>
            </w:r>
          </w:p>
        </w:tc>
      </w:tr>
      <w:tr>
        <w:trPr>
          <w:trHeight w:val="263"/>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(loss), including foreign currency gains and losses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57"/>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327.3</w:t>
            </w: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investment portfolio recognized significant gains in the second quarter of 2020 as the markets rebounded sharply from the market losses experienced in the first quarter of 2020. Our consolidated investment products and supplemental savings plan hedge portfolio comprised about 75% of the net gains recognized during the second quarter of 2020. The cash and discretionary investment portfolio also experienced net investment gains of $85.8 million in the second quarter of 2020.</w:t>
      </w:r>
    </w:p>
    <w:p>
      <w:pPr>
        <w:spacing w:after="0" w:line="2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Despite the sharp market recovery in the second quarter of 2020, our investment portfolio for the six months ended June 30, 2020 has experienced net losses due to the global economies and markets disruption caused by the coronavirus pandemic in the first quarter of 2020. Our consolidated investment products and supplemental savings plan hedge portfolio comprised most of the net losses recognized during the six months ended June 30, 2020. The cash and discretionary investment portfolio partially offset these losses with net investment gains of $24.6 million in the six months ended June 30, 2020.</w:t>
      </w:r>
    </w:p>
    <w:p>
      <w:pPr>
        <w:spacing w:after="0" w:line="20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8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6/30/2019</w:t>
            </w:r>
          </w:p>
        </w:tc>
      </w:tr>
      <w:tr>
        <w:trPr>
          <w:trHeight w:val="256"/>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(loss) reflected in non-operating income (loss)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164.7</w:t>
            </w: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04"/>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9"/>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our interest in the consolidated 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Rowe Price investment products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88.0</w:t>
            </w:r>
          </w:p>
        </w:tc>
      </w:tr>
      <w:tr>
        <w:trPr>
          <w:trHeight w:val="229"/>
        </w:trPr>
        <w:tc>
          <w:tcPr>
            <w:tcW w:w="5700" w:type="dxa"/>
            <w:vAlign w:val="bottom"/>
          </w:tcPr>
          <w:p>
            <w:pPr>
              <w:ind w:left="40"/>
              <w:spacing w:after="0"/>
              <w:rPr>
                <w:sz w:val="20"/>
                <w:szCs w:val="20"/>
                <w:color w:val="auto"/>
              </w:rPr>
            </w:pPr>
            <w:r>
              <w:rPr>
                <w:rFonts w:ascii="Arial" w:cs="Arial" w:eastAsia="Arial" w:hAnsi="Arial"/>
                <w:sz w:val="18"/>
                <w:szCs w:val="18"/>
                <w:color w:val="auto"/>
              </w:rPr>
              <w:t>Net income (loss) attributable to redeemable non-controlling interests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(unrelated third-party investors)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69.8</w:t>
            </w:r>
          </w:p>
        </w:tc>
      </w:tr>
      <w:tr>
        <w:trPr>
          <w:trHeight w:val="250"/>
        </w:trPr>
        <w:tc>
          <w:tcPr>
            <w:tcW w:w="5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240"/>
          </w:cols>
          <w:pgMar w:left="320" w:top="4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effective tax rate for the second quarter of 2020 and 2019 was 24.8%. The effective tax rate for the second quarter of 2020 was impacted by a lower state effective tax rate, resulting primarily from the remeasurement of deferred tax liabilities related to the firm's investment portfolio, higher net gains attributable to redeemable non-controlling interests held in the firm's consolidated investment products, which are not taxable to the firm despite being included in pre-tax income, and lower discrete tax benefits associated with option exercises.</w:t>
      </w:r>
    </w:p>
    <w:p>
      <w:pPr>
        <w:spacing w:after="0" w:line="20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effective tax rate for the six months ended June 30, 2020 was 23.9%, compared with 24.7% in the 2019 period. The year-to-date 2020 effective tax rate was lower than the 2019 period primarily due to higher discrete tax benefits associated with option exercises in the 2020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for both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80" w:type="dxa"/>
            <w:vAlign w:val="bottom"/>
            <w:shd w:val="clear" w:color="auto" w:fill="CCEEFF"/>
          </w:tcPr>
          <w:p>
            <w:pPr>
              <w:spacing w:after="0"/>
              <w:rPr>
                <w:sz w:val="22"/>
                <w:szCs w:val="22"/>
                <w:color w:val="auto"/>
              </w:rPr>
            </w:pPr>
          </w:p>
        </w:tc>
        <w:tc>
          <w:tcPr>
            <w:tcW w:w="3300" w:type="dxa"/>
            <w:vAlign w:val="bottom"/>
            <w:gridSpan w:val="4"/>
            <w:shd w:val="clear" w:color="auto" w:fill="CCEEFF"/>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3"/>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38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6/30/2020</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6/30/2019</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6"/>
        </w:trPr>
        <w:tc>
          <w:tcPr>
            <w:tcW w:w="5380" w:type="dxa"/>
            <w:vAlign w:val="bottom"/>
          </w:tcPr>
          <w:p>
            <w:pPr>
              <w:ind w:left="40"/>
              <w:spacing w:after="0"/>
              <w:rPr>
                <w:sz w:val="20"/>
                <w:szCs w:val="20"/>
                <w:color w:val="auto"/>
              </w:rPr>
            </w:pPr>
            <w:r>
              <w:rPr>
                <w:rFonts w:ascii="Arial" w:cs="Arial" w:eastAsia="Arial" w:hAnsi="Arial"/>
                <w:sz w:val="18"/>
                <w:szCs w:val="18"/>
                <w:color w:val="auto"/>
              </w:rPr>
              <w:t>State income taxes for current year, net of federal income tax</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3"/>
        </w:trPr>
        <w:tc>
          <w:tcPr>
            <w:tcW w:w="5380" w:type="dxa"/>
            <w:vAlign w:val="bottom"/>
          </w:tcPr>
          <w:p>
            <w:pPr>
              <w:ind w:left="40"/>
              <w:spacing w:after="0" w:line="233" w:lineRule="exact"/>
              <w:rPr>
                <w:sz w:val="20"/>
                <w:szCs w:val="20"/>
                <w:color w:val="auto"/>
              </w:rPr>
            </w:pPr>
            <w:r>
              <w:rPr>
                <w:rFonts w:ascii="Arial" w:cs="Arial" w:eastAsia="Arial" w:hAnsi="Arial"/>
                <w:sz w:val="18"/>
                <w:szCs w:val="18"/>
                <w:color w:val="auto"/>
              </w:rPr>
              <w:t>benefits</w:t>
            </w:r>
            <w:r>
              <w:rPr>
                <w:rFonts w:ascii="Arial" w:cs="Arial" w:eastAsia="Arial" w:hAnsi="Arial"/>
                <w:sz w:val="21"/>
                <w:szCs w:val="21"/>
                <w:color w:val="auto"/>
                <w:vertAlign w:val="superscript"/>
              </w:rPr>
              <w:t>(1)</w:t>
            </w: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4.4</w:t>
            </w:r>
          </w:p>
        </w:tc>
      </w:tr>
      <w:tr>
        <w:trPr>
          <w:trHeight w:val="22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losses attributable to redeemable non-controlling</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5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29"/>
        </w:trPr>
        <w:tc>
          <w:tcPr>
            <w:tcW w:w="538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8"/>
                <w:szCs w:val="18"/>
                <w:color w:val="auto"/>
              </w:rPr>
              <w:t>activity</w:t>
            </w: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5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54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0</wp:posOffset>
            </wp:positionV>
            <wp:extent cx="3720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20465" cy="26035"/>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currently estimate our effective tax rate for the full-year 2020 will be in the range of 23% to 26%. Our effective tax rate will continue to experience volatility in future periods as the discrete tax benefits recognized from option exercises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05"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Our non-GAAP effective tax rate for the second quarter of 2020 and 2019 was 24.8% and 25.5%, respectively. Our non-GAAP effective tax rate for the six months ended June 30, 2020 and 2019 was 23.8% and 25.4%, respectively. The non-GAAP tax rate primarily adjusts for the impact of the consolidated investment products, including the significant net losses attributable to the redeemable non-controlling interests.</w:t>
      </w:r>
    </w:p>
    <w:p>
      <w:pPr>
        <w:jc w:val="both"/>
        <w:ind w:right="100"/>
        <w:spacing w:after="0" w:line="256" w:lineRule="auto"/>
        <w:rPr>
          <w:sz w:val="20"/>
          <w:szCs w:val="20"/>
          <w:color w:val="auto"/>
        </w:rPr>
      </w:pPr>
      <w:r>
        <w:rPr>
          <w:rFonts w:ascii="Arial" w:cs="Arial" w:eastAsia="Arial" w:hAnsi="Arial"/>
          <w:sz w:val="18"/>
          <w:szCs w:val="18"/>
          <w:color w:val="auto"/>
        </w:rPr>
        <w:t>The decrease in the non-GAAP effective tax rate is primarily due to the lower state effective rate, slightly offset by lower discrete tax benefits associated with option exercises. We currently estimate our non-GAAP effective tax rate for the full-year 2020 will be in the range of 23% to 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4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240"/>
          </w:cols>
          <w:pgMar w:left="320" w:top="333" w:right="339" w:bottom="1440" w:gutter="0" w:footer="0" w:header="0"/>
        </w:sectPr>
      </w:pPr>
    </w:p>
    <w:bookmarkStart w:id="30" w:name="page31"/>
    <w:bookmarkEnd w:id="30"/>
    <w:p>
      <w:pPr>
        <w:ind w:right="3240"/>
        <w:spacing w:after="0" w:line="261" w:lineRule="auto"/>
        <w:rPr>
          <w:sz w:val="20"/>
          <w:szCs w:val="20"/>
          <w:color w:val="auto"/>
        </w:rPr>
      </w:pPr>
      <w:r>
        <w:rPr>
          <w:rFonts w:ascii="Arial" w:cs="Arial" w:eastAsia="Arial" w:hAnsi="Arial"/>
          <w:sz w:val="18"/>
          <w:szCs w:val="18"/>
          <w:color w:val="auto"/>
        </w:rPr>
        <w:t>The following schedules reconcile certain U.S. GAAP financial measures for the three months ended June 30, 2020 and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7"/>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6/30/2020</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5"/>
                <w:szCs w:val="15"/>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(benefit) for</w:t>
            </w:r>
          </w:p>
        </w:tc>
        <w:tc>
          <w:tcPr>
            <w:tcW w:w="140" w:type="dxa"/>
            <w:vAlign w:val="bottom"/>
          </w:tcPr>
          <w:p>
            <w:pPr>
              <w:spacing w:after="0"/>
              <w:rPr>
                <w:sz w:val="14"/>
                <w:szCs w:val="14"/>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7"/>
                <w:szCs w:val="17"/>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income (loss)</w:t>
            </w: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(4)</w:t>
            </w: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(5)</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861.7</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553.7</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415.1</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gridSpan w:val="2"/>
          </w:tcPr>
          <w:p>
            <w:pPr>
              <w:ind w:left="14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7"/>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6/30/2019</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5"/>
                <w:szCs w:val="15"/>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(benefit) for</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(4)</w:t>
            </w:r>
          </w:p>
        </w:tc>
        <w:tc>
          <w:tcPr>
            <w:tcW w:w="120" w:type="dxa"/>
            <w:vAlign w:val="bottom"/>
            <w:tcBorders>
              <w:bottom w:val="single" w:sz="8" w:color="CCEEFF"/>
            </w:tcBorders>
            <w:gridSpan w:val="2"/>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780.1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527.5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4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gridSpan w:val="2"/>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six months ended June 30, 2020 and 2019.</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Six months ended 6/30/2020</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(benefit) for</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(4)</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60" w:type="dxa"/>
            <w:vAlign w:val="bottom"/>
          </w:tcPr>
          <w:p>
            <w:pPr>
              <w:jc w:val="right"/>
              <w:ind w:right="15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250"/>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1,617.1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1,260.9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280.6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946.1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60"/>
        </w:trPr>
        <w:tc>
          <w:tcPr>
            <w:tcW w:w="34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7"/>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1,603.7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1,278.9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993.9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240"/>
          </w:cols>
          <w:pgMar w:left="320" w:top="571" w:right="339" w:bottom="1440" w:gutter="0" w:footer="0" w:header="0"/>
        </w:sectPr>
      </w:pPr>
    </w:p>
    <w:bookmarkStart w:id="31" w:name="page32"/>
    <w:bookmarkEnd w:id="31"/>
    <w:tbl>
      <w:tblPr>
        <w:tblLayout w:type="fixed"/>
        <w:tblInd w:w="32" w:type="dxa"/>
        <w:tblCellMar>
          <w:top w:w="0" w:type="dxa"/>
          <w:left w:w="0" w:type="dxa"/>
          <w:bottom w:w="0" w:type="dxa"/>
          <w:right w:w="0" w:type="dxa"/>
        </w:tblCellMar>
      </w:tblPr>
      <w:tr>
        <w:trPr>
          <w:trHeight w:val="264"/>
        </w:trPr>
        <w:tc>
          <w:tcPr>
            <w:tcW w:w="34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Six months ended 6/30/2019</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(benefit) for</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(4)</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60" w:type="dxa"/>
            <w:vAlign w:val="bottom"/>
          </w:tcPr>
          <w:p>
            <w:pPr>
              <w:jc w:val="right"/>
              <w:ind w:right="15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250"/>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1,574.9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1,147.6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327.3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365.0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1,040.1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60"/>
        </w:trPr>
        <w:tc>
          <w:tcPr>
            <w:tcW w:w="34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7"/>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32" w:right="40" w:hanging="332"/>
        <w:spacing w:after="0" w:line="248"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 consolidated</w:t>
      </w:r>
    </w:p>
    <w:p>
      <w:pPr>
        <w:spacing w:after="0" w:line="2" w:lineRule="exact"/>
        <w:rPr>
          <w:rFonts w:ascii="Arial" w:cs="Arial" w:eastAsia="Arial" w:hAnsi="Arial"/>
          <w:sz w:val="14"/>
          <w:szCs w:val="14"/>
          <w:color w:val="auto"/>
        </w:rPr>
      </w:pPr>
    </w:p>
    <w:p>
      <w:pPr>
        <w:ind w:left="972"/>
        <w:spacing w:after="0"/>
        <w:rPr>
          <w:rFonts w:ascii="Arial" w:cs="Arial" w:eastAsia="Arial" w:hAnsi="Arial"/>
          <w:sz w:val="14"/>
          <w:szCs w:val="14"/>
          <w:color w:val="auto"/>
        </w:rPr>
      </w:pPr>
      <w:r>
        <w:rPr>
          <w:rFonts w:ascii="Arial" w:cs="Arial" w:eastAsia="Arial" w:hAnsi="Arial"/>
          <w:sz w:val="17"/>
          <w:szCs w:val="17"/>
          <w:color w:val="auto"/>
        </w:rPr>
        <w:t>T. Rowe Price investment products as we believe they impact the reader’s ability to understand our core operating results.</w:t>
      </w:r>
    </w:p>
    <w:p>
      <w:pPr>
        <w:spacing w:after="0" w:line="209" w:lineRule="exact"/>
        <w:rPr>
          <w:rFonts w:ascii="Arial" w:cs="Arial" w:eastAsia="Arial" w:hAnsi="Arial"/>
          <w:sz w:val="14"/>
          <w:szCs w:val="14"/>
          <w:color w:val="auto"/>
        </w:rPr>
      </w:pPr>
    </w:p>
    <w:p>
      <w:pPr>
        <w:ind w:left="332" w:right="20" w:hanging="332"/>
        <w:spacing w:after="0" w:line="250"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195" w:lineRule="exact"/>
        <w:rPr>
          <w:rFonts w:ascii="Arial" w:cs="Arial" w:eastAsia="Arial" w:hAnsi="Arial"/>
          <w:sz w:val="14"/>
          <w:szCs w:val="14"/>
          <w:color w:val="auto"/>
        </w:rPr>
      </w:pPr>
    </w:p>
    <w:p>
      <w:pPr>
        <w:ind w:left="332" w:right="260" w:hanging="332"/>
        <w:spacing w:after="0" w:line="250"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194" w:lineRule="exact"/>
        <w:rPr>
          <w:rFonts w:ascii="Arial" w:cs="Arial" w:eastAsia="Arial" w:hAnsi="Arial"/>
          <w:sz w:val="14"/>
          <w:szCs w:val="14"/>
          <w:color w:val="auto"/>
        </w:rPr>
      </w:pPr>
    </w:p>
    <w:p>
      <w:pPr>
        <w:jc w:val="both"/>
        <w:ind w:left="332" w:right="60" w:hanging="332"/>
        <w:spacing w:after="0" w:line="254"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The income tax impacts were calculated in order to achieve an overall non-GAAP effective tax rate of 23.8% for the first half of 2020 and 25.4% for the first half of 2019. As such, the non-GAAP effective tax rate for the second quarter was 24.8% for 2020 and 25.5% for 2019. We estimate that our effective tax rate for the full-year 2020 on a non-GAAP basis will be in the range of 23% to 25%.</w:t>
      </w:r>
    </w:p>
    <w:p>
      <w:pPr>
        <w:spacing w:after="0" w:line="189" w:lineRule="exact"/>
        <w:rPr>
          <w:rFonts w:ascii="Arial" w:cs="Arial" w:eastAsia="Arial" w:hAnsi="Arial"/>
          <w:sz w:val="14"/>
          <w:szCs w:val="14"/>
          <w:color w:val="auto"/>
        </w:rPr>
      </w:pPr>
    </w:p>
    <w:p>
      <w:pPr>
        <w:ind w:left="332" w:right="180" w:hanging="332"/>
        <w:spacing w:after="0" w:line="254"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201295</wp:posOffset>
            </wp:positionV>
            <wp:extent cx="65576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171450"/>
                    </a:xfrm>
                    <a:prstGeom prst="rect">
                      <a:avLst/>
                    </a:prstGeom>
                    <a:noFill/>
                  </pic:spPr>
                </pic:pic>
              </a:graphicData>
            </a:graphic>
          </wp:anchor>
        </w:drawing>
      </w:r>
    </w:p>
    <w:p>
      <w:pPr>
        <w:sectPr>
          <w:pgSz w:w="11900" w:h="16838" w:orient="portrait"/>
          <w:cols w:equalWidth="0" w:num="1">
            <w:col w:w="11212"/>
          </w:cols>
          <w:pgMar w:left="328" w:top="706" w:right="359" w:bottom="1440" w:gutter="0" w:footer="0" w:header="0"/>
        </w:sectPr>
      </w:pPr>
    </w:p>
    <w:p>
      <w:pPr>
        <w:spacing w:after="0" w:line="385" w:lineRule="exact"/>
        <w:rPr>
          <w:sz w:val="20"/>
          <w:szCs w:val="20"/>
          <w:color w:val="auto"/>
        </w:rPr>
      </w:pPr>
    </w:p>
    <w:p>
      <w:pPr>
        <w:jc w:val="center"/>
        <w:ind w:left="6152"/>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26035</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9" w:lineRule="exact"/>
        <w:rPr>
          <w:sz w:val="20"/>
          <w:szCs w:val="20"/>
          <w:color w:val="auto"/>
        </w:rPr>
      </w:pPr>
    </w:p>
    <w:p>
      <w:pPr>
        <w:ind w:left="6252"/>
        <w:spacing w:after="0"/>
        <w:tabs>
          <w:tab w:leader="none" w:pos="7592" w:val="left"/>
        </w:tabs>
        <w:rPr>
          <w:sz w:val="20"/>
          <w:szCs w:val="20"/>
          <w:color w:val="auto"/>
        </w:rPr>
      </w:pPr>
      <w:r>
        <w:rPr>
          <w:rFonts w:ascii="Arial" w:cs="Arial" w:eastAsia="Arial" w:hAnsi="Arial"/>
          <w:sz w:val="14"/>
          <w:szCs w:val="14"/>
          <w:b w:val="1"/>
          <w:bCs w:val="1"/>
          <w:color w:val="auto"/>
        </w:rPr>
        <w:t>6/30/2020</w:t>
      </w:r>
      <w:r>
        <w:rPr>
          <w:sz w:val="20"/>
          <w:szCs w:val="20"/>
          <w:color w:val="auto"/>
        </w:rPr>
        <w:tab/>
      </w:r>
      <w:r>
        <w:rPr>
          <w:rFonts w:ascii="Arial" w:cs="Arial" w:eastAsia="Arial" w:hAnsi="Arial"/>
          <w:sz w:val="14"/>
          <w:szCs w:val="14"/>
          <w:b w:val="1"/>
          <w:bCs w:val="1"/>
          <w:color w:val="auto"/>
        </w:rPr>
        <w:t>6/30/2019</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26035</wp:posOffset>
            </wp:positionV>
            <wp:extent cx="1440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8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6/30/2020</w:t>
      </w:r>
      <w:r>
        <w:rPr>
          <w:sz w:val="20"/>
          <w:szCs w:val="20"/>
          <w:color w:val="auto"/>
        </w:rPr>
        <w:tab/>
      </w:r>
      <w:r>
        <w:rPr>
          <w:rFonts w:ascii="Arial" w:cs="Arial" w:eastAsia="Arial" w:hAnsi="Arial"/>
          <w:sz w:val="14"/>
          <w:szCs w:val="14"/>
          <w:b w:val="1"/>
          <w:bCs w:val="1"/>
          <w:color w:val="auto"/>
        </w:rPr>
        <w:t>6/30/2019</w:t>
      </w:r>
    </w:p>
    <w:p>
      <w:pPr>
        <w:spacing w:after="0" w:line="29" w:lineRule="exact"/>
        <w:rPr>
          <w:sz w:val="20"/>
          <w:szCs w:val="20"/>
          <w:color w:val="auto"/>
        </w:rPr>
      </w:pPr>
    </w:p>
    <w:p>
      <w:pPr>
        <w:sectPr>
          <w:pgSz w:w="11900" w:h="16838" w:orient="portrait"/>
          <w:cols w:equalWidth="0" w:num="2">
            <w:col w:w="8392" w:space="720"/>
            <w:col w:w="2100"/>
          </w:cols>
          <w:pgMar w:left="328" w:top="706" w:right="359" w:bottom="1440" w:gutter="0" w:footer="0" w:header="0"/>
          <w:type w:val="continuous"/>
        </w:sectPr>
      </w:pPr>
    </w:p>
    <w:tbl>
      <w:tblPr>
        <w:tblLayout w:type="fixed"/>
        <w:tblInd w:w="652" w:type="dxa"/>
        <w:tblCellMar>
          <w:top w:w="0" w:type="dxa"/>
          <w:left w:w="0" w:type="dxa"/>
          <w:bottom w:w="0" w:type="dxa"/>
          <w:right w:w="0" w:type="dxa"/>
        </w:tblCellMar>
      </w:tblPr>
      <w:tr>
        <w:trPr>
          <w:trHeight w:val="262"/>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w:t>
            </w:r>
          </w:p>
        </w:tc>
        <w:tc>
          <w:tcPr>
            <w:tcW w:w="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498.1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4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958.7</w:t>
            </w:r>
          </w:p>
        </w:tc>
      </w:tr>
      <w:tr>
        <w:trPr>
          <w:trHeight w:val="218"/>
        </w:trPr>
        <w:tc>
          <w:tcPr>
            <w:tcW w:w="5260" w:type="dxa"/>
            <w:vAlign w:val="bottom"/>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 holders</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r>
      <w:tr>
        <w:trPr>
          <w:trHeight w:val="24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934.3</w:t>
            </w:r>
          </w:p>
        </w:tc>
      </w:tr>
      <w:tr>
        <w:trPr>
          <w:trHeight w:val="20"/>
        </w:trPr>
        <w:tc>
          <w:tcPr>
            <w:tcW w:w="5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212"/>
          </w:cols>
          <w:pgMar w:left="328" w:top="706"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6/30/2020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12/31/2019</w:t>
            </w:r>
          </w:p>
        </w:tc>
      </w:tr>
      <w:tr>
        <w:trPr>
          <w:trHeight w:val="249"/>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2,058.1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1,781.8</w:t>
            </w:r>
          </w:p>
        </w:tc>
      </w:t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2,021.9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1,899.6</w:t>
            </w:r>
          </w:p>
        </w:tc>
      </w:tr>
      <w:tr>
        <w:trPr>
          <w:trHeight w:val="250"/>
        </w:trPr>
        <w:tc>
          <w:tcPr>
            <w:tcW w:w="838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3,681.4</w:t>
            </w:r>
          </w:p>
        </w:tc>
      </w:tr>
      <w:tr>
        <w:trPr>
          <w:trHeight w:val="27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1,325.6</w:t>
            </w:r>
          </w:p>
        </w:tc>
      </w:tr>
      <w:tr>
        <w:trPr>
          <w:trHeight w:val="264"/>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564.5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561.1</w:t>
            </w:r>
          </w:p>
        </w:tc>
      </w:tr>
      <w:tr>
        <w:trPr>
          <w:trHeight w:val="25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5,718.7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5,568.1</w:t>
            </w: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returned gains of $85.8 million and $24.6 million in the three- and six- months ended June 30, 2020, respectively, as compared to generating income of $35.8 million and $ 80.0 million in the three- and six-months ended June 30, 2019. Cash and discretionary investments in T. Rowe Price products held by our subsidiaries outside the U.S. were $720.5 million at June 30, 2020 and $665.8 million at December 31, 2019. Given the availability of our financial resources and cash expected to be generated through future operations, we do not maintain an available external source of additional liquidity.</w:t>
      </w:r>
    </w:p>
    <w:p>
      <w:pPr>
        <w:spacing w:after="0" w:line="2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9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 Group’s interests in cash and investments relate to where they are presented on the unaudited condensed consolidated balance sheet as of June 30, 2020.</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equivalents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Investments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w w:val="97"/>
              </w:rPr>
              <w:t>products</w:t>
            </w:r>
            <w:r>
              <w:rPr>
                <w:rFonts w:ascii="Arial" w:cs="Arial" w:eastAsia="Arial" w:hAnsi="Arial"/>
                <w:sz w:val="17"/>
                <w:szCs w:val="17"/>
                <w:b w:val="1"/>
                <w:bCs w:val="1"/>
                <w:color w:val="auto"/>
                <w:w w:val="97"/>
                <w:vertAlign w:val="superscript"/>
              </w:rPr>
              <w:t>(1)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6/30/2020</w:t>
            </w:r>
          </w:p>
        </w:tc>
        <w:tc>
          <w:tcPr>
            <w:tcW w:w="0" w:type="dxa"/>
            <w:vAlign w:val="bottom"/>
          </w:tcPr>
          <w:p>
            <w:pPr>
              <w:spacing w:after="0"/>
              <w:rPr>
                <w:sz w:val="1"/>
                <w:szCs w:val="1"/>
                <w:color w:val="auto"/>
              </w:rPr>
            </w:pPr>
          </w:p>
        </w:tc>
      </w:tr>
      <w:tr>
        <w:trPr>
          <w:trHeight w:val="257"/>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2,058.1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4,080.0</w:t>
            </w:r>
          </w:p>
        </w:tc>
        <w:tc>
          <w:tcPr>
            <w:tcW w:w="0" w:type="dxa"/>
            <w:vAlign w:val="bottom"/>
          </w:tcPr>
          <w:p>
            <w:pPr>
              <w:spacing w:after="0"/>
              <w:rPr>
                <w:sz w:val="1"/>
                <w:szCs w:val="1"/>
                <w:color w:val="auto"/>
              </w:rPr>
            </w:pPr>
          </w:p>
        </w:tc>
      </w:tr>
      <w:tr>
        <w:trPr>
          <w:trHeight w:val="27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6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5"/>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 attributable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5,718.7</w:t>
            </w:r>
          </w:p>
        </w:tc>
        <w:tc>
          <w:tcPr>
            <w:tcW w:w="0" w:type="dxa"/>
            <w:vAlign w:val="bottom"/>
          </w:tcPr>
          <w:p>
            <w:pPr>
              <w:spacing w:after="0"/>
              <w:rPr>
                <w:sz w:val="1"/>
                <w:szCs w:val="1"/>
                <w:color w:val="auto"/>
              </w:rPr>
            </w:pPr>
          </w:p>
        </w:tc>
      </w:tr>
      <w:tr>
        <w:trPr>
          <w:trHeight w:val="264"/>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56"/>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1,016.6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5,974.7</w:t>
            </w:r>
          </w:p>
        </w:tc>
        <w:tc>
          <w:tcPr>
            <w:tcW w:w="0" w:type="dxa"/>
            <w:vAlign w:val="bottom"/>
          </w:tcPr>
          <w:p>
            <w:pPr>
              <w:spacing w:after="0"/>
              <w:rPr>
                <w:sz w:val="1"/>
                <w:szCs w:val="1"/>
                <w:color w:val="auto"/>
              </w:rPr>
            </w:pPr>
          </w:p>
        </w:tc>
      </w:tr>
      <w:tr>
        <w:trPr>
          <w:trHeight w:val="26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15"/>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 reported on unaudited condensed consolidated balance sheet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2,058.1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2,900.0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2,106.7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7,064.8</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 June 30, 2020</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80" w:right="120" w:hanging="172"/>
        <w:spacing w:after="0" w:line="233" w:lineRule="auto"/>
        <w:tabs>
          <w:tab w:leader="none" w:pos="180"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 Rowe Price investment products that we consolidate are generally those products we provided seed capital at the time of their formation and we have a controlling interest. These products generally represent U.S. mutual funds as well as those funds regulated outside the U.S. The net assets of the T. Rowe Price investment products at June 30, 2020 consist of product assets we consolidate on our unaudited condensed consolidated balance sheets of $2,161.5 million, less the liabilities of these products of $54.8 million.</w:t>
      </w:r>
    </w:p>
    <w:p>
      <w:pPr>
        <w:spacing w:after="0" w:line="203"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240"/>
          </w:cols>
          <w:pgMar w:left="320" w:top="549" w:right="339" w:bottom="1440" w:gutter="0" w:footer="0" w:header="0"/>
        </w:sectPr>
      </w:pPr>
    </w:p>
    <w:bookmarkStart w:id="33" w:name="page34"/>
    <w:bookmarkEnd w:id="33"/>
    <w:p>
      <w:pPr>
        <w:ind w:right="100"/>
        <w:spacing w:after="0" w:line="250" w:lineRule="auto"/>
        <w:rPr>
          <w:sz w:val="20"/>
          <w:szCs w:val="20"/>
          <w:color w:val="auto"/>
        </w:rPr>
      </w:pPr>
      <w:r>
        <w:rPr>
          <w:rFonts w:ascii="Arial" w:cs="Arial" w:eastAsia="Arial" w:hAnsi="Arial"/>
          <w:sz w:val="18"/>
          <w:szCs w:val="18"/>
          <w:color w:val="auto"/>
        </w:rPr>
        <w:t>cannot directly access or sell the assets held by the products to obtain cash for general operations. Additionally, the assets of these T. Rowe Price investment products are not available to our general creditors. Our interest in these</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increased our quarterly recurring dividend per common share in February 2020 by 18.4% to $.90 per common share from $.76 per common share. Additionally, we expended $1,028.7 million in the first half of 2020 to repurchase 9.6 million shares, or 4.1%, of our outstanding common stock at an average price of $106.43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Since the end of 2017, we have returned $4.7 billion to stockholders through stock repurchases and our regular quarterly dividends,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6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Recurring</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6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69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1"/>
                <w:szCs w:val="21"/>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1,794.3</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1,442.4</w:t>
            </w:r>
          </w:p>
        </w:tc>
      </w:tr>
      <w:tr>
        <w:trPr>
          <w:trHeight w:val="263"/>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Six months ended 6/30/2020</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1,028.8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1,453.9</w:t>
            </w: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1,853.4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4,690.6</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anticipate property and equipment expenditures for the full-year 2020 to be about $225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240"/>
          </w:cols>
          <w:pgMar w:left="320" w:top="57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summarizes the cash flows for the six months ended June 30, 2020 and 2019, that are attributable to T. Rowe Price Group, our consolidated T. Rowe Price investment products,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26035</wp:posOffset>
            </wp:positionV>
            <wp:extent cx="48691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2"/>
        </w:trPr>
        <w:tc>
          <w:tcPr>
            <w:tcW w:w="3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5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5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5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As</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8"/>
              </w:rPr>
              <w:t>to T. Rowe</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2"/>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Elims</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reported</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77"/>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895.1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$ 1,040.1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$1,109.9</w:t>
            </w: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35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5"/>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r>
      <w:tr>
        <w:trPr>
          <w:trHeight w:val="263"/>
        </w:trPr>
        <w:tc>
          <w:tcPr>
            <w:tcW w:w="3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90.7</w:t>
            </w:r>
          </w:p>
        </w:tc>
      </w:tr>
      <w:tr>
        <w:trPr>
          <w:trHeight w:val="235"/>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losses recognized on</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358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used to</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580" w:type="dxa"/>
            <w:vAlign w:val="bottom"/>
          </w:tcPr>
          <w:p>
            <w:pPr>
              <w:ind w:left="280"/>
              <w:spacing w:after="0" w:line="202" w:lineRule="exact"/>
              <w:rPr>
                <w:sz w:val="20"/>
                <w:szCs w:val="20"/>
                <w:color w:val="auto"/>
              </w:rPr>
            </w:pPr>
            <w:r>
              <w:rPr>
                <w:rFonts w:ascii="Arial" w:cs="Arial" w:eastAsia="Arial" w:hAnsi="Arial"/>
                <w:sz w:val="18"/>
                <w:szCs w:val="18"/>
                <w:color w:val="auto"/>
              </w:rPr>
              <w:t>economically hedge supplemental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580" w:type="dxa"/>
            <w:vAlign w:val="bottom"/>
          </w:tcPr>
          <w:p>
            <w:pPr>
              <w:ind w:left="280"/>
              <w:spacing w:after="0"/>
              <w:rPr>
                <w:sz w:val="20"/>
                <w:szCs w:val="20"/>
                <w:color w:val="auto"/>
              </w:rPr>
            </w:pPr>
            <w:r>
              <w:rPr>
                <w:rFonts w:ascii="Arial" w:cs="Arial" w:eastAsia="Arial" w:hAnsi="Arial"/>
                <w:sz w:val="18"/>
                <w:szCs w:val="18"/>
                <w:color w:val="auto"/>
              </w:rPr>
              <w:t>savings plan liability</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5"/>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03"/>
        </w:trPr>
        <w:tc>
          <w:tcPr>
            <w:tcW w:w="3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64"/>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249.9</w:t>
            </w:r>
          </w:p>
        </w:tc>
      </w:tr>
      <w:tr>
        <w:trPr>
          <w:trHeight w:val="215"/>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1,640.7</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948.8</w:t>
            </w: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358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5"/>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3580" w:type="dxa"/>
            <w:vAlign w:val="bottom"/>
          </w:tcPr>
          <w:p>
            <w:pPr>
              <w:ind w:left="40"/>
              <w:spacing w:after="0" w:line="202" w:lineRule="exact"/>
              <w:rPr>
                <w:sz w:val="20"/>
                <w:szCs w:val="20"/>
                <w:color w:val="auto"/>
              </w:rPr>
            </w:pPr>
            <w:r>
              <w:rPr>
                <w:rFonts w:ascii="Arial" w:cs="Arial" w:eastAsia="Arial" w:hAnsi="Arial"/>
                <w:sz w:val="18"/>
                <w:szCs w:val="18"/>
                <w:color w:val="auto"/>
              </w:rPr>
              <w:t>and cash equivalents of consolidated 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580" w:type="dxa"/>
            <w:vAlign w:val="bottom"/>
          </w:tcPr>
          <w:p>
            <w:pPr>
              <w:ind w:left="40"/>
              <w:spacing w:after="0"/>
              <w:rPr>
                <w:sz w:val="20"/>
                <w:szCs w:val="20"/>
                <w:color w:val="auto"/>
              </w:rPr>
            </w:pPr>
            <w:r>
              <w:rPr>
                <w:rFonts w:ascii="Arial" w:cs="Arial" w:eastAsia="Arial" w:hAnsi="Arial"/>
                <w:sz w:val="18"/>
                <w:szCs w:val="18"/>
                <w:color w:val="auto"/>
              </w:rPr>
              <w:t>Rowe Price investment products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5"/>
        </w:trPr>
        <w:tc>
          <w:tcPr>
            <w:tcW w:w="3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417.8</w:t>
            </w: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1,858.3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1,495.3</w:t>
            </w:r>
          </w:p>
        </w:tc>
      </w:tr>
      <w:tr>
        <w:trPr>
          <w:trHeight w:val="256"/>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$2,182.9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$ 1,802.4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$1,913.1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activities attributable to T. Rowe Price Group during the first half of 2020 provided cash flows of $1,690.7 million as compared to $1,243.0 million during the first half of 2019. Operating cash flows attributable to T. Rowe Price Group increased $447.7 million as $298.5 million in higher non -cash adjustments, including unrealized investment gains/losses, depreciation, and stock-based compensation expense, more than offset the $94.0 million decline in net income from the first half of 2019. The non-cash adjustments were driven by a $260.0 million change in net investment gains/losses as we recognized overall investment losses in the first half of 2020 compared with gains in the first half of 2019. The overall investment losses in 2020, which are added back to net income, were a result of the market disruption caused by the coronavirus pandemic in 2020. Additionally, timing differences on the cash settlement of our assets and liabilities decreased cash flows by $243.2 million.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Group totaled $15.6 million in the first half of 2020 compared with $174.0 million in the 2019 period. During 2020, we received net proceeds from the sale of certain of our discretionary investments of $110.8 million compared to net proceeds of $68.9 million during 2019. In addition, while we increased our property and equipment expenditures by $10.8 million, we decreased the level of seed capital provided by $122.8 million. Since we consolidate the seed capital in T. Rowe Price investment products, our seed capital was eliminated in preparing our unaudited condensed consolidated statement of cash flows. The remaining $4.1 million change in reported cash flows from investing activities is related to the net cash removed from our balance sheet from consolidating and deconsolidating investment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Net cash used in financing activities attributable to T. Rowe Price Group were $1,398.8 million in the first half of 2020 compared with $691.8 million in the 2019 period. During 2020, there was a $624.3 million increase in cash paid for common stock repurchases as we repurchased 5.5 million more shares of common stock in the first half of 2020 as compared to the first half of 2019. Additionally, there was a $ 57.9 million increase in dividends paid in 2020 as a result of an 18.4% increase in our quarterly dividend per share. The remaining change in reported cash flows from financing activities is primarily attributable to a $102.6 million decrease in net subscriptions received from redeemable non-controlling interest holders of our consolidated investment products during the first half of 2020 compared to the 2019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2019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200"/>
          </w:cols>
          <w:pgMar w:left="320" w:top="55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10-Q and our Form 10-K Annual Report for 2019.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subadvised and separately managed funds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recent coronavirus outbreak.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220"/>
          </w:cols>
          <w:pgMar w:left="320" w:top="54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first quarter of 2020, the impact of the global coronavirus pandemic began to rapidly spread throughout the world and caused increasing disruption to populations, economic activity, and the global financial markets. While markets recovered sharply in the second quarter of 2020, the impact and ongoing uncertainty related to the pandemic continued into the end of June 2020. Since our investments in T. Rowe Price investment products are carried at fair value, these investments are subject to market risk. The following table presents the equity price risk from our investments in T. Rowe Price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We do not actively manage the market risk related to our our seed capital investments.</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June 30, 2020 was determined by using the lower of each product’s lowest net asset value per share during the first half of 2020 or its net asset value per share at June 30, 2020,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28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rPr>
              <w:t>Potential</w:t>
            </w:r>
          </w:p>
        </w:tc>
        <w:tc>
          <w:tcPr>
            <w:tcW w:w="600" w:type="dxa"/>
            <w:vAlign w:val="bottom"/>
            <w:shd w:val="clear" w:color="auto" w:fill="CCEEFF"/>
          </w:tcPr>
          <w:p>
            <w:pPr>
              <w:spacing w:after="0"/>
              <w:rPr>
                <w:sz w:val="15"/>
                <w:szCs w:val="15"/>
                <w:color w:val="auto"/>
              </w:rPr>
            </w:pPr>
          </w:p>
        </w:tc>
      </w:tr>
      <w:tr>
        <w:trPr>
          <w:trHeight w:val="202"/>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Fair value 6/30/2020</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2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w w:val="99"/>
              </w:rPr>
              <w:t>loss</w:t>
            </w:r>
          </w:p>
        </w:tc>
        <w:tc>
          <w:tcPr>
            <w:tcW w:w="600" w:type="dxa"/>
            <w:vAlign w:val="bottom"/>
            <w:shd w:val="clear" w:color="auto" w:fill="CCEEFF"/>
          </w:tcPr>
          <w:p>
            <w:pPr>
              <w:spacing w:after="0"/>
              <w:rPr>
                <w:sz w:val="17"/>
                <w:szCs w:val="17"/>
                <w:color w:val="auto"/>
              </w:rPr>
            </w:pPr>
          </w:p>
        </w:tc>
      </w:tr>
      <w:tr>
        <w:trPr>
          <w:trHeight w:val="257"/>
        </w:trPr>
        <w:tc>
          <w:tcPr>
            <w:tcW w:w="5840" w:type="dxa"/>
            <w:vAlign w:val="bottom"/>
          </w:tcPr>
          <w:p>
            <w:pPr>
              <w:ind w:left="20"/>
              <w:spacing w:after="0"/>
              <w:rPr>
                <w:sz w:val="20"/>
                <w:szCs w:val="20"/>
                <w:color w:val="auto"/>
              </w:rPr>
            </w:pPr>
            <w:r>
              <w:rPr>
                <w:rFonts w:ascii="Arial" w:cs="Arial" w:eastAsia="Arial" w:hAnsi="Arial"/>
                <w:sz w:val="18"/>
                <w:szCs w:val="18"/>
                <w:color w:val="auto"/>
              </w:rPr>
              <w:t>Investments in T. Rowe Price products</w:t>
            </w:r>
          </w:p>
        </w:tc>
        <w:tc>
          <w:tcPr>
            <w:tcW w:w="4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7"/>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Discretionary investments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5840" w:type="dxa"/>
            <w:vAlign w:val="bottom"/>
          </w:tcPr>
          <w:p>
            <w:pPr>
              <w:ind w:left="160"/>
              <w:spacing w:after="0"/>
              <w:rPr>
                <w:sz w:val="20"/>
                <w:szCs w:val="20"/>
                <w:color w:val="auto"/>
              </w:rPr>
            </w:pPr>
            <w:r>
              <w:rPr>
                <w:rFonts w:ascii="Arial" w:cs="Arial" w:eastAsia="Arial" w:hAnsi="Arial"/>
                <w:sz w:val="18"/>
                <w:szCs w:val="18"/>
                <w:color w:val="auto"/>
              </w:rPr>
              <w:t>Seed capital not consolidated</w:t>
            </w: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5"/>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designated as an economic hedge of supplemental</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4"/>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plan liability held at fair value</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1,653.8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3"/>
        </w:trPr>
        <w:tc>
          <w:tcPr>
            <w:tcW w:w="5840" w:type="dxa"/>
            <w:vAlign w:val="bottom"/>
          </w:tcPr>
          <w:p>
            <w:pPr>
              <w:ind w:left="160"/>
              <w:spacing w:after="0"/>
              <w:rPr>
                <w:sz w:val="20"/>
                <w:szCs w:val="20"/>
                <w:color w:val="auto"/>
              </w:rPr>
            </w:pPr>
            <w:r>
              <w:rPr>
                <w:rFonts w:ascii="Arial" w:cs="Arial" w:eastAsia="Arial" w:hAnsi="Arial"/>
                <w:sz w:val="18"/>
                <w:szCs w:val="18"/>
                <w:color w:val="auto"/>
              </w:rPr>
              <w:t>Discretionary investments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Seed capital</w:t>
            </w: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partnerships and other investments held at fair value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w:t>
      </w:r>
    </w:p>
    <w:p>
      <w:pPr>
        <w:spacing w:after="0" w:line="19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w:t>
      </w:r>
    </w:p>
    <w:p>
      <w:pPr>
        <w:spacing w:after="0" w:line="2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Further, we have investments that are used to economically hedge the change in our supplemental savings plan liability. Since we are hedging the liability, the impact on our net income attributable to T. Rowe Price Group would result from any ineffectiveness of this economic hedge.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220"/>
          </w:cols>
          <w:pgMar w:left="320" w:top="54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2020. Based on that evaluation, our principal executive and principal financial officers have concluded that our disclosure controls and procedures as of June 30, 2020,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2020, and has concluded that there was no change during the second quarter of 2020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expert discovery phase of litigation and we cannot predict the eventual outcome, or whether it will have a material negative impact on our financial results, or estimate the possible loss or range of loss that may arise from any negative outcome.</w:t>
      </w:r>
    </w:p>
    <w:p>
      <w:pPr>
        <w:spacing w:after="0" w:line="205"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risk factors appears in Item 1A. of our Annual Report on Form 10-K for the fiscal year ended December 31,</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2019 filed with the SEC on February 13, 2020. The following risk factor has occurred since previously reporting our risk factors in Item 1A. of our Annual Report on Form 10-K for the fiscal year ended December 31,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240"/>
          </w:cols>
          <w:pgMar w:left="320" w:top="5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Our business, financial condition, and results of operation may be adversely affected by the recent coronavirus outbreak.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Beginning in early 2020, global financial markets have been monitoring and reacting to the novel coronavirus pandemic. The spread of the coronavirus has created significant volatility, uncertainty and economic disruption to the global economy and may impact our business, financial condition and results of operations. In particular global financial markets have seen increased volatility and significant changes in the value of investments. If the value of our </w:t>
      </w:r>
      <w:r>
        <w:rPr>
          <w:rFonts w:ascii="Arial" w:cs="Arial" w:eastAsia="Arial" w:hAnsi="Arial"/>
          <w:sz w:val="18"/>
          <w:szCs w:val="18"/>
          <w:color w:val="212529"/>
        </w:rPr>
        <w:t>assets under our management decreases, our revenue and operating results could be materially</w:t>
      </w:r>
      <w:r>
        <w:rPr>
          <w:rFonts w:ascii="Arial" w:cs="Arial" w:eastAsia="Arial" w:hAnsi="Arial"/>
          <w:sz w:val="18"/>
          <w:szCs w:val="18"/>
          <w:color w:val="auto"/>
        </w:rPr>
        <w:t xml:space="preserve"> </w:t>
      </w:r>
      <w:r>
        <w:rPr>
          <w:rFonts w:ascii="Arial" w:cs="Arial" w:eastAsia="Arial" w:hAnsi="Arial"/>
          <w:sz w:val="18"/>
          <w:szCs w:val="18"/>
          <w:color w:val="212529"/>
        </w:rPr>
        <w:t>impacted. Furthermore, w</w:t>
      </w:r>
      <w:r>
        <w:rPr>
          <w:rFonts w:ascii="Arial" w:cs="Arial" w:eastAsia="Arial" w:hAnsi="Arial"/>
          <w:sz w:val="18"/>
          <w:szCs w:val="18"/>
          <w:color w:val="000000"/>
        </w:rPr>
        <w:t>hile we have in place robust and well-established business continuity plans that address the potential impact to our</w:t>
      </w:r>
      <w:r>
        <w:rPr>
          <w:rFonts w:ascii="Arial" w:cs="Arial" w:eastAsia="Arial" w:hAnsi="Arial"/>
          <w:sz w:val="18"/>
          <w:szCs w:val="18"/>
          <w:color w:val="212529"/>
        </w:rPr>
        <w:t xml:space="preserve"> </w:t>
      </w:r>
      <w:r>
        <w:rPr>
          <w:rFonts w:ascii="Arial" w:cs="Arial" w:eastAsia="Arial" w:hAnsi="Arial"/>
          <w:sz w:val="18"/>
          <w:szCs w:val="18"/>
          <w:color w:val="000000"/>
        </w:rPr>
        <w:t>associates and our facilities, and a comprehensive suite of technologies which enable our associates to work remotely and conduct business, no assurance can be given that the steps we have taken will continue to be effective or appropriate. In the event that our associates become incapacitated by the coronavirus, our business operations may be impacted, which could lead to reputational and financial harm. Since our revenue is based on the market value and composition of the assets under our management, the ultimate impact on global financial markets and our clients’ decisions related to this event could adversely affect the Company’s revenue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2020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3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9"/>
        </w:trPr>
        <w:tc>
          <w:tcPr>
            <w:tcW w:w="3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April</w:t>
            </w: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455,998</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21"/>
                <w:szCs w:val="21"/>
                <w:color w:val="auto"/>
              </w:rPr>
            </w:pP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439,158</w:t>
            </w:r>
          </w:p>
        </w:tc>
        <w:tc>
          <w:tcPr>
            <w:tcW w:w="1900" w:type="dxa"/>
            <w:vAlign w:val="bottom"/>
            <w:gridSpan w:val="2"/>
          </w:tcPr>
          <w:p>
            <w:pPr>
              <w:jc w:val="right"/>
              <w:ind w:right="28"/>
              <w:spacing w:after="0"/>
              <w:rPr>
                <w:sz w:val="20"/>
                <w:szCs w:val="20"/>
                <w:color w:val="auto"/>
              </w:rPr>
            </w:pPr>
            <w:r>
              <w:rPr>
                <w:rFonts w:ascii="Arial" w:cs="Arial" w:eastAsia="Arial" w:hAnsi="Arial"/>
                <w:sz w:val="18"/>
                <w:szCs w:val="18"/>
                <w:color w:val="auto"/>
              </w:rPr>
              <w:t>23,601,902</w:t>
            </w:r>
          </w:p>
        </w:tc>
      </w:tr>
      <w:tr>
        <w:trPr>
          <w:trHeight w:val="277"/>
        </w:trPr>
        <w:tc>
          <w:tcPr>
            <w:tcW w:w="3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May</w:t>
            </w:r>
          </w:p>
        </w:tc>
        <w:tc>
          <w:tcPr>
            <w:tcW w:w="1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422,044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109.57</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386,324</w:t>
            </w:r>
          </w:p>
        </w:tc>
        <w:tc>
          <w:tcPr>
            <w:tcW w:w="1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23,215,578</w:t>
            </w:r>
          </w:p>
        </w:tc>
      </w:tr>
      <w:tr>
        <w:trPr>
          <w:trHeight w:val="263"/>
        </w:trPr>
        <w:tc>
          <w:tcPr>
            <w:tcW w:w="36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7"/>
              </w:rPr>
              <w:t>June</w:t>
            </w:r>
          </w:p>
        </w:tc>
        <w:tc>
          <w:tcPr>
            <w:tcW w:w="1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512,617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479,414</w:t>
            </w:r>
          </w:p>
        </w:tc>
        <w:tc>
          <w:tcPr>
            <w:tcW w:w="190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22,736,164</w:t>
            </w:r>
          </w:p>
        </w:tc>
      </w:tr>
      <w:tr>
        <w:trPr>
          <w:trHeight w:val="257"/>
        </w:trPr>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1,390,659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109.31</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1,304,896</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2020, 85,763 were related to shares surrendered in connection with employee stock option exercises and no shares were withheld to cover tax withholdings associated with the vesting of restricted stock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Shares that May Yet Be</w:t>
            </w:r>
          </w:p>
        </w:tc>
      </w:tr>
      <w:tr>
        <w:trPr>
          <w:trHeight w:val="196"/>
        </w:trPr>
        <w:tc>
          <w:tcPr>
            <w:tcW w:w="540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4/1/2020</w:t>
            </w:r>
          </w:p>
        </w:tc>
        <w:tc>
          <w:tcPr>
            <w:tcW w:w="10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6/30/2020</w:t>
            </w:r>
          </w:p>
        </w:tc>
      </w:tr>
      <w:tr>
        <w:trPr>
          <w:trHeight w:val="249"/>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February 2019</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9,041,060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(1,304,896)</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7,736,164</w:t>
            </w: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2020</w:t>
            </w:r>
          </w:p>
        </w:tc>
        <w:tc>
          <w:tcPr>
            <w:tcW w:w="1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15,000,000</w:t>
            </w:r>
          </w:p>
        </w:tc>
      </w:tr>
      <w:tr>
        <w:trPr>
          <w:trHeight w:val="250"/>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24,041,060</w:t>
            </w:r>
          </w:p>
        </w:tc>
        <w:tc>
          <w:tcPr>
            <w:tcW w:w="100" w:type="dxa"/>
            <w:vAlign w:val="bottom"/>
          </w:tcPr>
          <w:p>
            <w:pPr>
              <w:spacing w:after="0"/>
              <w:rPr>
                <w:sz w:val="21"/>
                <w:szCs w:val="21"/>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(1,304,896)</w:t>
            </w:r>
          </w:p>
        </w:tc>
        <w:tc>
          <w:tcPr>
            <w:tcW w:w="120" w:type="dxa"/>
            <w:vAlign w:val="bottom"/>
          </w:tcPr>
          <w:p>
            <w:pPr>
              <w:spacing w:after="0"/>
              <w:rPr>
                <w:sz w:val="21"/>
                <w:szCs w:val="21"/>
                <w:color w:val="auto"/>
              </w:rPr>
            </w:pP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22,736,164</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July 29, 2020, we issued an earnings release reporting our results of operations for the second quarter of 2020 and the first six months of 2020.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240"/>
          </w:cols>
          <w:pgMar w:left="320" w:top="4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3(i)</w:t>
            </w:r>
          </w:p>
        </w:tc>
        <w:tc>
          <w:tcPr>
            <w:tcW w:w="9900" w:type="dxa"/>
            <w:vAlign w:val="bottom"/>
          </w:tcPr>
          <w:p>
            <w:pPr>
              <w:ind w:left="580"/>
              <w:spacing w:after="0"/>
              <w:rPr>
                <w:rFonts w:ascii="Arial" w:cs="Arial" w:eastAsia="Arial" w:hAnsi="Arial"/>
                <w:sz w:val="18"/>
                <w:szCs w:val="18"/>
                <w:color w:val="auto"/>
              </w:rPr>
            </w:pPr>
            <w:hyperlink r:id="rId26">
              <w:r>
                <w:rPr>
                  <w:rFonts w:ascii="Arial" w:cs="Arial" w:eastAsia="Arial" w:hAnsi="Arial"/>
                  <w:sz w:val="18"/>
                  <w:szCs w:val="18"/>
                  <w:color w:val="auto"/>
                </w:rPr>
                <w:t>Charter of T. Rowe Price Group, Inc., as reflected by Articles of Restatement dated June 20, 2018. (Incorporated by</w:t>
              </w:r>
            </w:hyperlink>
          </w:p>
        </w:tc>
      </w:tr>
      <w:tr>
        <w:trPr>
          <w:trHeight w:val="217"/>
        </w:trPr>
        <w:tc>
          <w:tcPr>
            <w:tcW w:w="1100" w:type="dxa"/>
            <w:vAlign w:val="bottom"/>
          </w:tcPr>
          <w:p>
            <w:pPr>
              <w:spacing w:after="0"/>
              <w:rPr>
                <w:sz w:val="18"/>
                <w:szCs w:val="18"/>
                <w:color w:val="auto"/>
              </w:rPr>
            </w:pPr>
          </w:p>
        </w:tc>
        <w:tc>
          <w:tcPr>
            <w:tcW w:w="9900" w:type="dxa"/>
            <w:vAlign w:val="bottom"/>
          </w:tcPr>
          <w:p>
            <w:pPr>
              <w:ind w:left="580"/>
              <w:spacing w:after="0"/>
              <w:rPr>
                <w:rFonts w:ascii="Arial" w:cs="Arial" w:eastAsia="Arial" w:hAnsi="Arial"/>
                <w:sz w:val="18"/>
                <w:szCs w:val="18"/>
                <w:color w:val="auto"/>
              </w:rPr>
            </w:pPr>
            <w:hyperlink r:id="rId26">
              <w:r>
                <w:rPr>
                  <w:rFonts w:ascii="Arial" w:cs="Arial" w:eastAsia="Arial" w:hAnsi="Arial"/>
                  <w:sz w:val="18"/>
                  <w:szCs w:val="18"/>
                  <w:color w:val="auto"/>
                </w:rPr>
                <w:t>reference from Form 10-Q Quarterly Report filed on July 25, 2018.)</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9900" w:type="dxa"/>
            <w:vAlign w:val="bottom"/>
          </w:tcPr>
          <w:p>
            <w:pPr>
              <w:ind w:left="580"/>
              <w:spacing w:after="0"/>
              <w:rPr>
                <w:rFonts w:ascii="Arial" w:cs="Arial" w:eastAsia="Arial" w:hAnsi="Arial"/>
                <w:sz w:val="18"/>
                <w:szCs w:val="18"/>
                <w:color w:val="auto"/>
              </w:rPr>
            </w:pPr>
            <w:hyperlink r:id="rId27">
              <w:r>
                <w:rPr>
                  <w:rFonts w:ascii="Arial" w:cs="Arial" w:eastAsia="Arial" w:hAnsi="Arial"/>
                  <w:sz w:val="18"/>
                  <w:szCs w:val="18"/>
                  <w:color w:val="auto"/>
                </w:rPr>
                <w:t>Amended and Restated By-Laws of T. Rowe Price Group, Inc. as of February 12, 2019. (Incorporated by reference</w:t>
              </w:r>
            </w:hyperlink>
          </w:p>
        </w:tc>
      </w:tr>
      <w:tr>
        <w:trPr>
          <w:trHeight w:val="217"/>
        </w:trPr>
        <w:tc>
          <w:tcPr>
            <w:tcW w:w="1100" w:type="dxa"/>
            <w:vAlign w:val="bottom"/>
          </w:tcPr>
          <w:p>
            <w:pPr>
              <w:spacing w:after="0"/>
              <w:rPr>
                <w:sz w:val="18"/>
                <w:szCs w:val="18"/>
                <w:color w:val="auto"/>
              </w:rPr>
            </w:pPr>
          </w:p>
        </w:tc>
        <w:tc>
          <w:tcPr>
            <w:tcW w:w="9900" w:type="dxa"/>
            <w:vAlign w:val="bottom"/>
          </w:tcPr>
          <w:p>
            <w:pPr>
              <w:ind w:left="580"/>
              <w:spacing w:after="0"/>
              <w:rPr>
                <w:rFonts w:ascii="Arial" w:cs="Arial" w:eastAsia="Arial" w:hAnsi="Arial"/>
                <w:sz w:val="18"/>
                <w:szCs w:val="18"/>
                <w:color w:val="auto"/>
              </w:rPr>
            </w:pPr>
            <w:hyperlink r:id="rId27">
              <w:r>
                <w:rPr>
                  <w:rFonts w:ascii="Arial" w:cs="Arial" w:eastAsia="Arial" w:hAnsi="Arial"/>
                  <w:sz w:val="18"/>
                  <w:szCs w:val="18"/>
                  <w:color w:val="auto"/>
                </w:rPr>
                <w:t>from Form 8-K Current Report filed on February 13, 2019.)</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tcPr>
          <w:p>
            <w:pPr>
              <w:ind w:left="580"/>
              <w:spacing w:after="0"/>
              <w:rPr>
                <w:rFonts w:ascii="Arial" w:cs="Arial" w:eastAsia="Arial" w:hAnsi="Arial"/>
                <w:sz w:val="18"/>
                <w:szCs w:val="18"/>
                <w:color w:val="auto"/>
                <w:w w:val="99"/>
              </w:rPr>
            </w:pPr>
            <w:hyperlink r:id="rId28">
              <w:r>
                <w:rPr>
                  <w:rFonts w:ascii="Arial" w:cs="Arial" w:eastAsia="Arial" w:hAnsi="Arial"/>
                  <w:sz w:val="18"/>
                  <w:szCs w:val="18"/>
                  <w:color w:val="auto"/>
                  <w:w w:val="99"/>
                </w:rPr>
                <w:t>2020 Long-Term Incentive Plan (Incorporated by reference from Registration Statement on Form S-8 filed on May 15,</w:t>
              </w:r>
            </w:hyperlink>
          </w:p>
        </w:tc>
      </w:tr>
      <w:tr>
        <w:trPr>
          <w:trHeight w:val="217"/>
        </w:trPr>
        <w:tc>
          <w:tcPr>
            <w:tcW w:w="1100" w:type="dxa"/>
            <w:vAlign w:val="bottom"/>
          </w:tcPr>
          <w:p>
            <w:pPr>
              <w:spacing w:after="0"/>
              <w:rPr>
                <w:sz w:val="18"/>
                <w:szCs w:val="18"/>
                <w:color w:val="auto"/>
              </w:rPr>
            </w:pPr>
          </w:p>
        </w:tc>
        <w:tc>
          <w:tcPr>
            <w:tcW w:w="9900" w:type="dxa"/>
            <w:vAlign w:val="bottom"/>
          </w:tcPr>
          <w:p>
            <w:pPr>
              <w:ind w:left="580"/>
              <w:spacing w:after="0"/>
              <w:rPr>
                <w:rFonts w:ascii="Arial" w:cs="Arial" w:eastAsia="Arial" w:hAnsi="Arial"/>
                <w:sz w:val="18"/>
                <w:szCs w:val="18"/>
                <w:color w:val="auto"/>
              </w:rPr>
            </w:pPr>
            <w:hyperlink r:id="rId28">
              <w:r>
                <w:rPr>
                  <w:rFonts w:ascii="Arial" w:cs="Arial" w:eastAsia="Arial" w:hAnsi="Arial"/>
                  <w:sz w:val="18"/>
                  <w:szCs w:val="18"/>
                  <w:color w:val="auto"/>
                </w:rPr>
                <w:t>2020).</w:t>
              </w:r>
            </w:hyperlink>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9900" w:type="dxa"/>
            <w:vAlign w:val="bottom"/>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Report </w:t>
            </w:r>
            <w:hyperlink w:anchor="page43">
              <w:r>
                <w:rPr>
                  <w:rFonts w:ascii="Arial" w:cs="Arial" w:eastAsia="Arial" w:hAnsi="Arial"/>
                  <w:sz w:val="18"/>
                  <w:szCs w:val="18"/>
                  <w:color w:val="auto"/>
                </w:rPr>
                <w:t>from KPMG LLP, independent registered public accounting firm, re unaudited interim financial information.</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9900" w:type="dxa"/>
            <w:vAlign w:val="bottom"/>
          </w:tcPr>
          <w:p>
            <w:pPr>
              <w:ind w:left="580"/>
              <w:spacing w:after="0"/>
              <w:rPr>
                <w:rFonts w:ascii="Arial" w:cs="Arial" w:eastAsia="Arial" w:hAnsi="Arial"/>
                <w:sz w:val="18"/>
                <w:szCs w:val="18"/>
                <w:color w:val="auto"/>
              </w:rPr>
            </w:pPr>
            <w:hyperlink w:anchor="page44">
              <w:r>
                <w:rPr>
                  <w:rFonts w:ascii="Arial" w:cs="Arial" w:eastAsia="Arial" w:hAnsi="Arial"/>
                  <w:sz w:val="18"/>
                  <w:szCs w:val="18"/>
                  <w:color w:val="auto"/>
                </w:rPr>
                <w:t>Rule 13a-14(a) Certification of Principal Executive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9900" w:type="dxa"/>
            <w:vAlign w:val="bottom"/>
          </w:tcPr>
          <w:p>
            <w:pPr>
              <w:ind w:left="580"/>
              <w:spacing w:after="0"/>
              <w:rPr>
                <w:rFonts w:ascii="Arial" w:cs="Arial" w:eastAsia="Arial" w:hAnsi="Arial"/>
                <w:sz w:val="18"/>
                <w:szCs w:val="18"/>
                <w:color w:val="auto"/>
              </w:rPr>
            </w:pPr>
            <w:hyperlink w:anchor="page45">
              <w:r>
                <w:rPr>
                  <w:rFonts w:ascii="Arial" w:cs="Arial" w:eastAsia="Arial" w:hAnsi="Arial"/>
                  <w:sz w:val="18"/>
                  <w:szCs w:val="18"/>
                  <w:color w:val="auto"/>
                </w:rPr>
                <w:t>Rule 13a-14(a) Certification of Principal Financial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9900" w:type="dxa"/>
            <w:vAlign w:val="bottom"/>
          </w:tcPr>
          <w:p>
            <w:pPr>
              <w:ind w:left="580"/>
              <w:spacing w:after="0"/>
              <w:rPr>
                <w:rFonts w:ascii="Arial" w:cs="Arial" w:eastAsia="Arial" w:hAnsi="Arial"/>
                <w:sz w:val="18"/>
                <w:szCs w:val="18"/>
                <w:color w:val="auto"/>
              </w:rPr>
            </w:pPr>
            <w:hyperlink w:anchor="page46">
              <w:r>
                <w:rPr>
                  <w:rFonts w:ascii="Arial" w:cs="Arial" w:eastAsia="Arial" w:hAnsi="Arial"/>
                  <w:sz w:val="18"/>
                  <w:szCs w:val="18"/>
                  <w:color w:val="auto"/>
                </w:rPr>
                <w:t>Section 1350 Certifications.</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9900" w:type="dxa"/>
            <w:vAlign w:val="bottom"/>
          </w:tcPr>
          <w:p>
            <w:pPr>
              <w:ind w:left="580"/>
              <w:spacing w:after="0"/>
              <w:rPr>
                <w:rFonts w:ascii="Arial" w:cs="Arial" w:eastAsia="Arial" w:hAnsi="Arial"/>
                <w:sz w:val="18"/>
                <w:szCs w:val="18"/>
                <w:color w:val="auto"/>
              </w:rPr>
            </w:pPr>
            <w:hyperlink w:anchor="page47">
              <w:r>
                <w:rPr>
                  <w:rFonts w:ascii="Arial" w:cs="Arial" w:eastAsia="Arial" w:hAnsi="Arial"/>
                  <w:sz w:val="18"/>
                  <w:szCs w:val="18"/>
                  <w:color w:val="auto"/>
                </w:rPr>
                <w:t>Earnings release issued July 29, 2020, reporting our results of operations for the second quarter of 2020.</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tcPr>
          <w:p>
            <w:pPr>
              <w:ind w:left="580"/>
              <w:spacing w:after="0"/>
              <w:rPr>
                <w:sz w:val="20"/>
                <w:szCs w:val="20"/>
                <w:color w:val="auto"/>
              </w:rPr>
            </w:pPr>
            <w:r>
              <w:rPr>
                <w:rFonts w:ascii="Arial" w:cs="Arial" w:eastAsia="Arial" w:hAnsi="Arial"/>
                <w:sz w:val="18"/>
                <w:szCs w:val="18"/>
                <w:color w:val="auto"/>
              </w:rPr>
              <w:t>The following series of unaudited XBRL-formatted documents are collectively included herewith as Exhibit 101. The</w:t>
            </w:r>
          </w:p>
        </w:tc>
      </w:tr>
      <w:tr>
        <w:trPr>
          <w:trHeight w:val="203"/>
        </w:trPr>
        <w:tc>
          <w:tcPr>
            <w:tcW w:w="1100" w:type="dxa"/>
            <w:vAlign w:val="bottom"/>
          </w:tcPr>
          <w:p>
            <w:pPr>
              <w:spacing w:after="0"/>
              <w:rPr>
                <w:sz w:val="17"/>
                <w:szCs w:val="17"/>
                <w:color w:val="auto"/>
              </w:rPr>
            </w:pPr>
          </w:p>
        </w:tc>
        <w:tc>
          <w:tcPr>
            <w:tcW w:w="9900" w:type="dxa"/>
            <w:vAlign w:val="bottom"/>
          </w:tcPr>
          <w:p>
            <w:pPr>
              <w:ind w:left="58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17"/>
        </w:trPr>
        <w:tc>
          <w:tcPr>
            <w:tcW w:w="1100" w:type="dxa"/>
            <w:vAlign w:val="bottom"/>
          </w:tcPr>
          <w:p>
            <w:pPr>
              <w:spacing w:after="0"/>
              <w:rPr>
                <w:sz w:val="18"/>
                <w:szCs w:val="18"/>
                <w:color w:val="auto"/>
              </w:rPr>
            </w:pPr>
          </w:p>
        </w:tc>
        <w:tc>
          <w:tcPr>
            <w:tcW w:w="9900" w:type="dxa"/>
            <w:vAlign w:val="bottom"/>
          </w:tcPr>
          <w:p>
            <w:pPr>
              <w:ind w:left="58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75" w:lineRule="exact"/>
        <w:rPr>
          <w:sz w:val="20"/>
          <w:szCs w:val="20"/>
          <w:color w:val="auto"/>
        </w:rPr>
      </w:pPr>
    </w:p>
    <w:p>
      <w:pPr>
        <w:sectPr>
          <w:pgSz w:w="11900" w:h="16838" w:orient="portrait"/>
          <w:cols w:equalWidth="0" w:num="1">
            <w:col w:w="11120"/>
          </w:cols>
          <w:pgMar w:left="320" w:top="765" w:right="459" w:bottom="1440" w:gutter="0" w:footer="0" w:header="0"/>
        </w:sectPr>
      </w:pPr>
    </w:p>
    <w:p>
      <w:pPr>
        <w:ind w:left="4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00" w:space="720"/>
            <w:col w:w="9400"/>
          </w:cols>
          <w:pgMar w:left="320" w:top="765" w:right="4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120"/>
          </w:cols>
          <w:pgMar w:left="320" w:top="765" w:right="459" w:bottom="1440" w:gutter="0" w:footer="0" w:header="0"/>
          <w:type w:val="continuous"/>
        </w:sectPr>
      </w:pPr>
    </w:p>
    <w:bookmarkStart w:id="41" w:name="page42"/>
    <w:bookmarkEnd w:id="41"/>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29,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120"/>
          </w:cols>
          <w:pgMar w:left="320" w:top="549" w:right="459" w:bottom="1440" w:gutter="0" w:footer="0" w:header="0"/>
        </w:sectPr>
      </w:pPr>
    </w:p>
    <w:bookmarkStart w:id="42" w:name="page43"/>
    <w:bookmarkEnd w:id="42"/>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571"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4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19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29, 2020 related to our review of interim financial information.</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571" w:right="339" w:bottom="1440" w:gutter="0" w:footer="0" w:header="0"/>
          <w:type w:val="continuous"/>
        </w:sectPr>
      </w:pPr>
    </w:p>
    <w:bookmarkStart w:id="43" w:name="page44"/>
    <w:bookmarkEnd w:id="43"/>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2020 of T. Rowe Price Group, Inc.;</w:t>
      </w:r>
    </w:p>
    <w:p>
      <w:pPr>
        <w:spacing w:after="0" w:line="171" w:lineRule="exact"/>
        <w:rPr>
          <w:rFonts w:ascii="Arial" w:cs="Arial" w:eastAsia="Arial" w:hAnsi="Arial"/>
          <w:sz w:val="18"/>
          <w:szCs w:val="18"/>
          <w:color w:val="auto"/>
        </w:rPr>
      </w:pPr>
    </w:p>
    <w:p>
      <w:pPr>
        <w:ind w:left="180" w:right="200" w:hanging="172"/>
        <w:spacing w:after="0" w:line="256"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300" w:hanging="172"/>
        <w:spacing w:after="0" w:line="291"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180" w:right="280" w:hanging="172"/>
        <w:spacing w:after="0" w:line="265"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80" w:right="280" w:firstLine="71"/>
        <w:spacing w:after="0" w:line="256"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40" w:firstLine="71"/>
        <w:spacing w:after="0" w:line="256"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hanging="172"/>
        <w:spacing w:after="0" w:line="291"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80" w:right="380" w:firstLine="71"/>
        <w:spacing w:after="0" w:line="261"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80" w:right="620" w:firstLine="71"/>
        <w:spacing w:after="0" w:line="261"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ectPr>
          <w:pgSz w:w="11900" w:h="16838" w:orient="portrait"/>
          <w:cols w:equalWidth="0" w:num="1">
            <w:col w:w="11220"/>
          </w:cols>
          <w:pgMar w:left="320" w:top="652" w:right="359" w:bottom="1440" w:gutter="0" w:footer="0" w:header="0"/>
        </w:sectPr>
      </w:pPr>
    </w:p>
    <w:bookmarkStart w:id="44" w:name="page45"/>
    <w:bookmarkEnd w:id="44"/>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2020 of T. Rowe Price Group, Inc.;</w:t>
      </w:r>
    </w:p>
    <w:p>
      <w:pPr>
        <w:spacing w:after="0" w:line="171" w:lineRule="exact"/>
        <w:rPr>
          <w:rFonts w:ascii="Arial" w:cs="Arial" w:eastAsia="Arial" w:hAnsi="Arial"/>
          <w:sz w:val="18"/>
          <w:szCs w:val="18"/>
          <w:color w:val="auto"/>
        </w:rPr>
      </w:pPr>
    </w:p>
    <w:p>
      <w:pPr>
        <w:ind w:left="180" w:right="200" w:hanging="172"/>
        <w:spacing w:after="0" w:line="256"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300" w:hanging="172"/>
        <w:spacing w:after="0" w:line="291"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180" w:right="280" w:hanging="172"/>
        <w:spacing w:after="0" w:line="265"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80" w:right="280" w:firstLine="71"/>
        <w:spacing w:after="0" w:line="256"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40" w:firstLine="71"/>
        <w:spacing w:after="0" w:line="256"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hanging="172"/>
        <w:spacing w:after="0" w:line="291"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80" w:right="380" w:firstLine="71"/>
        <w:spacing w:after="0" w:line="261"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80" w:right="620" w:firstLine="71"/>
        <w:spacing w:after="0" w:line="261"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652" w:right="359" w:bottom="1440" w:gutter="0" w:footer="0" w:header="0"/>
        </w:sectPr>
      </w:pPr>
    </w:p>
    <w:bookmarkStart w:id="45" w:name="page46"/>
    <w:bookmarkEnd w:id="45"/>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2020, of T. Rowe Price Group, Inc., that:</w:t>
      </w:r>
    </w:p>
    <w:p>
      <w:pPr>
        <w:spacing w:after="0" w:line="144" w:lineRule="exact"/>
        <w:rPr>
          <w:sz w:val="20"/>
          <w:szCs w:val="20"/>
          <w:color w:val="auto"/>
        </w:rPr>
      </w:pPr>
    </w:p>
    <w:p>
      <w:pPr>
        <w:ind w:right="620" w:firstLine="8"/>
        <w:spacing w:after="0" w:line="261"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43" w:lineRule="exact"/>
        <w:rPr>
          <w:rFonts w:ascii="Arial" w:cs="Arial" w:eastAsia="Arial" w:hAnsi="Arial"/>
          <w:sz w:val="18"/>
          <w:szCs w:val="18"/>
          <w:color w:val="auto"/>
        </w:rPr>
      </w:pPr>
    </w:p>
    <w:p>
      <w:pPr>
        <w:ind w:firstLine="8"/>
        <w:spacing w:after="0" w:line="261"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652" w:right="4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372110</wp:posOffset>
            </wp:positionV>
            <wp:extent cx="582930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54864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SECOND QUARTER 2020 RESULTS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BALTIMORE (July 29, 2020) - T. Rowe Price Group, Inc. (NASDAQ-GS: TROW) today reported its results for the second quarter of 2020.</w:t>
      </w:r>
    </w:p>
    <w:p>
      <w:pPr>
        <w:spacing w:after="0" w:line="9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$1.22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inflows of $14.7 billion for Q2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$1.4 billion for Q2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$2.55 for Q2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$2.29 for Q2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0575" cy="385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40575" cy="385762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23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rPr>
              <w:t>Three Months ended</w:t>
            </w:r>
          </w:p>
        </w:tc>
        <w:tc>
          <w:tcPr>
            <w:tcW w:w="940" w:type="dxa"/>
            <w:vAlign w:val="bottom"/>
            <w:tcBorders>
              <w:top w:val="single" w:sz="8" w:color="auto"/>
              <w:bottom w:val="single" w:sz="8" w:color="auto"/>
              <w:right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spacing w:after="0"/>
              <w:rPr>
                <w:sz w:val="24"/>
                <w:szCs w:val="24"/>
                <w:color w:val="auto"/>
              </w:rPr>
            </w:pPr>
          </w:p>
        </w:tc>
        <w:tc>
          <w:tcPr>
            <w:tcW w:w="1340" w:type="dxa"/>
            <w:vAlign w:val="bottom"/>
            <w:tcBorders>
              <w:top w:val="single" w:sz="8" w:color="auto"/>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color w:val="auto"/>
              </w:rPr>
              <w:t>Six months ended</w:t>
            </w:r>
          </w:p>
        </w:tc>
        <w:tc>
          <w:tcPr>
            <w:tcW w:w="980" w:type="dxa"/>
            <w:vAlign w:val="bottom"/>
            <w:tcBorders>
              <w:top w:val="single" w:sz="8" w:color="auto"/>
              <w:bottom w:val="single" w:sz="8" w:color="auto"/>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20" w:type="dxa"/>
            <w:vAlign w:val="bottom"/>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160" w:type="dxa"/>
            <w:vAlign w:val="bottom"/>
          </w:tcPr>
          <w:p>
            <w:pPr>
              <w:spacing w:after="0"/>
              <w:rPr>
                <w:sz w:val="20"/>
                <w:szCs w:val="20"/>
                <w:color w:val="auto"/>
              </w:rPr>
            </w:pPr>
          </w:p>
        </w:tc>
        <w:tc>
          <w:tcPr>
            <w:tcW w:w="860" w:type="dxa"/>
            <w:vAlign w:val="bottom"/>
          </w:tcPr>
          <w:p>
            <w:pPr>
              <w:jc w:val="right"/>
              <w:ind w:right="106"/>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6"/>
              <w:spacing w:after="0"/>
              <w:rPr>
                <w:sz w:val="20"/>
                <w:szCs w:val="20"/>
                <w:color w:val="auto"/>
              </w:rPr>
            </w:pPr>
            <w:r>
              <w:rPr>
                <w:rFonts w:ascii="Arial" w:cs="Arial" w:eastAsia="Arial" w:hAnsi="Arial"/>
                <w:sz w:val="14"/>
                <w:szCs w:val="14"/>
                <w:color w:val="auto"/>
              </w:rPr>
              <w:t>6/30/2019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 change</w:t>
            </w:r>
          </w:p>
        </w:tc>
        <w:tc>
          <w:tcPr>
            <w:tcW w:w="160" w:type="dxa"/>
            <w:vAlign w:val="bottom"/>
          </w:tcPr>
          <w:p>
            <w:pPr>
              <w:spacing w:after="0"/>
              <w:rPr>
                <w:sz w:val="20"/>
                <w:szCs w:val="20"/>
                <w:color w:val="auto"/>
              </w:rPr>
            </w:pPr>
          </w:p>
        </w:tc>
        <w:tc>
          <w:tcPr>
            <w:tcW w:w="860" w:type="dxa"/>
            <w:vAlign w:val="bottom"/>
          </w:tcPr>
          <w:p>
            <w:pPr>
              <w:jc w:val="right"/>
              <w:ind w:right="106"/>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6"/>
              <w:spacing w:after="0"/>
              <w:rPr>
                <w:sz w:val="20"/>
                <w:szCs w:val="20"/>
                <w:color w:val="auto"/>
              </w:rPr>
            </w:pPr>
            <w:r>
              <w:rPr>
                <w:rFonts w:ascii="Arial" w:cs="Arial" w:eastAsia="Arial" w:hAnsi="Arial"/>
                <w:sz w:val="14"/>
                <w:szCs w:val="14"/>
                <w:color w:val="auto"/>
              </w:rPr>
              <w:t>6/30/2019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46"/>
              <w:spacing w:after="0"/>
              <w:rPr>
                <w:sz w:val="20"/>
                <w:szCs w:val="20"/>
                <w:color w:val="auto"/>
              </w:rPr>
            </w:pPr>
            <w:r>
              <w:rPr>
                <w:rFonts w:ascii="Arial" w:cs="Arial" w:eastAsia="Arial" w:hAnsi="Arial"/>
                <w:sz w:val="14"/>
                <w:szCs w:val="14"/>
                <w:color w:val="auto"/>
              </w:rPr>
              <w:t>% 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gridSpan w:val="5"/>
          </w:tcPr>
          <w:p>
            <w:pPr>
              <w:ind w:left="40"/>
              <w:spacing w:after="0"/>
              <w:rPr>
                <w:sz w:val="20"/>
                <w:szCs w:val="20"/>
                <w:color w:val="auto"/>
              </w:rPr>
            </w:pPr>
            <w:r>
              <w:rPr>
                <w:rFonts w:ascii="Arial" w:cs="Arial" w:eastAsia="Arial" w:hAnsi="Arial"/>
                <w:sz w:val="15"/>
                <w:szCs w:val="15"/>
                <w:b w:val="1"/>
                <w:bCs w:val="1"/>
                <w:color w:val="auto"/>
              </w:rPr>
              <w:t>U.S. GAAP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1,293.8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1,270.2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2,621.6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2,464.4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Net revenues</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1,415.4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1,395.2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2,878.0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2,722.5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861.7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780.1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1,617.1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1,574.9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Net operating income</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553.7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615.1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1,260.9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1,147.6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4320" w:type="dxa"/>
            <w:vAlign w:val="bottom"/>
            <w:gridSpan w:val="5"/>
            <w:shd w:val="clear" w:color="auto" w:fill="CCEEFF"/>
          </w:tcPr>
          <w:p>
            <w:pPr>
              <w:ind w:left="40"/>
              <w:spacing w:after="0" w:line="92" w:lineRule="exact"/>
              <w:rPr>
                <w:sz w:val="20"/>
                <w:szCs w:val="20"/>
                <w:color w:val="auto"/>
              </w:rPr>
            </w:pPr>
            <w:r>
              <w:rPr>
                <w:rFonts w:ascii="Arial" w:cs="Arial" w:eastAsia="Arial" w:hAnsi="Arial"/>
                <w:sz w:val="10"/>
                <w:szCs w:val="10"/>
                <w:color w:val="auto"/>
              </w:rPr>
              <w:t>Non-operating income (loss)</w:t>
            </w:r>
          </w:p>
        </w:tc>
        <w:tc>
          <w:tcPr>
            <w:tcW w:w="1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26"/>
              <w:spacing w:after="0" w:line="92" w:lineRule="exact"/>
              <w:rPr>
                <w:sz w:val="20"/>
                <w:szCs w:val="20"/>
                <w:color w:val="auto"/>
              </w:rPr>
            </w:pPr>
            <w:r>
              <w:rPr>
                <w:rFonts w:ascii="Arial" w:cs="Arial" w:eastAsia="Arial" w:hAnsi="Arial"/>
                <w:sz w:val="10"/>
                <w:szCs w:val="10"/>
                <w:color w:val="auto"/>
              </w:rPr>
              <w:t>415.1</w:t>
            </w:r>
          </w:p>
        </w:tc>
        <w:tc>
          <w:tcPr>
            <w:tcW w:w="260" w:type="dxa"/>
            <w:vAlign w:val="bottom"/>
            <w:gridSpan w:val="2"/>
            <w:shd w:val="clear" w:color="auto" w:fill="CCEEFF"/>
          </w:tcPr>
          <w:p>
            <w:pPr>
              <w:jc w:val="right"/>
              <w:ind w:right="40"/>
              <w:spacing w:after="0" w:line="92"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26"/>
              <w:spacing w:after="0" w:line="92" w:lineRule="exact"/>
              <w:rPr>
                <w:sz w:val="20"/>
                <w:szCs w:val="20"/>
                <w:color w:val="auto"/>
              </w:rPr>
            </w:pPr>
            <w:r>
              <w:rPr>
                <w:rFonts w:ascii="Arial" w:cs="Arial" w:eastAsia="Arial" w:hAnsi="Arial"/>
                <w:sz w:val="10"/>
                <w:szCs w:val="10"/>
                <w:color w:val="auto"/>
              </w:rPr>
              <w:t>124.5</w:t>
            </w: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60" w:type="dxa"/>
            <w:vAlign w:val="bottom"/>
            <w:gridSpan w:val="2"/>
            <w:shd w:val="clear" w:color="auto" w:fill="CCEEFF"/>
          </w:tcPr>
          <w:p>
            <w:pPr>
              <w:ind w:left="460"/>
              <w:spacing w:after="0" w:line="92" w:lineRule="exact"/>
              <w:rPr>
                <w:sz w:val="20"/>
                <w:szCs w:val="20"/>
                <w:color w:val="auto"/>
              </w:rPr>
            </w:pPr>
            <w:r>
              <w:rPr>
                <w:rFonts w:ascii="Arial" w:cs="Arial" w:eastAsia="Arial" w:hAnsi="Arial"/>
                <w:sz w:val="10"/>
                <w:szCs w:val="10"/>
                <w:color w:val="auto"/>
              </w:rPr>
              <w:t>n/m</w:t>
            </w:r>
          </w:p>
        </w:tc>
        <w:tc>
          <w:tcPr>
            <w:tcW w:w="1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(85.2)</w:t>
            </w:r>
          </w:p>
        </w:tc>
        <w:tc>
          <w:tcPr>
            <w:tcW w:w="260" w:type="dxa"/>
            <w:vAlign w:val="bottom"/>
            <w:gridSpan w:val="2"/>
            <w:shd w:val="clear" w:color="auto" w:fill="CCEEFF"/>
          </w:tcPr>
          <w:p>
            <w:pPr>
              <w:jc w:val="right"/>
              <w:ind w:right="40"/>
              <w:spacing w:after="0" w:line="92"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26"/>
              <w:spacing w:after="0" w:line="92" w:lineRule="exact"/>
              <w:rPr>
                <w:sz w:val="20"/>
                <w:szCs w:val="20"/>
                <w:color w:val="auto"/>
              </w:rPr>
            </w:pPr>
            <w:r>
              <w:rPr>
                <w:rFonts w:ascii="Arial" w:cs="Arial" w:eastAsia="Arial" w:hAnsi="Arial"/>
                <w:sz w:val="10"/>
                <w:szCs w:val="10"/>
                <w:color w:val="auto"/>
              </w:rPr>
              <w:t>327.3</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jc w:val="right"/>
              <w:ind w:right="146"/>
              <w:spacing w:after="0" w:line="92" w:lineRule="exact"/>
              <w:rPr>
                <w:sz w:val="20"/>
                <w:szCs w:val="20"/>
                <w:color w:val="auto"/>
              </w:rPr>
            </w:pPr>
            <w:r>
              <w:rPr>
                <w:rFonts w:ascii="Arial" w:cs="Arial" w:eastAsia="Arial" w:hAnsi="Arial"/>
                <w:sz w:val="10"/>
                <w:szCs w:val="10"/>
                <w:color w:val="auto"/>
              </w:rPr>
              <w:t>n/m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320" w:type="dxa"/>
            <w:vAlign w:val="bottom"/>
            <w:tcBorders>
              <w:bottom w:val="single" w:sz="8" w:color="CCEEFF"/>
            </w:tcBorders>
            <w:gridSpan w:val="5"/>
            <w:shd w:val="clear" w:color="auto" w:fill="CCEEFF"/>
          </w:tcPr>
          <w:p>
            <w:pPr>
              <w:ind w:left="1960"/>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6"/>
              <w:spacing w:after="0"/>
              <w:rPr>
                <w:sz w:val="20"/>
                <w:szCs w:val="20"/>
                <w:color w:val="auto"/>
              </w:rPr>
            </w:pPr>
            <w:r>
              <w:rPr>
                <w:rFonts w:ascii="Arial" w:cs="Arial" w:eastAsia="Arial" w:hAnsi="Arial"/>
                <w:sz w:val="15"/>
                <w:szCs w:val="15"/>
                <w:color w:val="auto"/>
              </w:rPr>
              <w:t>603.0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6"/>
              <w:spacing w:after="0"/>
              <w:rPr>
                <w:sz w:val="20"/>
                <w:szCs w:val="20"/>
                <w:color w:val="auto"/>
              </w:rPr>
            </w:pPr>
            <w:r>
              <w:rPr>
                <w:rFonts w:ascii="Arial" w:cs="Arial" w:eastAsia="Arial" w:hAnsi="Arial"/>
                <w:sz w:val="15"/>
                <w:szCs w:val="15"/>
                <w:color w:val="auto"/>
              </w:rPr>
              <w:t>527.5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14.3 %</w:t>
            </w:r>
          </w:p>
        </w:tc>
        <w:tc>
          <w:tcPr>
            <w:tcW w:w="2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6"/>
              <w:spacing w:after="0"/>
              <w:rPr>
                <w:sz w:val="20"/>
                <w:szCs w:val="20"/>
                <w:color w:val="auto"/>
              </w:rPr>
            </w:pPr>
            <w:r>
              <w:rPr>
                <w:rFonts w:ascii="Arial" w:cs="Arial" w:eastAsia="Arial" w:hAnsi="Arial"/>
                <w:sz w:val="15"/>
                <w:szCs w:val="15"/>
                <w:color w:val="auto"/>
              </w:rPr>
              <w:t>946.1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6"/>
              <w:spacing w:after="0"/>
              <w:rPr>
                <w:sz w:val="20"/>
                <w:szCs w:val="20"/>
                <w:color w:val="auto"/>
              </w:rPr>
            </w:pPr>
            <w:r>
              <w:rPr>
                <w:rFonts w:ascii="Arial" w:cs="Arial" w:eastAsia="Arial" w:hAnsi="Arial"/>
                <w:sz w:val="15"/>
                <w:szCs w:val="15"/>
                <w:color w:val="auto"/>
              </w:rPr>
              <w:t>1,040.1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Weighted average common shares outstanding assuming</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dilution</w:t>
            </w:r>
          </w:p>
        </w:tc>
        <w:tc>
          <w:tcPr>
            <w:tcW w:w="16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233.1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239.4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320" w:type="dxa"/>
            <w:vAlign w:val="bottom"/>
            <w:gridSpan w:val="5"/>
          </w:tcPr>
          <w:p>
            <w:pPr>
              <w:ind w:left="40"/>
              <w:spacing w:after="0" w:line="87" w:lineRule="exact"/>
              <w:rPr>
                <w:sz w:val="20"/>
                <w:szCs w:val="20"/>
                <w:color w:val="auto"/>
              </w:rPr>
            </w:pPr>
            <w:r>
              <w:rPr>
                <w:rFonts w:ascii="Arial" w:cs="Arial" w:eastAsia="Arial" w:hAnsi="Arial"/>
                <w:sz w:val="10"/>
                <w:szCs w:val="10"/>
                <w:b w:val="1"/>
                <w:bCs w:val="1"/>
                <w:color w:val="auto"/>
              </w:rPr>
              <w:t>Adjusted non-GAAP basis</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320" w:type="dxa"/>
            <w:vAlign w:val="bottom"/>
            <w:gridSpan w:val="5"/>
          </w:tcPr>
          <w:p>
            <w:pPr>
              <w:ind w:left="1960"/>
              <w:spacing w:after="0" w:line="143" w:lineRule="exact"/>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785.8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764.6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1,603.7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1,521.2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Net operating income</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631.7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632.8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1,278.9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1,205.0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Non-operating income</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320" w:type="dxa"/>
            <w:vAlign w:val="bottom"/>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539.6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498.1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8.3 %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993.9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958.7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4280" w:type="dxa"/>
            <w:vAlign w:val="bottom"/>
            <w:gridSpan w:val="4"/>
          </w:tcPr>
          <w:p>
            <w:pPr>
              <w:spacing w:after="0"/>
              <w:rPr>
                <w:sz w:val="20"/>
                <w:szCs w:val="20"/>
                <w:color w:val="auto"/>
              </w:rPr>
            </w:pPr>
            <w:r>
              <w:rPr>
                <w:rFonts w:ascii="Arial" w:cs="Arial" w:eastAsia="Arial" w:hAnsi="Arial"/>
                <w:sz w:val="15"/>
                <w:szCs w:val="15"/>
                <w:color w:val="auto"/>
              </w:rPr>
              <w:t>Average assets under management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1,140.2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1,099.8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1,151.4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1,071.8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32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Ending assets under management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1,220.0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1,220.0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1,125.0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The percentage change in non-operating income (loss) is not meaningful (n/m).</w:t>
      </w:r>
    </w:p>
    <w:p>
      <w:pPr>
        <w:spacing w:after="0" w:line="6" w:lineRule="exact"/>
        <w:rPr>
          <w:rFonts w:ascii="Arial" w:cs="Arial" w:eastAsia="Arial" w:hAnsi="Arial"/>
          <w:sz w:val="9"/>
          <w:szCs w:val="9"/>
          <w:i w:val="1"/>
          <w:iCs w:val="1"/>
          <w:color w:val="auto"/>
        </w:rPr>
      </w:pPr>
    </w:p>
    <w:p>
      <w:pPr>
        <w:ind w:left="180" w:right="100" w:hanging="172"/>
        <w:spacing w:after="0"/>
        <w:tabs>
          <w:tab w:leader="none" w:pos="163"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The firm believes the non-GAAP financial measures provide relevant and meaningful information to investors about its core operating results. See the reconciliation to the comparable U.S. GAAP measures at the end of this earnings release.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320" w:top="1440"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Management Commentary</w:t>
      </w:r>
    </w:p>
    <w:p>
      <w:pPr>
        <w:spacing w:after="0" w:line="85" w:lineRule="exact"/>
        <w:rPr>
          <w:sz w:val="20"/>
          <w:szCs w:val="20"/>
          <w:color w:val="auto"/>
        </w:rPr>
      </w:pPr>
    </w:p>
    <w:p>
      <w:pPr>
        <w:ind w:right="160"/>
        <w:spacing w:after="0" w:line="389" w:lineRule="auto"/>
        <w:rPr>
          <w:sz w:val="20"/>
          <w:szCs w:val="20"/>
          <w:color w:val="auto"/>
        </w:rPr>
      </w:pPr>
      <w:r>
        <w:rPr>
          <w:rFonts w:ascii="Arial" w:cs="Arial" w:eastAsia="Arial" w:hAnsi="Arial"/>
          <w:sz w:val="17"/>
          <w:szCs w:val="17"/>
          <w:color w:val="auto"/>
        </w:rPr>
        <w:t>William J. Stromberg, president and chief executive officer, commented: “The second quarter saw a powerful rebound in global equity and credit markets from the steep losses of February and March, fueled by the most extensive fiscal and monetary stimulus in history. A new global economic recovery has begun but its sustainability is uncertain as the number of confirmed coronavirus cases in the world continues to rise. Against this backdrop, our long-term performance remained strong, including an excellent quarter for our target date strategies.</w:t>
      </w:r>
    </w:p>
    <w:p>
      <w:pPr>
        <w:spacing w:after="0" w:line="285" w:lineRule="exact"/>
        <w:rPr>
          <w:sz w:val="20"/>
          <w:szCs w:val="20"/>
          <w:color w:val="auto"/>
        </w:rPr>
      </w:pPr>
    </w:p>
    <w:p>
      <w:pPr>
        <w:ind w:right="680"/>
        <w:spacing w:after="0" w:line="371" w:lineRule="auto"/>
        <w:rPr>
          <w:sz w:val="20"/>
          <w:szCs w:val="20"/>
          <w:color w:val="auto"/>
        </w:rPr>
      </w:pPr>
      <w:r>
        <w:rPr>
          <w:rFonts w:ascii="Arial" w:cs="Arial" w:eastAsia="Arial" w:hAnsi="Arial"/>
          <w:sz w:val="18"/>
          <w:szCs w:val="18"/>
          <w:color w:val="auto"/>
        </w:rPr>
        <w:t>“Through these volatile times we focused on execution of our strategic initiatives while maintaining a rock-solid balance sheet. Some highlights included:</w:t>
      </w:r>
    </w:p>
    <w:p>
      <w:pPr>
        <w:spacing w:after="0" w:line="292" w:lineRule="exact"/>
        <w:rPr>
          <w:sz w:val="20"/>
          <w:szCs w:val="20"/>
          <w:color w:val="auto"/>
        </w:rPr>
      </w:pPr>
    </w:p>
    <w:p>
      <w:pPr>
        <w:jc w:val="both"/>
        <w:ind w:left="560" w:hanging="255"/>
        <w:spacing w:after="0" w:line="36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demand for our strategies yielded positive net flows of $14.7 billion in the quarter. Flows were positive across geographies, and for both the institutional and intermediary channels globally. We continue to monitor the impact that the CARES Act could have on our business over the course of the year.</w:t>
      </w:r>
    </w:p>
    <w:p>
      <w:pPr>
        <w:spacing w:after="0" w:line="297" w:lineRule="exact"/>
        <w:rPr>
          <w:rFonts w:ascii="Arial" w:cs="Arial" w:eastAsia="Arial" w:hAnsi="Arial"/>
          <w:sz w:val="18"/>
          <w:szCs w:val="18"/>
          <w:color w:val="auto"/>
        </w:rPr>
      </w:pPr>
    </w:p>
    <w:p>
      <w:pPr>
        <w:ind w:left="560" w:right="260" w:hanging="255"/>
        <w:spacing w:after="0" w:line="36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early July, we received the final necessary approvals from the U.S. Securities &amp; Exchange Commission (SEC) to bring to market our active exchange-traded funds (ETFs). We plan to launch the Blue Chip Growth, Dividend Growth, Equity Income, and Growth Stock ETFs in August 2020.</w:t>
      </w:r>
    </w:p>
    <w:p>
      <w:pPr>
        <w:spacing w:after="0" w:line="297" w:lineRule="exact"/>
        <w:rPr>
          <w:rFonts w:ascii="Arial" w:cs="Arial" w:eastAsia="Arial" w:hAnsi="Arial"/>
          <w:sz w:val="18"/>
          <w:szCs w:val="18"/>
          <w:color w:val="auto"/>
        </w:rPr>
      </w:pPr>
    </w:p>
    <w:p>
      <w:pPr>
        <w:ind w:left="560" w:right="780" w:hanging="255"/>
        <w:spacing w:after="0" w:line="371"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approach to capital management remained unchanged as we bought back 1.3 million shares in the quarter, bringing our outstanding share count below the level at our IPO in 1986.</w:t>
      </w:r>
    </w:p>
    <w:p>
      <w:pPr>
        <w:spacing w:after="0" w:line="292" w:lineRule="exact"/>
        <w:rPr>
          <w:sz w:val="20"/>
          <w:szCs w:val="20"/>
          <w:color w:val="auto"/>
        </w:rPr>
      </w:pPr>
    </w:p>
    <w:p>
      <w:pPr>
        <w:ind w:right="80"/>
        <w:spacing w:after="0" w:line="362" w:lineRule="auto"/>
        <w:rPr>
          <w:sz w:val="20"/>
          <w:szCs w:val="20"/>
          <w:color w:val="auto"/>
        </w:rPr>
      </w:pPr>
      <w:r>
        <w:rPr>
          <w:rFonts w:ascii="Arial" w:cs="Arial" w:eastAsia="Arial" w:hAnsi="Arial"/>
          <w:sz w:val="18"/>
          <w:szCs w:val="18"/>
          <w:color w:val="auto"/>
        </w:rPr>
        <w:t>“We were also honored to be the recipient of two 2020 U.S. Morningstar Awards for Investing Excellence. The firm was awarded the U.S. Morningstar Exemplary Stewardship Award, which according to Morningstar recognizes the firm that best-demonstrates an investor-focused corporate culture and an alignment of interests between investors and the people who control the destiny of the investment strategies. Jerome Clark, who co-manages our Retirement Funds and Target Funds, was the recipient of the U.S. Morningstar Outstanding Portfolio Manager Award.</w:t>
      </w:r>
    </w:p>
    <w:p>
      <w:pPr>
        <w:spacing w:after="0" w:line="302" w:lineRule="exact"/>
        <w:rPr>
          <w:sz w:val="20"/>
          <w:szCs w:val="20"/>
          <w:color w:val="auto"/>
        </w:rPr>
      </w:pPr>
    </w:p>
    <w:p>
      <w:pPr>
        <w:ind w:right="60"/>
        <w:spacing w:after="0" w:line="365" w:lineRule="auto"/>
        <w:rPr>
          <w:sz w:val="20"/>
          <w:szCs w:val="20"/>
          <w:color w:val="auto"/>
        </w:rPr>
      </w:pPr>
      <w:r>
        <w:rPr>
          <w:rFonts w:ascii="Arial" w:cs="Arial" w:eastAsia="Arial" w:hAnsi="Arial"/>
          <w:sz w:val="18"/>
          <w:szCs w:val="18"/>
          <w:color w:val="auto"/>
        </w:rPr>
        <w:t>“Reflecting our commitment to racial equality, we committed $2 million to support organizations in the fight against racial injustice. We also continue to strengthen our own diversity and inclusion programs to attract, develop, and retain minorities. While we still have much further to go, our commitment is unwavering and I am encouraged by the progress we are making.</w:t>
      </w:r>
    </w:p>
    <w:p>
      <w:pPr>
        <w:spacing w:after="0" w:line="298" w:lineRule="exact"/>
        <w:rPr>
          <w:sz w:val="20"/>
          <w:szCs w:val="20"/>
          <w:color w:val="auto"/>
        </w:rPr>
      </w:pPr>
    </w:p>
    <w:p>
      <w:pPr>
        <w:ind w:right="100"/>
        <w:spacing w:after="0" w:line="371" w:lineRule="auto"/>
        <w:rPr>
          <w:sz w:val="20"/>
          <w:szCs w:val="20"/>
          <w:color w:val="auto"/>
        </w:rPr>
      </w:pPr>
      <w:r>
        <w:rPr>
          <w:rFonts w:ascii="Arial" w:cs="Arial" w:eastAsia="Arial" w:hAnsi="Arial"/>
          <w:sz w:val="18"/>
          <w:szCs w:val="18"/>
          <w:color w:val="auto"/>
        </w:rPr>
        <w:t>“I remain grateful to our associates for the diversity of backgrounds, perspective, skills, and experiences that each of them brings to our firm and thank them for their continued focus on delivering for our clients through this unprecedented time."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6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Q2 2020, assets under management increased $211.2 billion to $1.22 trillion. Net cash inflows were</w:t>
      </w:r>
    </w:p>
    <w:p>
      <w:pPr>
        <w:spacing w:after="0" w:line="104" w:lineRule="exact"/>
        <w:rPr>
          <w:sz w:val="20"/>
          <w:szCs w:val="20"/>
          <w:color w:val="auto"/>
        </w:rPr>
      </w:pPr>
    </w:p>
    <w:p>
      <w:pPr>
        <w:ind w:right="480"/>
        <w:spacing w:after="0" w:line="365" w:lineRule="auto"/>
        <w:rPr>
          <w:sz w:val="20"/>
          <w:szCs w:val="20"/>
          <w:color w:val="auto"/>
        </w:rPr>
      </w:pPr>
      <w:r>
        <w:rPr>
          <w:rFonts w:ascii="Arial" w:cs="Arial" w:eastAsia="Arial" w:hAnsi="Arial"/>
          <w:sz w:val="18"/>
          <w:szCs w:val="18"/>
          <w:color w:val="auto"/>
        </w:rPr>
        <w:t>$14.7 billion, including large subscriptions from institutional clients into U.S. equity and multi-asset. Clients transferred $4.4 billion in net assets from the U.S. mutual funds to other investment products, of which $1.8 billion transferred into the retirement date trusts. The components of the change in assets under management, by vehicle and asset class, are shown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2837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2837180"/>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Three months ended 6/30/2020</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color w:val="auto"/>
              </w:rPr>
              <w:t>Subadvised and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color w:val="auto"/>
              </w:rPr>
              <w:t>U.S. mutual</w:t>
            </w: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separate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20" w:type="dxa"/>
            <w:vAlign w:val="bottom"/>
          </w:tcPr>
          <w:p>
            <w:pPr>
              <w:spacing w:after="0"/>
              <w:rPr>
                <w:sz w:val="20"/>
                <w:szCs w:val="20"/>
                <w:color w:val="auto"/>
              </w:rPr>
            </w:pPr>
            <w:r>
              <w:rPr>
                <w:rFonts w:ascii="Arial" w:cs="Arial" w:eastAsia="Arial" w:hAnsi="Arial"/>
                <w:sz w:val="14"/>
                <w:szCs w:val="14"/>
                <w:color w:val="auto"/>
              </w:rPr>
              <w:t>(in billions)</w:t>
            </w:r>
          </w:p>
        </w:tc>
        <w:tc>
          <w:tcPr>
            <w:tcW w:w="20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funds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rPr>
              <w:t>accounts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5"/>
                <w:szCs w:val="15"/>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20"/>
                <w:szCs w:val="20"/>
                <w:color w:val="auto"/>
              </w:rPr>
            </w:pPr>
            <w:r>
              <w:rPr>
                <w:rFonts w:ascii="Arial" w:cs="Arial" w:eastAsia="Arial" w:hAnsi="Arial"/>
                <w:sz w:val="16"/>
                <w:szCs w:val="16"/>
                <w:color w:val="auto"/>
              </w:rPr>
              <w:t>Assets under management at</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20" w:type="dxa"/>
            <w:vAlign w:val="bottom"/>
          </w:tcPr>
          <w:p>
            <w:pPr>
              <w:spacing w:after="0"/>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1,008.8</w:t>
            </w:r>
          </w:p>
        </w:tc>
        <w:tc>
          <w:tcPr>
            <w:tcW w:w="0" w:type="dxa"/>
            <w:vAlign w:val="bottom"/>
          </w:tcPr>
          <w:p>
            <w:pPr>
              <w:spacing w:after="0"/>
              <w:rPr>
                <w:sz w:val="1"/>
                <w:szCs w:val="1"/>
                <w:color w:val="auto"/>
              </w:rPr>
            </w:pPr>
          </w:p>
        </w:tc>
      </w:tr>
      <w:tr>
        <w:trPr>
          <w:trHeight w:val="393"/>
        </w:trPr>
        <w:tc>
          <w:tcPr>
            <w:tcW w:w="2220" w:type="dxa"/>
            <w:vAlign w:val="bottom"/>
          </w:tcPr>
          <w:p>
            <w:pPr>
              <w:spacing w:after="0"/>
              <w:rPr>
                <w:sz w:val="20"/>
                <w:szCs w:val="20"/>
                <w:color w:val="auto"/>
              </w:rPr>
            </w:pPr>
            <w:r>
              <w:rPr>
                <w:rFonts w:ascii="Arial" w:cs="Arial" w:eastAsia="Arial" w:hAnsi="Arial"/>
                <w:sz w:val="16"/>
                <w:szCs w:val="16"/>
                <w:color w:val="auto"/>
              </w:rPr>
              <w:t>Net cash flows before client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20"/>
                <w:szCs w:val="20"/>
                <w:color w:val="auto"/>
              </w:rPr>
            </w:pPr>
            <w:r>
              <w:rPr>
                <w:rFonts w:ascii="Arial" w:cs="Arial" w:eastAsia="Arial" w:hAnsi="Arial"/>
                <w:sz w:val="16"/>
                <w:szCs w:val="16"/>
                <w:color w:val="auto"/>
              </w:rPr>
              <w:t>transfers</w:t>
            </w:r>
          </w:p>
        </w:tc>
        <w:tc>
          <w:tcPr>
            <w:tcW w:w="20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Client transfers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20"/>
                <w:szCs w:val="20"/>
                <w:color w:val="auto"/>
              </w:rPr>
            </w:pPr>
            <w:r>
              <w:rPr>
                <w:rFonts w:ascii="Arial" w:cs="Arial" w:eastAsia="Arial" w:hAnsi="Arial"/>
                <w:sz w:val="16"/>
                <w:szCs w:val="16"/>
                <w:color w:val="auto"/>
              </w:rPr>
              <w:t>Net cash flows after client</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20"/>
                <w:szCs w:val="20"/>
                <w:color w:val="auto"/>
              </w:rPr>
            </w:pPr>
            <w:r>
              <w:rPr>
                <w:rFonts w:ascii="Arial" w:cs="Arial" w:eastAsia="Arial" w:hAnsi="Arial"/>
                <w:sz w:val="16"/>
                <w:szCs w:val="16"/>
                <w:color w:val="auto"/>
              </w:rPr>
              <w:t>transfers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r>
              <w:rPr>
                <w:rFonts w:ascii="Arial" w:cs="Arial" w:eastAsia="Arial" w:hAnsi="Arial"/>
                <w:sz w:val="16"/>
                <w:szCs w:val="16"/>
                <w:color w:val="auto"/>
              </w:rPr>
              <w:t>Net market appreciation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(depreciation) and gains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20"/>
                <w:szCs w:val="20"/>
                <w:color w:val="auto"/>
              </w:rPr>
            </w:pPr>
            <w:r>
              <w:rPr>
                <w:rFonts w:ascii="Arial" w:cs="Arial" w:eastAsia="Arial" w:hAnsi="Arial"/>
                <w:sz w:val="16"/>
                <w:szCs w:val="16"/>
                <w:color w:val="auto"/>
              </w:rPr>
              <w:t>(losses)</w:t>
            </w:r>
          </w:p>
        </w:tc>
        <w:tc>
          <w:tcPr>
            <w:tcW w:w="20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r>
              <w:rPr>
                <w:rFonts w:ascii="Arial" w:cs="Arial" w:eastAsia="Arial" w:hAnsi="Arial"/>
                <w:sz w:val="16"/>
                <w:szCs w:val="16"/>
                <w:color w:val="auto"/>
              </w:rPr>
              <w:t>Net distributions not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20" w:type="dxa"/>
            <w:vAlign w:val="bottom"/>
          </w:tcPr>
          <w:p>
            <w:pPr>
              <w:spacing w:after="0"/>
              <w:rPr>
                <w:sz w:val="20"/>
                <w:szCs w:val="20"/>
                <w:color w:val="auto"/>
              </w:rPr>
            </w:pPr>
            <w:r>
              <w:rPr>
                <w:rFonts w:ascii="Arial" w:cs="Arial" w:eastAsia="Arial" w:hAnsi="Arial"/>
                <w:sz w:val="16"/>
                <w:szCs w:val="16"/>
                <w:color w:val="auto"/>
              </w:rPr>
              <w:t>reinvested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Arial" w:cs="Arial" w:eastAsia="Arial" w:hAnsi="Arial"/>
                <w:sz w:val="16"/>
                <w:szCs w:val="16"/>
                <w:color w:val="auto"/>
              </w:rPr>
              <w:t>Change during the period</w:t>
            </w: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339"/>
        </w:trPr>
        <w:tc>
          <w:tcPr>
            <w:tcW w:w="2220" w:type="dxa"/>
            <w:vAlign w:val="bottom"/>
          </w:tcPr>
          <w:p>
            <w:pPr>
              <w:spacing w:after="0"/>
              <w:rPr>
                <w:sz w:val="20"/>
                <w:szCs w:val="20"/>
                <w:color w:val="auto"/>
              </w:rPr>
            </w:pPr>
            <w:r>
              <w:rPr>
                <w:rFonts w:ascii="Arial" w:cs="Arial" w:eastAsia="Arial" w:hAnsi="Arial"/>
                <w:sz w:val="16"/>
                <w:szCs w:val="16"/>
                <w:color w:val="auto"/>
              </w:rPr>
              <w:t>Assets under management at</w:t>
            </w:r>
          </w:p>
        </w:tc>
        <w:tc>
          <w:tcPr>
            <w:tcW w:w="20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670.8</w:t>
            </w:r>
          </w:p>
        </w:tc>
        <w:tc>
          <w:tcPr>
            <w:tcW w:w="12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1"/>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221.7</w:t>
            </w:r>
          </w:p>
        </w:tc>
        <w:tc>
          <w:tcPr>
            <w:tcW w:w="12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20"/>
              <w:spacing w:after="0"/>
              <w:rPr>
                <w:sz w:val="20"/>
                <w:szCs w:val="20"/>
                <w:color w:val="auto"/>
              </w:rPr>
            </w:pPr>
            <w:r>
              <w:rPr>
                <w:rFonts w:ascii="Arial" w:cs="Arial" w:eastAsia="Arial" w:hAnsi="Arial"/>
                <w:sz w:val="16"/>
                <w:szCs w:val="16"/>
                <w:color w:val="auto"/>
              </w:rPr>
              <w:t>1,220.0</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June 30, 2020</w:t>
            </w:r>
          </w:p>
        </w:tc>
        <w:tc>
          <w:tcPr>
            <w:tcW w:w="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885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Six months ended 6/30/2020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color w:val="auto"/>
              </w:rPr>
              <w:t>Subadvised and</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rPr>
              <w:t>U.S. mutual</w:t>
            </w:r>
          </w:p>
        </w:tc>
        <w:tc>
          <w:tcPr>
            <w:tcW w:w="2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separate</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8"/>
        </w:trPr>
        <w:tc>
          <w:tcPr>
            <w:tcW w:w="18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color w:val="auto"/>
              </w:rPr>
              <w:t>funds</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rPr>
              <w:t>accounts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r>
      <w:tr>
        <w:trPr>
          <w:trHeight w:val="412"/>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1,206.8</w:t>
            </w:r>
          </w:p>
        </w:tc>
      </w:tr>
      <w:tr>
        <w:trPr>
          <w:trHeight w:val="588"/>
        </w:trPr>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8.7</w:t>
            </w:r>
          </w:p>
        </w:tc>
      </w:tr>
      <w:tr>
        <w:trPr>
          <w:trHeight w:val="283"/>
        </w:trPr>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399"/>
        </w:trPr>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8.7</w:t>
            </w:r>
          </w:p>
        </w:tc>
      </w:tr>
      <w:tr>
        <w:trPr>
          <w:trHeight w:val="621"/>
        </w:trPr>
        <w:tc>
          <w:tcPr>
            <w:tcW w:w="1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445"/>
        </w:trPr>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r>
      <w:tr>
        <w:trPr>
          <w:trHeight w:val="53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670.8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240"/>
            <w:col w:w="4340"/>
          </w:cols>
          <w:pgMar w:left="320" w:top="616" w:right="339" w:bottom="1440" w:gutter="0" w:footer="0" w:header="0"/>
          <w:type w:val="continuous"/>
        </w:sectPr>
      </w:pP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Three months ended 6/30/2020</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color w:val="auto"/>
              </w:rPr>
              <w:t>Fixed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rPr>
              <w:t>including</w:t>
            </w: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color w:val="auto"/>
              </w:rPr>
              <w:t>Multi-asset</w:t>
            </w:r>
            <w:r>
              <w:rPr>
                <w:rFonts w:ascii="Arial" w:cs="Arial" w:eastAsia="Arial" w:hAnsi="Arial"/>
                <w:sz w:val="17"/>
                <w:szCs w:val="17"/>
                <w:color w:val="auto"/>
                <w:vertAlign w:val="superscript"/>
              </w:rPr>
              <w:t>(1)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Equity</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money market</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1,008.8</w:t>
            </w:r>
          </w:p>
        </w:tc>
        <w:tc>
          <w:tcPr>
            <w:tcW w:w="0" w:type="dxa"/>
            <w:vAlign w:val="bottom"/>
          </w:tcPr>
          <w:p>
            <w:pPr>
              <w:spacing w:after="0"/>
              <w:rPr>
                <w:sz w:val="1"/>
                <w:szCs w:val="1"/>
                <w:color w:val="auto"/>
              </w:rPr>
            </w:pPr>
          </w:p>
        </w:tc>
      </w:tr>
      <w:tr>
        <w:trPr>
          <w:trHeight w:val="426"/>
        </w:trPr>
        <w:tc>
          <w:tcPr>
            <w:tcW w:w="2460" w:type="dxa"/>
            <w:vAlign w:val="bottom"/>
          </w:tcPr>
          <w:p>
            <w:pPr>
              <w:spacing w:after="0"/>
              <w:rPr>
                <w:sz w:val="20"/>
                <w:szCs w:val="20"/>
                <w:color w:val="auto"/>
              </w:rPr>
            </w:pPr>
            <w:r>
              <w:rPr>
                <w:rFonts w:ascii="Arial" w:cs="Arial" w:eastAsia="Arial" w:hAnsi="Arial"/>
                <w:sz w:val="16"/>
                <w:szCs w:val="16"/>
                <w:color w:val="auto"/>
              </w:rPr>
              <w:t>Net cash flows</w:t>
            </w:r>
          </w:p>
        </w:tc>
        <w:tc>
          <w:tcPr>
            <w:tcW w:w="160" w:type="dxa"/>
            <w:vAlign w:val="bottom"/>
          </w:tcPr>
          <w:p>
            <w:pPr>
              <w:spacing w:after="0"/>
              <w:rPr>
                <w:sz w:val="24"/>
                <w:szCs w:val="24"/>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6"/>
                <w:szCs w:val="16"/>
                <w:color w:val="auto"/>
              </w:rPr>
              <w:t>Net market appreciation</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20"/>
                <w:szCs w:val="20"/>
                <w:color w:val="auto"/>
              </w:rPr>
            </w:pPr>
            <w:r>
              <w:rPr>
                <w:rFonts w:ascii="Arial" w:cs="Arial" w:eastAsia="Arial" w:hAnsi="Arial"/>
                <w:sz w:val="16"/>
                <w:szCs w:val="16"/>
                <w:color w:val="auto"/>
              </w:rPr>
              <w:t>(depreciation) and gains (losses)</w:t>
            </w:r>
          </w:p>
        </w:tc>
        <w:tc>
          <w:tcPr>
            <w:tcW w:w="160" w:type="dxa"/>
            <w:vAlign w:val="bottom"/>
          </w:tcPr>
          <w:p>
            <w:pPr>
              <w:spacing w:after="0"/>
              <w:rPr>
                <w:sz w:val="15"/>
                <w:szCs w:val="15"/>
                <w:color w:val="auto"/>
              </w:rPr>
            </w:pPr>
          </w:p>
        </w:tc>
        <w:tc>
          <w:tcPr>
            <w:tcW w:w="640" w:type="dxa"/>
            <w:vAlign w:val="bottom"/>
            <w:vMerge w:val="restart"/>
          </w:tcPr>
          <w:p>
            <w:pPr>
              <w:jc w:val="right"/>
              <w:ind w:right="21"/>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20"/>
                <w:szCs w:val="20"/>
                <w:color w:val="auto"/>
              </w:rPr>
            </w:pPr>
            <w:r>
              <w:rPr>
                <w:rFonts w:ascii="Arial" w:cs="Arial" w:eastAsia="Arial" w:hAnsi="Arial"/>
                <w:sz w:val="11"/>
                <w:szCs w:val="11"/>
                <w:color w:val="auto"/>
              </w:rPr>
              <w:t>(2)</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21"/>
              <w:spacing w:after="0"/>
              <w:rPr>
                <w:sz w:val="20"/>
                <w:szCs w:val="20"/>
                <w:color w:val="auto"/>
              </w:rPr>
            </w:pPr>
            <w:r>
              <w:rPr>
                <w:rFonts w:ascii="Arial" w:cs="Arial" w:eastAsia="Arial" w:hAnsi="Arial"/>
                <w:sz w:val="16"/>
                <w:szCs w:val="16"/>
                <w:color w:val="auto"/>
              </w:rPr>
              <w:t>718.9</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2"/>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21"/>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1,220.0</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20"/>
                <w:szCs w:val="20"/>
                <w:color w:val="auto"/>
              </w:rPr>
            </w:pPr>
            <w:r>
              <w:rPr>
                <w:rFonts w:ascii="Arial" w:cs="Arial" w:eastAsia="Arial" w:hAnsi="Arial"/>
                <w:sz w:val="16"/>
                <w:szCs w:val="16"/>
                <w:color w:val="auto"/>
              </w:rPr>
              <w:t>June 30, 2020</w:t>
            </w: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Six months ended 6/30/2020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color w:val="auto"/>
              </w:rPr>
              <w:t>Fixed income,</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rPr>
              <w:t>including</w:t>
            </w: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color w:val="auto"/>
              </w:rPr>
              <w:t>Multi-asset</w:t>
            </w:r>
            <w:r>
              <w:rPr>
                <w:rFonts w:ascii="Arial" w:cs="Arial" w:eastAsia="Arial" w:hAnsi="Arial"/>
                <w:sz w:val="17"/>
                <w:szCs w:val="17"/>
                <w:color w:val="auto"/>
                <w:vertAlign w:val="superscript"/>
              </w:rPr>
              <w:t>(1)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Equity</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auto"/>
              </w:rPr>
              <w:t>money market</w:t>
            </w:r>
          </w:p>
        </w:tc>
        <w:tc>
          <w:tcPr>
            <w:tcW w:w="11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405"/>
        </w:trPr>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698.9</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567"/>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0"/>
        </w:trPr>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85"/>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718.9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4"/>
                <w:szCs w:val="24"/>
                <w:color w:val="auto"/>
              </w:rPr>
            </w:pP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1,220.0</w:t>
            </w:r>
          </w:p>
        </w:tc>
        <w:tc>
          <w:tcPr>
            <w:tcW w:w="0" w:type="dxa"/>
            <w:vAlign w:val="bottom"/>
          </w:tcPr>
          <w:p>
            <w:pPr>
              <w:spacing w:after="0"/>
              <w:rPr>
                <w:sz w:val="1"/>
                <w:szCs w:val="1"/>
                <w:color w:val="auto"/>
              </w:rPr>
            </w:pPr>
          </w:p>
        </w:tc>
      </w:tr>
    </w:tbl>
    <w:p>
      <w:pPr>
        <w:spacing w:after="0" w:line="42" w:lineRule="exact"/>
        <w:rPr>
          <w:sz w:val="20"/>
          <w:szCs w:val="20"/>
          <w:color w:val="auto"/>
        </w:rPr>
      </w:pPr>
    </w:p>
    <w:p>
      <w:pPr>
        <w:sectPr>
          <w:pgSz w:w="11900" w:h="16838" w:orient="portrait"/>
          <w:cols w:equalWidth="0" w:num="2">
            <w:col w:w="6760" w:space="220"/>
            <w:col w:w="4260"/>
          </w:cols>
          <w:pgMar w:left="320" w:top="616" w:right="339" w:bottom="1440" w:gutter="0" w:footer="0" w:header="0"/>
          <w:type w:val="continuous"/>
        </w:sectPr>
      </w:pPr>
    </w:p>
    <w:p>
      <w:pPr>
        <w:ind w:left="140" w:hanging="132"/>
        <w:spacing w:after="0"/>
        <w:tabs>
          <w:tab w:leader="none" w:pos="140"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1" w:lineRule="exact"/>
        <w:rPr>
          <w:rFonts w:ascii="Arial" w:cs="Arial" w:eastAsia="Arial" w:hAnsi="Arial"/>
          <w:sz w:val="9"/>
          <w:szCs w:val="9"/>
          <w:i w:val="1"/>
          <w:iCs w:val="1"/>
          <w:color w:val="auto"/>
        </w:rPr>
      </w:pPr>
    </w:p>
    <w:p>
      <w:pPr>
        <w:ind w:left="160" w:hanging="152"/>
        <w:spacing w:after="0"/>
        <w:tabs>
          <w:tab w:leader="none" w:pos="160"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Includes distributions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-193675</wp:posOffset>
            </wp:positionV>
            <wp:extent cx="5554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254" w:lineRule="exact"/>
        <w:rPr>
          <w:sz w:val="20"/>
          <w:szCs w:val="20"/>
          <w:color w:val="auto"/>
        </w:rPr>
      </w:pPr>
    </w:p>
    <w:p>
      <w:pPr>
        <w:ind w:right="440"/>
        <w:spacing w:after="0" w:line="360"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$284.2 billion at June 30, 2020, compared with $242.2 billion at</w:t>
      </w:r>
    </w:p>
    <w:p>
      <w:pPr>
        <w:ind w:right="2640"/>
        <w:spacing w:after="0" w:line="371" w:lineRule="auto"/>
        <w:rPr>
          <w:sz w:val="20"/>
          <w:szCs w:val="20"/>
          <w:color w:val="auto"/>
        </w:rPr>
      </w:pPr>
      <w:r>
        <w:rPr>
          <w:rFonts w:ascii="Arial" w:cs="Arial" w:eastAsia="Arial" w:hAnsi="Arial"/>
          <w:sz w:val="18"/>
          <w:szCs w:val="18"/>
          <w:color w:val="auto"/>
        </w:rPr>
        <w:t>March 31, 2020 and $292.4 billion at December 31, 2019. These portfolios experienced net cash outflows of $.2 billion in Q2 2020 and net cash inflows of $.5 billion in the first half of 2020.</w:t>
      </w:r>
    </w:p>
    <w:p>
      <w:pPr>
        <w:spacing w:after="0" w:line="292" w:lineRule="exact"/>
        <w:rPr>
          <w:sz w:val="20"/>
          <w:szCs w:val="20"/>
          <w:color w:val="auto"/>
        </w:rPr>
      </w:pPr>
    </w:p>
    <w:p>
      <w:pPr>
        <w:ind w:right="480"/>
        <w:spacing w:after="0" w:line="371" w:lineRule="auto"/>
        <w:rPr>
          <w:sz w:val="20"/>
          <w:szCs w:val="20"/>
          <w:color w:val="auto"/>
        </w:rPr>
      </w:pPr>
      <w:r>
        <w:rPr>
          <w:rFonts w:ascii="Arial" w:cs="Arial" w:eastAsia="Arial" w:hAnsi="Arial"/>
          <w:sz w:val="18"/>
          <w:szCs w:val="18"/>
          <w:color w:val="auto"/>
        </w:rPr>
        <w:t>Investors domiciled outside the United States accounted for 8.2% of the firm's assets under management at June 30, 2020 and 6.9% at December 31, 2019.</w:t>
      </w:r>
    </w:p>
    <w:p>
      <w:pPr>
        <w:sectPr>
          <w:pgSz w:w="11900" w:h="16838" w:orient="portrait"/>
          <w:cols w:equalWidth="0" w:num="1">
            <w:col w:w="11240"/>
          </w:cols>
          <w:pgMar w:left="320" w:top="6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616"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ind w:right="40"/>
        <w:spacing w:after="0" w:line="371"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Q2 2020 were $1.4 billion, up 1.4% from Q2 2019. Average assets under management in Q2 2020 were $1.14</w:t>
      </w:r>
      <w:r>
        <w:rPr>
          <w:rFonts w:ascii="Arial" w:cs="Arial" w:eastAsia="Arial" w:hAnsi="Arial"/>
          <w:sz w:val="18"/>
          <w:szCs w:val="18"/>
          <w:b w:val="1"/>
          <w:bCs w:val="1"/>
          <w:color w:val="auto"/>
        </w:rPr>
        <w:t xml:space="preserve"> </w:t>
      </w:r>
      <w:r>
        <w:rPr>
          <w:rFonts w:ascii="Arial" w:cs="Arial" w:eastAsia="Arial" w:hAnsi="Arial"/>
          <w:sz w:val="18"/>
          <w:szCs w:val="18"/>
          <w:color w:val="auto"/>
        </w:rPr>
        <w:t>trillion, an increase of 3.7% from Q2 2019. The firm's average assets in Q2 2020 were down 1.9% from the Q1 2020 average of $1.16 trillion as the drop in markets in late Q1 2020 significantly impacted assets under management at the beginning of the second quarter.</w:t>
      </w:r>
    </w:p>
    <w:p>
      <w:pPr>
        <w:spacing w:after="0" w:line="21" w:lineRule="exact"/>
        <w:rPr>
          <w:sz w:val="20"/>
          <w:szCs w:val="20"/>
          <w:color w:val="auto"/>
        </w:rPr>
      </w:pPr>
    </w:p>
    <w:p>
      <w:pPr>
        <w:ind w:left="660" w:hanging="328"/>
        <w:spacing w:after="0" w:line="380" w:lineRule="auto"/>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color w:val="auto"/>
        </w:rPr>
        <w:t>Investment advisory revenues earned in Q2 2020 from the firm's U.S. mutual funds were $823.1 million, a decrease of 4.4% from Q2 2019. Average assets under management in these funds decreased 1.6% to $628.6 billion in Q2 2020 from Q2 2019.</w:t>
      </w:r>
    </w:p>
    <w:p>
      <w:pPr>
        <w:spacing w:after="0" w:line="311" w:lineRule="exact"/>
        <w:rPr>
          <w:rFonts w:ascii="Arial" w:cs="Arial" w:eastAsia="Arial" w:hAnsi="Arial"/>
          <w:sz w:val="22"/>
          <w:szCs w:val="22"/>
          <w:color w:val="40AEFF"/>
        </w:rPr>
      </w:pPr>
    </w:p>
    <w:p>
      <w:pPr>
        <w:ind w:left="660" w:right="120" w:hanging="328"/>
        <w:spacing w:after="0" w:line="385" w:lineRule="auto"/>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color w:val="auto"/>
        </w:rPr>
        <w:t>Investment advisory revenues earned in Q2 2020 from subadvised, separate accounts, and other investment products were $470.7 million, an increase of 14.9% from Q2 2019. Average assets under management for these products increased 10.9% to $511.6 billion in Q2 2020 from Q2 2019.</w:t>
      </w:r>
    </w:p>
    <w:p>
      <w:pPr>
        <w:spacing w:after="0" w:line="334" w:lineRule="exact"/>
        <w:rPr>
          <w:rFonts w:ascii="Arial" w:cs="Arial" w:eastAsia="Arial" w:hAnsi="Arial"/>
          <w:sz w:val="22"/>
          <w:szCs w:val="22"/>
          <w:color w:val="40AEFF"/>
        </w:rPr>
      </w:pPr>
    </w:p>
    <w:p>
      <w:pPr>
        <w:ind w:left="660" w:right="180" w:hanging="328"/>
        <w:spacing w:after="0" w:line="423" w:lineRule="auto"/>
        <w:tabs>
          <w:tab w:leader="none" w:pos="660" w:val="left"/>
        </w:tabs>
        <w:numPr>
          <w:ilvl w:val="0"/>
          <w:numId w:val="20"/>
        </w:numPr>
        <w:rPr>
          <w:rFonts w:ascii="Arial" w:cs="Arial" w:eastAsia="Arial" w:hAnsi="Arial"/>
          <w:sz w:val="21"/>
          <w:szCs w:val="21"/>
          <w:color w:val="40AEFF"/>
        </w:rPr>
      </w:pPr>
      <w:r>
        <w:rPr>
          <w:rFonts w:ascii="Arial" w:cs="Arial" w:eastAsia="Arial" w:hAnsi="Arial"/>
          <w:sz w:val="17"/>
          <w:szCs w:val="17"/>
          <w:color w:val="auto"/>
        </w:rPr>
        <w:t>The annualized effective fee rate of 45.6 basis points in Q2 2020 decreased compared to the 46.3 basis points earned in Q2 2019 and the 45.9 basis points earned in Q1 2020, primarily due to client transfers within the complex to lower fee vehicles or share classes over the last twelve months. Over time, the firm's effective fee rate can be impacted by market or cash flow related shifts among asset and share classes, price changes in existing products, and asset level changes in products with tiered-fee structures.</w:t>
      </w:r>
    </w:p>
    <w:p>
      <w:pPr>
        <w:spacing w:after="0" w:line="309" w:lineRule="exact"/>
        <w:rPr>
          <w:rFonts w:ascii="Arial" w:cs="Arial" w:eastAsia="Arial" w:hAnsi="Arial"/>
          <w:sz w:val="21"/>
          <w:szCs w:val="21"/>
          <w:color w:val="40AEFF"/>
        </w:rPr>
      </w:pPr>
    </w:p>
    <w:p>
      <w:pPr>
        <w:ind w:left="660" w:hanging="328"/>
        <w:spacing w:after="0" w:line="397" w:lineRule="auto"/>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Q2 2020 were $121.6 million, a decrease of 2.7% from Q2 2019. The decrease was primarily attributable to lower 12b-1 revenue earned on certain share classes, including the Advisor and R classes, of the U.S. mutual funds as lower markets in 2020 as well as client transfers to lower fee vehicles and share classes over the last twelve months have reduced assets under management in these share classes.</w:t>
      </w:r>
    </w:p>
    <w:p>
      <w:pPr>
        <w:spacing w:after="0" w:line="274" w:lineRule="exact"/>
        <w:rPr>
          <w:sz w:val="20"/>
          <w:szCs w:val="20"/>
          <w:color w:val="auto"/>
        </w:rPr>
      </w:pPr>
    </w:p>
    <w:p>
      <w:pPr>
        <w:ind w:right="460"/>
        <w:spacing w:after="0" w:line="37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Q2 2020 were $861.7 million, an increase of 10.5% compared to Q2 2019. The increase in the firm's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was primarily due to an increase in market-related compensation expense of</w:t>
      </w:r>
    </w:p>
    <w:p>
      <w:pPr>
        <w:spacing w:after="0" w:line="1" w:lineRule="exact"/>
        <w:rPr>
          <w:sz w:val="20"/>
          <w:szCs w:val="20"/>
          <w:color w:val="auto"/>
        </w:rPr>
      </w:pPr>
    </w:p>
    <w:p>
      <w:pPr>
        <w:jc w:val="both"/>
        <w:ind w:right="160"/>
        <w:spacing w:after="0" w:line="365" w:lineRule="auto"/>
        <w:rPr>
          <w:sz w:val="20"/>
          <w:szCs w:val="20"/>
          <w:color w:val="auto"/>
        </w:rPr>
      </w:pPr>
      <w:r>
        <w:rPr>
          <w:rFonts w:ascii="Arial" w:cs="Arial" w:eastAsia="Arial" w:hAnsi="Arial"/>
          <w:sz w:val="18"/>
          <w:szCs w:val="18"/>
          <w:color w:val="auto"/>
        </w:rPr>
        <w:t>$60.5 million related to the supplemental savings plan as a result of strong markets in Q2 2020 and, to a lesser extent, higher salaries and the firm's continued strategic investments. The higher Q2 2020 expense related to the supplemental savings plan liability was largely offset by the non-operating gains earned on the investments used to economically hedge the related liability.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the firm's operating expenses in Q2 2020 were $785.8 million, a 2.8% increase over</w:t>
      </w:r>
    </w:p>
    <w:p>
      <w:pPr>
        <w:spacing w:after="0" w:line="104" w:lineRule="exact"/>
        <w:rPr>
          <w:sz w:val="20"/>
          <w:szCs w:val="20"/>
          <w:color w:val="auto"/>
        </w:rPr>
      </w:pPr>
    </w:p>
    <w:p>
      <w:pPr>
        <w:ind w:right="60"/>
        <w:spacing w:after="0" w:line="365" w:lineRule="auto"/>
        <w:rPr>
          <w:sz w:val="20"/>
          <w:szCs w:val="20"/>
          <w:color w:val="auto"/>
        </w:rPr>
      </w:pPr>
      <w:r>
        <w:rPr>
          <w:rFonts w:ascii="Arial" w:cs="Arial" w:eastAsia="Arial" w:hAnsi="Arial"/>
          <w:sz w:val="18"/>
          <w:szCs w:val="18"/>
          <w:color w:val="auto"/>
        </w:rPr>
        <w:t>Q2 2019. The firm's non-GAAP operating expenses do not include the impact of the supplemental savings plan and consolidated sponsored products. The increase in non-GAAP operating expenses is largely attributable to higher headcount and the firm's continued strategic investments.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616" w:right="379" w:bottom="1440" w:gutter="0" w:footer="0" w:header="0"/>
        </w:sectPr>
      </w:pPr>
    </w:p>
    <w:bookmarkStart w:id="50" w:name="page51"/>
    <w:bookmarkEnd w:id="50"/>
    <w:p>
      <w:pPr>
        <w:ind w:left="660" w:hanging="328"/>
        <w:spacing w:after="0"/>
        <w:tabs>
          <w:tab w:leader="none" w:pos="660" w:val="left"/>
        </w:tabs>
        <w:numPr>
          <w:ilvl w:val="0"/>
          <w:numId w:val="21"/>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$549.0 million in Q2 2020, an increase of 13.6% compared to</w:t>
      </w:r>
    </w:p>
    <w:p>
      <w:pPr>
        <w:spacing w:after="0" w:line="120" w:lineRule="exact"/>
        <w:rPr>
          <w:rFonts w:ascii="Arial" w:cs="Arial" w:eastAsia="Arial" w:hAnsi="Arial"/>
          <w:sz w:val="22"/>
          <w:szCs w:val="22"/>
          <w:color w:val="40AEFF"/>
        </w:rPr>
      </w:pPr>
    </w:p>
    <w:p>
      <w:pPr>
        <w:ind w:left="660" w:right="20"/>
        <w:spacing w:after="0" w:line="362" w:lineRule="auto"/>
        <w:rPr>
          <w:rFonts w:ascii="Arial" w:cs="Arial" w:eastAsia="Arial" w:hAnsi="Arial"/>
          <w:sz w:val="22"/>
          <w:szCs w:val="22"/>
          <w:color w:val="40AEFF"/>
        </w:rPr>
      </w:pPr>
      <w:r>
        <w:rPr>
          <w:rFonts w:ascii="Arial" w:cs="Arial" w:eastAsia="Arial" w:hAnsi="Arial"/>
          <w:sz w:val="18"/>
          <w:szCs w:val="18"/>
          <w:color w:val="auto"/>
        </w:rPr>
        <w:t>Q2 2019. This increase was primarily related to $60.5 million in higher compensation expense related to the supplemental savings plan, as strong markets in Q2 2020 increased the liability compared with only modest increases from market returns in Q2 2019, and higher base salaries due to a 5.1% increase in our average staff size and modest increases in base salaries at the beginning of 2020. These increases were partially offset by higher labor capitalization related to internally developed software. The firm employed 7,527 associates at June 30, 2020, an increase of 2.2% from the end of 2019.</w:t>
      </w:r>
    </w:p>
    <w:p>
      <w:pPr>
        <w:spacing w:after="0" w:line="306" w:lineRule="exact"/>
        <w:rPr>
          <w:rFonts w:ascii="Arial" w:cs="Arial" w:eastAsia="Arial" w:hAnsi="Arial"/>
          <w:sz w:val="22"/>
          <w:szCs w:val="22"/>
          <w:color w:val="40AEFF"/>
        </w:rPr>
      </w:pPr>
    </w:p>
    <w:p>
      <w:pPr>
        <w:ind w:left="660" w:right="480" w:hanging="328"/>
        <w:spacing w:after="0" w:line="406" w:lineRule="auto"/>
        <w:tabs>
          <w:tab w:leader="none" w:pos="660" w:val="left"/>
        </w:tabs>
        <w:numPr>
          <w:ilvl w:val="0"/>
          <w:numId w:val="21"/>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$13.4 million in Q2 2020, a decrease of 32.3% over Q2 2019. The decrease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lower media activity and fewer conference events in Q2 2020 compared to Q2 2019.</w:t>
      </w:r>
    </w:p>
    <w:p>
      <w:pPr>
        <w:spacing w:after="0" w:line="261" w:lineRule="exact"/>
        <w:rPr>
          <w:rFonts w:ascii="Arial" w:cs="Arial" w:eastAsia="Arial" w:hAnsi="Arial"/>
          <w:sz w:val="22"/>
          <w:szCs w:val="22"/>
          <w:color w:val="40AEFF"/>
        </w:rPr>
      </w:pPr>
    </w:p>
    <w:p>
      <w:pPr>
        <w:ind w:left="660" w:right="520" w:hanging="328"/>
        <w:spacing w:after="0" w:line="397" w:lineRule="auto"/>
        <w:tabs>
          <w:tab w:leader="none" w:pos="660" w:val="left"/>
        </w:tabs>
        <w:numPr>
          <w:ilvl w:val="0"/>
          <w:numId w:val="21"/>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$111.3 million in Q2 2020, an increase of 6.1% from the $104.9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Q2 2019. The increase was due to the ongoing investment in the firm's technology capabilities, including related depreciation and hosted solution licenses.</w:t>
      </w:r>
    </w:p>
    <w:p>
      <w:pPr>
        <w:spacing w:after="0" w:line="300" w:lineRule="exact"/>
        <w:rPr>
          <w:rFonts w:ascii="Arial" w:cs="Arial" w:eastAsia="Arial" w:hAnsi="Arial"/>
          <w:sz w:val="22"/>
          <w:szCs w:val="22"/>
          <w:color w:val="40AEFF"/>
        </w:rPr>
      </w:pPr>
    </w:p>
    <w:p>
      <w:pPr>
        <w:ind w:left="660" w:right="320" w:hanging="328"/>
        <w:spacing w:after="0" w:line="424" w:lineRule="auto"/>
        <w:tabs>
          <w:tab w:leader="none" w:pos="660" w:val="left"/>
        </w:tabs>
        <w:numPr>
          <w:ilvl w:val="0"/>
          <w:numId w:val="21"/>
        </w:numPr>
        <w:rPr>
          <w:rFonts w:ascii="Arial" w:cs="Arial" w:eastAsia="Arial" w:hAnsi="Arial"/>
          <w:sz w:val="21"/>
          <w:szCs w:val="21"/>
          <w:color w:val="40AEFF"/>
        </w:rPr>
      </w:pPr>
      <w:r>
        <w:rPr>
          <w:rFonts w:ascii="Arial" w:cs="Arial" w:eastAsia="Arial" w:hAnsi="Arial"/>
          <w:sz w:val="17"/>
          <w:szCs w:val="17"/>
          <w:b w:val="1"/>
          <w:bCs w:val="1"/>
          <w:color w:val="auto"/>
        </w:rPr>
        <w:t xml:space="preserve">General, administrative, and other costs </w:t>
      </w:r>
      <w:r>
        <w:rPr>
          <w:rFonts w:ascii="Arial" w:cs="Arial" w:eastAsia="Arial" w:hAnsi="Arial"/>
          <w:sz w:val="17"/>
          <w:szCs w:val="17"/>
          <w:color w:val="auto"/>
        </w:rPr>
        <w:t>were $86.4 million in Q2 2020, an increase of 16.1% compared with the $74.4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in Q2 2019. The increase was primarily due to certain non-recurring administrative expenses, along with higher professional fees and third-party investment research costs. These higher costs were partially offset by lower travel expenses.</w:t>
      </w:r>
    </w:p>
    <w:p>
      <w:pPr>
        <w:spacing w:after="0" w:line="282"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For the first half of 2020, operating expenses on a GAAP basis increased 2.7% compared to the same period of 2019; on a non-GAAP basis, they increased 5.4%. While the firm anticipates the coronavirus pandemic will continue to reduce certain expense categories, such as travel, the firm has changed its expected full-year 2020 non-GAAP operating expense growth to 3%-6%, from the 1%-4% provided in April as the sharp market recovery in Q2 2020 has increased the firm's AUM-related expenses. This range includes investments in the firm's critical strategic initiatives to promote long-term growth of the business. The firm could elect to further adjust its expense growth should unforeseen circumstances arise, including significant market movements and ongoing disruption resulting from the coronavirus pandemic.</w:t>
      </w:r>
    </w:p>
    <w:p>
      <w:pPr>
        <w:spacing w:after="0" w:line="278" w:lineRule="exact"/>
        <w:rPr>
          <w:sz w:val="20"/>
          <w:szCs w:val="20"/>
          <w:color w:val="auto"/>
        </w:rPr>
      </w:pPr>
    </w:p>
    <w:p>
      <w:pPr>
        <w:spacing w:after="0" w:line="369"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income was $415.1 million in Q2 2020, as compared to non-operating income of $124.5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Q2 2019. The firm's consolidated investment products and supplemental savings plan hedge portfolio comprised about 75% of the net gains recognized during Q2 2020. The cash and discretionary investment portfolio also experienced net investment gains of $85.8 million during Q2 2020. The components of non-operating income (loss) for Q2 2020 and Q2 2019 are included in the tables at the end of this release.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940" w:right="379" w:bottom="1440" w:gutter="0" w:footer="0" w:header="0"/>
        </w:sectPr>
      </w:pPr>
    </w:p>
    <w:bookmarkStart w:id="51" w:name="page52"/>
    <w:bookmarkEnd w:id="51"/>
    <w:p>
      <w:pPr>
        <w:ind w:right="300"/>
        <w:spacing w:after="0" w:line="37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24.8% in both Q2 2020 and Q2 2019. The Q2 2020 effective tax rate was impacted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lower state effective tax rate, resulting primarily from the remeasurement of deferred tax liabilities related to the firm's investment portfolio; higher net gains attributable to redeemable non-controlling interests held in the firm's consolidated investment products, which are not taxable to the firm despite being included in pre-tax income; and lower discrete tax benefits associated with option exercises.</w:t>
      </w:r>
    </w:p>
    <w:p>
      <w:pPr>
        <w:spacing w:after="0" w:line="291" w:lineRule="exact"/>
        <w:rPr>
          <w:sz w:val="20"/>
          <w:szCs w:val="20"/>
          <w:color w:val="auto"/>
        </w:rPr>
      </w:pPr>
    </w:p>
    <w:p>
      <w:pPr>
        <w:ind w:right="260"/>
        <w:spacing w:after="0" w:line="371" w:lineRule="auto"/>
        <w:rPr>
          <w:sz w:val="20"/>
          <w:szCs w:val="20"/>
          <w:color w:val="auto"/>
        </w:rPr>
      </w:pPr>
      <w:r>
        <w:rPr>
          <w:rFonts w:ascii="Arial" w:cs="Arial" w:eastAsia="Arial" w:hAnsi="Arial"/>
          <w:sz w:val="18"/>
          <w:szCs w:val="18"/>
          <w:color w:val="auto"/>
        </w:rPr>
        <w:t>The following reconciles the statutory federal income tax rate to the firm's effective tax rate for the second quarter and the first half of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3798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p>
      <w:pPr>
        <w:spacing w:after="0" w:line="131"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Three months ended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6/30/2020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6/30/2019</w:t>
            </w:r>
          </w:p>
        </w:tc>
      </w:tr>
      <w:tr>
        <w:trPr>
          <w:trHeight w:val="237"/>
        </w:trPr>
        <w:tc>
          <w:tcPr>
            <w:tcW w:w="5900" w:type="dxa"/>
            <w:vAlign w:val="bottom"/>
          </w:tcPr>
          <w:p>
            <w:pPr>
              <w:spacing w:after="0"/>
              <w:rPr>
                <w:sz w:val="20"/>
                <w:szCs w:val="20"/>
                <w:color w:val="auto"/>
              </w:rPr>
            </w:pPr>
            <w:r>
              <w:rPr>
                <w:rFonts w:ascii="Arial" w:cs="Arial" w:eastAsia="Arial" w:hAnsi="Arial"/>
                <w:sz w:val="16"/>
                <w:szCs w:val="16"/>
                <w:color w:val="auto"/>
              </w:rPr>
              <w:t>Statutory U.S. federal income tax rate</w:t>
            </w:r>
          </w:p>
        </w:tc>
        <w:tc>
          <w:tcPr>
            <w:tcW w:w="1200" w:type="dxa"/>
            <w:vAlign w:val="bottom"/>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345"/>
        </w:trPr>
        <w:tc>
          <w:tcPr>
            <w:tcW w:w="5900" w:type="dxa"/>
            <w:vAlign w:val="bottom"/>
          </w:tcPr>
          <w:p>
            <w:pPr>
              <w:spacing w:after="0"/>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4"/>
                <w:szCs w:val="24"/>
                <w:color w:val="auto"/>
              </w:rPr>
            </w:pP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4.6</w:t>
            </w:r>
          </w:p>
        </w:tc>
      </w:tr>
      <w:tr>
        <w:trPr>
          <w:trHeight w:val="195"/>
        </w:trPr>
        <w:tc>
          <w:tcPr>
            <w:tcW w:w="5900" w:type="dxa"/>
            <w:vAlign w:val="bottom"/>
          </w:tcPr>
          <w:p>
            <w:pPr>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(.7)</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(.7)</w:t>
            </w:r>
          </w:p>
        </w:tc>
      </w:tr>
      <w:tr>
        <w:trPr>
          <w:trHeight w:val="283"/>
        </w:trPr>
        <w:tc>
          <w:tcPr>
            <w:tcW w:w="5900" w:type="dxa"/>
            <w:vAlign w:val="bottom"/>
          </w:tcPr>
          <w:p>
            <w:pPr>
              <w:spacing w:after="0"/>
              <w:rPr>
                <w:sz w:val="20"/>
                <w:szCs w:val="20"/>
                <w:color w:val="auto"/>
              </w:rPr>
            </w:pPr>
            <w:r>
              <w:rPr>
                <w:rFonts w:ascii="Arial" w:cs="Arial" w:eastAsia="Arial" w:hAnsi="Arial"/>
                <w:sz w:val="16"/>
                <w:szCs w:val="16"/>
                <w:color w:val="auto"/>
              </w:rPr>
              <w:t>Other items</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w:t>
            </w:r>
          </w:p>
        </w:tc>
      </w:tr>
      <w:tr>
        <w:trPr>
          <w:trHeight w:val="237"/>
        </w:trPr>
        <w:tc>
          <w:tcPr>
            <w:tcW w:w="5900" w:type="dxa"/>
            <w:vAlign w:val="bottom"/>
          </w:tcPr>
          <w:p>
            <w:pPr>
              <w:spacing w:after="0"/>
              <w:rPr>
                <w:sz w:val="20"/>
                <w:szCs w:val="20"/>
                <w:color w:val="auto"/>
              </w:rPr>
            </w:pPr>
            <w:r>
              <w:rPr>
                <w:rFonts w:ascii="Arial" w:cs="Arial" w:eastAsia="Arial" w:hAnsi="Arial"/>
                <w:sz w:val="16"/>
                <w:szCs w:val="16"/>
                <w:color w:val="auto"/>
              </w:rPr>
              <w:t>Effective income tax rate</w:t>
            </w:r>
          </w:p>
        </w:tc>
        <w:tc>
          <w:tcPr>
            <w:tcW w:w="1200" w:type="dxa"/>
            <w:vAlign w:val="bottom"/>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1611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Six months ended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6/30/2020</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6/30/2019</w:t>
            </w:r>
          </w:p>
        </w:tc>
      </w:tr>
      <w:tr>
        <w:trPr>
          <w:trHeight w:val="237"/>
        </w:trPr>
        <w:tc>
          <w:tcPr>
            <w:tcW w:w="122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70"/>
        </w:trPr>
        <w:tc>
          <w:tcPr>
            <w:tcW w:w="1220" w:type="dxa"/>
            <w:vAlign w:val="bottom"/>
          </w:tcPr>
          <w:p>
            <w:pPr>
              <w:jc w:val="right"/>
              <w:ind w:right="16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4.4</w:t>
            </w:r>
          </w:p>
        </w:tc>
      </w:tr>
      <w:tr>
        <w:trPr>
          <w:trHeight w:val="270"/>
        </w:trPr>
        <w:tc>
          <w:tcPr>
            <w:tcW w:w="1220" w:type="dxa"/>
            <w:vAlign w:val="bottom"/>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(.7)</w:t>
            </w:r>
          </w:p>
        </w:tc>
      </w:tr>
      <w:tr>
        <w:trPr>
          <w:trHeight w:val="270"/>
        </w:trPr>
        <w:tc>
          <w:tcPr>
            <w:tcW w:w="122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(.7)</w:t>
            </w:r>
          </w:p>
        </w:tc>
      </w:tr>
      <w:tr>
        <w:trPr>
          <w:trHeight w:val="283"/>
        </w:trPr>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w:t>
            </w:r>
          </w:p>
        </w:tc>
      </w:tr>
      <w:tr>
        <w:trPr>
          <w:trHeight w:val="224"/>
        </w:trPr>
        <w:tc>
          <w:tcPr>
            <w:tcW w:w="1220" w:type="dxa"/>
            <w:vAlign w:val="bottom"/>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611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8480" w:space="220"/>
            <w:col w:w="2540"/>
          </w:cols>
          <w:pgMar w:left="320" w:top="616" w:right="339" w:bottom="1440" w:gutter="0" w:footer="0" w:header="0"/>
          <w:type w:val="continuous"/>
        </w:sectPr>
      </w:pPr>
    </w:p>
    <w:p>
      <w:pPr>
        <w:ind w:left="180" w:right="360" w:hanging="172"/>
        <w:spacing w:after="0"/>
        <w:tabs>
          <w:tab w:leader="none" w:pos="153" w:val="left"/>
        </w:tabs>
        <w:numPr>
          <w:ilvl w:val="0"/>
          <w:numId w:val="22"/>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(loss) attributable to redeemable non-controlling interests and stock-based compensation plans activity.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its GAAP effective tax rate for the full year 2020 will be in the range of 23% to 26%.</w:t>
      </w:r>
    </w:p>
    <w:p>
      <w:pPr>
        <w:spacing w:after="0" w:line="279" w:lineRule="exact"/>
        <w:rPr>
          <w:sz w:val="20"/>
          <w:szCs w:val="20"/>
          <w:color w:val="auto"/>
        </w:rPr>
      </w:pPr>
    </w:p>
    <w:p>
      <w:pPr>
        <w:ind w:right="20"/>
        <w:spacing w:after="0" w:line="362" w:lineRule="auto"/>
        <w:rPr>
          <w:sz w:val="20"/>
          <w:szCs w:val="20"/>
          <w:color w:val="auto"/>
        </w:rPr>
      </w:pPr>
      <w:r>
        <w:rPr>
          <w:rFonts w:ascii="Arial" w:cs="Arial" w:eastAsia="Arial" w:hAnsi="Arial"/>
          <w:sz w:val="18"/>
          <w:szCs w:val="18"/>
          <w:color w:val="auto"/>
        </w:rPr>
        <w:t>The firm's non-GAAP effective tax rate was 24.8% in Q2 2020 compared with 25.5% in Q2 2019 and 23.8% for YTD 2020 compared with 25.4% for YTD 2019. The non-GAAP tax rate primarily adjusts for the impact of the consolidated investment products, including the net gains (losses) attributable to the redeemable non-controlling interests. The decrease in the non-GAAP effective tax rate in Q2 2020 as compared to Q2 2019 is primarily due to the lower state effective tax rate, slightly offset by lower discrete tax benefits associated with option exercises. The firm estimates that its effective tax rate for the full-year 2020 on a non-GAAP basis will be in the range of 23% to 25%.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6/30/2020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color w:val="auto"/>
              </w:rPr>
              <w:t>12/31/2019</w:t>
            </w:r>
          </w:p>
        </w:tc>
      </w:tr>
      <w:tr>
        <w:trPr>
          <w:trHeight w:val="249"/>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2,058.1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1,781.8</w:t>
            </w:r>
          </w:p>
        </w:tc>
      </w:t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1,899.6</w:t>
            </w:r>
          </w:p>
        </w:tc>
      </w:tr>
      <w:tr>
        <w:trPr>
          <w:trHeight w:val="250"/>
        </w:trPr>
        <w:tc>
          <w:tcPr>
            <w:tcW w:w="838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3,681.4</w:t>
            </w:r>
          </w:p>
        </w:tc>
      </w:tr>
      <w:tr>
        <w:trPr>
          <w:trHeight w:val="27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1,325.6</w:t>
            </w:r>
          </w:p>
        </w:tc>
      </w:tr>
      <w:tr>
        <w:trPr>
          <w:trHeight w:val="264"/>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561.1</w:t>
            </w:r>
          </w:p>
        </w:tc>
      </w:tr>
      <w:tr>
        <w:trPr>
          <w:trHeight w:val="25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5,718.7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5,568.1</w:t>
            </w: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580" w:right="1040" w:hanging="5572"/>
        <w:spacing w:after="0" w:line="787" w:lineRule="auto"/>
        <w:tabs>
          <w:tab w:leader="none" w:pos="338" w:val="left"/>
        </w:tabs>
        <w:numPr>
          <w:ilvl w:val="0"/>
          <w:numId w:val="23"/>
        </w:numPr>
        <w:rPr>
          <w:rFonts w:ascii="Arial" w:cs="Arial" w:eastAsia="Arial" w:hAnsi="Arial"/>
          <w:sz w:val="22"/>
          <w:szCs w:val="22"/>
          <w:color w:val="40AEFF"/>
        </w:rPr>
      </w:pPr>
      <w:r>
        <w:rPr>
          <w:rFonts w:ascii="Arial" w:cs="Arial" w:eastAsia="Arial" w:hAnsi="Arial"/>
          <w:sz w:val="18"/>
          <w:szCs w:val="18"/>
          <w:color w:val="auto"/>
        </w:rPr>
        <w:t>The firm's common shares outstanding were 227.0 million at June 30, 2020, compared with 235.2 million at the end of 2019. 6</w:t>
      </w:r>
    </w:p>
    <w:p>
      <w:pPr>
        <w:sectPr>
          <w:pgSz w:w="11900" w:h="16838" w:orient="portrait"/>
          <w:cols w:equalWidth="0" w:num="1">
            <w:col w:w="11240"/>
          </w:cols>
          <w:pgMar w:left="320" w:top="616" w:right="339" w:bottom="1440" w:gutter="0" w:footer="0" w:header="0"/>
          <w:type w:val="continuous"/>
        </w:sectPr>
      </w:pPr>
    </w:p>
    <w:bookmarkStart w:id="52" w:name="page53"/>
    <w:bookmarkEnd w:id="52"/>
    <w:p>
      <w:pPr>
        <w:ind w:left="340" w:right="120" w:hanging="332"/>
        <w:spacing w:after="0" w:line="370" w:lineRule="auto"/>
        <w:tabs>
          <w:tab w:leader="none" w:pos="340"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In the first half of 2020, the firm expended $1.0 billion to repurchase 9.6 million shares, or 4.1%, of its outstanding common shares at an average price of $106.73, including $141.8 million to repurchase 1.3 million shares during Q2 2020.</w:t>
      </w:r>
    </w:p>
    <w:p>
      <w:pPr>
        <w:spacing w:after="0" w:line="19" w:lineRule="exact"/>
        <w:rPr>
          <w:rFonts w:ascii="Arial" w:cs="Arial" w:eastAsia="Arial" w:hAnsi="Arial"/>
          <w:sz w:val="22"/>
          <w:szCs w:val="22"/>
          <w:color w:val="40AEFF"/>
        </w:rPr>
      </w:pPr>
    </w:p>
    <w:p>
      <w:pPr>
        <w:ind w:left="340" w:right="180" w:hanging="332"/>
        <w:spacing w:after="0" w:line="385" w:lineRule="auto"/>
        <w:tabs>
          <w:tab w:leader="none" w:pos="340"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The firm invested $105.3 million during Q2 2020 in capitalized facilities and technology. The firm currently expects capital expenditures, including internal labor capitalization, for 2020 to be up to $225 million, of which more than three-quarters is planned for technology initiatives. These expenditures are expected to continue to be funded from the firm's operating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p>
    <w:p>
      <w:pPr>
        <w:spacing w:after="0" w:line="69" w:lineRule="exact"/>
        <w:rPr>
          <w:sz w:val="20"/>
          <w:szCs w:val="20"/>
          <w:color w:val="auto"/>
        </w:rPr>
      </w:pPr>
    </w:p>
    <w:p>
      <w:pPr>
        <w:ind w:right="140"/>
        <w:spacing w:after="0" w:line="396" w:lineRule="auto"/>
        <w:rPr>
          <w:sz w:val="20"/>
          <w:szCs w:val="20"/>
          <w:color w:val="auto"/>
        </w:rPr>
      </w:pPr>
      <w:r>
        <w:rPr>
          <w:rFonts w:ascii="Arial" w:cs="Arial" w:eastAsia="Arial" w:hAnsi="Arial"/>
          <w:sz w:val="18"/>
          <w:szCs w:val="18"/>
          <w:color w:val="auto"/>
        </w:rPr>
        <w:t>The percentage of the firm's U.S. mutual funds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June 30, 2020, were: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1 year</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63"/>
        </w:trPr>
        <w:tc>
          <w:tcPr>
            <w:tcW w:w="3740" w:type="dxa"/>
            <w:vAlign w:val="bottom"/>
          </w:tcPr>
          <w:p>
            <w:pPr>
              <w:ind w:left="40"/>
              <w:spacing w:after="0"/>
              <w:rPr>
                <w:sz w:val="20"/>
                <w:szCs w:val="20"/>
                <w:color w:val="auto"/>
              </w:rPr>
            </w:pPr>
            <w:r>
              <w:rPr>
                <w:rFonts w:ascii="Arial" w:cs="Arial" w:eastAsia="Arial" w:hAnsi="Arial"/>
                <w:sz w:val="16"/>
                <w:szCs w:val="16"/>
                <w:color w:val="auto"/>
              </w:rPr>
              <w:t>Outperformed Morningstar median</w:t>
            </w:r>
            <w:r>
              <w:rPr>
                <w:rFonts w:ascii="Arial" w:cs="Arial" w:eastAsia="Arial" w:hAnsi="Arial"/>
                <w:sz w:val="21"/>
                <w:szCs w:val="21"/>
                <w:color w:val="auto"/>
                <w:vertAlign w:val="superscript"/>
              </w:rPr>
              <w:t>(2)</w:t>
            </w: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60"/>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88%</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89%</w:t>
            </w:r>
          </w:p>
        </w:tc>
      </w:tr>
      <w:tr>
        <w:trPr>
          <w:trHeight w:val="172"/>
        </w:trPr>
        <w:tc>
          <w:tcPr>
            <w:tcW w:w="37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Top Morningstar quartile</w:t>
            </w:r>
            <w:r>
              <w:rPr>
                <w:rFonts w:ascii="Arial" w:cs="Arial" w:eastAsia="Arial" w:hAnsi="Arial"/>
                <w:sz w:val="21"/>
                <w:szCs w:val="21"/>
                <w:color w:val="auto"/>
                <w:vertAlign w:val="superscript"/>
              </w:rPr>
              <w:t>(2)</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r>
      <w:tr>
        <w:trPr>
          <w:trHeight w:val="251"/>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74%</w:t>
            </w:r>
          </w:p>
        </w:tc>
      </w:tr>
    </w:tbl>
    <w:p>
      <w:pPr>
        <w:spacing w:after="0" w:line="2"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11" w:lineRule="exact"/>
        <w:rPr>
          <w:rFonts w:ascii="Arial" w:cs="Arial" w:eastAsia="Arial" w:hAnsi="Arial"/>
          <w:sz w:val="9"/>
          <w:szCs w:val="9"/>
          <w:i w:val="1"/>
          <w:iCs w:val="1"/>
          <w:color w:val="auto"/>
        </w:rPr>
      </w:pPr>
    </w:p>
    <w:p>
      <w:pPr>
        <w:ind w:left="180" w:right="40" w:hanging="172"/>
        <w:spacing w:after="0"/>
        <w:tabs>
          <w:tab w:leader="none" w:pos="153" w:val="left"/>
        </w:tabs>
        <w:numPr>
          <w:ilvl w:val="0"/>
          <w:numId w:val="25"/>
        </w:numPr>
        <w:rPr>
          <w:rFonts w:ascii="Arial" w:cs="Arial" w:eastAsia="Arial" w:hAnsi="Arial"/>
          <w:sz w:val="9"/>
          <w:szCs w:val="9"/>
          <w:i w:val="1"/>
          <w:iCs w:val="1"/>
          <w:color w:val="auto"/>
        </w:rPr>
      </w:pPr>
      <w:r>
        <w:rPr>
          <w:rFonts w:ascii="Arial" w:cs="Arial" w:eastAsia="Arial" w:hAnsi="Arial"/>
          <w:sz w:val="13"/>
          <w:szCs w:val="13"/>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367" w:lineRule="exact"/>
        <w:rPr>
          <w:sz w:val="20"/>
          <w:szCs w:val="20"/>
          <w:color w:val="auto"/>
        </w:rPr>
      </w:pPr>
    </w:p>
    <w:p>
      <w:pPr>
        <w:ind w:right="60"/>
        <w:spacing w:after="0" w:line="365" w:lineRule="auto"/>
        <w:rPr>
          <w:sz w:val="20"/>
          <w:szCs w:val="20"/>
          <w:color w:val="auto"/>
        </w:rPr>
      </w:pPr>
      <w:r>
        <w:rPr>
          <w:rFonts w:ascii="Arial" w:cs="Arial" w:eastAsia="Arial" w:hAnsi="Arial"/>
          <w:sz w:val="18"/>
          <w:szCs w:val="18"/>
          <w:color w:val="auto"/>
        </w:rPr>
        <w:t>In addition, 79% of assets under management in the firm's rated U.S. mutual funds (across primary share classes) ended the quarter with an overall rating of four or five stars from Morningstar. The performance of the firm's institutional strategies against their benchmarks remains competitive, especially over longer time periods.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right="260"/>
        <w:spacing w:after="0" w:line="360"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2020 with the U.S. Securities and Exchange Commission later today. The</w:t>
      </w:r>
    </w:p>
    <w:p>
      <w:pPr>
        <w:ind w:right="2920"/>
        <w:spacing w:after="0" w:line="371" w:lineRule="auto"/>
        <w:rPr>
          <w:sz w:val="20"/>
          <w:szCs w:val="20"/>
          <w:color w:val="auto"/>
        </w:rPr>
      </w:pPr>
      <w:r>
        <w:rPr>
          <w:rFonts w:ascii="Arial" w:cs="Arial" w:eastAsia="Arial" w:hAnsi="Arial"/>
          <w:sz w:val="18"/>
          <w:szCs w:val="18"/>
          <w:color w:val="auto"/>
        </w:rPr>
        <w:t>Form 10-Q will include additional information on the firm's unaudited consolidated financial statements at June 30, 2020.</w:t>
      </w:r>
    </w:p>
    <w:p>
      <w:pPr>
        <w:spacing w:after="0" w:line="197" w:lineRule="exact"/>
        <w:rPr>
          <w:sz w:val="20"/>
          <w:szCs w:val="20"/>
          <w:color w:val="auto"/>
        </w:rPr>
      </w:pPr>
    </w:p>
    <w:p>
      <w:pPr>
        <w:ind w:right="40"/>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Form 10-Q for the second quarter for 2020 and 2019 Annual Report on Form 10-K.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65" w:right="339" w:bottom="1440" w:gutter="0" w:footer="0" w:header="0"/>
        </w:sectPr>
      </w:pPr>
    </w:p>
    <w:bookmarkStart w:id="53" w:name="page54"/>
    <w:bookmarkEnd w:id="53"/>
    <w:p>
      <w:pPr>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054C70"/>
                <w:w w:val="98"/>
              </w:rPr>
              <w:t>Public Relations</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054C70"/>
              </w:rPr>
              <w:t>Investor Relations</w:t>
            </w:r>
          </w:p>
        </w:tc>
      </w:tr>
      <w:tr>
        <w:trPr>
          <w:trHeight w:val="290"/>
        </w:trPr>
        <w:tc>
          <w:tcPr>
            <w:tcW w:w="40" w:type="dxa"/>
            <w:vAlign w:val="bottom"/>
          </w:tcPr>
          <w:p>
            <w:pPr>
              <w:spacing w:after="0"/>
              <w:rPr>
                <w:sz w:val="24"/>
                <w:szCs w:val="24"/>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Meghan Azevedo</w:t>
            </w:r>
          </w:p>
        </w:tc>
        <w:tc>
          <w:tcPr>
            <w:tcW w:w="1400" w:type="dxa"/>
            <w:vAlign w:val="bottom"/>
          </w:tcPr>
          <w:p>
            <w:pPr>
              <w:spacing w:after="0"/>
              <w:rPr>
                <w:sz w:val="24"/>
                <w:szCs w:val="24"/>
                <w:color w:val="auto"/>
              </w:rPr>
            </w:pP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3B3B3B"/>
              </w:rPr>
              <w:t>410-345-2242</w:t>
            </w:r>
          </w:p>
        </w:tc>
        <w:tc>
          <w:tcPr>
            <w:tcW w:w="2680" w:type="dxa"/>
            <w:vAlign w:val="bottom"/>
          </w:tcPr>
          <w:p>
            <w:pPr>
              <w:spacing w:after="0"/>
              <w:rPr>
                <w:sz w:val="23"/>
                <w:szCs w:val="23"/>
                <w:color w:val="auto"/>
              </w:rPr>
            </w:pPr>
          </w:p>
        </w:tc>
        <w:tc>
          <w:tcPr>
            <w:tcW w:w="3880" w:type="dxa"/>
            <w:vAlign w:val="bottom"/>
            <w:gridSpan w:val="2"/>
          </w:tcPr>
          <w:p>
            <w:pPr>
              <w:ind w:left="2320"/>
              <w:spacing w:after="0"/>
              <w:rPr>
                <w:sz w:val="20"/>
                <w:szCs w:val="20"/>
                <w:color w:val="auto"/>
              </w:rPr>
            </w:pPr>
            <w:r>
              <w:rPr>
                <w:rFonts w:ascii="Arial" w:cs="Arial" w:eastAsia="Arial" w:hAnsi="Arial"/>
                <w:sz w:val="18"/>
                <w:szCs w:val="18"/>
                <w:color w:val="3B3B3B"/>
              </w:rPr>
              <w:t>410-345-2756</w:t>
            </w:r>
          </w:p>
        </w:tc>
        <w:tc>
          <w:tcPr>
            <w:tcW w:w="14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5280" w:type="dxa"/>
            <w:vAlign w:val="bottom"/>
            <w:gridSpan w:val="3"/>
          </w:tcPr>
          <w:p>
            <w:pPr>
              <w:ind w:left="2320"/>
              <w:spacing w:after="0"/>
              <w:rPr>
                <w:sz w:val="20"/>
                <w:szCs w:val="20"/>
                <w:color w:val="auto"/>
              </w:rPr>
            </w:pPr>
            <w:r>
              <w:rPr>
                <w:rFonts w:ascii="Arial" w:cs="Arial" w:eastAsia="Arial" w:hAnsi="Arial"/>
                <w:sz w:val="18"/>
                <w:szCs w:val="18"/>
                <w:b w:val="1"/>
                <w:bCs w:val="1"/>
                <w:color w:val="054C70"/>
                <w:w w:val="99"/>
              </w:rPr>
              <w:t>meghan.azevedo@troweprice.com</w:t>
            </w:r>
          </w:p>
        </w:tc>
      </w:tr>
      <w:tr>
        <w:trPr>
          <w:trHeight w:val="662"/>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20" w:type="dxa"/>
            <w:vAlign w:val="bottom"/>
          </w:tcPr>
          <w:p>
            <w:pPr>
              <w:jc w:val="right"/>
              <w:ind w:right="670"/>
              <w:spacing w:after="0"/>
              <w:rPr>
                <w:sz w:val="20"/>
                <w:szCs w:val="20"/>
                <w:color w:val="auto"/>
              </w:rPr>
            </w:pPr>
            <w:r>
              <w:rPr>
                <w:rFonts w:ascii="Arial" w:cs="Arial" w:eastAsia="Arial" w:hAnsi="Arial"/>
                <w:sz w:val="18"/>
                <w:szCs w:val="18"/>
                <w:color w:val="auto"/>
              </w:rPr>
              <w:t>8</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100"/>
          </w:cols>
          <w:pgMar w:left="320" w:top="616" w:right="479" w:bottom="1440" w:gutter="0" w:footer="0" w:header="0"/>
        </w:sectPr>
      </w:pPr>
    </w:p>
    <w:bookmarkStart w:id="54" w:name="page55"/>
    <w:bookmarkEnd w:id="54"/>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Unaudited Consolidated Statements of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per-share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gridSpan w:val="6"/>
            <w:shd w:val="clear" w:color="auto" w:fill="CCEEFF"/>
          </w:tcPr>
          <w:p>
            <w:pPr>
              <w:jc w:val="center"/>
              <w:ind w:right="14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gridSpan w:val="4"/>
            <w:shd w:val="clear" w:color="auto" w:fill="CCEEFF"/>
          </w:tcPr>
          <w:p>
            <w:pPr>
              <w:jc w:val="right"/>
              <w:ind w:right="488"/>
              <w:spacing w:after="0"/>
              <w:rPr>
                <w:sz w:val="20"/>
                <w:szCs w:val="20"/>
                <w:color w:val="auto"/>
              </w:rPr>
            </w:pPr>
            <w:r>
              <w:rPr>
                <w:rFonts w:ascii="Arial" w:cs="Arial" w:eastAsia="Arial" w:hAnsi="Arial"/>
                <w:sz w:val="14"/>
                <w:szCs w:val="14"/>
                <w:color w:val="auto"/>
              </w:rPr>
              <w:t>Six months ended</w:t>
            </w: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6/30/2019</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6/30/2020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6/30/2019</w:t>
            </w:r>
          </w:p>
        </w:tc>
      </w:tr>
      <w:tr>
        <w:trPr>
          <w:trHeight w:val="256"/>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advisory fees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1,270.2</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2,464.4</w:t>
            </w:r>
          </w:p>
        </w:tc>
      </w:tr>
      <w:tr>
        <w:trPr>
          <w:trHeight w:val="264"/>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Administrative, distribution, and servicing fees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258.1</w:t>
            </w:r>
          </w:p>
        </w:tc>
      </w:tr>
      <w:tr>
        <w:trPr>
          <w:trHeight w:val="25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revenues</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1,395.2</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2,878.0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2,722.5</w:t>
            </w:r>
          </w:p>
        </w:tc>
      </w:tr>
      <w:tr>
        <w:trPr>
          <w:trHeight w:val="121"/>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00" w:type="dxa"/>
            <w:vAlign w:val="bottom"/>
          </w:tcPr>
          <w:p>
            <w:pPr>
              <w:ind w:left="140"/>
              <w:spacing w:after="0"/>
              <w:rPr>
                <w:sz w:val="20"/>
                <w:szCs w:val="20"/>
                <w:color w:val="auto"/>
              </w:rPr>
            </w:pPr>
            <w:r>
              <w:rPr>
                <w:rFonts w:ascii="Arial" w:cs="Arial" w:eastAsia="Arial" w:hAnsi="Arial"/>
                <w:sz w:val="14"/>
                <w:szCs w:val="14"/>
                <w:color w:val="auto"/>
              </w:rPr>
              <w:t>Compensation and related costs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483.2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974.7</w:t>
            </w:r>
          </w:p>
        </w:tc>
      </w:tr>
      <w:tr>
        <w:trPr>
          <w:trHeight w:val="276"/>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 and servicing</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r>
      <w:tr>
        <w:trPr>
          <w:trHeight w:val="264"/>
        </w:trPr>
        <w:tc>
          <w:tcPr>
            <w:tcW w:w="6400" w:type="dxa"/>
            <w:vAlign w:val="bottom"/>
          </w:tcPr>
          <w:p>
            <w:pPr>
              <w:ind w:left="140"/>
              <w:spacing w:after="0"/>
              <w:rPr>
                <w:sz w:val="20"/>
                <w:szCs w:val="20"/>
                <w:color w:val="auto"/>
              </w:rPr>
            </w:pPr>
            <w:r>
              <w:rPr>
                <w:rFonts w:ascii="Arial" w:cs="Arial" w:eastAsia="Arial" w:hAnsi="Arial"/>
                <w:sz w:val="14"/>
                <w:szCs w:val="14"/>
                <w:color w:val="auto"/>
              </w:rPr>
              <w:t>Advertising and promotion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276"/>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Product-related costs</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r>
      <w:tr>
        <w:trPr>
          <w:trHeight w:val="264"/>
        </w:trPr>
        <w:tc>
          <w:tcPr>
            <w:tcW w:w="6400" w:type="dxa"/>
            <w:vAlign w:val="bottom"/>
          </w:tcPr>
          <w:p>
            <w:pPr>
              <w:ind w:left="140"/>
              <w:spacing w:after="0"/>
              <w:rPr>
                <w:sz w:val="20"/>
                <w:szCs w:val="20"/>
                <w:color w:val="auto"/>
              </w:rPr>
            </w:pPr>
            <w:r>
              <w:rPr>
                <w:rFonts w:ascii="Arial" w:cs="Arial" w:eastAsia="Arial" w:hAnsi="Arial"/>
                <w:sz w:val="14"/>
                <w:szCs w:val="14"/>
                <w:color w:val="auto"/>
              </w:rPr>
              <w:t>Technology, occupancy, and facility costs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104.9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203.0</w:t>
            </w:r>
          </w:p>
        </w:tc>
      </w:tr>
      <w:tr>
        <w:trPr>
          <w:trHeight w:val="27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administrative, and other</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w:t>
            </w:r>
          </w:p>
        </w:tc>
      </w:tr>
      <w:tr>
        <w:trPr>
          <w:trHeight w:val="25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780.1</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1,574.9</w:t>
            </w:r>
          </w:p>
        </w:tc>
      </w:tr>
      <w:tr>
        <w:trPr>
          <w:trHeight w:val="175"/>
        </w:trPr>
        <w:tc>
          <w:tcPr>
            <w:tcW w:w="6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operating income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553.7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615.1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1,260.9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1,147.6</w:t>
            </w:r>
          </w:p>
        </w:tc>
      </w:tr>
      <w:tr>
        <w:trPr>
          <w:trHeight w:val="182"/>
        </w:trPr>
        <w:tc>
          <w:tcPr>
            <w:tcW w:w="6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Non-operating income (loss)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gains (losses) on investments</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Net gains (losses) on consolidated investment products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164.7</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(loss)</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6400" w:type="dxa"/>
            <w:vAlign w:val="bottom"/>
            <w:tcBorders>
              <w:bottom w:val="single" w:sz="8" w:color="CCEEFF"/>
            </w:tcBorders>
          </w:tcPr>
          <w:p>
            <w:pPr>
              <w:ind w:left="160"/>
              <w:spacing w:after="0"/>
              <w:rPr>
                <w:sz w:val="20"/>
                <w:szCs w:val="20"/>
                <w:color w:val="auto"/>
              </w:rPr>
            </w:pPr>
            <w:r>
              <w:rPr>
                <w:rFonts w:ascii="Arial" w:cs="Arial" w:eastAsia="Arial" w:hAnsi="Arial"/>
                <w:sz w:val="14"/>
                <w:szCs w:val="14"/>
                <w:b w:val="1"/>
                <w:bCs w:val="1"/>
                <w:color w:val="auto"/>
              </w:rPr>
              <w:t>Total non-operating income (loss)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124.5</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327.3</w:t>
            </w:r>
          </w:p>
        </w:tc>
      </w:tr>
      <w:tr>
        <w:trPr>
          <w:trHeight w:val="162"/>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968.8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739.6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1,474.9</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555.9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1,109.9</w:t>
            </w:r>
          </w:p>
        </w:tc>
      </w:tr>
      <w:tr>
        <w:trPr>
          <w:trHeight w:val="27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r>
      <w:tr>
        <w:trPr>
          <w:trHeight w:val="256"/>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603.0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527.5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1,040.1</w:t>
            </w:r>
          </w:p>
        </w:tc>
      </w:tr>
      <w:tr>
        <w:trPr>
          <w:trHeight w:val="264"/>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83"/>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513.7</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919.9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1,013.3</w:t>
            </w:r>
          </w:p>
        </w:tc>
      </w:tr>
      <w:tr>
        <w:trPr>
          <w:trHeight w:val="210"/>
        </w:trPr>
        <w:tc>
          <w:tcPr>
            <w:tcW w:w="6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w:t>
            </w:r>
          </w:p>
        </w:tc>
      </w:tr>
      <w:tr>
        <w:trPr>
          <w:trHeight w:val="170"/>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Weighted-average common shares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6400" w:type="dxa"/>
            <w:vAlign w:val="bottom"/>
          </w:tcPr>
          <w:p>
            <w:pPr>
              <w:ind w:left="140"/>
              <w:spacing w:after="0"/>
              <w:rPr>
                <w:sz w:val="20"/>
                <w:szCs w:val="20"/>
                <w:color w:val="auto"/>
              </w:rPr>
            </w:pPr>
            <w:r>
              <w:rPr>
                <w:rFonts w:ascii="Arial" w:cs="Arial" w:eastAsia="Arial" w:hAnsi="Arial"/>
                <w:sz w:val="14"/>
                <w:szCs w:val="14"/>
                <w:color w:val="auto"/>
              </w:rPr>
              <w:t>Outstanding assuming dilution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239.4</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88" w:right="339" w:bottom="1440" w:gutter="0" w:footer="0" w:header="0"/>
        </w:sectPr>
      </w:pPr>
    </w:p>
    <w:bookmarkStart w:id="55" w:name="page56"/>
    <w:bookmarkEnd w:id="55"/>
    <w:p>
      <w:pPr>
        <w:jc w:val="both"/>
        <w:ind w:right="160"/>
        <w:spacing w:after="0" w:line="256" w:lineRule="auto"/>
        <w:rPr>
          <w:sz w:val="20"/>
          <w:szCs w:val="20"/>
          <w:color w:val="auto"/>
        </w:rPr>
      </w:pPr>
      <w:r>
        <w:rPr>
          <w:rFonts w:ascii="Arial" w:cs="Arial" w:eastAsia="Arial" w:hAnsi="Arial"/>
          <w:sz w:val="18"/>
          <w:szCs w:val="18"/>
          <w:color w:val="auto"/>
        </w:rPr>
        <w:t>The following table presents investment advisory revenues for the three- and six-month periods ended June 30, 2020 and 2019, including a separate break out of revenue earned from our multi-asset portfolios. Prior year amounts have been recast to conform with the current year presentation.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Advisory Revenues (in millions)</w:t>
            </w:r>
          </w:p>
        </w:tc>
        <w:tc>
          <w:tcPr>
            <w:tcW w:w="5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gridSpan w:val="8"/>
            <w:shd w:val="clear" w:color="auto" w:fill="CCEEFF"/>
          </w:tcPr>
          <w:p>
            <w:pPr>
              <w:jc w:val="right"/>
              <w:ind w:right="688"/>
              <w:spacing w:after="0"/>
              <w:rPr>
                <w:sz w:val="20"/>
                <w:szCs w:val="20"/>
                <w:color w:val="auto"/>
              </w:rPr>
            </w:pPr>
            <w:r>
              <w:rPr>
                <w:rFonts w:ascii="Arial" w:cs="Arial" w:eastAsia="Arial" w:hAnsi="Arial"/>
                <w:sz w:val="14"/>
                <w:szCs w:val="14"/>
                <w:color w:val="auto"/>
              </w:rPr>
              <w:t>Three months ended</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gridSpan w:val="8"/>
            <w:shd w:val="clear" w:color="auto" w:fill="CCEEFF"/>
          </w:tcPr>
          <w:p>
            <w:pPr>
              <w:jc w:val="right"/>
              <w:ind w:right="508"/>
              <w:spacing w:after="0"/>
              <w:rPr>
                <w:sz w:val="20"/>
                <w:szCs w:val="20"/>
                <w:color w:val="auto"/>
              </w:rPr>
            </w:pPr>
            <w:r>
              <w:rPr>
                <w:rFonts w:ascii="Arial" w:cs="Arial" w:eastAsia="Arial" w:hAnsi="Arial"/>
                <w:sz w:val="14"/>
                <w:szCs w:val="14"/>
                <w:color w:val="auto"/>
              </w:rPr>
              <w:t>Six months ended</w:t>
            </w:r>
          </w:p>
        </w:tc>
      </w:tr>
      <w:tr>
        <w:trPr>
          <w:trHeight w:val="263"/>
        </w:trPr>
        <w:tc>
          <w:tcPr>
            <w:tcW w:w="37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color w:val="auto"/>
              </w:rPr>
              <w:t>6/30/2020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rPr>
              <w:t>6/30/2019</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6/30/2020</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6/30/2019</w:t>
            </w: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5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Equity</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545.9</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553.8</w:t>
            </w:r>
          </w:p>
        </w:tc>
        <w:tc>
          <w:tcPr>
            <w:tcW w:w="220" w:type="dxa"/>
            <w:vAlign w:val="bottom"/>
            <w:tcBorders>
              <w:right w:val="single" w:sz="8" w:color="auto"/>
            </w:tcBorders>
            <w:gridSpan w:val="2"/>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1,114.3</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1,071.2</w:t>
            </w: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r>
      <w:tr>
        <w:trPr>
          <w:trHeight w:val="264"/>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Multi-asset</w:t>
            </w:r>
          </w:p>
        </w:tc>
        <w:tc>
          <w:tcPr>
            <w:tcW w:w="54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237.8</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446.5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467.5</w:t>
            </w:r>
          </w:p>
        </w:tc>
      </w:tr>
      <w:tr>
        <w:trPr>
          <w:trHeight w:val="256"/>
        </w:trPr>
        <w:tc>
          <w:tcPr>
            <w:tcW w:w="3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823.1</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860.7</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1,699.3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1,676.6</w:t>
            </w:r>
          </w:p>
        </w:tc>
      </w:tr>
      <w:tr>
        <w:trPr>
          <w:trHeight w:val="257"/>
        </w:trPr>
        <w:tc>
          <w:tcPr>
            <w:tcW w:w="4260" w:type="dxa"/>
            <w:vAlign w:val="bottom"/>
            <w:gridSpan w:val="2"/>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w:t>
            </w: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491.5</w:t>
            </w: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Fixed income, including money market</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5"/>
              </w:rPr>
              <w:t>71.9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76.3</w:t>
            </w: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Multi-asset</w:t>
            </w:r>
          </w:p>
        </w:tc>
        <w:tc>
          <w:tcPr>
            <w:tcW w:w="5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r>
      <w:tr>
        <w:trPr>
          <w:trHeight w:val="250"/>
        </w:trPr>
        <w:tc>
          <w:tcPr>
            <w:tcW w:w="37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470.7</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409.5</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922.3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787.8</w:t>
            </w: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1,293.8</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1,270.2</w:t>
            </w:r>
          </w:p>
        </w:tc>
        <w:tc>
          <w:tcPr>
            <w:tcW w:w="220" w:type="dxa"/>
            <w:vAlign w:val="bottom"/>
            <w:tcBorders>
              <w:right w:val="single" w:sz="8" w:color="auto"/>
            </w:tcBorders>
            <w:gridSpan w:val="2"/>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2,621.6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2,464.4</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3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 Under Management (in billions)</w:t>
            </w:r>
          </w:p>
        </w:tc>
        <w:tc>
          <w:tcPr>
            <w:tcW w:w="5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6"/>
            <w:shd w:val="clear" w:color="auto" w:fill="CCEEFF"/>
          </w:tcPr>
          <w:p>
            <w:pPr>
              <w:jc w:val="right"/>
              <w:ind w:right="228"/>
              <w:spacing w:after="0"/>
              <w:rPr>
                <w:sz w:val="20"/>
                <w:szCs w:val="20"/>
                <w:color w:val="auto"/>
              </w:rPr>
            </w:pPr>
            <w:r>
              <w:rPr>
                <w:rFonts w:ascii="Arial" w:cs="Arial" w:eastAsia="Arial" w:hAnsi="Arial"/>
                <w:sz w:val="14"/>
                <w:szCs w:val="14"/>
                <w:color w:val="auto"/>
              </w:rPr>
              <w:t>Average during</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4"/>
        </w:trPr>
        <w:tc>
          <w:tcPr>
            <w:tcW w:w="37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color w:val="auto"/>
              </w:rPr>
              <w:t>Three months ended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8"/>
          </w:tcPr>
          <w:p>
            <w:pPr>
              <w:jc w:val="right"/>
              <w:ind w:right="408"/>
              <w:spacing w:after="0"/>
              <w:rPr>
                <w:sz w:val="20"/>
                <w:szCs w:val="20"/>
                <w:color w:val="auto"/>
              </w:rPr>
            </w:pPr>
            <w:r>
              <w:rPr>
                <w:rFonts w:ascii="Arial" w:cs="Arial" w:eastAsia="Arial" w:hAnsi="Arial"/>
                <w:sz w:val="14"/>
                <w:szCs w:val="14"/>
                <w:color w:val="auto"/>
              </w:rPr>
              <w:t>Six months ended</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As of</w:t>
            </w:r>
          </w:p>
        </w:tc>
        <w:tc>
          <w:tcPr>
            <w:tcW w:w="940" w:type="dxa"/>
            <w:vAlign w:val="bottom"/>
            <w:tcBorders>
              <w:bottom w:val="single" w:sz="8" w:color="auto"/>
            </w:tcBorders>
          </w:tcPr>
          <w:p>
            <w:pPr>
              <w:spacing w:after="0"/>
              <w:rPr>
                <w:sz w:val="22"/>
                <w:szCs w:val="22"/>
                <w:color w:val="auto"/>
              </w:rPr>
            </w:pPr>
          </w:p>
        </w:tc>
      </w:tr>
      <w:tr>
        <w:trPr>
          <w:trHeight w:val="269"/>
        </w:trPr>
        <w:tc>
          <w:tcPr>
            <w:tcW w:w="3720" w:type="dxa"/>
            <w:vAlign w:val="bottom"/>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6/30/2020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6/30/2019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6/30/2020</w:t>
            </w:r>
          </w:p>
        </w:tc>
        <w:tc>
          <w:tcPr>
            <w:tcW w:w="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6/30/2019</w:t>
            </w: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6/30/2020</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12/31/2019</w:t>
            </w:r>
          </w:p>
        </w:tc>
      </w:tr>
      <w:tr>
        <w:trPr>
          <w:trHeight w:val="258"/>
        </w:trPr>
        <w:tc>
          <w:tcPr>
            <w:tcW w:w="3720" w:type="dxa"/>
            <w:vAlign w:val="bottom"/>
          </w:tcPr>
          <w:p>
            <w:pPr>
              <w:ind w:left="40"/>
              <w:spacing w:after="0"/>
              <w:rPr>
                <w:sz w:val="20"/>
                <w:szCs w:val="20"/>
                <w:color w:val="auto"/>
              </w:rPr>
            </w:pPr>
            <w:r>
              <w:rPr>
                <w:rFonts w:ascii="Arial" w:cs="Arial" w:eastAsia="Arial" w:hAnsi="Arial"/>
                <w:sz w:val="14"/>
                <w:szCs w:val="14"/>
                <w:color w:val="auto"/>
              </w:rPr>
              <w:t>U.S. mutual funds</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375.8</w:t>
            </w:r>
          </w:p>
        </w:tc>
        <w:tc>
          <w:tcPr>
            <w:tcW w:w="220" w:type="dxa"/>
            <w:vAlign w:val="bottom"/>
            <w:tcBorders>
              <w:right w:val="single" w:sz="8" w:color="auto"/>
            </w:tcBorders>
            <w:gridSpan w:val="2"/>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6"/>
              </w:rPr>
              <w:t>381.4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220" w:type="dxa"/>
            <w:vAlign w:val="bottom"/>
            <w:tcBorders>
              <w:right w:val="single" w:sz="8" w:color="auto"/>
            </w:tcBorders>
            <w:gridSpan w:val="2"/>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w:t>
            </w: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Fixed income, including money market</w:t>
            </w:r>
          </w:p>
        </w:tc>
        <w:tc>
          <w:tcPr>
            <w:tcW w:w="54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70.3</w:t>
            </w: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5"/>
              </w:rPr>
              <w:t>75.3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73.7</w:t>
            </w: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Multi-asset</w:t>
            </w:r>
          </w:p>
        </w:tc>
        <w:tc>
          <w:tcPr>
            <w:tcW w:w="5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6"/>
              </w:rPr>
              <w:t>185.1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201.9</w:t>
            </w:r>
          </w:p>
        </w:tc>
      </w:tr>
      <w:tr>
        <w:trPr>
          <w:trHeight w:val="250"/>
        </w:trPr>
        <w:tc>
          <w:tcPr>
            <w:tcW w:w="37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638.5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w w:val="96"/>
              </w:rPr>
              <w:t>641.5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624.4</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670.8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682.7</w:t>
            </w:r>
          </w:p>
        </w:tc>
      </w:tr>
      <w:tr>
        <w:trPr>
          <w:trHeight w:val="121"/>
        </w:trPr>
        <w:tc>
          <w:tcPr>
            <w:tcW w:w="37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94"/>
        </w:trPr>
        <w:tc>
          <w:tcPr>
            <w:tcW w:w="3720" w:type="dxa"/>
            <w:vAlign w:val="bottom"/>
          </w:tcPr>
          <w:p>
            <w:pPr>
              <w:ind w:left="40"/>
              <w:spacing w:after="0"/>
              <w:rPr>
                <w:sz w:val="20"/>
                <w:szCs w:val="20"/>
                <w:color w:val="auto"/>
              </w:rPr>
            </w:pPr>
            <w:r>
              <w:rPr>
                <w:rFonts w:ascii="Arial" w:cs="Arial" w:eastAsia="Arial" w:hAnsi="Arial"/>
                <w:sz w:val="14"/>
                <w:szCs w:val="14"/>
                <w:color w:val="auto"/>
              </w:rPr>
              <w:t>Subadvised and separate accounts and other investment</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8"/>
        </w:trPr>
        <w:tc>
          <w:tcPr>
            <w:tcW w:w="3720" w:type="dxa"/>
            <w:vAlign w:val="bottom"/>
          </w:tcPr>
          <w:p>
            <w:pPr>
              <w:ind w:left="40"/>
              <w:spacing w:after="0"/>
              <w:rPr>
                <w:sz w:val="20"/>
                <w:szCs w:val="20"/>
                <w:color w:val="auto"/>
              </w:rPr>
            </w:pPr>
            <w:r>
              <w:rPr>
                <w:rFonts w:ascii="Arial" w:cs="Arial" w:eastAsia="Arial" w:hAnsi="Arial"/>
                <w:sz w:val="14"/>
                <w:szCs w:val="14"/>
                <w:color w:val="auto"/>
              </w:rPr>
              <w:t>products</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w:t>
            </w: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6"/>
              </w:rPr>
              <w:t>285.3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291.7</w:t>
            </w: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Fixed income, including money market</w:t>
            </w:r>
          </w:p>
        </w:tc>
        <w:tc>
          <w:tcPr>
            <w:tcW w:w="54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77.9</w:t>
            </w: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5"/>
              </w:rPr>
              <w:t>77.7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74.2</w:t>
            </w: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Multi-asset</w:t>
            </w:r>
          </w:p>
        </w:tc>
        <w:tc>
          <w:tcPr>
            <w:tcW w:w="5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6"/>
              </w:rPr>
              <w:t>145.4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158.2</w:t>
            </w:r>
          </w:p>
        </w:tc>
      </w:tr>
      <w:tr>
        <w:trPr>
          <w:trHeight w:val="250"/>
        </w:trPr>
        <w:tc>
          <w:tcPr>
            <w:tcW w:w="37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461.3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w w:val="96"/>
              </w:rPr>
              <w:t>509.9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447.4</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549.2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524.1</w:t>
            </w:r>
          </w:p>
        </w:tc>
      </w:tr>
      <w:tr>
        <w:trPr>
          <w:trHeight w:val="243"/>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8"/>
              </w:rPr>
              <w:t>1,140.2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1,099.8</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1,151.4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1,071.8</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1,220.0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1,206.8</w:t>
            </w:r>
          </w:p>
        </w:tc>
      </w:tr>
      <w:tr>
        <w:trPr>
          <w:trHeight w:val="20"/>
        </w:trPr>
        <w:tc>
          <w:tcPr>
            <w:tcW w:w="37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32"/>
        </w:trPr>
        <w:tc>
          <w:tcPr>
            <w:tcW w:w="650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spacing w:after="0"/>
              <w:rPr>
                <w:sz w:val="24"/>
                <w:szCs w:val="24"/>
                <w:color w:val="auto"/>
              </w:rPr>
            </w:pPr>
          </w:p>
        </w:tc>
      </w:tr>
      <w:tr>
        <w:trPr>
          <w:trHeight w:val="270"/>
        </w:trPr>
        <w:tc>
          <w:tcPr>
            <w:tcW w:w="6500" w:type="dxa"/>
            <w:vAlign w:val="bottom"/>
            <w:gridSpan w:val="11"/>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Six months ended</w:t>
            </w:r>
          </w:p>
        </w:tc>
      </w:tr>
      <w:tr>
        <w:trPr>
          <w:trHeight w:val="244"/>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billions)</w:t>
            </w:r>
          </w:p>
        </w:tc>
        <w:tc>
          <w:tcPr>
            <w:tcW w:w="5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color w:val="auto"/>
              </w:rPr>
              <w:t>6/30/2020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color w:val="auto"/>
              </w:rPr>
              <w:t>6/30/2020</w:t>
            </w:r>
          </w:p>
        </w:tc>
      </w:tr>
      <w:tr>
        <w:trPr>
          <w:trHeight w:val="269"/>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5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Equity</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Multi-asset</w:t>
            </w:r>
          </w:p>
        </w:tc>
        <w:tc>
          <w:tcPr>
            <w:tcW w:w="54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56"/>
        </w:trPr>
        <w:tc>
          <w:tcPr>
            <w:tcW w:w="3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58"/>
        </w:trPr>
        <w:tc>
          <w:tcPr>
            <w:tcW w:w="4260" w:type="dxa"/>
            <w:vAlign w:val="bottom"/>
            <w:gridSpan w:val="2"/>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w:t>
            </w: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Fixed income, including money market</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Multi-asset</w:t>
            </w:r>
          </w:p>
        </w:tc>
        <w:tc>
          <w:tcPr>
            <w:tcW w:w="5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r>
      <w:tr>
        <w:trPr>
          <w:trHeight w:val="250"/>
        </w:trPr>
        <w:tc>
          <w:tcPr>
            <w:tcW w:w="37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r>
      <w:tr>
        <w:trPr>
          <w:trHeight w:val="242"/>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cash flows after client transfers</w:t>
            </w:r>
          </w:p>
        </w:tc>
        <w:tc>
          <w:tcPr>
            <w:tcW w:w="5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584" w:right="339" w:bottom="1440" w:gutter="0" w:footer="0" w:header="0"/>
          <w:type w:val="continuous"/>
        </w:sectPr>
      </w:pPr>
    </w:p>
    <w:bookmarkStart w:id="56" w:name="page57"/>
    <w:bookmarkEnd w:id="56"/>
    <w:p>
      <w:pPr>
        <w:ind w:right="160"/>
        <w:spacing w:after="0" w:line="261" w:lineRule="auto"/>
        <w:rPr>
          <w:sz w:val="20"/>
          <w:szCs w:val="20"/>
          <w:color w:val="auto"/>
        </w:rPr>
      </w:pPr>
      <w:r>
        <w:rPr>
          <w:rFonts w:ascii="Arial" w:cs="Arial" w:eastAsia="Arial" w:hAnsi="Arial"/>
          <w:sz w:val="18"/>
          <w:szCs w:val="18"/>
          <w:color w:val="auto"/>
        </w:rPr>
        <w:t>The following tables below present investment advisory revenues and related assets under management for the 2019 quarterly periods and full-year 2019 that have been recast to conform with the new Q2 2020 presentation, which breaks out the firm's multi-asset portfolios.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560" w:type="dxa"/>
            <w:vAlign w:val="bottom"/>
            <w:tcBorders>
              <w:bottom w:val="single" w:sz="8" w:color="auto"/>
            </w:tcBorders>
            <w:gridSpan w:val="5"/>
            <w:shd w:val="clear" w:color="auto" w:fill="CCEEFF"/>
          </w:tcPr>
          <w:p>
            <w:pPr>
              <w:jc w:val="center"/>
              <w:ind w:right="380"/>
              <w:spacing w:after="0"/>
              <w:rPr>
                <w:sz w:val="20"/>
                <w:szCs w:val="20"/>
                <w:color w:val="auto"/>
              </w:rPr>
            </w:pPr>
            <w:r>
              <w:rPr>
                <w:rFonts w:ascii="Arial" w:cs="Arial" w:eastAsia="Arial" w:hAnsi="Arial"/>
                <w:sz w:val="14"/>
                <w:szCs w:val="14"/>
                <w:color w:val="auto"/>
              </w:rPr>
              <w:t>Three months ended</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color w:val="auto"/>
              </w:rPr>
              <w:t>Year Ended</w:t>
            </w:r>
          </w:p>
        </w:tc>
      </w:tr>
      <w:tr>
        <w:trPr>
          <w:trHeight w:val="264"/>
        </w:trPr>
        <w:tc>
          <w:tcPr>
            <w:tcW w:w="4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3/31/2019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6/30/2019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9/30/2019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2019</w:t>
            </w:r>
          </w:p>
        </w:tc>
      </w:tr>
      <w:tr>
        <w:trPr>
          <w:trHeight w:val="270"/>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140" w:type="dxa"/>
            <w:vAlign w:val="bottom"/>
          </w:tcPr>
          <w:p>
            <w:pPr>
              <w:ind w:left="160"/>
              <w:spacing w:after="0"/>
              <w:rPr>
                <w:sz w:val="20"/>
                <w:szCs w:val="20"/>
                <w:color w:val="auto"/>
              </w:rPr>
            </w:pPr>
            <w:r>
              <w:rPr>
                <w:rFonts w:ascii="Arial" w:cs="Arial" w:eastAsia="Arial" w:hAnsi="Arial"/>
                <w:sz w:val="14"/>
                <w:szCs w:val="14"/>
                <w:color w:val="auto"/>
              </w:rPr>
              <w:t>Equity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517.4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553.8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570.2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577.7</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2,219.1</w:t>
            </w:r>
          </w:p>
        </w:tc>
      </w:tr>
      <w:tr>
        <w:trPr>
          <w:trHeight w:val="276"/>
        </w:trPr>
        <w:tc>
          <w:tcPr>
            <w:tcW w:w="4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Fixed income, including money market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280.1</w:t>
            </w:r>
          </w:p>
        </w:tc>
      </w:tr>
      <w:tr>
        <w:trPr>
          <w:trHeight w:val="264"/>
        </w:trPr>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Multi-asset</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953.3</w:t>
            </w:r>
          </w:p>
        </w:tc>
      </w:tr>
      <w:tr>
        <w:trPr>
          <w:trHeight w:val="256"/>
        </w:trPr>
        <w:tc>
          <w:tcPr>
            <w:tcW w:w="4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815.9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860.7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881.0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3,452.5</w:t>
            </w:r>
          </w:p>
        </w:tc>
      </w:tr>
      <w:tr>
        <w:trPr>
          <w:trHeight w:val="174"/>
        </w:trPr>
        <w:tc>
          <w:tcPr>
            <w:tcW w:w="4140" w:type="dxa"/>
            <w:vAlign w:val="bottom"/>
          </w:tcPr>
          <w:p>
            <w:pPr>
              <w:ind w:left="20"/>
              <w:spacing w:after="0"/>
              <w:rPr>
                <w:sz w:val="20"/>
                <w:szCs w:val="20"/>
                <w:color w:val="auto"/>
              </w:rPr>
            </w:pPr>
            <w:r>
              <w:rPr>
                <w:rFonts w:ascii="Arial" w:cs="Arial" w:eastAsia="Arial" w:hAnsi="Arial"/>
                <w:sz w:val="14"/>
                <w:szCs w:val="14"/>
                <w:color w:val="auto"/>
              </w:rPr>
              <w:t>Subadvised and separate accounts and other investment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8"/>
        </w:trPr>
        <w:tc>
          <w:tcPr>
            <w:tcW w:w="4140" w:type="dxa"/>
            <w:vAlign w:val="bottom"/>
          </w:tcPr>
          <w:p>
            <w:pPr>
              <w:ind w:left="2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6"/>
        </w:trPr>
        <w:tc>
          <w:tcPr>
            <w:tcW w:w="4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1,033.4</w:t>
            </w:r>
          </w:p>
        </w:tc>
      </w:tr>
      <w:tr>
        <w:trPr>
          <w:trHeight w:val="264"/>
        </w:trPr>
        <w:tc>
          <w:tcPr>
            <w:tcW w:w="4140" w:type="dxa"/>
            <w:vAlign w:val="bottom"/>
          </w:tcPr>
          <w:p>
            <w:pPr>
              <w:ind w:left="160"/>
              <w:spacing w:after="0"/>
              <w:rPr>
                <w:sz w:val="20"/>
                <w:szCs w:val="20"/>
                <w:color w:val="auto"/>
              </w:rPr>
            </w:pPr>
            <w:r>
              <w:rPr>
                <w:rFonts w:ascii="Arial" w:cs="Arial" w:eastAsia="Arial" w:hAnsi="Arial"/>
                <w:sz w:val="14"/>
                <w:szCs w:val="14"/>
                <w:color w:val="auto"/>
              </w:rPr>
              <w:t>Fixed income, including money market</w:t>
            </w:r>
          </w:p>
        </w:tc>
        <w:tc>
          <w:tcPr>
            <w:tcW w:w="2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153.7</w:t>
            </w:r>
          </w:p>
        </w:tc>
      </w:tr>
      <w:tr>
        <w:trPr>
          <w:trHeight w:val="270"/>
        </w:trPr>
        <w:tc>
          <w:tcPr>
            <w:tcW w:w="4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Multi-asset</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472.9</w:t>
            </w:r>
          </w:p>
        </w:tc>
      </w:tr>
      <w:tr>
        <w:trPr>
          <w:trHeight w:val="250"/>
        </w:trPr>
        <w:tc>
          <w:tcPr>
            <w:tcW w:w="4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1,660.0</w:t>
            </w: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5,112.5</w:t>
            </w: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1"/>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560" w:type="dxa"/>
            <w:vAlign w:val="bottom"/>
            <w:tcBorders>
              <w:bottom w:val="single" w:sz="8" w:color="auto"/>
            </w:tcBorders>
            <w:gridSpan w:val="5"/>
            <w:shd w:val="clear" w:color="auto" w:fill="CCEEFF"/>
          </w:tcPr>
          <w:p>
            <w:pPr>
              <w:jc w:val="center"/>
              <w:ind w:right="380"/>
              <w:spacing w:after="0"/>
              <w:rPr>
                <w:sz w:val="20"/>
                <w:szCs w:val="20"/>
                <w:color w:val="auto"/>
              </w:rPr>
            </w:pPr>
            <w:r>
              <w:rPr>
                <w:rFonts w:ascii="Arial" w:cs="Arial" w:eastAsia="Arial" w:hAnsi="Arial"/>
                <w:sz w:val="14"/>
                <w:szCs w:val="14"/>
                <w:color w:val="auto"/>
              </w:rPr>
              <w:t>Average during</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50"/>
        </w:trPr>
        <w:tc>
          <w:tcPr>
            <w:tcW w:w="4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Year Ended</w:t>
            </w:r>
          </w:p>
        </w:tc>
      </w:tr>
      <w:tr>
        <w:trPr>
          <w:trHeight w:val="270"/>
        </w:trPr>
        <w:tc>
          <w:tcPr>
            <w:tcW w:w="4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3/31/2019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6/30/2019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12/31/2019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center"/>
              <w:ind w:right="148"/>
              <w:spacing w:after="0"/>
              <w:rPr>
                <w:sz w:val="20"/>
                <w:szCs w:val="20"/>
                <w:color w:val="auto"/>
              </w:rPr>
            </w:pPr>
            <w:r>
              <w:rPr>
                <w:rFonts w:ascii="Arial" w:cs="Arial" w:eastAsia="Arial" w:hAnsi="Arial"/>
                <w:sz w:val="14"/>
                <w:szCs w:val="14"/>
                <w:color w:val="auto"/>
              </w:rPr>
              <w:t>2019</w:t>
            </w:r>
          </w:p>
        </w:tc>
      </w:tr>
      <w:tr>
        <w:trPr>
          <w:trHeight w:val="257"/>
        </w:trPr>
        <w:tc>
          <w:tcPr>
            <w:tcW w:w="414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390.3</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374.3</w:t>
            </w:r>
          </w:p>
        </w:tc>
      </w:tr>
      <w:tr>
        <w:trPr>
          <w:trHeight w:val="264"/>
        </w:trPr>
        <w:tc>
          <w:tcPr>
            <w:tcW w:w="4140" w:type="dxa"/>
            <w:vAlign w:val="bottom"/>
          </w:tcPr>
          <w:p>
            <w:pPr>
              <w:ind w:left="160"/>
              <w:spacing w:after="0"/>
              <w:rPr>
                <w:sz w:val="20"/>
                <w:szCs w:val="20"/>
                <w:color w:val="auto"/>
              </w:rPr>
            </w:pPr>
            <w:r>
              <w:rPr>
                <w:rFonts w:ascii="Arial" w:cs="Arial" w:eastAsia="Arial" w:hAnsi="Arial"/>
                <w:sz w:val="14"/>
                <w:szCs w:val="14"/>
                <w:color w:val="auto"/>
              </w:rPr>
              <w:t>Fixed income, including money market</w:t>
            </w:r>
          </w:p>
        </w:tc>
        <w:tc>
          <w:tcPr>
            <w:tcW w:w="2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72.0</w:t>
            </w:r>
          </w:p>
        </w:tc>
      </w:tr>
      <w:tr>
        <w:trPr>
          <w:trHeight w:val="270"/>
        </w:trPr>
        <w:tc>
          <w:tcPr>
            <w:tcW w:w="4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Multi-asset</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194.1</w:t>
            </w:r>
          </w:p>
        </w:tc>
      </w:tr>
      <w:tr>
        <w:trPr>
          <w:trHeight w:val="250"/>
        </w:trPr>
        <w:tc>
          <w:tcPr>
            <w:tcW w:w="4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638.5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640.4</w:t>
            </w: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Subadvised and separate accounts and other investment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64"/>
        </w:trPr>
        <w:tc>
          <w:tcPr>
            <w:tcW w:w="4140" w:type="dxa"/>
            <w:vAlign w:val="bottom"/>
          </w:tcPr>
          <w:p>
            <w:pPr>
              <w:ind w:left="160"/>
              <w:spacing w:after="0"/>
              <w:rPr>
                <w:sz w:val="20"/>
                <w:szCs w:val="20"/>
                <w:color w:val="auto"/>
              </w:rPr>
            </w:pPr>
            <w:r>
              <w:rPr>
                <w:rFonts w:ascii="Arial" w:cs="Arial" w:eastAsia="Arial" w:hAnsi="Arial"/>
                <w:sz w:val="14"/>
                <w:szCs w:val="14"/>
                <w:color w:val="auto"/>
              </w:rPr>
              <w:t>Equity</w:t>
            </w:r>
          </w:p>
        </w:tc>
        <w:tc>
          <w:tcPr>
            <w:tcW w:w="2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257.4</w:t>
            </w:r>
          </w:p>
        </w:tc>
      </w:tr>
      <w:tr>
        <w:trPr>
          <w:trHeight w:val="276"/>
        </w:trPr>
        <w:tc>
          <w:tcPr>
            <w:tcW w:w="4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Fixed income, including money market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w:t>
            </w:r>
          </w:p>
        </w:tc>
      </w:tr>
      <w:tr>
        <w:trPr>
          <w:trHeight w:val="264"/>
        </w:trPr>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Multi-asset</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132.0</w:t>
            </w:r>
          </w:p>
        </w:tc>
      </w:tr>
      <w:tr>
        <w:trPr>
          <w:trHeight w:val="250"/>
        </w:trPr>
        <w:tc>
          <w:tcPr>
            <w:tcW w:w="4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468.9</w:t>
            </w:r>
          </w:p>
        </w:tc>
      </w:tr>
      <w:tr>
        <w:trPr>
          <w:trHeight w:val="243"/>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1,043.5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1,099.8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1,130.2</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1,162.0</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1,109.3</w:t>
            </w:r>
          </w:p>
        </w:tc>
      </w:tr>
      <w:tr>
        <w:trPr>
          <w:trHeight w:val="20"/>
        </w:trPr>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931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720" w:type="dxa"/>
            <w:vAlign w:val="bottom"/>
          </w:tcPr>
          <w:p>
            <w:pPr>
              <w:spacing w:after="0"/>
              <w:rPr>
                <w:sz w:val="20"/>
                <w:szCs w:val="20"/>
                <w:color w:val="auto"/>
              </w:rPr>
            </w:pPr>
            <w:r>
              <w:rPr>
                <w:rFonts w:ascii="Arial" w:cs="Arial" w:eastAsia="Arial" w:hAnsi="Arial"/>
                <w:sz w:val="14"/>
                <w:szCs w:val="14"/>
                <w:b w:val="1"/>
                <w:bCs w:val="1"/>
                <w:color w:val="auto"/>
              </w:rPr>
              <w:t>Non-Operating Income (Loss) (in millions)</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color w:val="auto"/>
              </w:rPr>
              <w:t>Three months ended</w:t>
            </w:r>
          </w:p>
        </w:tc>
      </w:tr>
      <w:tr>
        <w:trPr>
          <w:trHeight w:val="263"/>
        </w:trPr>
        <w:tc>
          <w:tcPr>
            <w:tcW w:w="6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6/30/2019</w:t>
            </w:r>
          </w:p>
        </w:tc>
      </w:tr>
      <w:tr>
        <w:trPr>
          <w:trHeight w:val="258"/>
        </w:trPr>
        <w:tc>
          <w:tcPr>
            <w:tcW w:w="6720" w:type="dxa"/>
            <w:vAlign w:val="bottom"/>
          </w:tcPr>
          <w:p>
            <w:pPr>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72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Dividend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17.9</w:t>
            </w: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Market related gains and equity in earnings</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17.9</w:t>
            </w:r>
          </w:p>
        </w:tc>
      </w:tr>
      <w:tr>
        <w:trPr>
          <w:trHeight w:val="270"/>
        </w:trPr>
        <w:tc>
          <w:tcPr>
            <w:tcW w:w="672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Dividend income</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Market related gains and equity in earnings</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0"/>
        </w:trPr>
        <w:tc>
          <w:tcPr>
            <w:tcW w:w="6720" w:type="dxa"/>
            <w:vAlign w:val="bottom"/>
          </w:tcPr>
          <w:p>
            <w:pPr>
              <w:ind w:left="140"/>
              <w:spacing w:after="0"/>
              <w:rPr>
                <w:sz w:val="20"/>
                <w:szCs w:val="20"/>
                <w:color w:val="auto"/>
              </w:rPr>
            </w:pPr>
            <w:r>
              <w:rPr>
                <w:rFonts w:ascii="Arial" w:cs="Arial" w:eastAsia="Arial" w:hAnsi="Arial"/>
                <w:sz w:val="14"/>
                <w:szCs w:val="14"/>
                <w:color w:val="auto"/>
              </w:rPr>
              <w:t>Net gain recognized upon deconsolidation</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6720" w:type="dxa"/>
            <w:vAlign w:val="bottom"/>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r>
      <w:tr>
        <w:trPr>
          <w:trHeight w:val="244"/>
        </w:trPr>
        <w:tc>
          <w:tcPr>
            <w:tcW w:w="6720" w:type="dxa"/>
            <w:vAlign w:val="bottom"/>
          </w:tcPr>
          <w:p>
            <w:pPr>
              <w:spacing w:after="0"/>
              <w:rPr>
                <w:sz w:val="20"/>
                <w:szCs w:val="20"/>
                <w:color w:val="auto"/>
              </w:rPr>
            </w:pPr>
            <w:r>
              <w:rPr>
                <w:rFonts w:ascii="Arial" w:cs="Arial" w:eastAsia="Arial" w:hAnsi="Arial"/>
                <w:sz w:val="14"/>
                <w:szCs w:val="14"/>
                <w:b w:val="1"/>
                <w:bCs w:val="1"/>
                <w:color w:val="auto"/>
              </w:rPr>
              <w:t>Total net gains from non-consolidated T. Rowe Price investment products</w:t>
            </w: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57.0</w:t>
            </w:r>
          </w:p>
        </w:tc>
      </w:tr>
      <w:tr>
        <w:trPr>
          <w:trHeight w:val="276"/>
        </w:trPr>
        <w:tc>
          <w:tcPr>
            <w:tcW w:w="6720" w:type="dxa"/>
            <w:vAlign w:val="bottom"/>
          </w:tcPr>
          <w:p>
            <w:pPr>
              <w:ind w:left="140"/>
              <w:spacing w:after="0"/>
              <w:rPr>
                <w:sz w:val="20"/>
                <w:szCs w:val="20"/>
                <w:color w:val="auto"/>
              </w:rPr>
            </w:pPr>
            <w:r>
              <w:rPr>
                <w:rFonts w:ascii="Arial" w:cs="Arial" w:eastAsia="Arial" w:hAnsi="Arial"/>
                <w:sz w:val="14"/>
                <w:szCs w:val="14"/>
                <w:color w:val="auto"/>
              </w:rPr>
              <w:t>Other investment income (loss)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44"/>
        </w:trPr>
        <w:tc>
          <w:tcPr>
            <w:tcW w:w="6720" w:type="dxa"/>
            <w:vAlign w:val="bottom"/>
          </w:tcPr>
          <w:p>
            <w:pPr>
              <w:spacing w:after="0"/>
              <w:rPr>
                <w:sz w:val="20"/>
                <w:szCs w:val="20"/>
                <w:color w:val="auto"/>
              </w:rPr>
            </w:pPr>
            <w:r>
              <w:rPr>
                <w:rFonts w:ascii="Arial" w:cs="Arial" w:eastAsia="Arial" w:hAnsi="Arial"/>
                <w:sz w:val="14"/>
                <w:szCs w:val="14"/>
                <w:b w:val="1"/>
                <w:bCs w:val="1"/>
                <w:color w:val="auto"/>
              </w:rPr>
              <w:t>Net gains on investments</w:t>
            </w: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61.8</w:t>
            </w:r>
          </w:p>
        </w:tc>
      </w:tr>
      <w:tr>
        <w:trPr>
          <w:trHeight w:val="270"/>
        </w:trPr>
        <w:tc>
          <w:tcPr>
            <w:tcW w:w="6720" w:type="dxa"/>
            <w:vAlign w:val="bottom"/>
          </w:tcPr>
          <w:p>
            <w:pPr>
              <w:spacing w:after="0"/>
              <w:rPr>
                <w:sz w:val="20"/>
                <w:szCs w:val="20"/>
                <w:color w:val="auto"/>
              </w:rPr>
            </w:pPr>
            <w:r>
              <w:rPr>
                <w:rFonts w:ascii="Arial" w:cs="Arial" w:eastAsia="Arial" w:hAnsi="Arial"/>
                <w:sz w:val="14"/>
                <w:szCs w:val="14"/>
                <w:color w:val="auto"/>
              </w:rPr>
              <w:t>Net gains (losses) on consolidated sponsored investment portfolios</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62.8</w:t>
            </w:r>
          </w:p>
        </w:tc>
      </w:tr>
      <w:tr>
        <w:trPr>
          <w:trHeight w:val="276"/>
        </w:trPr>
        <w:tc>
          <w:tcPr>
            <w:tcW w:w="6720" w:type="dxa"/>
            <w:vAlign w:val="bottom"/>
          </w:tcPr>
          <w:p>
            <w:pPr>
              <w:spacing w:after="0"/>
              <w:rPr>
                <w:sz w:val="20"/>
                <w:szCs w:val="20"/>
                <w:color w:val="auto"/>
              </w:rPr>
            </w:pPr>
            <w:r>
              <w:rPr>
                <w:rFonts w:ascii="Arial" w:cs="Arial" w:eastAsia="Arial" w:hAnsi="Arial"/>
                <w:sz w:val="14"/>
                <w:szCs w:val="14"/>
                <w:color w:val="auto"/>
              </w:rPr>
              <w:t>Other income (loss), including foreign currency gains and losses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6720" w:type="dxa"/>
            <w:vAlign w:val="bottom"/>
          </w:tcPr>
          <w:p>
            <w:pPr>
              <w:spacing w:after="0"/>
              <w:rPr>
                <w:sz w:val="20"/>
                <w:szCs w:val="20"/>
                <w:color w:val="auto"/>
              </w:rPr>
            </w:pPr>
            <w:r>
              <w:rPr>
                <w:rFonts w:ascii="Arial" w:cs="Arial" w:eastAsia="Arial" w:hAnsi="Arial"/>
                <w:sz w:val="14"/>
                <w:szCs w:val="14"/>
                <w:b w:val="1"/>
                <w:bCs w:val="1"/>
                <w:color w:val="auto"/>
              </w:rPr>
              <w:t>Non-operating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124.5</w:t>
            </w: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Six months ended</w:t>
      </w:r>
    </w:p>
    <w:p>
      <w:pPr>
        <w:spacing w:after="0" w:line="123"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4"/>
          <w:szCs w:val="14"/>
          <w:color w:val="auto"/>
        </w:rPr>
        <w:t>6/30/2020</w:t>
      </w:r>
      <w:r>
        <w:rPr>
          <w:sz w:val="20"/>
          <w:szCs w:val="20"/>
          <w:color w:val="auto"/>
        </w:rPr>
        <w:tab/>
      </w:r>
      <w:r>
        <w:rPr>
          <w:rFonts w:ascii="Arial" w:cs="Arial" w:eastAsia="Arial" w:hAnsi="Arial"/>
          <w:sz w:val="14"/>
          <w:szCs w:val="14"/>
          <w:color w:val="auto"/>
        </w:rPr>
        <w:t>6/30/2019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270"/>
        </w:trPr>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45.9</w:t>
            </w:r>
          </w:p>
        </w:tc>
      </w:tr>
      <w:tr>
        <w:trPr>
          <w:trHeight w:val="540"/>
        </w:trPr>
        <w:tc>
          <w:tcPr>
            <w:tcW w:w="3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0"/>
        </w:trPr>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28.3</w:t>
            </w:r>
          </w:p>
        </w:tc>
      </w:tr>
      <w:tr>
        <w:trPr>
          <w:trHeight w:val="270"/>
        </w:trPr>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w:t>
            </w:r>
          </w:p>
        </w:tc>
      </w:tr>
      <w:tr>
        <w:trPr>
          <w:trHeight w:val="244"/>
        </w:trPr>
        <w:tc>
          <w:tcPr>
            <w:tcW w:w="3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152.4</w:t>
            </w:r>
          </w:p>
        </w:tc>
      </w:tr>
      <w:tr>
        <w:trPr>
          <w:trHeight w:val="276"/>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w:t>
            </w:r>
          </w:p>
        </w:tc>
      </w:tr>
      <w:tr>
        <w:trPr>
          <w:trHeight w:val="244"/>
        </w:trPr>
        <w:tc>
          <w:tcPr>
            <w:tcW w:w="3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161.9</w:t>
            </w:r>
          </w:p>
        </w:tc>
      </w:tr>
      <w:tr>
        <w:trPr>
          <w:trHeight w:val="270"/>
        </w:trPr>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164.7</w:t>
            </w:r>
          </w:p>
        </w:tc>
      </w:tr>
      <w:tr>
        <w:trPr>
          <w:trHeight w:val="276"/>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37"/>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327.3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900" w:space="240"/>
            <w:col w:w="2100"/>
          </w:cols>
          <w:pgMar w:left="320" w:top="355" w:right="3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355" w:right="339" w:bottom="1440" w:gutter="0" w:footer="0" w:header="0"/>
          <w:type w:val="continuous"/>
        </w:sectPr>
      </w:pPr>
    </w:p>
    <w:bookmarkStart w:id="57" w:name="page58"/>
    <w:bookmarkEnd w:id="57"/>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Unaudited Condensed Consolidated Cash Flows Information (in millions)</w:t>
      </w:r>
    </w:p>
    <w:p>
      <w:pPr>
        <w:spacing w:after="0" w:line="127" w:lineRule="exact"/>
        <w:rPr>
          <w:sz w:val="20"/>
          <w:szCs w:val="20"/>
          <w:color w:val="auto"/>
        </w:rPr>
      </w:pPr>
    </w:p>
    <w:p>
      <w:pPr>
        <w:jc w:val="right"/>
        <w:ind w:right="3680"/>
        <w:spacing w:after="0"/>
        <w:rPr>
          <w:sz w:val="20"/>
          <w:szCs w:val="20"/>
          <w:color w:val="auto"/>
        </w:rPr>
      </w:pPr>
      <w:r>
        <w:rPr>
          <w:rFonts w:ascii="Arial" w:cs="Arial" w:eastAsia="Arial" w:hAnsi="Arial"/>
          <w:sz w:val="14"/>
          <w:szCs w:val="14"/>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54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285432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color w:val="auto"/>
        </w:rPr>
        <w:t>Cash provided by (used in) operating activities, including $111.6 of stock-based compensation expense and $94.3 of depreciation expense in 2020</w:t>
      </w:r>
    </w:p>
    <w:p>
      <w:pPr>
        <w:spacing w:after="0" w:line="39" w:lineRule="exact"/>
        <w:rPr>
          <w:sz w:val="20"/>
          <w:szCs w:val="20"/>
          <w:color w:val="auto"/>
        </w:rPr>
      </w:pPr>
    </w:p>
    <w:p>
      <w:pPr>
        <w:ind w:left="40" w:right="20"/>
        <w:spacing w:after="0" w:line="244" w:lineRule="auto"/>
        <w:rPr>
          <w:sz w:val="20"/>
          <w:szCs w:val="20"/>
          <w:color w:val="auto"/>
        </w:rPr>
      </w:pPr>
      <w:r>
        <w:rPr>
          <w:rFonts w:ascii="Arial" w:cs="Arial" w:eastAsia="Arial" w:hAnsi="Arial"/>
          <w:sz w:val="14"/>
          <w:szCs w:val="14"/>
          <w:color w:val="auto"/>
        </w:rPr>
        <w:t>Cash provided by (used in) investing activities, including $(105.3) for additions to property and equipment, $(237.1) of purchases and $347.9M of dispositions to T. Rowe Price investment products in 2020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(used in) financing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activities, including T. Rowe Price Group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stock repurchases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$(1,027.1)* and dividends paid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$(425.7) in 2020</w:t>
      </w:r>
    </w:p>
    <w:p>
      <w:pPr>
        <w:spacing w:after="0" w:line="55" w:lineRule="exact"/>
        <w:rPr>
          <w:sz w:val="20"/>
          <w:szCs w:val="20"/>
          <w:color w:val="auto"/>
        </w:rPr>
      </w:pPr>
    </w:p>
    <w:p>
      <w:pPr>
        <w:ind w:left="40" w:right="20"/>
        <w:spacing w:after="0" w:line="258"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32"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6/30/2020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Cash flow attributable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4"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products, net of</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76"/>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1,690.7</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1,640.7</w:t>
            </w:r>
          </w:p>
        </w:tc>
        <w:tc>
          <w:tcPr>
            <w:tcW w:w="0" w:type="dxa"/>
            <w:vAlign w:val="bottom"/>
          </w:tcPr>
          <w:p>
            <w:pPr>
              <w:spacing w:after="0"/>
              <w:rPr>
                <w:sz w:val="1"/>
                <w:szCs w:val="1"/>
                <w:color w:val="auto"/>
              </w:rPr>
            </w:pPr>
          </w:p>
        </w:tc>
      </w:tr>
      <w:tr>
        <w:trPr>
          <w:trHeight w:val="1026"/>
        </w:trPr>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64"/>
        </w:trPr>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(1,398.8)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(1,311.1)</w:t>
            </w:r>
          </w:p>
        </w:tc>
        <w:tc>
          <w:tcPr>
            <w:tcW w:w="0" w:type="dxa"/>
            <w:vAlign w:val="bottom"/>
          </w:tcPr>
          <w:p>
            <w:pPr>
              <w:spacing w:after="0"/>
              <w:rPr>
                <w:sz w:val="1"/>
                <w:szCs w:val="1"/>
                <w:color w:val="auto"/>
              </w:rPr>
            </w:pPr>
          </w:p>
        </w:tc>
      </w:tr>
      <w:tr>
        <w:trPr>
          <w:trHeight w:val="384"/>
        </w:trPr>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45"/>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276.3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6/30/2019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rPr>
              <w:t>Cash flow attributable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220"/>
              <w:spacing w:after="0" w:line="144"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rPr>
              <w:t>products, net of</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7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1,243.0</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24"/>
                <w:szCs w:val="24"/>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948.8</w:t>
            </w:r>
          </w:p>
        </w:tc>
        <w:tc>
          <w:tcPr>
            <w:tcW w:w="0" w:type="dxa"/>
            <w:vAlign w:val="bottom"/>
          </w:tcPr>
          <w:p>
            <w:pPr>
              <w:spacing w:after="0"/>
              <w:rPr>
                <w:sz w:val="1"/>
                <w:szCs w:val="1"/>
                <w:color w:val="auto"/>
              </w:rPr>
            </w:pPr>
          </w:p>
        </w:tc>
      </w:tr>
      <w:tr>
        <w:trPr>
          <w:trHeight w:val="1026"/>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864"/>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(501.5)</w:t>
            </w:r>
          </w:p>
        </w:tc>
        <w:tc>
          <w:tcPr>
            <w:tcW w:w="0" w:type="dxa"/>
            <w:vAlign w:val="bottom"/>
          </w:tcPr>
          <w:p>
            <w:pPr>
              <w:spacing w:after="0"/>
              <w:rPr>
                <w:sz w:val="1"/>
                <w:szCs w:val="1"/>
                <w:color w:val="auto"/>
              </w:rPr>
            </w:pPr>
          </w:p>
        </w:tc>
      </w:tr>
      <w:tr>
        <w:trPr>
          <w:trHeight w:val="384"/>
        </w:trPr>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45"/>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377.2</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417.8</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3">
            <w:col w:w="2660" w:space="40"/>
            <w:col w:w="4200" w:space="240"/>
            <w:col w:w="4100"/>
          </w:cols>
          <w:pgMar w:left="320" w:top="1031"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Unaudited Condensed Consolidated Balance Sheet Information (in millions)</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3"/>
              </w:rPr>
              <w:t>As of</w:t>
            </w:r>
          </w:p>
        </w:tc>
        <w:tc>
          <w:tcPr>
            <w:tcW w:w="1120" w:type="dxa"/>
            <w:vAlign w:val="bottom"/>
            <w:tcBorders>
              <w:bottom w:val="single" w:sz="8" w:color="auto"/>
            </w:tcBorders>
            <w:shd w:val="clear" w:color="auto" w:fill="CCEEFF"/>
          </w:tcPr>
          <w:p>
            <w:pPr>
              <w:spacing w:after="0"/>
              <w:rPr>
                <w:sz w:val="22"/>
                <w:szCs w:val="22"/>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6/30/2020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12/31/2019</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2,058.1</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1,781.8</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Accounts receivable and accrued revenue</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646.6</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2,939.8</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Assets of consolidated T. Rowe Price investment products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2,276.9</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674.4</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665.7</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234.4</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9,477.3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9,330.4</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Supplemental savings plan liability</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563.4</w:t>
            </w:r>
          </w:p>
        </w:tc>
      </w:tr>
      <w:tr>
        <w:trPr>
          <w:trHeight w:val="20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liabilities, includes $54.8 at June 30, 2020, and $39.2 at December 31, 2019, from consolidated T. Rowe Price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products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543.9</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1,121.0</w:t>
            </w:r>
          </w:p>
        </w:tc>
      </w:t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 227.0 common shares outstanding at June 30, 2020</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6,750.7</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7,102.1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31"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4"/>
        </w:trPr>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Net assets of</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consolidated 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Rowe Price</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rPr>
              <w:t>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investment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8"/>
        </w:trPr>
        <w:tc>
          <w:tcPr>
            <w:tcW w:w="5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rPr>
              <w:t>equivalents</w:t>
            </w:r>
          </w:p>
        </w:tc>
        <w:tc>
          <w:tcPr>
            <w:tcW w:w="1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15"/>
                <w:szCs w:val="15"/>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6/30/2020</w:t>
            </w:r>
          </w:p>
        </w:tc>
      </w:tr>
      <w:tr>
        <w:trPr>
          <w:trHeight w:val="270"/>
        </w:trPr>
        <w:tc>
          <w:tcPr>
            <w:tcW w:w="5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discretionary investments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2,058.1</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1,802.0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219.9</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4,080.0</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Seed capital investments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796.7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1,074.2</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564.5</w:t>
            </w:r>
          </w:p>
        </w:tc>
      </w:tr>
      <w:tr>
        <w:trPr>
          <w:trHeight w:val="156"/>
        </w:trPr>
        <w:tc>
          <w:tcPr>
            <w:tcW w:w="54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96"/>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Price Group</w:t>
            </w:r>
          </w:p>
        </w:tc>
        <w:tc>
          <w:tcPr>
            <w:tcW w:w="2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2,058.1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2,644.0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1,016.6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5,718.7</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UTI and other investments</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256.0</w:t>
            </w:r>
          </w:p>
        </w:tc>
      </w:tr>
      <w:tr>
        <w:trPr>
          <w:trHeight w:val="257"/>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2,058.1</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1,016.6</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5,974.7</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1,090.1</w:t>
            </w:r>
          </w:p>
        </w:tc>
      </w:tr>
      <w:tr>
        <w:trPr>
          <w:trHeight w:val="156"/>
        </w:trPr>
        <w:tc>
          <w:tcPr>
            <w:tcW w:w="54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As reported on unaudited condensed consolidated balance sheet at 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89"/>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2,058.1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2,106.7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7,064.8</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80" w:right="2760" w:hanging="72"/>
        <w:spacing w:after="0" w:line="261" w:lineRule="auto"/>
        <w:tabs>
          <w:tab w:leader="none" w:pos="83"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Net assets of consolidated T. Rowe Price investment products of $2,106.7 million at June 30, 2020, includes assets of $2,161.5 million less liabilities of $54.8 million as reflected in the unaudited condensed consolidated balance sheet information table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214" w:lineRule="exact"/>
        <w:rPr>
          <w:sz w:val="20"/>
          <w:szCs w:val="20"/>
          <w:color w:val="auto"/>
        </w:rPr>
      </w:pPr>
    </w:p>
    <w:p>
      <w:pPr>
        <w:jc w:val="both"/>
        <w:ind w:right="80"/>
        <w:spacing w:after="0" w:line="356"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schedules reconcile U.S. GAAP financial measures to non-GAAP financial measures for the three months ended June 30, 2020 and 2019.</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color w:val="auto"/>
              </w:rPr>
              <w:t>Three months ended 6/30/2020</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193"/>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7"/>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right"/>
              <w:ind w:right="188"/>
              <w:spacing w:after="0" w:line="189" w:lineRule="exact"/>
              <w:rPr>
                <w:sz w:val="20"/>
                <w:szCs w:val="20"/>
                <w:color w:val="auto"/>
              </w:rPr>
            </w:pPr>
            <w:r>
              <w:rPr>
                <w:rFonts w:ascii="Arial" w:cs="Arial" w:eastAsia="Arial" w:hAnsi="Arial"/>
                <w:sz w:val="14"/>
                <w:szCs w:val="14"/>
                <w:color w:val="auto"/>
              </w:rPr>
              <w:t>per share</w:t>
            </w:r>
            <w:r>
              <w:rPr>
                <w:rFonts w:ascii="Arial" w:cs="Arial" w:eastAsia="Arial" w:hAnsi="Arial"/>
                <w:sz w:val="17"/>
                <w:szCs w:val="17"/>
                <w:color w:val="auto"/>
                <w:vertAlign w:val="superscript"/>
              </w:rPr>
              <w:t>(5)</w:t>
            </w: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861.7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r>
      <w:tr>
        <w:trPr>
          <w:trHeight w:val="264"/>
        </w:trPr>
        <w:tc>
          <w:tcPr>
            <w:tcW w:w="34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5"/>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r>
      <w:tr>
        <w:trPr>
          <w:trHeight w:val="270"/>
        </w:trPr>
        <w:tc>
          <w:tcPr>
            <w:tcW w:w="348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.03</w:t>
            </w:r>
          </w:p>
        </w:tc>
      </w:tr>
      <w:tr>
        <w:trPr>
          <w:trHeight w:val="270"/>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r>
      <w:tr>
        <w:trPr>
          <w:trHeight w:val="237"/>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785.8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539.6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20" w:right="339" w:bottom="1440" w:gutter="0" w:footer="0" w:header="0"/>
        </w:sectPr>
      </w:pPr>
    </w:p>
    <w:bookmarkStart w:id="59" w:name="page60"/>
    <w:bookmarkEnd w:id="59"/>
    <w:tbl>
      <w:tblPr>
        <w:tblLayout w:type="fixed"/>
        <w:tblInd w:w="40"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color w:val="auto"/>
              </w:rPr>
              <w:t>Three months ended 6/30/2019</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193"/>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7"/>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right"/>
              <w:ind w:right="188"/>
              <w:spacing w:after="0" w:line="189" w:lineRule="exact"/>
              <w:rPr>
                <w:sz w:val="20"/>
                <w:szCs w:val="20"/>
                <w:color w:val="auto"/>
              </w:rPr>
            </w:pPr>
            <w:r>
              <w:rPr>
                <w:rFonts w:ascii="Arial" w:cs="Arial" w:eastAsia="Arial" w:hAnsi="Arial"/>
                <w:sz w:val="14"/>
                <w:szCs w:val="14"/>
                <w:color w:val="auto"/>
              </w:rPr>
              <w:t>per share</w:t>
            </w:r>
            <w:r>
              <w:rPr>
                <w:rFonts w:ascii="Arial" w:cs="Arial" w:eastAsia="Arial" w:hAnsi="Arial"/>
                <w:sz w:val="17"/>
                <w:szCs w:val="17"/>
                <w:color w:val="auto"/>
                <w:vertAlign w:val="superscript"/>
              </w:rPr>
              <w:t>(5)</w:t>
            </w: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780.1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r>
      <w:tr>
        <w:trPr>
          <w:trHeight w:val="264"/>
        </w:trPr>
        <w:tc>
          <w:tcPr>
            <w:tcW w:w="34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5"/>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r>
      <w:tr>
        <w:trPr>
          <w:trHeight w:val="270"/>
        </w:trPr>
        <w:tc>
          <w:tcPr>
            <w:tcW w:w="348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.01</w:t>
            </w:r>
          </w:p>
        </w:tc>
      </w:tr>
      <w:tr>
        <w:trPr>
          <w:trHeight w:val="270"/>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r>
      <w:tr>
        <w:trPr>
          <w:trHeight w:val="237"/>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764.6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632.8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498.1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schedules reconcile certain U.S. GAAP financial measures for the six months ended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207645</wp:posOffset>
            </wp:positionV>
            <wp:extent cx="70891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right="960"/>
        <w:spacing w:after="0" w:line="347" w:lineRule="auto"/>
        <w:rPr>
          <w:sz w:val="20"/>
          <w:szCs w:val="20"/>
          <w:color w:val="auto"/>
        </w:rPr>
      </w:pPr>
      <w:r>
        <w:rPr>
          <w:rFonts w:ascii="Arial" w:cs="Arial" w:eastAsia="Arial" w:hAnsi="Arial"/>
          <w:sz w:val="16"/>
          <w:szCs w:val="16"/>
          <w:b w:val="1"/>
          <w:bCs w:val="1"/>
          <w:color w:val="auto"/>
        </w:rPr>
        <w:t xml:space="preserve">U.S. GAAP Basis </w:t>
      </w:r>
      <w:r>
        <w:rPr>
          <w:rFonts w:ascii="Arial" w:cs="Arial" w:eastAsia="Arial" w:hAnsi="Arial"/>
          <w:sz w:val="16"/>
          <w:szCs w:val="16"/>
          <w:color w:val="auto"/>
        </w:rPr>
        <w:t>Non-GAAP adjustments:</w:t>
      </w:r>
    </w:p>
    <w:p>
      <w:pPr>
        <w:spacing w:after="0" w:line="1" w:lineRule="exact"/>
        <w:rPr>
          <w:sz w:val="20"/>
          <w:szCs w:val="20"/>
          <w:color w:val="auto"/>
        </w:rPr>
      </w:pPr>
    </w:p>
    <w:p>
      <w:pPr>
        <w:ind w:left="60" w:right="600" w:firstLine="135"/>
        <w:spacing w:after="0" w:line="256"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00"/>
        <w:spacing w:after="0"/>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960"/>
        <w:spacing w:after="0" w:line="347" w:lineRule="auto"/>
        <w:rPr>
          <w:sz w:val="20"/>
          <w:szCs w:val="20"/>
          <w:color w:val="auto"/>
        </w:rPr>
      </w:pPr>
      <w:r>
        <w:rPr>
          <w:rFonts w:ascii="Arial" w:cs="Arial" w:eastAsia="Arial" w:hAnsi="Arial"/>
          <w:sz w:val="16"/>
          <w:szCs w:val="16"/>
          <w:b w:val="1"/>
          <w:bCs w:val="1"/>
          <w:color w:val="auto"/>
        </w:rPr>
        <w:t xml:space="preserve">U.S. GAAP Basis </w:t>
      </w:r>
      <w:r>
        <w:rPr>
          <w:rFonts w:ascii="Arial" w:cs="Arial" w:eastAsia="Arial" w:hAnsi="Arial"/>
          <w:sz w:val="16"/>
          <w:szCs w:val="16"/>
          <w:color w:val="auto"/>
        </w:rPr>
        <w:t>Non-GAAP adjustments:</w:t>
      </w:r>
    </w:p>
    <w:p>
      <w:pPr>
        <w:spacing w:after="0" w:line="1" w:lineRule="exact"/>
        <w:rPr>
          <w:sz w:val="20"/>
          <w:szCs w:val="20"/>
          <w:color w:val="auto"/>
        </w:rPr>
      </w:pPr>
    </w:p>
    <w:p>
      <w:pPr>
        <w:ind w:left="60" w:right="600" w:firstLine="135"/>
        <w:spacing w:after="0" w:line="256"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00"/>
        <w:spacing w:after="0"/>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2940"/>
        <w:spacing w:after="0"/>
        <w:rPr>
          <w:sz w:val="20"/>
          <w:szCs w:val="20"/>
          <w:color w:val="auto"/>
        </w:rPr>
      </w:pPr>
      <w:r>
        <w:rPr>
          <w:rFonts w:ascii="Arial" w:cs="Arial" w:eastAsia="Arial" w:hAnsi="Arial"/>
          <w:sz w:val="14"/>
          <w:szCs w:val="14"/>
          <w:color w:val="auto"/>
        </w:rPr>
        <w:t>Six months ended 6/30/2020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886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7"/>
        </w:trPr>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center"/>
              <w:ind w:right="108"/>
              <w:spacing w:after="0" w:line="189" w:lineRule="exact"/>
              <w:rPr>
                <w:sz w:val="20"/>
                <w:szCs w:val="20"/>
                <w:color w:val="auto"/>
              </w:rPr>
            </w:pPr>
            <w:r>
              <w:rPr>
                <w:rFonts w:ascii="Arial" w:cs="Arial" w:eastAsia="Arial" w:hAnsi="Arial"/>
                <w:sz w:val="14"/>
                <w:szCs w:val="14"/>
                <w:color w:val="auto"/>
                <w:w w:val="98"/>
              </w:rPr>
              <w:t>per share</w:t>
            </w:r>
            <w:r>
              <w:rPr>
                <w:rFonts w:ascii="Arial" w:cs="Arial" w:eastAsia="Arial" w:hAnsi="Arial"/>
                <w:sz w:val="17"/>
                <w:szCs w:val="17"/>
                <w:color w:val="auto"/>
                <w:w w:val="98"/>
                <w:vertAlign w:val="superscript"/>
              </w:rPr>
              <w:t>(5)</w:t>
            </w:r>
          </w:p>
        </w:tc>
      </w:tr>
      <w:tr>
        <w:trPr>
          <w:trHeight w:val="238"/>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1,617.1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280.6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3.95</w:t>
            </w:r>
          </w:p>
        </w:tc>
      </w:tr>
      <w:tr>
        <w:trPr>
          <w:trHeight w:val="702"/>
        </w:trPr>
        <w:tc>
          <w:tcPr>
            <w:tcW w:w="1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r>
      <w:tr>
        <w:trPr>
          <w:trHeight w:val="270"/>
        </w:trPr>
        <w:tc>
          <w:tcPr>
            <w:tcW w:w="1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.04</w:t>
            </w:r>
          </w:p>
        </w:tc>
      </w:tr>
      <w:tr>
        <w:trPr>
          <w:trHeight w:val="276"/>
        </w:trPr>
        <w:tc>
          <w:tcPr>
            <w:tcW w:w="18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.05</w:t>
            </w: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1,603.7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1,278.9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309.6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993.9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02"/>
        </w:trPr>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Six months ended 6/30/2019</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3"/>
        </w:trPr>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7"/>
        </w:trPr>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center"/>
              <w:ind w:right="108"/>
              <w:spacing w:after="0" w:line="189" w:lineRule="exact"/>
              <w:rPr>
                <w:sz w:val="20"/>
                <w:szCs w:val="20"/>
                <w:color w:val="auto"/>
              </w:rPr>
            </w:pPr>
            <w:r>
              <w:rPr>
                <w:rFonts w:ascii="Arial" w:cs="Arial" w:eastAsia="Arial" w:hAnsi="Arial"/>
                <w:sz w:val="14"/>
                <w:szCs w:val="14"/>
                <w:color w:val="auto"/>
                <w:w w:val="98"/>
              </w:rPr>
              <w:t>per share</w:t>
            </w:r>
            <w:r>
              <w:rPr>
                <w:rFonts w:ascii="Arial" w:cs="Arial" w:eastAsia="Arial" w:hAnsi="Arial"/>
                <w:sz w:val="17"/>
                <w:szCs w:val="17"/>
                <w:color w:val="auto"/>
                <w:w w:val="98"/>
                <w:vertAlign w:val="superscript"/>
              </w:rPr>
              <w:t>(5)</w:t>
            </w:r>
          </w:p>
        </w:tc>
      </w:tr>
      <w:tr>
        <w:trPr>
          <w:trHeight w:val="238"/>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1,574.9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1,147.6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327.3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365.0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1,040.1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4.23</w:t>
            </w:r>
          </w:p>
        </w:tc>
      </w:tr>
      <w:tr>
        <w:trPr>
          <w:trHeight w:val="702"/>
        </w:trPr>
        <w:tc>
          <w:tcPr>
            <w:tcW w:w="1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70"/>
        </w:trPr>
        <w:tc>
          <w:tcPr>
            <w:tcW w:w="1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.02</w:t>
            </w:r>
          </w:p>
        </w:tc>
      </w:tr>
      <w:tr>
        <w:trPr>
          <w:trHeight w:val="276"/>
        </w:trPr>
        <w:tc>
          <w:tcPr>
            <w:tcW w:w="18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w:t>
            </w: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1,521.2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1,205.0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326.3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958.7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-3042285</wp:posOffset>
            </wp:positionV>
            <wp:extent cx="70891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-2699385</wp:posOffset>
            </wp:positionV>
            <wp:extent cx="708914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089140" cy="27432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-2253615</wp:posOffset>
            </wp:positionV>
            <wp:extent cx="70891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-1670685</wp:posOffset>
            </wp:positionV>
            <wp:extent cx="70891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-1148080</wp:posOffset>
            </wp:positionV>
            <wp:extent cx="70891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-805180</wp:posOffset>
            </wp:positionV>
            <wp:extent cx="708914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089140" cy="27432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-359410</wp:posOffset>
            </wp:positionV>
            <wp:extent cx="70891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720"/>
            <w:col w:w="7720"/>
          </w:cols>
          <w:pgMar w:left="320" w:top="720" w:right="339" w:bottom="1440" w:gutter="0" w:footer="0" w:header="0"/>
          <w:type w:val="continuous"/>
        </w:sectPr>
      </w:pPr>
    </w:p>
    <w:p>
      <w:pPr>
        <w:spacing w:after="0" w:line="234" w:lineRule="exact"/>
        <w:rPr>
          <w:sz w:val="20"/>
          <w:szCs w:val="20"/>
          <w:color w:val="auto"/>
        </w:rPr>
      </w:pPr>
    </w:p>
    <w:p>
      <w:pPr>
        <w:ind w:left="340" w:right="140" w:hanging="332"/>
        <w:spacing w:after="0" w:line="266"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193" w:lineRule="exact"/>
        <w:rPr>
          <w:rFonts w:ascii="Arial" w:cs="Arial" w:eastAsia="Arial" w:hAnsi="Arial"/>
          <w:sz w:val="14"/>
          <w:szCs w:val="14"/>
          <w:color w:val="auto"/>
        </w:rPr>
      </w:pPr>
    </w:p>
    <w:p>
      <w:pPr>
        <w:ind w:left="340" w:hanging="332"/>
        <w:spacing w:after="0" w:line="26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20" w:right="339" w:bottom="1440" w:gutter="0" w:footer="0" w:header="0"/>
          <w:type w:val="continuous"/>
        </w:sectPr>
      </w:pPr>
    </w:p>
    <w:bookmarkStart w:id="60" w:name="page61"/>
    <w:bookmarkEnd w:id="60"/>
    <w:p>
      <w:pPr>
        <w:ind w:left="332" w:right="140"/>
        <w:spacing w:after="0" w:line="288" w:lineRule="auto"/>
        <w:rPr>
          <w:sz w:val="20"/>
          <w:szCs w:val="20"/>
          <w:color w:val="auto"/>
        </w:rPr>
      </w:pPr>
      <w:r>
        <w:rPr>
          <w:rFonts w:ascii="Arial" w:cs="Arial" w:eastAsia="Arial" w:hAnsi="Arial"/>
          <w:sz w:val="16"/>
          <w:szCs w:val="16"/>
          <w:color w:val="auto"/>
        </w:rPr>
        <w:t>to these market movements. Management believes it is useful to offset the non-operating investment income (loss) realized on the hedges against the related compensation expense and remove the net impact to help the reader's ability to understand the firm's core operating results and to increase comparability period to period.</w:t>
      </w:r>
    </w:p>
    <w:p>
      <w:pPr>
        <w:spacing w:after="0" w:line="175" w:lineRule="exact"/>
        <w:rPr>
          <w:sz w:val="20"/>
          <w:szCs w:val="20"/>
          <w:color w:val="auto"/>
        </w:rPr>
      </w:pPr>
    </w:p>
    <w:p>
      <w:pPr>
        <w:ind w:left="332" w:hanging="332"/>
        <w:spacing w:after="0" w:line="266"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those non-consolidated investments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192" w:lineRule="exact"/>
        <w:rPr>
          <w:rFonts w:ascii="Arial" w:cs="Arial" w:eastAsia="Arial" w:hAnsi="Arial"/>
          <w:sz w:val="14"/>
          <w:szCs w:val="14"/>
          <w:color w:val="auto"/>
        </w:rPr>
      </w:pPr>
    </w:p>
    <w:p>
      <w:pPr>
        <w:jc w:val="both"/>
        <w:ind w:left="332" w:right="60" w:hanging="332"/>
        <w:spacing w:after="0" w:line="279"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The income tax impacts were calculated in order to achieve an overall year-to-date non-GAAP effective tax rate of 23.8% for 2020 and 25.4% for 2019. As such, the non-GAAP effective tax rate for three months ended June 30, 2020 and 2019 was 24.8% and 25.5%, respectively. The firm estimates that its effective tax rate for the full-year 2020 on a non-GAAP basis will be in the range of 23% to 25%.</w:t>
      </w:r>
    </w:p>
    <w:p>
      <w:pPr>
        <w:spacing w:after="0" w:line="181" w:lineRule="exact"/>
        <w:rPr>
          <w:rFonts w:ascii="Arial" w:cs="Arial" w:eastAsia="Arial" w:hAnsi="Arial"/>
          <w:sz w:val="14"/>
          <w:szCs w:val="14"/>
          <w:color w:val="auto"/>
        </w:rPr>
      </w:pPr>
    </w:p>
    <w:p>
      <w:pPr>
        <w:ind w:left="332" w:right="240" w:hanging="332"/>
        <w:spacing w:after="0" w:line="27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306" w:lineRule="exact"/>
        <w:rPr>
          <w:sz w:val="20"/>
          <w:szCs w:val="20"/>
          <w:color w:val="auto"/>
        </w:rPr>
      </w:pPr>
    </w:p>
    <w:tbl>
      <w:tblPr>
        <w:tblLayout w:type="fixed"/>
        <w:tblInd w:w="652" w:type="dxa"/>
        <w:tblCellMar>
          <w:top w:w="0" w:type="dxa"/>
          <w:left w:w="0" w:type="dxa"/>
          <w:bottom w:w="0" w:type="dxa"/>
          <w:right w:w="0" w:type="dxa"/>
        </w:tblCellMar>
      </w:tblPr>
      <w:tr>
        <w:trPr>
          <w:trHeight w:val="263"/>
        </w:trPr>
        <w:tc>
          <w:tcPr>
            <w:tcW w:w="5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3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Three months ended</w:t>
            </w:r>
          </w:p>
        </w:tc>
        <w:tc>
          <w:tcPr>
            <w:tcW w:w="220" w:type="dxa"/>
            <w:vAlign w:val="bottom"/>
            <w:shd w:val="clear" w:color="auto" w:fill="CCEEFF"/>
          </w:tcPr>
          <w:p>
            <w:pPr>
              <w:spacing w:after="0"/>
              <w:rPr>
                <w:sz w:val="22"/>
                <w:szCs w:val="22"/>
                <w:color w:val="auto"/>
              </w:rPr>
            </w:pPr>
          </w:p>
        </w:tc>
        <w:tc>
          <w:tcPr>
            <w:tcW w:w="206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color w:val="auto"/>
              </w:rPr>
              <w:t>Six months ended</w:t>
            </w:r>
          </w:p>
        </w:tc>
      </w:tr>
      <w:tr>
        <w:trPr>
          <w:trHeight w:val="250"/>
        </w:trPr>
        <w:tc>
          <w:tcPr>
            <w:tcW w:w="54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6/30/2020</w:t>
            </w:r>
          </w:p>
        </w:tc>
        <w:tc>
          <w:tcPr>
            <w:tcW w:w="3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6/30/2019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6/30/2020</w:t>
            </w: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6/30/2019</w:t>
            </w:r>
          </w:p>
        </w:tc>
      </w:tr>
      <w:tr>
        <w:trPr>
          <w:trHeight w:val="25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958.7</w:t>
            </w:r>
          </w:p>
        </w:tc>
      </w:tr>
      <w:tr>
        <w:trPr>
          <w:trHeight w:val="218"/>
        </w:trPr>
        <w:tc>
          <w:tcPr>
            <w:tcW w:w="5480" w:type="dxa"/>
            <w:vAlign w:val="bottom"/>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 holders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r>
      <w:tr>
        <w:trPr>
          <w:trHeight w:val="24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934.3</w:t>
            </w: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sectPr>
      <w:pgSz w:w="11900" w:h="16838" w:orient="portrait"/>
      <w:cols w:equalWidth="0" w:num="1">
        <w:col w:w="11192"/>
      </w:cols>
      <w:pgMar w:left="328" w:top="6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lvl w:ilvl="1">
      <w:lvlJc w:val="left"/>
      <w:lvlText w:val="%2"/>
      <w:numFmt w:val="upp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lvl w:ilvl="1">
      <w:lvlJc w:val="left"/>
      <w:lvlText w:val="(%2)"/>
      <w:numFmt w:val="lowerLetter"/>
      <w:start w:val="1"/>
    </w:lvl>
  </w:abstractNum>
  <w:abstractNum w:abstractNumId="13">
    <w:nsid w:val="628C895D"/>
    <w:multiLevelType w:val="hybridMultilevel"/>
    <w:lvl w:ilvl="0">
      <w:lvlJc w:val="left"/>
      <w:lvlText w:val="%1."/>
      <w:numFmt w:val="decimal"/>
      <w:start w:val="1"/>
    </w:lvl>
    <w:lvl w:ilvl="1">
      <w:lvlJc w:val="left"/>
      <w:lvlText w:val="(%2)"/>
      <w:numFmt w:val="lowerLetter"/>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jpe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26" Type="http://schemas.openxmlformats.org/officeDocument/2006/relationships/hyperlink" Target="http://www.sec.gov/Archives/edgar/data/1113169/000111316918000018/articlesofrestatementfin.htm" TargetMode="External"/><Relationship Id="rId27" Type="http://schemas.openxmlformats.org/officeDocument/2006/relationships/hyperlink" Target="http://www.sec.gov/Archives/edgar/data/1113169/000111316919000007/trpgamendedandrestatedbyla.htm" TargetMode="External"/><Relationship Id="rId28" Type="http://schemas.openxmlformats.org/officeDocument/2006/relationships/hyperlink" Target="http://www.sec.gov/Archives/edgar/data/1113169/000111316920000028/a2020ltiplan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2020-07-29T09:34:20Z</dcterms:created>
  <dcterms:modified xsi:type="dcterms:W3CDTF">2020-07-29T09:34:20Z</dcterms:modified>
</cp:coreProperties>
</file>