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2419"/>
        <w:spacing w:after="0" w:line="238" w:lineRule="auto"/>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229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6"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FORM 10-K ANNUAL REPORT PURSUANT TO SECTION 13 OR 15(d) OF THE SECURITIES EXCHANGE ACT OF 1934.</w:t>
      </w:r>
    </w:p>
    <w:p>
      <w:pPr>
        <w:spacing w:after="0" w:line="203"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For the fiscal year ended:</w:t>
      </w:r>
      <w:r>
        <w:rPr>
          <w:sz w:val="20"/>
          <w:szCs w:val="20"/>
          <w:color w:val="auto"/>
        </w:rPr>
        <w:tab/>
      </w:r>
      <w:r>
        <w:rPr>
          <w:rFonts w:ascii="Courier New" w:cs="Courier New" w:eastAsia="Courier New" w:hAnsi="Courier New"/>
          <w:sz w:val="16"/>
          <w:szCs w:val="16"/>
          <w:color w:val="auto"/>
        </w:rPr>
        <w:t>DECEMBER 31, 2000.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000-32191.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38" w:lineRule="auto"/>
        <w:rPr>
          <w:sz w:val="20"/>
          <w:szCs w:val="20"/>
          <w:color w:val="auto"/>
        </w:rPr>
      </w:pPr>
      <w:r>
        <w:rPr>
          <w:rFonts w:ascii="Courier New" w:cs="Courier New" w:eastAsia="Courier New" w:hAnsi="Courier New"/>
          <w:sz w:val="18"/>
          <w:szCs w:val="18"/>
          <w:color w:val="auto"/>
        </w:rPr>
        <w:t>T. ROWE PRICE GROUP, INC.</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MARYLAND.</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I.R.S. Employer Identification No.:</w:t>
      </w:r>
      <w:r>
        <w:rPr>
          <w:sz w:val="20"/>
          <w:szCs w:val="20"/>
          <w:color w:val="auto"/>
        </w:rPr>
        <w:tab/>
      </w:r>
      <w:r>
        <w:rPr>
          <w:rFonts w:ascii="Courier New" w:cs="Courier New" w:eastAsia="Courier New" w:hAnsi="Courier New"/>
          <w:sz w:val="16"/>
          <w:szCs w:val="16"/>
          <w:color w:val="auto"/>
        </w:rPr>
        <w:t>52-2264646.</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Address and Zip Code of principal executive offices: 100 EAST PRATT STREET, BALTIMORE, MARYLAND 21202.</w:t>
      </w:r>
    </w:p>
    <w:p>
      <w:pPr>
        <w:spacing w:after="0" w:line="203"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(410) 345-2000.</w:t>
      </w:r>
    </w:p>
    <w:p>
      <w:pPr>
        <w:spacing w:after="0" w:line="201"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Securities registered pursuant to Section 12(b) of the Act:</w:t>
      </w:r>
      <w:r>
        <w:rPr>
          <w:sz w:val="20"/>
          <w:szCs w:val="20"/>
          <w:color w:val="auto"/>
        </w:rPr>
        <w:tab/>
      </w:r>
      <w:r>
        <w:rPr>
          <w:rFonts w:ascii="Courier New" w:cs="Courier New" w:eastAsia="Courier New" w:hAnsi="Courier New"/>
          <w:sz w:val="16"/>
          <w:szCs w:val="16"/>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38" w:lineRule="auto"/>
        <w:rPr>
          <w:sz w:val="20"/>
          <w:szCs w:val="20"/>
          <w:color w:val="auto"/>
        </w:rPr>
      </w:pPr>
      <w:r>
        <w:rPr>
          <w:rFonts w:ascii="Courier New" w:cs="Courier New" w:eastAsia="Courier New" w:hAnsi="Courier New"/>
          <w:sz w:val="18"/>
          <w:szCs w:val="18"/>
          <w:color w:val="auto"/>
        </w:rPr>
        <w:t>COMMON STOCK, $.20 PAR VALUE.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State the aggregate market value of the common stock (based on the last reported price from The Nasdaq Stock Market) held by non-affiliates (excludes executive officers and directors) of the registrant. $4.1 BILLION AT FEBRUARY 9, 2001.</w:t>
      </w:r>
    </w:p>
    <w:p>
      <w:pPr>
        <w:spacing w:after="0" w:line="207" w:lineRule="exact"/>
        <w:rPr>
          <w:sz w:val="24"/>
          <w:szCs w:val="24"/>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Indicate the number of shares outstanding of the registrant's common stock, as of the latest practicable date. 122,980,599 SHARES AT MARCH 23, 2001.</w:t>
      </w:r>
    </w:p>
    <w:p>
      <w:pPr>
        <w:spacing w:after="0" w:line="170"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Documents incorporated by reference: IN PART III OF THIS FORM 10-K, THE DEFINITIVE PROXY STATEMENT FOR THE 2001 ANNUAL MEETING OF STOCKHOLDERS (FORM DEF 14A; ACCESSION NO. 0001113169-01-000002).</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is at Item 14(a)3 on pages 40-42.</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PART I.</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OVERVIEW. T. Rowe Price Group is a financial services holding company formed in 2000 that derives its consolidated revenues and net income primarily from investment advisory services that certain of its subsidiaries provide to individual and institutional investors in the T. Rowe Price mutual funds and other investment portfolios. The investors that we serve are primarily domiciled in the United States.</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On June 30, 2000, the stockholders of T. Rowe Price Associates approved the one-for-one exchange of their shares for those of T. Rowe Price Group. The share exchange occurred on December 28, 2000, at which time T. Rowe Price Group became the sole owner of T. Rowe Price Associates and T. Rowe Price Associates' former stockholders became the stockholders of T. Rowe Price Group. The exchange was accounted for at historical cost in a manner similar to a pooling-of-interests transaction and T. Rowe Price Group succeeded to T. Rowe Price Associates' obligation for periodic public reporting.</w:t>
      </w:r>
    </w:p>
    <w:p>
      <w:pPr>
        <w:spacing w:after="0" w:line="186"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We operate our investment advisory business through our subsidiary companies, primarily T. Rowe Price Associates and T. Rowe Price International (formerly Rowe Price-Fleming International). Our advisory business is the successor to the investment counseling business begun by the late Thomas Rowe Price in 1937. Our common stock was offered to the public for the first time in 1986.</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Total assets under our management decreased $13.2 billion from the beginning of 2000 to end the year at $166.7 billion. These assets include $105.2 billion of investments held in retirement accounts and variable annuity investment portfolios. Investments in equity securities were $126.6 billion at the end of 2000, including $31.8 billion in international securities. The three largest Price funds - Equity Income, International Stock, and Science &amp; Technology - accounted for 25% of investment advisory revenues in 2000 and 18% of assets under management at year-end 2000.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We offer a broad</w:t>
            </w:r>
          </w:p>
        </w:tc>
        <w:tc>
          <w:tcPr>
            <w:tcW w:w="53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range of investment portfolios designed to attract</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retain investors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varying investment</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objectives.  Price fund shareholders</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can exchange balances</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among mutual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funds</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 economic and market conditions</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and their investment needs change.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time-to-time, we introduce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mutual funds and</w:t>
            </w:r>
          </w:p>
        </w:tc>
        <w:tc>
          <w:tcPr>
            <w:tcW w:w="63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other investment portfolios to complement and expand our</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investment offerings,</w:t>
            </w:r>
          </w:p>
        </w:tc>
        <w:tc>
          <w:tcPr>
            <w:tcW w:w="58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respond to competitive developments in the financial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marketplace, 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meet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changing</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needs</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our investment advisory</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clients.</w:t>
            </w: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We will open a new Price fund only</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if we</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believe that it can play a</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useful</w:t>
            </w:r>
          </w:p>
        </w:tc>
      </w:tr>
      <w:tr>
        <w:trPr>
          <w:trHeight w:val="203"/>
        </w:trPr>
        <w:tc>
          <w:tcPr>
            <w:tcW w:w="4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role for investors over a long period of</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time.</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We manage a broad range of domestic and international stock, bond, and money market mutual funds and other investment portfolios that meet the varied needs and objectives of individual and institutional investors. Investment advisory revenues depend largely on the total value and composition of assets under management. Accordingly, fluctuations in financial market valuations and in the composition of assets under management impact our revenues and</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 retirement plans; discount brokerage; and trust services. About 75% of our administrative revenues in 2000 were from services to the Price funds. Fees earned for administrative services to the Price funds are generally based on the recovery of expenditures incurred and they, therefore, do not significantly affect our net income.</w:t>
      </w:r>
    </w:p>
    <w:p>
      <w:pPr>
        <w:spacing w:after="0" w:line="18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We employ fundamental, technical and cyclical security analyses in the performance of the investment advisory function. We maintain substantial internal, domestic and international,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from offices located in the United States and six foreign countries: Great Britain, Argentina, France, Hong Kong, Japan, and Singapore. We also use research provided by brokerage firms in a supportive capacity and information received from private economists, political observers, commentators, government experts, and market and security analysts. Our stock selection process for some investment portfolios is based on quantitative analyses using computerized data modeling.</w:t>
      </w:r>
    </w:p>
    <w:p>
      <w:pPr>
        <w:spacing w:after="0" w:line="20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Investment objectives for our managed investment portfolios, including the Price funds, accommodate a variety of strategies. Investors select funds for investment based on the distinct objectives that are detailed in each fund's prospectus. Management of other stock portfolios includes active approaches similar to those employed in the Price funds. Investment strategies for these clients may emphasize large-cap, mid-cap or small-cap investing; growth or value investing; and international or U.S. investing. We also offer systematic, tax-efficient, and blended equity investment strategies as well as several active and systematic management strategies for fixed income investments. Our specialized advisory services include investing in stable value asset contracts and a service for the efficient disposition of equity distributions from venture capital investments.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Information concerning our revenues, results of operations and assets under management during the past three years is contained in our consolidated statements of income and in note 7 to our consolidated financial statements included in Item 8 of this Form 10-K.</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RECENT DEVELOPMENTS. We completed the most significant financial transaction in our history on August 8, 2000, when we acquired the 50% non-controlling interest in our consolidated subsidiary, Rowe Price-Fleming International, from London-based asset management and investment banking group Robert</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Fleming Holdings for $783 million, including $704 million of goodwill. To finance the purchase of the Fleming interest, we used $483 million of our cash holdings and borrowed $300 million under a five-year, syndicated bank credit facility. At the time of this transaction, Rowe Price-Fleming managed $37.5 billion of international assets which were historically included in our reported consolidated assets under management. We formed Rowe Price-Fleming in 1979 with Robert Fleming in order to provide U.S. investors with international investment advisory services. As a result of the transaction, we can now compete for the provision of investment advisory services to institutional and individual investors throughout the world. In late 2000, we began marketing efforts to expand our investor base to European institutions. In addition, we have undertaken significant efforts to establish our foreign offices in facilities that are independent of Robert Fleming. We expect that movement into these new international facilities will be complete in the first half of 2001.</w:t>
      </w:r>
    </w:p>
    <w:p>
      <w:pPr>
        <w:spacing w:after="0" w:line="208"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We achieved several significant financial milestones in 2000. Revenues surpassed $1.2 billion for the first time while stockholders' equity grew to nearly $1 billion and ended 2000 at $991 million. Net income and earnings per share also reached respective records of $269 million and $2.08 diluted.</w:t>
      </w:r>
    </w:p>
    <w:p>
      <w:pPr>
        <w:spacing w:after="0" w:line="182"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Financial markets were difficult in 2000. Stock market valuations peaked in the first quarter and declined sharply in the fourth quarter. Investor sentiment was not favorable in this environment and our investment offerings experienced net cash outflows. For the first time in our fifteen years as a public company, our assets under management declined during the fiscal year.</w:t>
      </w:r>
    </w:p>
    <w:p>
      <w:pPr>
        <w:spacing w:after="0" w:line="18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While cash flows overall were negative during 2000, investor sentiment concentrated net cash inflows into a few of our mutual funds. Strong 1999 and early 2000 market performance in the technology sector led investors to put $2.6 billion into the Science &amp; Technology Fund, while four other growth oriented funds - Mid-Cap Growth, Blue Chip Growth, Health Sciences and New Horizons - added net investments totaling $2.4 billion. These positive net cash flows were offset by the effect of negative investor sentiment for most of the year toward value-oriented and international stock funds. Our Equity Income Fund had net redemptions of $3.2 billion while the Growth &amp; Income, Equity Index 500, and International Stock funds had net outflows of $2.0 billion.</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Seven new mutual funds were offered in 2000, including two for the institutional market. Our fund shareholders also approved the merger of four smaller bond funds into three larger funds during the fourth quarter of the year.</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Performance-related advisory fees earned from our other investment portfolios were higher in 2000 and for the year totaled nearly $16.5 million, though only $.2 million was recognized in the fourth quarter. In 2000, our specialized service for the disposition of venture capital distributions accounted for $15.4 million of these fees. The same favorable markets for IPOs and technology stocks of late 1999 and early 2000 that led to the net cash inflows to our Science &amp; Technology Fund also produced additional assets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and revenues from, our disposition service in 2000. Performance-related fees are also earned from investment partnerships that we sponsor. These partnerships have entered their liquidation stage and contributed lower performance fees in 2000 than in 1999. While performance-based revenues from our disposition service and sponsored partnerships are of a recurring nature, their significance will vary as market conditions change and the partnerships complete their liquidation. Given the declining market conditions of late 2000 and early 2001, a lower level of revenues from these sources is likely in 2001.</w:t>
      </w:r>
    </w:p>
    <w:p>
      <w:pPr>
        <w:spacing w:after="0" w:line="21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 June 2000, we commenced operations of a new subsidiary, the T. Rowe Price Savings Bank. Through the savings bank, we now issue federally insured certificates of deposit.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June 2000, we also began offering an Advisor class of shares with a 12b-1 fee for ten of the Price funds. These shares are available through certain full-service financial intermediaries and provide new distribution channels for the Price funds.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During 2000, we also expanded our investor center network where our clients can visit with our customer service representatives. A new center was opened in the Walnut Creek area of greater San Francisco. We plan to open a few additional centers in 2001, continuing our effort to be available to a large number of our investors within one hour's drive. Additionally, we completed the first building in our western campus in Colorado Springs and finished the move into our expanded Owings Mills campus that we had begun in late 1999.</w:t>
      </w:r>
    </w:p>
    <w:p>
      <w:pPr>
        <w:spacing w:after="0" w:line="188"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(as defined in the Investment Company Act of 1940, as amended) of the funds or of us, must approve the investment management agreements annually. Amendments to management agreements must be approved by fund shareholders.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Advisory Services. Investment advisory fees are based upon the average daily net assets managed in each fund. Additionally, other fees are earned for advisory-related administrative services. Independent directors and trustees of the Price funds regularly review fee structures.</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advisory fee paid by each of the Price funds generally is computed each day by multiplying a fund's net assets by a fee. For the majority of the Price funds, the fee is equal to the sum of a group charge that is set based on the combined net assets of those funds and an individual fund charge that</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is set based on the fund's specific investment objective. As the combined net assets of these funds increase, the group charge component of the funds' fee decreases. Details of each fund's fee arrangement are available in its prospectus.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Each of the Price funds has a distinct investment objective that has been developed as part of our strategy to provide a broad, comprehensive selection of investing opportunities. All Price funds are sold exclusively on a no-load basis, without a sales commission. No-load mutual funds offer investors a low-cost and relatively easy method of investing in a variety of stock and bond portfolios. Our Advisor class of fund shares is sold through financial intermediaries and incurs a 12b-1 fee of 25 basis points for distribution and recordkeeping. We believe that our lower fund cost structure, distribution methods, and fund shareholder and administrative services promote stability of assets in the Price funds through market cycles.</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Several of the Price funds have different fee arrangements. The Equity Market Index funds and the Summit funds have single, all-inclusive fees covering all investment management and operating expenses. The Spectrum Growth, Spectrum Income and Spectrum International funds invest in a broadly diversified portfolio of other Price funds and have no separate investment advisory fee. However, they indirectly bear the expenses of the funds in which they invest. Funds targeted to institutional investors each have separate advisory fee arrangements.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usually guarantee that a newly organized fund's expenses will not exceed a specified percentage of its net assets during an initial operating period. We absorb all advisory fees and other mutual fund expenses in excess of these self-imposed limits.</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We bear all advertising and promotion expenses for the Price funds. Our costs include advertising and direct mail communications to potential fund shareholders as well as a substantial staff and communications capability to respond to investor inquiries. Marketing efforts have traditionally been focused in the print media, but in recent years, promotional activities have expanded into television and the Internet. In addition, we target considerable marketing efforts at participant-directed defined contribution plans that invest in mutual funds. Advertising and promotion expenditures vary over time based on investor interest; market conditions; new investment offerings; and the development and expansion of new marketing initiatives, including those arising from international expansion and enhancements to our</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Internet site (www.troweprice.com).</w:t>
      </w:r>
    </w:p>
    <w:p>
      <w:pPr>
        <w:spacing w:after="0" w:line="207"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Administrative Services. Our service company subsidiaries also provide advisory-related administrative services to the Price funds. Through them, we provide mutual fund transfer agency and shareholder services, including maintenance of staff, facilities, and technology and other equipment to respond to inquiries from shareholders. In addition, we provide mutual fund accounting services, including maintenance of financial records, preparation of financial statements and reports, daily valuation of portfolio securities and computation of daily net asset values per share. We also provide participant accounting, plan administration and transfer agent services for defined contribution retirement plans that invest in the Price funds. Plan sponsors compensate us for some services while the Price funds compensate us for maintaining and administering the individual participant accounts for those plans that invest in the funds.</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We provide trust services through a subsidiary, the T. Rowe Price Trust Company. Through this Maryland-chartered limited-service trust company, we offer common trust funds for investment by qualified retirement plans and serve as trustee for retirement plans and IRAs. The T. Rowe Price Trust Company may not accept deposits and cannot make personal or commercial loans.</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also provide customized investment advisory services to shareholders and potential investors in the Price funds through our subsidiary T. Rowe Price Advisory Services. These services currently include an Investment Checkup of individual portfolios, the Retirement Income Manager that develops personalized income and investment strategies for people who are one or two years away from retirement, and a Rollover Investment Service for investing distributions from retirement plans.</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Fund Assets. At December 31, 2000, assets under our management in the Price funds aggregated $106.3 billion, a decrease of $8.2 billion from the beginning of the year. The following table presents the year each Price fund was started as well as the net assets (in millions) of each fund at December 31, 1999 and 2000. The Spectrum funds are not listed in the table because their assets are included in the amounts shown for their underlying fund investments.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Domestic</w:t>
            </w:r>
          </w:p>
        </w:tc>
        <w:tc>
          <w:tcPr>
            <w:tcW w:w="3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and blended funds:</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Growth</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(1950)</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5,672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5,428</w:t>
            </w:r>
          </w:p>
        </w:tc>
      </w:tr>
      <w:tr>
        <w:trPr>
          <w:trHeight w:val="203"/>
        </w:trPr>
        <w:tc>
          <w:tcPr>
            <w:tcW w:w="1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New Horizons</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(1960)</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6,122</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New Era (1969)</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Growth</w:t>
            </w:r>
          </w:p>
        </w:tc>
        <w:tc>
          <w:tcPr>
            <w:tcW w:w="3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&amp; Income (1982)</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2,989</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3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(1985)</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12,321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10,188</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New America Growth (1985)</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1,519</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Appreciation (1986)</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Science &amp; Technology (1987)</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12,271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9,721</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Small-Cap Value (1988)</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Index</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500 (1990)</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5,049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4,045</w:t>
            </w: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Balanced (1991)</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w:t>
            </w:r>
          </w:p>
        </w:tc>
      </w:tr>
    </w:tbl>
    <w:p>
      <w:pPr>
        <w:sectPr>
          <w:pgSz w:w="11900" w:h="16838" w:orient="portrait"/>
          <w:cols w:equalWidth="0" w:num="1">
            <w:col w:w="10219"/>
          </w:cols>
          <w:pgMar w:left="240" w:top="31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8</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 Growth (1992)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Mid-Cap Growth (1992)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Small-Cap Stock (1992)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Blue Chip Growth (1993)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7,116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Media &amp; Telecommunications (1993)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Opportunity (1994)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Personal Strategy - Balanced (1994)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Personal Strategy - Growth (1994)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Personal Strategy - Income (1994)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(1994)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Health Sciences (1995)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Services (1996)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Mid-Cap Equity Growth (1996)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Mid-Cap Value (1996)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Diversified Small-Cap Growth (1997)</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(1997)</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Tax-Efficient Balanced (1997)</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Extended Equity Market Index (1998)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Equity Market Index (1998)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Tax-Efficient Growth (1999)</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Developing Technologies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Institutional Large-Cap Value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Institutional Small-Cap Stock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71,233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67,836</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stock funds: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Stock (1980)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12,674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9,735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Discovery (1988)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Equity (1989)</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3,042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European Stock (1990)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Asia (1990)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 (1991)</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Latin America (1993)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Emerging Markets Stock (1995)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Global Stock (1995)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Growth &amp; Income (1998)</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Emerging Europe &amp; Mediterranean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Global Technology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Equity Index (2000)</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21,374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16,445</w:t>
            </w:r>
          </w:p>
        </w:tc>
      </w:tr>
      <w:tr>
        <w:trPr>
          <w:trHeight w:val="203"/>
        </w:trPr>
        <w:tc>
          <w:tcPr>
            <w:tcW w:w="454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and money market funds: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Income (1973)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1,795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Prime Reserve (1976)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5,431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Tax-Free Income (1976)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Tax-Exempt Money (1981)</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 Treasury Money (1982)</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Tax-Free Short-Intermediate (1983)</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High Yield (1984)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Bond (1984)</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GNMA (1985)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Tax-Free High Yield (1985)</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1,084</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California Tax-Free Bond (1986)</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w:t>
            </w:r>
          </w:p>
        </w:tc>
      </w:tr>
    </w:tbl>
    <w:p>
      <w:pPr>
        <w:sectPr>
          <w:pgSz w:w="11900" w:h="16838" w:orient="portrait"/>
          <w:cols w:equalWidth="0" w:num="1">
            <w:col w:w="10219"/>
          </w:cols>
          <w:pgMar w:left="240" w:top="312" w:right="1440" w:bottom="1440" w:gutter="0" w:footer="0" w:header="0"/>
        </w:sectPr>
      </w:pPr>
    </w:p>
    <w:bookmarkStart w:id="8" w:name="page9"/>
    <w:bookmarkEnd w:id="8"/>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45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California Tax-Free Money (1986)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 Bond (1986)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Tax-Free Bond (1986)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York Tax-Free Money (1986)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Maryland Tax-Free Bond (1987)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Treasury Intermediate (1989)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Treasury Long-Term (1989)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 Jersey Tax-Free Bond (1991)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Virginia Tax-Free Bond (1991)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Tax-Free Intermediate Bond (1992)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Florida Intermediate Tax-Free Bond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Georgia Tax-Free Bond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Maryland Short-Term Tax-Free Bond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Summit Cash Reserves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2,551</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Summit GNMA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Summit Municipal Income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Summit Municipal Intermediate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Summit Municipal Money Market (1993)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Emerging Markets Bond (1994)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Corporate Income (1995)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 Bond Index (2000)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21,854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21,971</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$114,461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$106,252</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58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OTHER INVESTMENT PORTFOLIOS. We managed $60.4 billion at December 31, 2000 in investment portfolios other than the Price funds, down $5 billion from the beginning of the year. We provide investment advisory services to these client accounts on a separately-managed or subadvised basis, and through sponsored investment portfolios generally organized by us as common trust funds or partnerships. Our sponsored investment partnerships were formed in prior years through private placements and several of our special-purpose subsidiaries serve as the general partners.</w:t>
      </w: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We usually compute fees for non-Price fund accounts based upon the value of assets under our management. Approximately 50% of our advisory fees from these clients are based on the daily valuation of their investment portfolios, while more than 10% are based on beginning of billing period values and less than 40% on values at the end of the billing period.</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charge fees for investment management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subsidiaries also provide targeted advisory services to our non-Price</w:t>
      </w:r>
    </w:p>
    <w:p>
      <w:pPr>
        <w:spacing w:after="0"/>
        <w:tabs>
          <w:tab w:leader="none" w:pos="2720" w:val="left"/>
        </w:tabs>
        <w:rPr>
          <w:sz w:val="20"/>
          <w:szCs w:val="20"/>
          <w:color w:val="auto"/>
        </w:rPr>
      </w:pPr>
      <w:r>
        <w:rPr>
          <w:rFonts w:ascii="Courier New" w:cs="Courier New" w:eastAsia="Courier New" w:hAnsi="Courier New"/>
          <w:sz w:val="18"/>
          <w:szCs w:val="18"/>
          <w:color w:val="auto"/>
        </w:rPr>
        <w:t>fund investment clients.</w:t>
      </w:r>
      <w:r>
        <w:rPr>
          <w:sz w:val="20"/>
          <w:szCs w:val="20"/>
          <w:color w:val="auto"/>
        </w:rPr>
        <w:tab/>
      </w:r>
      <w:r>
        <w:rPr>
          <w:rFonts w:ascii="Courier New" w:cs="Courier New" w:eastAsia="Courier New" w:hAnsi="Courier New"/>
          <w:sz w:val="16"/>
          <w:szCs w:val="16"/>
          <w:color w:val="auto"/>
        </w:rPr>
        <w:t>Stable value investment contracts, totaling $8</w:t>
      </w:r>
    </w:p>
    <w:p>
      <w:pPr>
        <w:spacing w:after="0"/>
        <w:rPr>
          <w:sz w:val="20"/>
          <w:szCs w:val="20"/>
          <w:color w:val="auto"/>
        </w:rPr>
      </w:pPr>
      <w:r>
        <w:rPr>
          <w:rFonts w:ascii="Courier New" w:cs="Courier New" w:eastAsia="Courier New" w:hAnsi="Courier New"/>
          <w:sz w:val="18"/>
          <w:szCs w:val="18"/>
          <w:color w:val="auto"/>
        </w:rPr>
        <w:t>billion at December 31, 1999 and 2000, are managed by T. Rowe Price Stable</w:t>
      </w:r>
    </w:p>
    <w:p>
      <w:pPr>
        <w:spacing w:after="0"/>
        <w:tabs>
          <w:tab w:leader="none" w:pos="1980" w:val="left"/>
        </w:tabs>
        <w:rPr>
          <w:sz w:val="20"/>
          <w:szCs w:val="20"/>
          <w:color w:val="auto"/>
        </w:rPr>
      </w:pPr>
      <w:r>
        <w:rPr>
          <w:rFonts w:ascii="Courier New" w:cs="Courier New" w:eastAsia="Courier New" w:hAnsi="Courier New"/>
          <w:sz w:val="18"/>
          <w:szCs w:val="18"/>
          <w:color w:val="auto"/>
        </w:rPr>
        <w:t>Asset Management.</w:t>
      </w:r>
      <w:r>
        <w:rPr>
          <w:sz w:val="20"/>
          <w:szCs w:val="20"/>
          <w:color w:val="auto"/>
        </w:rPr>
        <w:tab/>
      </w:r>
      <w:r>
        <w:rPr>
          <w:rFonts w:ascii="Courier New" w:cs="Courier New" w:eastAsia="Courier New" w:hAnsi="Courier New"/>
          <w:sz w:val="16"/>
          <w:szCs w:val="16"/>
          <w:color w:val="auto"/>
        </w:rPr>
        <w:t>International equity and fixed income securities held in</w:t>
      </w:r>
    </w:p>
    <w:p>
      <w:pPr>
        <w:spacing w:after="0" w:line="238" w:lineRule="auto"/>
        <w:rPr>
          <w:sz w:val="20"/>
          <w:szCs w:val="20"/>
          <w:color w:val="auto"/>
        </w:rPr>
      </w:pPr>
      <w:r>
        <w:rPr>
          <w:rFonts w:ascii="Courier New" w:cs="Courier New" w:eastAsia="Courier New" w:hAnsi="Courier New"/>
          <w:sz w:val="18"/>
          <w:szCs w:val="18"/>
          <w:color w:val="auto"/>
        </w:rPr>
        <w:t>other investment portfolios managed by T. Rowe Price International totaled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$15.5 billion at the end of 2000, down $4.8 billion from the beginning of the</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year.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REGULATION. T. Rowe Price Associates, T. Rowe Price International, T. Rowe Price Stable Asset Management, and T. Rowe Price Advisory Services are registered with the SEC as investment advisors under the Investment Advisers Act of 1940. T. Rowe Price International is also regulated by the Investment Management Regulatory Organisation in Great Britain.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Price funds are distributed by our subsidiary, T. Rowe Price Investment Services, which is a registered broker-dealer and member of the National Association of Securities Dealers and the Securities Investor Protection Corporation. We provide discount brokerage services through this subsidiary primarily to complement the other services provided to shareholders of the Price funds. All discount brokerage transactions are cleared through and accounts maintained by an independent clearing broker. In late 2000, we changed clearing firms to the Pershing Division of Donaldson, Lufkin &amp; Jenrette Securities Corporation.</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 aspects of our business are subject to extensive federal and state laws and regulations. These laws and regulations are primarily intended to benefit or protect our clients and the Price funds' shareholders. They generally grant supervisory agencies and bodies broad administrative powers, including the power to limit or restrict the conduct of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of our subsidiaries are subject to net capital requirements including those of various federal, state, and foreign regulatory agencies. Our subsidiaries' net capital, as defined, has consistently met or exceeded all minimum requirements.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COMPETITION. As a member of the financial services industry, we are subject to substantial competition in all aspects of our business. A significant number of mutual funds are sold to the public by investment management firms, broker-dealers, other mutual fund companies, banks and insurance companies and include the distribution of both proprietary and other sponsors' mutual funds. We compete with brokerage and investment banking firms, insurance companies, banks, and other financial institutions in all aspects of our business. Many of these financial institutions have substantially greater resources than we do. We compete with other providers of investment management services primarily on the basis of the availability and objectives of investment portfolios offered, investment performance, and the scope and quality of our services.</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believe that competition within the investment management industry will increase as a result of consolidation and acquisition activity. In order to maintain and enhance our competitive position, we may review acquisition prospects and, if appropriate opportunities arise, engage in discussions or negotiations that could lead to acquisitions.</w:t>
      </w:r>
    </w:p>
    <w:p>
      <w:pPr>
        <w:spacing w:after="0" w:line="209"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Additionally, we continue to review our distribution strategies and have expanded them beyond the direct marketing of low cost, no-load mutual funds to the self-directed investor. At the end of 2000, our assets under management were sourced approximately 30% from individual investors, 30% from defined contribution retirement plans, 20% from third-party distribution, and 20% from institutional investors. Our largest client account relationship provided less than 4% of our total investment advisory revenues in 2000.</w:t>
      </w:r>
    </w:p>
    <w:p>
      <w:pPr>
        <w:spacing w:after="0" w:line="188"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EMPLOYEES. At December 31, 2000, we employed more than 4,000 active, full-time employees. We add additional temporary and part-time personnel to our staff to meet periodic and special project demands for technology functions and mutual fund administrative services.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continued to expand our operating facilities this past year. During the first half, we completed the move into buildings 3 &amp; 4 of our 567,000 square foot Owings Mills, Maryland campus and renovated our 110,000 square foot Owings Mills financial services center to house our technology support staff. In November, we moved into our newly constructed 124,000 square foot facility at the western regional campus in Colorado Springs. The Colorado Springs land and our Owings Mills acreage will both accommodate additional future development.</w:t>
      </w: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opened a new investor center for walk-in traffic and investor meetings in the San Francisco area and relocated the Colorado Springs and Baltimore facilities in 2000. Other investor centers are located in the Los Angeles, Washington, Boston, Owings Mills, and Tampa areas.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Our primary corporate offices consist of approximately 270,000 square feet of space leased through late 2006 at 100 East Pratt Street in Baltimore. We lease our service center in Tampa and our international offices in London, Buenos Aires, Copenhagen, Hong Kong, Paris, Singapore, and Tokyo.</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We own an expandable 46,000 square foot technology center on a separate parcel of land in Owings Mills. This facility is in close proximity to the building that now houses our technology support staff.</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Information concerning our anticipated capital expenditures in 2000 is set forth in the capital resources and liquidity discussion in Item 7 of this Form 10-K. Our future minimum rental payments under noncancelable operating leases at December 31, 2000 are set forth in note 9 to our consolidated financial statements included in Item 8 of this Form 10-K.</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July 6, 1998, Rowe Price-Fleming, the T. Rowe Price International Stock Fund and the fund's five directors were named as defendants in Migdal v. Rowe Price-Fleming International, Inc., et al., filed in the United States District Court for the District of Maryland. The Complaint sought to invalidate the advisory agreement between Rowe Price-Fleming and the International Stock Fund, and sought recovery of an unspecified amount of advisory fees paid by the International Stock Fund to Rowe Price-Fleming. Plaintiffs alleged that the International Stock Fund does not have a sufficient number of independent directors, as required by the Investment Company Act of 1940, as amended, because its independent directors serve on multiple boards of directors within the T. Rowe Price mutual fund complex and receive substantial compensation in the form of director fees. On October 12, 1998, the plaintiffs filed an Amended Complaint adding as a plaintiff Linda B. Rohrbaugh, a shareholder in the T. Rowe Price Growth Stock Fund. The Amended Complaint also added as defendants the T. Rowe Price Growth Stock Fund, T. Rowe Price Associates and certain of its subsidiaries which provide services to the funds, as well as five directors of the T. Rowe Price Growth Stock Fund. On January 21, 1999, the Amended Complaint was dismissed with leave for plaintiffs to re-file. On February 16, 1999, the plaintiffs filed a Second Amended Complaint, but the fund directors were excluded as defendants. The Second Amended Complaint alleged a claim under Section 36(b) of the Investment Company Act of 1940. The Complaint sought to invalidate the advisory and service agreements negotiated between the corporate defendants and certain T. Rowe Price funds based on a claim that (i) the fees paid to the corporate defendants were excessive and (ii) the advisory agreements were not negotiated at arm's length because each of the boards of directors of the Price funds is not independent as required under the Investment Company Act of 1940. On March 19, 1999, we and the other defendants filed a Motion to Dismiss the Second Amended Complaint. In an order dated March 20, 2000, our motion was granted and the case dismissed with prejudice. On April 6, 2000, the plaintiffs filed a Notice of Appeal of the Dismissal of the case. On June 16, 2000, we and the other defendants filed a Brief with the United States Court of Appeals (Fourth Circuit) to affirm the District Court's judgment.</w:t>
      </w: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From time to time, claims arise in the ordinary course of our business, including employment-related claims. After consulting with counsel, we believe it unlikely that any adverse determination in one or more pending claims would have a material adverse effect on our financial condition or results of operations.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 matters were submitted to a vote of our stockholders during the fourth quarter of 2000.</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EXECUTIVE OFFICERS OF THE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information includes the names, ages, and positions of our</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executive officers. There are no arrangements or understandings pursuant to which any person serves as an officer.</w:t>
      </w:r>
    </w:p>
    <w:p>
      <w:pPr>
        <w:spacing w:after="0" w:line="208" w:lineRule="exact"/>
        <w:rPr>
          <w:sz w:val="20"/>
          <w:szCs w:val="20"/>
          <w:color w:val="auto"/>
        </w:rPr>
      </w:pPr>
    </w:p>
    <w:p>
      <w:pPr>
        <w:ind w:left="120" w:right="2419" w:hanging="104"/>
        <w:spacing w:after="0" w:line="235" w:lineRule="auto"/>
        <w:rPr>
          <w:sz w:val="20"/>
          <w:szCs w:val="20"/>
          <w:color w:val="auto"/>
        </w:rPr>
      </w:pPr>
      <w:r>
        <w:rPr>
          <w:rFonts w:ascii="Courier New" w:cs="Courier New" w:eastAsia="Courier New" w:hAnsi="Courier New"/>
          <w:sz w:val="18"/>
          <w:szCs w:val="18"/>
          <w:color w:val="auto"/>
        </w:rPr>
        <w:t>George A. Roche (59), Chairman (1997), President (1997), Managing Director (1989), and Chief Financial Officer (1984-1997).</w:t>
      </w:r>
    </w:p>
    <w:p>
      <w:pPr>
        <w:spacing w:after="0"/>
        <w:rPr>
          <w:sz w:val="20"/>
          <w:szCs w:val="20"/>
          <w:color w:val="auto"/>
        </w:rPr>
      </w:pPr>
      <w:r>
        <w:rPr>
          <w:rFonts w:ascii="Courier New" w:cs="Courier New" w:eastAsia="Courier New" w:hAnsi="Courier New"/>
          <w:sz w:val="18"/>
          <w:szCs w:val="18"/>
          <w:color w:val="auto"/>
        </w:rPr>
        <w:t>James S. Riepe (57), Vice Chairman (1997) and Managing Director (1989).</w:t>
      </w:r>
    </w:p>
    <w:p>
      <w:pPr>
        <w:spacing w:after="0" w:line="238" w:lineRule="auto"/>
        <w:rPr>
          <w:sz w:val="20"/>
          <w:szCs w:val="20"/>
          <w:color w:val="auto"/>
        </w:rPr>
      </w:pPr>
      <w:r>
        <w:rPr>
          <w:rFonts w:ascii="Courier New" w:cs="Courier New" w:eastAsia="Courier New" w:hAnsi="Courier New"/>
          <w:sz w:val="18"/>
          <w:szCs w:val="18"/>
          <w:color w:val="auto"/>
        </w:rPr>
        <w:t>M. David Testa (56), Vice Chairman (1997) and Managing Director (1989).</w:t>
      </w:r>
    </w:p>
    <w:p>
      <w:pPr>
        <w:spacing w:after="0"/>
        <w:rPr>
          <w:sz w:val="20"/>
          <w:szCs w:val="20"/>
          <w:color w:val="auto"/>
        </w:rPr>
      </w:pPr>
      <w:r>
        <w:rPr>
          <w:rFonts w:ascii="Courier New" w:cs="Courier New" w:eastAsia="Courier New" w:hAnsi="Courier New"/>
          <w:sz w:val="18"/>
          <w:szCs w:val="18"/>
          <w:color w:val="auto"/>
        </w:rPr>
        <w:t>Edward C. Bernard (45), Managing Director (1995).</w:t>
      </w:r>
    </w:p>
    <w:p>
      <w:pPr>
        <w:spacing w:after="0" w:line="3"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Michael A. Goff (41), Managing Director (1997) and Vice President (1994-1997).</w:t>
      </w:r>
    </w:p>
    <w:p>
      <w:pPr>
        <w:spacing w:after="0"/>
        <w:rPr>
          <w:sz w:val="20"/>
          <w:szCs w:val="20"/>
          <w:color w:val="auto"/>
        </w:rPr>
      </w:pPr>
      <w:r>
        <w:rPr>
          <w:rFonts w:ascii="Courier New" w:cs="Courier New" w:eastAsia="Courier New" w:hAnsi="Courier New"/>
          <w:sz w:val="18"/>
          <w:szCs w:val="18"/>
          <w:color w:val="auto"/>
        </w:rPr>
        <w:t>Henry H. Hopkins (58), Managing Director (1989).</w:t>
      </w:r>
    </w:p>
    <w:p>
      <w:pPr>
        <w:spacing w:after="0" w:line="238" w:lineRule="auto"/>
        <w:rPr>
          <w:sz w:val="20"/>
          <w:szCs w:val="20"/>
          <w:color w:val="auto"/>
        </w:rPr>
      </w:pPr>
      <w:r>
        <w:rPr>
          <w:rFonts w:ascii="Courier New" w:cs="Courier New" w:eastAsia="Courier New" w:hAnsi="Courier New"/>
          <w:sz w:val="18"/>
          <w:szCs w:val="18"/>
          <w:color w:val="auto"/>
        </w:rPr>
        <w:t>James A.C. Kennedy (47), Managing Director (1990).</w:t>
      </w:r>
    </w:p>
    <w:p>
      <w:pPr>
        <w:spacing w:after="0" w:line="5" w:lineRule="exact"/>
        <w:rPr>
          <w:sz w:val="20"/>
          <w:szCs w:val="20"/>
          <w:color w:val="auto"/>
        </w:rPr>
      </w:pPr>
    </w:p>
    <w:p>
      <w:pPr>
        <w:ind w:left="120" w:right="2319" w:hanging="104"/>
        <w:spacing w:after="0" w:line="236" w:lineRule="auto"/>
        <w:rPr>
          <w:sz w:val="20"/>
          <w:szCs w:val="20"/>
          <w:color w:val="auto"/>
        </w:rPr>
      </w:pPr>
      <w:r>
        <w:rPr>
          <w:rFonts w:ascii="Courier New" w:cs="Courier New" w:eastAsia="Courier New" w:hAnsi="Courier New"/>
          <w:sz w:val="18"/>
          <w:szCs w:val="18"/>
          <w:color w:val="auto"/>
        </w:rPr>
        <w:t>Maria Nalywayko (38), Managing Director (2000) and Vice President (1998-2000). Ms. Nalywayko was an Executive Vice President (1994-1998) of Wells Fargo/Norwest.</w:t>
      </w:r>
    </w:p>
    <w:p>
      <w:pPr>
        <w:spacing w:after="0" w:line="6"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Wayne D. O'Melia (48), Managing Director (1998) and Vice President (1991-1998).</w:t>
      </w:r>
    </w:p>
    <w:p>
      <w:pPr>
        <w:spacing w:after="0"/>
        <w:rPr>
          <w:sz w:val="20"/>
          <w:szCs w:val="20"/>
          <w:color w:val="auto"/>
        </w:rPr>
      </w:pPr>
      <w:r>
        <w:rPr>
          <w:rFonts w:ascii="Courier New" w:cs="Courier New" w:eastAsia="Courier New" w:hAnsi="Courier New"/>
          <w:sz w:val="18"/>
          <w:szCs w:val="18"/>
          <w:color w:val="auto"/>
        </w:rPr>
        <w:t>William T. Reynolds (52), Managing Director (1990).</w:t>
      </w:r>
    </w:p>
    <w:p>
      <w:pPr>
        <w:spacing w:after="0" w:line="238" w:lineRule="auto"/>
        <w:rPr>
          <w:sz w:val="20"/>
          <w:szCs w:val="20"/>
          <w:color w:val="auto"/>
        </w:rPr>
      </w:pPr>
      <w:r>
        <w:rPr>
          <w:rFonts w:ascii="Courier New" w:cs="Courier New" w:eastAsia="Courier New" w:hAnsi="Courier New"/>
          <w:sz w:val="18"/>
          <w:szCs w:val="18"/>
          <w:color w:val="auto"/>
        </w:rPr>
        <w:t>Charles E. Vieth (44), Managing Director (1993).</w:t>
      </w:r>
    </w:p>
    <w:p>
      <w:pPr>
        <w:spacing w:after="0" w:line="5" w:lineRule="exact"/>
        <w:rPr>
          <w:sz w:val="20"/>
          <w:szCs w:val="20"/>
          <w:color w:val="auto"/>
        </w:rPr>
      </w:pPr>
    </w:p>
    <w:p>
      <w:pPr>
        <w:ind w:left="120" w:right="2939" w:hanging="104"/>
        <w:spacing w:after="0" w:line="235" w:lineRule="auto"/>
        <w:rPr>
          <w:sz w:val="20"/>
          <w:szCs w:val="20"/>
          <w:color w:val="auto"/>
        </w:rPr>
      </w:pPr>
      <w:r>
        <w:rPr>
          <w:rFonts w:ascii="Courier New" w:cs="Courier New" w:eastAsia="Courier New" w:hAnsi="Courier New"/>
          <w:sz w:val="18"/>
          <w:szCs w:val="18"/>
          <w:color w:val="auto"/>
        </w:rPr>
        <w:t>Joseph P. Croteau (46), Vice President (1987), Controller (1994), and Treasurer (2000).</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March 19, 2001, Cristina Wasiak (47) joined T. Rowe Price as a Managing Director and Chief Financial Officer. Ms. Wasiak was formerly the Chief Financial Officer of DSC Logistics (2000-2001). Previously, she was a Senior Vice President with ABN Amro North America (1998-2000) and an Executive Vice President with KeyCorp (1995-1998).</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Similar information for other significant employees who are managing directors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Laporte (55), Managing Director (1989).</w:t>
      </w:r>
    </w:p>
    <w:p>
      <w:pPr>
        <w:spacing w:after="0" w:line="238" w:lineRule="auto"/>
        <w:rPr>
          <w:sz w:val="20"/>
          <w:szCs w:val="20"/>
          <w:color w:val="auto"/>
        </w:rPr>
      </w:pPr>
      <w:r>
        <w:rPr>
          <w:rFonts w:ascii="Courier New" w:cs="Courier New" w:eastAsia="Courier New" w:hAnsi="Courier New"/>
          <w:sz w:val="18"/>
          <w:szCs w:val="18"/>
          <w:color w:val="auto"/>
        </w:rPr>
        <w:t>Brian C. Rogers (45), Managing Director (1991).</w:t>
      </w:r>
    </w:p>
    <w:p>
      <w:pPr>
        <w:spacing w:after="0" w:line="5" w:lineRule="exact"/>
        <w:rPr>
          <w:sz w:val="20"/>
          <w:szCs w:val="20"/>
          <w:color w:val="auto"/>
        </w:rPr>
      </w:pPr>
    </w:p>
    <w:p>
      <w:pPr>
        <w:ind w:left="120" w:right="2199" w:hanging="104"/>
        <w:spacing w:after="0"/>
        <w:rPr>
          <w:sz w:val="20"/>
          <w:szCs w:val="20"/>
          <w:color w:val="auto"/>
        </w:rPr>
      </w:pPr>
      <w:r>
        <w:rPr>
          <w:rFonts w:ascii="Courier New" w:cs="Courier New" w:eastAsia="Courier New" w:hAnsi="Courier New"/>
          <w:sz w:val="18"/>
          <w:szCs w:val="18"/>
          <w:color w:val="auto"/>
        </w:rPr>
        <w:t>Martin G. Wade (58), Managing Director (2000).</w:t>
      </w:r>
      <w:r>
        <w:rPr>
          <w:sz w:val="20"/>
          <w:szCs w:val="20"/>
          <w:color w:val="auto"/>
        </w:rPr>
        <w:t xml:space="preserve"> </w:t>
      </w:r>
      <w:r>
        <w:rPr>
          <w:rFonts w:ascii="Courier New" w:cs="Courier New" w:eastAsia="Courier New" w:hAnsi="Courier New"/>
          <w:sz w:val="18"/>
          <w:szCs w:val="18"/>
          <w:color w:val="auto"/>
        </w:rPr>
        <w:t>Mr. Wade was Chief Executive Officer (1998-2000) and President (1982-1998) of T. Rowe Price International.</w:t>
      </w:r>
    </w:p>
    <w:p>
      <w:pPr>
        <w:spacing w:after="0" w:line="200" w:lineRule="exact"/>
        <w:rPr>
          <w:sz w:val="20"/>
          <w:szCs w:val="20"/>
          <w:color w:val="auto"/>
        </w:rPr>
      </w:pPr>
    </w:p>
    <w:p>
      <w:pPr>
        <w:jc w:val="both"/>
        <w:ind w:left="120" w:right="2839" w:hanging="104"/>
        <w:spacing w:after="0" w:line="236" w:lineRule="auto"/>
        <w:rPr>
          <w:sz w:val="20"/>
          <w:szCs w:val="20"/>
          <w:color w:val="auto"/>
        </w:rPr>
      </w:pPr>
      <w:r>
        <w:rPr>
          <w:rFonts w:ascii="Courier New" w:cs="Courier New" w:eastAsia="Courier New" w:hAnsi="Courier New"/>
          <w:sz w:val="18"/>
          <w:szCs w:val="18"/>
          <w:color w:val="auto"/>
        </w:rPr>
        <w:t>David J.L. Warren (43), Managing Director (2000).</w:t>
      </w:r>
      <w:r>
        <w:rPr>
          <w:sz w:val="20"/>
          <w:szCs w:val="20"/>
          <w:color w:val="auto"/>
        </w:rPr>
        <w:t xml:space="preserve"> </w:t>
      </w:r>
      <w:r>
        <w:rPr>
          <w:rFonts w:ascii="Courier New" w:cs="Courier New" w:eastAsia="Courier New" w:hAnsi="Courier New"/>
          <w:sz w:val="18"/>
          <w:szCs w:val="18"/>
          <w:color w:val="auto"/>
        </w:rPr>
        <w:t>Mr. Warren is Chief Executive Officer (2000) and President (1998), and was Executive Vice President (1988-1998), of T. Rowe Price International.</w:t>
      </w:r>
    </w:p>
    <w:p>
      <w:pPr>
        <w:spacing w:after="0" w:line="6" w:lineRule="exact"/>
        <w:rPr>
          <w:sz w:val="20"/>
          <w:szCs w:val="20"/>
          <w:color w:val="auto"/>
        </w:rPr>
      </w:pPr>
    </w:p>
    <w:p>
      <w:pPr>
        <w:ind w:left="120" w:right="2099" w:hanging="104"/>
        <w:spacing w:after="0" w:line="235" w:lineRule="auto"/>
        <w:rPr>
          <w:sz w:val="20"/>
          <w:szCs w:val="20"/>
          <w:color w:val="auto"/>
        </w:rPr>
      </w:pPr>
      <w:r>
        <w:rPr>
          <w:rFonts w:ascii="Courier New" w:cs="Courier New" w:eastAsia="Courier New" w:hAnsi="Courier New"/>
          <w:sz w:val="18"/>
          <w:szCs w:val="18"/>
          <w:color w:val="auto"/>
        </w:rPr>
        <w:t>Christopher D. Alderson (38), Managing Director (2000).</w:t>
      </w:r>
      <w:r>
        <w:rPr>
          <w:sz w:val="20"/>
          <w:szCs w:val="20"/>
          <w:color w:val="auto"/>
        </w:rPr>
        <w:t xml:space="preserve"> </w:t>
      </w:r>
      <w:r>
        <w:rPr>
          <w:rFonts w:ascii="Courier New" w:cs="Courier New" w:eastAsia="Courier New" w:hAnsi="Courier New"/>
          <w:sz w:val="18"/>
          <w:szCs w:val="18"/>
          <w:color w:val="auto"/>
        </w:rPr>
        <w:t>Mr Alderson has been a Vice President of T. Rowe Price International since 1989.</w:t>
      </w:r>
    </w:p>
    <w:p>
      <w:pPr>
        <w:spacing w:after="0" w:line="6"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Preston G. Athey (51), Managing Director (1997) and Vice President (1991-1997).</w:t>
      </w:r>
    </w:p>
    <w:p>
      <w:pPr>
        <w:spacing w:after="0" w:line="6" w:lineRule="exact"/>
        <w:rPr>
          <w:sz w:val="20"/>
          <w:szCs w:val="20"/>
          <w:color w:val="auto"/>
        </w:rPr>
      </w:pPr>
    </w:p>
    <w:p>
      <w:pPr>
        <w:ind w:left="120" w:right="2939" w:hanging="104"/>
        <w:spacing w:after="0" w:line="235" w:lineRule="auto"/>
        <w:rPr>
          <w:sz w:val="20"/>
          <w:szCs w:val="20"/>
          <w:color w:val="auto"/>
        </w:rPr>
      </w:pPr>
      <w:r>
        <w:rPr>
          <w:rFonts w:ascii="Courier New" w:cs="Courier New" w:eastAsia="Courier New" w:hAnsi="Courier New"/>
          <w:sz w:val="18"/>
          <w:szCs w:val="18"/>
          <w:color w:val="auto"/>
        </w:rPr>
        <w:t>Brian W.H. Berghuis (42), Managing Director (1997) and Vice President (1991-1997).</w:t>
      </w:r>
    </w:p>
    <w:p>
      <w:pPr>
        <w:spacing w:after="0"/>
        <w:rPr>
          <w:sz w:val="20"/>
          <w:szCs w:val="20"/>
          <w:color w:val="auto"/>
        </w:rPr>
      </w:pPr>
      <w:r>
        <w:rPr>
          <w:rFonts w:ascii="Courier New" w:cs="Courier New" w:eastAsia="Courier New" w:hAnsi="Courier New"/>
          <w:sz w:val="18"/>
          <w:szCs w:val="18"/>
          <w:color w:val="auto"/>
        </w:rPr>
        <w:t>Stephen W. Boesel (56), Managing Director (1993).</w:t>
      </w:r>
    </w:p>
    <w:p>
      <w:pPr>
        <w:spacing w:after="0" w:line="4"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John H. Cammack, (48), Managing Director (2000) and Vice President (1994-2000).</w:t>
      </w:r>
    </w:p>
    <w:p>
      <w:pPr>
        <w:spacing w:after="0" w:line="6" w:lineRule="exact"/>
        <w:rPr>
          <w:sz w:val="20"/>
          <w:szCs w:val="20"/>
          <w:color w:val="auto"/>
        </w:rPr>
      </w:pPr>
    </w:p>
    <w:p>
      <w:pPr>
        <w:ind w:left="120" w:right="2199" w:hanging="104"/>
        <w:spacing w:after="0" w:line="235" w:lineRule="auto"/>
        <w:rPr>
          <w:sz w:val="20"/>
          <w:szCs w:val="20"/>
          <w:color w:val="auto"/>
        </w:rPr>
      </w:pPr>
      <w:r>
        <w:rPr>
          <w:rFonts w:ascii="Courier New" w:cs="Courier New" w:eastAsia="Courier New" w:hAnsi="Courier New"/>
          <w:sz w:val="18"/>
          <w:szCs w:val="18"/>
          <w:color w:val="auto"/>
        </w:rPr>
        <w:t>John R. Ford, (43), Managing Director (2000).</w:t>
      </w:r>
      <w:r>
        <w:rPr>
          <w:sz w:val="20"/>
          <w:szCs w:val="20"/>
          <w:color w:val="auto"/>
        </w:rPr>
        <w:t xml:space="preserve"> </w:t>
      </w:r>
      <w:r>
        <w:rPr>
          <w:rFonts w:ascii="Courier New" w:cs="Courier New" w:eastAsia="Courier New" w:hAnsi="Courier New"/>
          <w:sz w:val="18"/>
          <w:szCs w:val="18"/>
          <w:color w:val="auto"/>
        </w:rPr>
        <w:t>Mr Ford has been an Executive Vice President of T. Rowe Price International since 1988.</w:t>
      </w:r>
    </w:p>
    <w:p>
      <w:pPr>
        <w:spacing w:after="0"/>
        <w:tabs>
          <w:tab w:leader="none" w:pos="4720" w:val="left"/>
        </w:tabs>
        <w:rPr>
          <w:sz w:val="20"/>
          <w:szCs w:val="20"/>
          <w:color w:val="auto"/>
        </w:rPr>
      </w:pPr>
      <w:r>
        <w:rPr>
          <w:rFonts w:ascii="Courier New" w:cs="Courier New" w:eastAsia="Courier New" w:hAnsi="Courier New"/>
          <w:sz w:val="18"/>
          <w:szCs w:val="18"/>
          <w:color w:val="auto"/>
        </w:rPr>
        <w:t>Ian Kelson, (44), Managing Director (2000).</w:t>
      </w:r>
      <w:r>
        <w:rPr>
          <w:sz w:val="20"/>
          <w:szCs w:val="20"/>
          <w:color w:val="auto"/>
        </w:rPr>
        <w:tab/>
      </w:r>
      <w:r>
        <w:rPr>
          <w:rFonts w:ascii="Courier New" w:cs="Courier New" w:eastAsia="Courier New" w:hAnsi="Courier New"/>
          <w:sz w:val="16"/>
          <w:szCs w:val="16"/>
          <w:color w:val="auto"/>
        </w:rPr>
        <w:t>Mr. Kelson was previously Head</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of Fixed Income for Morgan Grenfell/Deutsche Asset Management in London which he joined in 1985.</w:t>
      </w:r>
    </w:p>
    <w:p>
      <w:pPr>
        <w:spacing w:after="0" w:line="6" w:lineRule="exact"/>
        <w:rPr>
          <w:sz w:val="20"/>
          <w:szCs w:val="20"/>
          <w:color w:val="auto"/>
        </w:rPr>
      </w:pPr>
    </w:p>
    <w:p>
      <w:pPr>
        <w:ind w:left="120" w:right="2739" w:hanging="104"/>
        <w:spacing w:after="0" w:line="235" w:lineRule="auto"/>
        <w:rPr>
          <w:sz w:val="20"/>
          <w:szCs w:val="20"/>
          <w:color w:val="auto"/>
        </w:rPr>
      </w:pPr>
      <w:r>
        <w:rPr>
          <w:rFonts w:ascii="Courier New" w:cs="Courier New" w:eastAsia="Courier New" w:hAnsi="Courier New"/>
          <w:sz w:val="18"/>
          <w:szCs w:val="18"/>
          <w:color w:val="auto"/>
        </w:rPr>
        <w:t>Gregory A. McCrickard (42), Managing Director (1998) and Vice President (1991-1998).</w:t>
      </w:r>
    </w:p>
    <w:p>
      <w:pPr>
        <w:spacing w:after="0"/>
        <w:rPr>
          <w:sz w:val="20"/>
          <w:szCs w:val="20"/>
          <w:color w:val="auto"/>
        </w:rPr>
      </w:pPr>
      <w:r>
        <w:rPr>
          <w:rFonts w:ascii="Courier New" w:cs="Courier New" w:eastAsia="Courier New" w:hAnsi="Courier New"/>
          <w:sz w:val="18"/>
          <w:szCs w:val="18"/>
          <w:color w:val="auto"/>
        </w:rPr>
        <w:t>Mary J. Miller (45), Managing Director (1993).</w:t>
      </w:r>
    </w:p>
    <w:p>
      <w:pPr>
        <w:spacing w:after="0" w:line="238" w:lineRule="auto"/>
        <w:rPr>
          <w:sz w:val="20"/>
          <w:szCs w:val="20"/>
          <w:color w:val="auto"/>
        </w:rPr>
      </w:pPr>
      <w:r>
        <w:rPr>
          <w:rFonts w:ascii="Courier New" w:cs="Courier New" w:eastAsia="Courier New" w:hAnsi="Courier New"/>
          <w:sz w:val="18"/>
          <w:szCs w:val="18"/>
          <w:color w:val="auto"/>
        </w:rPr>
        <w:t>Charles A. Morris (38), Managing Director (1995).</w:t>
      </w:r>
    </w:p>
    <w:p>
      <w:pPr>
        <w:spacing w:after="0" w:line="5"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Nancy M. Morris (48), Managing Director (2000) and Vice President (1993 - 2000).</w:t>
      </w:r>
    </w:p>
    <w:p>
      <w:pPr>
        <w:spacing w:after="0" w:line="6" w:lineRule="exact"/>
        <w:rPr>
          <w:sz w:val="20"/>
          <w:szCs w:val="20"/>
          <w:color w:val="auto"/>
        </w:rPr>
      </w:pPr>
    </w:p>
    <w:p>
      <w:pPr>
        <w:ind w:left="120" w:right="2939" w:hanging="104"/>
        <w:spacing w:after="0" w:line="235" w:lineRule="auto"/>
        <w:rPr>
          <w:sz w:val="20"/>
          <w:szCs w:val="20"/>
          <w:color w:val="auto"/>
        </w:rPr>
      </w:pPr>
      <w:r>
        <w:rPr>
          <w:rFonts w:ascii="Courier New" w:cs="Courier New" w:eastAsia="Courier New" w:hAnsi="Courier New"/>
          <w:sz w:val="18"/>
          <w:szCs w:val="18"/>
          <w:color w:val="auto"/>
        </w:rPr>
        <w:t>George A. Murnaghan (44), Managing Director (1997) and Vice President (1986-1997).</w:t>
      </w:r>
    </w:p>
    <w:p>
      <w:pPr>
        <w:spacing w:after="0" w:line="6"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Edmund M. Notzon (55), Managing Director (1997) and Vice President (1991-1997).</w:t>
      </w:r>
    </w:p>
    <w:p>
      <w:pPr>
        <w:spacing w:after="0" w:line="6"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Larry J. Puglia (40), Managing Director (1998) and Vice President (1993-1998).</w:t>
      </w:r>
    </w:p>
    <w:p>
      <w:pPr>
        <w:spacing w:after="0" w:line="6"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John R. Rockwell (58), Managing Director (1998) and Vice President (1991-1998).</w:t>
      </w:r>
    </w:p>
    <w:p>
      <w:pPr>
        <w:spacing w:after="0" w:line="6"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R. Todd Ruppert (44), Managing Director (1997) and Vice President (1988-1997).</w:t>
      </w:r>
    </w:p>
    <w:p>
      <w:pPr>
        <w:spacing w:after="0" w:line="6"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Robert W. Smith (39), Managing Director (1998) and Vice President (1993-1998).</w:t>
      </w:r>
    </w:p>
    <w:p>
      <w:pPr>
        <w:spacing w:after="0" w:line="6" w:lineRule="exact"/>
        <w:rPr>
          <w:sz w:val="20"/>
          <w:szCs w:val="20"/>
          <w:color w:val="auto"/>
        </w:rPr>
      </w:pPr>
    </w:p>
    <w:p>
      <w:pPr>
        <w:ind w:left="120" w:right="2839" w:hanging="104"/>
        <w:spacing w:after="0" w:line="235" w:lineRule="auto"/>
        <w:rPr>
          <w:sz w:val="20"/>
          <w:szCs w:val="20"/>
          <w:color w:val="auto"/>
        </w:rPr>
      </w:pPr>
      <w:r>
        <w:rPr>
          <w:rFonts w:ascii="Courier New" w:cs="Courier New" w:eastAsia="Courier New" w:hAnsi="Courier New"/>
          <w:sz w:val="18"/>
          <w:szCs w:val="18"/>
          <w:color w:val="auto"/>
        </w:rPr>
        <w:t>William J. Stromberg (41), Managing Director (1998) and Vice President (1990-1998).</w:t>
      </w:r>
    </w:p>
    <w:p>
      <w:pPr>
        <w:spacing w:after="0" w:line="6" w:lineRule="exact"/>
        <w:rPr>
          <w:sz w:val="20"/>
          <w:szCs w:val="20"/>
          <w:color w:val="auto"/>
        </w:rPr>
      </w:pPr>
    </w:p>
    <w:p>
      <w:pPr>
        <w:ind w:left="120" w:right="3259" w:hanging="104"/>
        <w:spacing w:after="0" w:line="235" w:lineRule="auto"/>
        <w:rPr>
          <w:sz w:val="20"/>
          <w:szCs w:val="20"/>
          <w:color w:val="auto"/>
        </w:rPr>
      </w:pPr>
      <w:r>
        <w:rPr>
          <w:rFonts w:ascii="Courier New" w:cs="Courier New" w:eastAsia="Courier New" w:hAnsi="Courier New"/>
          <w:sz w:val="18"/>
          <w:szCs w:val="18"/>
          <w:color w:val="auto"/>
        </w:rPr>
        <w:t>Mark J. Vaselkiv (42), Managing Director (2000) and Vice President (1989-2000).</w:t>
      </w:r>
    </w:p>
    <w:p>
      <w:pPr>
        <w:spacing w:after="0"/>
        <w:rPr>
          <w:sz w:val="20"/>
          <w:szCs w:val="20"/>
          <w:color w:val="auto"/>
        </w:rPr>
      </w:pPr>
      <w:r>
        <w:rPr>
          <w:rFonts w:ascii="Courier New" w:cs="Courier New" w:eastAsia="Courier New" w:hAnsi="Courier New"/>
          <w:sz w:val="18"/>
          <w:szCs w:val="18"/>
          <w:color w:val="auto"/>
        </w:rPr>
        <w:t>Richard T. Whitney (42), Managing Director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5. MARKET FOR REGISTRANT'S COMMON EQUITY AND RELATED STOCKHOLDER MATTERS.</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Our common stock ($.20 par value) trades on The Nasdaq National Market under the symbol "TROW". The high and low trade price information and dividends per share during the past two years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1st</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2nd</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3rd</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4th</w:t>
            </w:r>
          </w:p>
        </w:tc>
      </w:t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Quarter</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Quarter</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Quarter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Quarter</w:t>
            </w:r>
          </w:p>
        </w:tc>
      </w:t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1999</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High price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$40.25</w:t>
            </w:r>
          </w:p>
        </w:tc>
      </w:tr>
      <w:tr>
        <w:trPr>
          <w:trHeight w:val="203"/>
        </w:trPr>
        <w:tc>
          <w:tcPr>
            <w:tcW w:w="480" w:type="dxa"/>
            <w:vAlign w:val="bottom"/>
          </w:tcPr>
          <w:p>
            <w:pPr>
              <w:spacing w:after="0"/>
              <w:rPr>
                <w:sz w:val="17"/>
                <w:szCs w:val="17"/>
                <w:color w:val="auto"/>
              </w:rPr>
            </w:pP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Low price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25.88</w:t>
            </w:r>
          </w:p>
        </w:tc>
      </w:tr>
      <w:tr>
        <w:trPr>
          <w:trHeight w:val="203"/>
        </w:trPr>
        <w:tc>
          <w:tcPr>
            <w:tcW w:w="480" w:type="dxa"/>
            <w:vAlign w:val="bottom"/>
          </w:tcPr>
          <w:p>
            <w:pPr>
              <w:spacing w:after="0"/>
              <w:rPr>
                <w:sz w:val="17"/>
                <w:szCs w:val="17"/>
                <w:color w:val="auto"/>
              </w:rPr>
            </w:pP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 High price</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42.88</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48.00</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49.94</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48.44</w:t>
            </w:r>
          </w:p>
        </w:tc>
      </w:tr>
      <w:tr>
        <w:trPr>
          <w:trHeight w:val="203"/>
        </w:trPr>
        <w:tc>
          <w:tcPr>
            <w:tcW w:w="480" w:type="dxa"/>
            <w:vAlign w:val="bottom"/>
          </w:tcPr>
          <w:p>
            <w:pPr>
              <w:spacing w:after="0"/>
              <w:rPr>
                <w:sz w:val="17"/>
                <w:szCs w:val="17"/>
                <w:color w:val="auto"/>
              </w:rPr>
            </w:pP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Low price</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32.88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w:t>
            </w:r>
          </w:p>
        </w:tc>
      </w:tr>
      <w:tr>
        <w:trPr>
          <w:trHeight w:val="203"/>
        </w:trPr>
        <w:tc>
          <w:tcPr>
            <w:tcW w:w="480" w:type="dxa"/>
            <w:vAlign w:val="bottom"/>
          </w:tcPr>
          <w:p>
            <w:pPr>
              <w:spacing w:after="0"/>
              <w:rPr>
                <w:sz w:val="17"/>
                <w:szCs w:val="17"/>
                <w:color w:val="auto"/>
              </w:rPr>
            </w:pPr>
          </w:p>
        </w:tc>
        <w:tc>
          <w:tcPr>
            <w:tcW w:w="2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bl>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On February 9, 2001, there were approximately 4,000 holders of record of our outstanding common stock.</w:t>
      </w:r>
    </w:p>
    <w:p>
      <w:pPr>
        <w:spacing w:after="0" w:line="208"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We expect to pay cash dividends at the $.15 per-share quarterly rate for the first three quarters of 2001. The increase made to our quarterly dividend</w:t>
      </w:r>
    </w:p>
    <w:p>
      <w:pPr>
        <w:sectPr>
          <w:pgSz w:w="11900" w:h="16838" w:orient="portrait"/>
          <w:cols w:equalWidth="0" w:num="1">
            <w:col w:w="10219"/>
          </w:cols>
          <w:pgMar w:left="24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rate in December 2000 was the fifteenth consecutive annual increase since we became a public company in April 1986.</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7"/>
          </w:tcPr>
          <w:p>
            <w:pPr>
              <w:jc w:val="right"/>
              <w:ind w:right="212"/>
              <w:spacing w:after="0"/>
              <w:rPr>
                <w:sz w:val="20"/>
                <w:szCs w:val="20"/>
                <w:color w:val="auto"/>
              </w:rPr>
            </w:pPr>
            <w:r>
              <w:rPr>
                <w:rFonts w:ascii="Courier New" w:cs="Courier New" w:eastAsia="Courier New" w:hAnsi="Courier New"/>
                <w:sz w:val="18"/>
                <w:szCs w:val="18"/>
                <w:color w:val="auto"/>
              </w:rPr>
              <w:t>Year ended December 31,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5520" w:type="dxa"/>
            <w:vAlign w:val="bottom"/>
            <w:gridSpan w:val="12"/>
          </w:tcPr>
          <w:p>
            <w:pPr>
              <w:ind w:left="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w:t>
            </w:r>
          </w:p>
        </w:tc>
      </w:tr>
      <w:tr>
        <w:trPr>
          <w:trHeight w:val="203"/>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28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60" w:type="dxa"/>
            <w:vAlign w:val="bottom"/>
          </w:tcPr>
          <w:p>
            <w:pPr>
              <w:spacing w:after="0"/>
              <w:rPr>
                <w:sz w:val="17"/>
                <w:szCs w:val="17"/>
                <w:color w:val="auto"/>
              </w:rPr>
            </w:pPr>
          </w:p>
        </w:tc>
        <w:tc>
          <w:tcPr>
            <w:tcW w:w="1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(in millions, except per-share data)</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586.1</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755.0</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886.1</w:t>
            </w:r>
          </w:p>
        </w:tc>
        <w:tc>
          <w:tcPr>
            <w:tcW w:w="16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1,036.4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1,212.3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144.4</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174.1</w:t>
            </w:r>
          </w:p>
        </w:tc>
        <w:tc>
          <w:tcPr>
            <w:tcW w:w="16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239.4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c>
          <w:tcPr>
            <w:tcW w:w="16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1.99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c>
          <w:tcPr>
            <w:tcW w:w="16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declared per share</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.2225</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w:t>
            </w:r>
          </w:p>
        </w:tc>
        <w:tc>
          <w:tcPr>
            <w:tcW w:w="160" w:type="dxa"/>
            <w:vAlign w:val="bottom"/>
          </w:tcPr>
          <w:p>
            <w:pPr>
              <w:spacing w:after="0"/>
              <w:rPr>
                <w:sz w:val="17"/>
                <w:szCs w:val="17"/>
                <w:color w:val="auto"/>
              </w:rPr>
            </w:pP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4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114.5</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116.3</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120.6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shares outstanding -</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123.9</w:t>
            </w:r>
          </w:p>
        </w:tc>
        <w:tc>
          <w:tcPr>
            <w:tcW w:w="3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128.1</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129.2</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129.6</w:t>
            </w:r>
          </w:p>
        </w:tc>
      </w:tr>
      <w:tr>
        <w:trPr>
          <w:trHeight w:val="405"/>
        </w:trPr>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5520" w:type="dxa"/>
            <w:vAlign w:val="bottom"/>
            <w:gridSpan w:val="12"/>
          </w:tcPr>
          <w:p>
            <w:pPr>
              <w:ind w:left="40"/>
              <w:spacing w:after="0" w:line="203" w:lineRule="exact"/>
              <w:rPr>
                <w:sz w:val="20"/>
                <w:szCs w:val="20"/>
                <w:color w:val="auto"/>
              </w:rPr>
            </w:pPr>
            <w:r>
              <w:rPr>
                <w:rFonts w:ascii="Courier New" w:cs="Courier New" w:eastAsia="Courier New" w:hAnsi="Courier New"/>
                <w:sz w:val="18"/>
                <w:szCs w:val="18"/>
                <w:color w:val="auto"/>
              </w:rPr>
              <w:t>________________________________________________</w:t>
            </w:r>
          </w:p>
        </w:tc>
      </w:tr>
      <w:tr>
        <w:trPr>
          <w:trHeight w:val="203"/>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30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1997</w:t>
            </w:r>
          </w:p>
        </w:tc>
        <w:tc>
          <w:tcPr>
            <w:tcW w:w="11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0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2280" w:type="dxa"/>
            <w:vAlign w:val="bottom"/>
          </w:tcPr>
          <w:p>
            <w:pPr>
              <w:spacing w:after="0"/>
              <w:rPr>
                <w:sz w:val="17"/>
                <w:szCs w:val="17"/>
                <w:color w:val="auto"/>
              </w:rPr>
            </w:pP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________</w:t>
            </w:r>
          </w:p>
        </w:tc>
        <w:tc>
          <w:tcPr>
            <w:tcW w:w="1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6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rPr>
              <w:t>(in millions, except as noted)</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Goodwill</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695.0</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478.8</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796.8</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998.0</w:t>
            </w:r>
          </w:p>
        </w:tc>
        <w:tc>
          <w:tcPr>
            <w:tcW w:w="1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$1,469.5</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17.7</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312.3</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345.7</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486.7</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614.3</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770.2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991.1</w:t>
            </w: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2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115.1</w:t>
            </w:r>
          </w:p>
        </w:tc>
        <w:tc>
          <w:tcPr>
            <w:tcW w:w="30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118.2</w:t>
            </w:r>
          </w:p>
        </w:tc>
        <w:tc>
          <w:tcPr>
            <w:tcW w:w="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120.2</w:t>
            </w:r>
          </w:p>
        </w:tc>
        <w:tc>
          <w:tcPr>
            <w:tcW w:w="16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120.1</w:t>
            </w:r>
          </w:p>
        </w:tc>
        <w:tc>
          <w:tcPr>
            <w:tcW w:w="420" w:type="dxa"/>
            <w:vAlign w:val="bottom"/>
          </w:tcPr>
          <w:p>
            <w:pPr>
              <w:spacing w:after="0"/>
              <w:rPr>
                <w:sz w:val="17"/>
                <w:szCs w:val="17"/>
                <w:color w:val="auto"/>
              </w:rPr>
            </w:pP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122.4</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under manage-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ment (in billions)</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99.4</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147.8</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2"/>
              </w:rPr>
              <w:t>179.9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166.7</w:t>
            </w:r>
          </w:p>
        </w:tc>
      </w:tr>
    </w:tbl>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All share and per-share data has been retroactively adjusted to give effect to the 2-for-1 stock splits in April 1996 and 1998.</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Our revenues and net income are derived primarily from investment advisory services provided to U.S. individual and institutional investors in our sponsored mutual funds and other investment portfolios.</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We manage a broad range of domestic and international stock, bond, and money market mutual funds and other investment portfolios which meet the varied needs and objectives of individual and institutional investors. Investment</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advisory revenues depend largely on the total value and composition of assets under management. Accordingly, fluctuations in financial markets and in the composition of assets under management impact our revenues and results of operations. Total assets under our management were $166.7 billion at December 31, 2000, including $94.9 billion in domestic equity securities and $31.7 billion in international equity securities.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ROWE PRICE-FLEMING INTERNATIONAL ACQUISITION.</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August 8, 2000, we completed our purchase of Robert Fleming Holdings' 50% interest in our consolidated subsidiary, Rowe Price-Fleming International, which at that time managed $37.5 billion. This purchase transaction resulted in goodwill of $704 million which is being amortized on a straight-line basis over 25 years. Coincident with the change in ownership, our subsidiary was renamed T. Rowe Price International and our international research contracts with Robert Fleming affiliates were terminated. Transition services are being provided to us by certain Robert Fleming affiliates during an interim period in which we are establishing the new operating infrastructure for our international investment operations. Additionally, we are now expanding our marketing efforts to include European investors and may seek other investors on a global basis. Our expenditures in these efforts may be significant and will precede revenues from any new investment advisory clients that we may obtain.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2000 versus 1999. Net income increased nearly $30 million or 12% to $269 million and diluted earnings per share rose from $1.85 to $2.08. Total revenues increased 17% from $1 billion to a record $1.2 billion, led by an increase of $115 million in investment advisory fees.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Investment advisory revenues earned from the T. Rowe Price mutual funds increased $86 million as average fund assets under management were $113.9 billion during 2000, $13.1 billion more than in 1999. However, declines in financial market valuations pushed fund assets down $5.5 billion during the year. Net redemptions by fund investors were $1.7 billion during 2000. Defined contribution plans moved $2 billion to other advisors on the last day of the year, offsetting net inflows that had occurred until that time. The merger of a client into another firm and the restructuring of investments by a large state pension plan were the primary causes of the outflows at year end. Other fund asset decreases were the result of our redemption of almost $.5 billion to partially fund the Rowe Price-Fleming acquisition and $.5 billion of dividends, net of reinvestments, that were paid out during the year. Mutual fund assets ended 2000 at $106.3 billion, including $84.3 billion in stock funds.</w:t>
      </w:r>
    </w:p>
    <w:p>
      <w:pPr>
        <w:spacing w:after="0" w:line="208"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Assets in the other investment portfolios that we manage were also higher during most of 2000 and contributed $25 million of additional advisory fees. In addition, performance-related advisory fees were $4 million higher in 2000. We earn performance fees primarily on venture capital investments that we manage and, though recurring, these fees will vary significantly as market</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conditions and investment portfolios change. Assets in other portfolios that we manage ended 2000 at $60.4 billion, down from $65.4 billion at the beginning of the year due primarily to international portfolios which experienced both market depreciation of $3.3 billion and outflows of $1.5 billion during 2000.</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Administrative fees from advisory-related services that we provide to the funds and their shareholders rose $39.6 million from 1999 to $236.9 million. This increase is primarily attributable to transfer agency and recordkeeping services for defined contribution retirement plans and the Price mutual funds and includes $1.1 million of 12b-1 distribution fees received from the new Advisor class of mutual fund shares. Administrative revenues are largely offset by the costs that we incur in providing the services, including fees paid to third-parties which distribute the Advisor shares to their clients. Discount brokerage added $1.4 million of the increase on greater transaction volume offset by lower average commissions arising from the shift to transactions originating over the Internet.</w:t>
      </w:r>
    </w:p>
    <w:p>
      <w:pPr>
        <w:spacing w:after="0" w:line="216"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Investment and other income rose more than $21 million from 1999 to $59 million. Net gains of $7.4 million on dispositions of our stock and bond mutual fund holdings in 2000 versus losses of $1.6 million recognized on fund holdings in 1999 account for $9.0 million of the increase. Higher returns on our venture capital investments added $2.9 million in 2000. The strong markets of late 1999 and early 2000 produced significant market gains and distributions from venture capital investments. Income from this source will vary with market conditions and the size of our investments. Larger capital gain distributions resulting from our stock fund holdings added $2.0 million to our 2000 income. Foreign currency rate fluctuations arising from our yen-denominated debt account for a positive change of $4.6 million as the losses experienced in 1999 largely reversed in 2000. We expect that investment income will generally be lower in future periods.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Operating expenses increased 21% to $754 million. Greater compensation and related costs, which were up $51 million or 16%, were attributable to increases in our rates of compensation, including performance-related bonuses, and an 8% increase in our staff size primarily to support our growing operations. As of December 31, 2000, we employed more than 4,000 associates. Our advertising and promotion expenditures increased $14.1 million from the prior year to $88.2 million. These costs will vary with market conditions and investor demand for our products as we seek to expand our base both domestically and internationally. We expect spending in 2001 to exceed that of 2000 and, in particular, the first quarter of 2001 to be slightly higher than the preceding fourth quarter of 2000.</w:t>
      </w:r>
    </w:p>
    <w:p>
      <w:pPr>
        <w:spacing w:after="0" w:line="216"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International investment research fees were down $17 million from 1999 as the contract for these services terminated at the time of the Rowe Price-Fleming acquisition. Occupancy and equipment expense was $16.1 million higher in 2000 due primarily to the expansion of our operating facilities in Owings Mills in late 1999 and early 2000. Amortization of goodwill arising from the Rowe Price-Fleming purchase and interest expense on our acquisition indebtedness added $11.1 million and $9.3 million, respectively, to our 2000 expenses.</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Under current accounting principles, goodwill charges of $7 million per quarter will recur in the future. Other operating expenses increased $47 million largely due to significant broad-based technology expenditures that support established and new business activities. Additional expenses in connection with our international expansion also contributed to the higher expense levels. Costs incurred for defined contribution plan recordkeeping systems and the distribution of the Advisor class of fund shares also increased our expense levels; however, these charges were generally offset by additional administrative revenues. We anticipate that our operating expenses in at least the first half of 2001 will continue to be higher in comparison to prior comparable periods, but that the amount of increase will moderate from that experienced in the second half of 2000.</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2000 provision for income taxes as a percentage of pretax income is higher than that of 1999 largely due to the new goodwill charges that are not deductible in determining our income tax expense. The effective tax rate will rise again in 2000 as we recognize a full year's amortization of goodwill.</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Minority interests declined $5.9 million due to the acquisition of Robert Fleming's 50% interest in Rowe Price-Fleming.</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1999 versus 1998. Net income increased $65 million or 37% to $239 million, or diluted earnings per share of $1.85, from $174 million or diluted earnings per share of $1.34. Total revenues increased 17% from $886 million to a record $1.04 billion, led by an increase of $117 million in investment advisory fees.</w:t>
      </w:r>
    </w:p>
    <w:p>
      <w:pPr>
        <w:spacing w:after="0" w:line="209"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Investment advisory revenues earned from sponsored mutual fund investment portfolios increased $73 million as average fund assets under management were $100.8 billion, $12.9 billion more than in 1998. Fund assets increased $20.1 billion during the year and totaled $114.5 billion at December 31, 1999, including $92.6 billion in stock and blended assets funds. The most significant increase in fund assets during 1999 was attributable to market appreciation of and income reinvested in the stock and blended funds totaling $19 billion. Net cash inflows to the funds during the year totaled $1.1 billion, including inflows of more than $2.3 billion into domestic stock and blended funds, offset in part by $1.0 billion of outflows from international stock funds and $.2 billion from bond and money market funds. Domestic growth stock funds accounted for the largest net inflows with the Science &amp; Technology and Blue Chip Growth funds each drawing more than $1 billion.</w:t>
      </w:r>
    </w:p>
    <w:p>
      <w:pPr>
        <w:spacing w:after="0" w:line="38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Greater assets in other investment portfolios, including variable annuity and other subadvised funds, and an increase of $9 million in performance-based fees contributed the balance of advisory revenue gains totaling $44 million. Assets under management in other investment portfolios were $65.4 billion at December 31, 1999, up $12 billion during 1999.</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Administrative fees from advisory-related services to the funds and their shareholders rose $24 million from 1998 to $197 million. This increase was primarily attributable to defined contribution retirement plan recordkeeping</w:t>
      </w:r>
    </w:p>
    <w:p>
      <w:pPr>
        <w:sectPr>
          <w:pgSz w:w="11900" w:h="16838" w:orient="portrait"/>
          <w:cols w:equalWidth="0" w:num="1">
            <w:col w:w="10219"/>
          </w:cols>
          <w:pgMar w:left="240" w:top="312" w:right="1440" w:bottom="1440"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services; however, increased operating expenses offset these gains. Commissions earned on greater discount brokerage trading volume contributed nearly $5 million of the revenue increase.</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Investment and other income rose $9 million from 1998, including $6 million from larger money market fund balances and nearly $6 million from venture capital investments offset by almost $3 million of foreign currency exchange rate loss on the yen-denominated debt.</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Operating expenses increased 8% to nearly $622 million. Greater compensation and related costs, which were up $25 million or 8%, were attributable to increases in rates of compensation, including performance-related bonuses, and an increase in staff size of 6% primarily to support the growing investment-related administrative services and technology-based operations. These increases in compensation costs were partially offset by reduced use of temporary staff and the capitalization of almost $5 million for the development of internal-use software. At year-end 1999, more than 3,700 associates were employed. Advertising and promotion expenditures increased 2% to $74 million in 1999. Occupancy and equipment expense was nearly $11 million higher in 1999 due to the expansion of operating facilities and related equipment acquisitions, primarily leases of technology assets. International investment research fees were up nearly $6 million as international assets under management increased during 1999 from $32.9 billion to $42.7 billion, including $22.4 billion in the mutual funds. International assets are managed by our consolidated subsidiary, Rowe Price-Fleming International, and are included in the consolidated assets under management. Other operating expenses increased $6 million to support growing operations.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crossover of operations into 2000 was made successfully. Expenditures for the comprehensive efforts involved totaled $37 million through year-end, including more than $18 million in 1999, an increase of about $1 million from 1998.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1999 provision for income taxes as a percentage of pretax income is lower than that of 1998 due to changes in income apportionment for purposes of state taxation.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RESOURCES AND LIQUIDITY.</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financed the Rowe Price-Fleming acquisition from available cash holdings of $483 million and borrowings of $300 million from the five-year, $500 million syndicated bank credit facility that we obtained in June 2000. We have also obtained a complementary $100 million, 364-day syndicated bank credit facility. We reduced outstanding borrowings $5 million in November 2000 and expect that available cash resources will be used to further reduce borrowings in 2001.</w:t>
      </w:r>
    </w:p>
    <w:p>
      <w:pPr>
        <w:spacing w:after="0" w:line="211"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During the three years ended December 31, 2000, stockholders' equity more than doubled, increasing from $487 million to $991 million. Stockholders' equity at December 31, 2000 includes $33 million of unrealized security</w:t>
      </w:r>
    </w:p>
    <w:p>
      <w:pPr>
        <w:sectPr>
          <w:pgSz w:w="11900" w:h="16838" w:orient="portrait"/>
          <w:cols w:equalWidth="0" w:num="1">
            <w:col w:w="10219"/>
          </w:cols>
          <w:pgMar w:left="240" w:top="312" w:right="1440" w:bottom="1440" w:gutter="0" w:footer="0" w:header="0"/>
        </w:sectPr>
      </w:pPr>
    </w:p>
    <w:bookmarkStart w:id="19" w:name="page20"/>
    <w:bookmarkEnd w:id="19"/>
    <w:p>
      <w:pPr>
        <w:ind w:left="1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holding gains (after provision for income taxes) on investments and $52 million which is restricted as to use under various regulations and agreements arising in the ordinary course of business. Net liquid assets of about $250 million were available at the beginning of 2001.</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Operating activities provided net cash inflows of $323 million in 2000 as net income increased $30 million from the prior year. Comparatively, 1999 provided net operating cash inflows of $297 million. Net cash expended in investing activities increased $743 million from 1999 to $861 million. Expenditures in 2000 included $783 million for the acquisition of Robert Fleming's interest in Rowe Price-Fleming and $86 million for additions to property and equipment, more than half of which was for completing our building projects and outfitting the new space. Cash provided from financing activities was $260 million in 2000. This compares with cash used in financing activities of $104 million in 1999. Net bank borrowings used to partially fund the Rowe Price-Fleming acquisition provided cash of $295 million in 2000. There were no repurchases of common stock in 2000 compared with $67 million used to repurchase shares in 1999. Dividends paid to common stockholders were $63 million, $15 million higher than 1999 as the per-share dividend was again increased.</w:t>
      </w:r>
    </w:p>
    <w:p>
      <w:pPr>
        <w:spacing w:after="0" w:line="20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Anticipated property and equipment acquisitions in 2001 are approximately $57 million, including completion of the international infrastructure to support the operations of T. Rowe Price International. These capital expenditures are expected to be funded from operating cash inflows.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QUANTITATIVE AND QUALITATIVE DISCLOSURES ABOUT MARKET RISK.</w:t>
      </w:r>
    </w:p>
    <w:p>
      <w:pPr>
        <w:spacing w:after="0" w:line="207"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We invest in our sponsored mutual funds, which are market risk sensitive financial instruments held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the mutual fund shares. Each fund and its underlying net assets are also subject to market risk which may arise from changes in equity prices, credit ratings, foreign currency exchange rates, and interest rates.</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following table (in thousands of dollars) presents the equity price risk from investments in sponsored mutual funds by assuming a hypothetical decline in the fair values of mutual fund shares. This potential future loss of value reflects the valuation of mutual fund investments at year end using each fund's lowest fair value per share during the prior twelve months. In considering this presentation, it is important to note that: all funds did not experience their lowest fair value per share on the same day; it is likely that the composition of the mutual fund investment portfolio would be changed if adverse market conditions persisted; and we could experience future losses in excess of those presented below.</w:t>
      </w:r>
    </w:p>
    <w:p>
      <w:pPr>
        <w:sectPr>
          <w:pgSz w:w="11900" w:h="16838" w:orient="portrait"/>
          <w:cols w:equalWidth="0" w:num="1">
            <w:col w:w="10219"/>
          </w:cols>
          <w:pgMar w:left="240" w:top="312"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21</w:t>
            </w: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Fair value at</w:t>
            </w:r>
          </w:p>
        </w:tc>
        <w:tc>
          <w:tcPr>
            <w:tcW w:w="10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Potential</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December 31,</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of</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lower</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of</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Potential loss</w:t>
            </w:r>
          </w:p>
        </w:tc>
      </w:tr>
      <w:tr>
        <w:trPr>
          <w:trHeight w:val="203"/>
        </w:trPr>
        <w:tc>
          <w:tcPr>
            <w:tcW w:w="164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Portfolio</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value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Portfolio</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value</w:t>
            </w: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626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 _________ _________ _________ ______________</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funds</w:t>
            </w: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Domestic</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$135,255</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$120,179</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$15,076</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11%</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33,012</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31,666</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1,346</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___</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300" w:type="dxa"/>
            <w:vAlign w:val="bottom"/>
          </w:tcPr>
          <w:p>
            <w:pPr>
              <w:spacing w:after="0"/>
              <w:rPr>
                <w:sz w:val="17"/>
                <w:szCs w:val="17"/>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168,267</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151,845</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16,422</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10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Blended funds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12,175</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11,595</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funds</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9,964</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9,700</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___</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$190,406</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$173,140</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___</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___</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05"/>
        </w:trPr>
        <w:tc>
          <w:tcPr>
            <w:tcW w:w="5320" w:type="dxa"/>
            <w:vAlign w:val="bottom"/>
            <w:gridSpan w:val="4"/>
          </w:tcPr>
          <w:p>
            <w:pPr>
              <w:spacing w:after="0"/>
              <w:rPr>
                <w:sz w:val="20"/>
                <w:szCs w:val="20"/>
                <w:color w:val="auto"/>
              </w:rPr>
            </w:pPr>
            <w:r>
              <w:rPr>
                <w:rFonts w:ascii="Courier New" w:cs="Courier New" w:eastAsia="Courier New" w:hAnsi="Courier New"/>
                <w:sz w:val="18"/>
                <w:szCs w:val="18"/>
                <w:color w:val="auto"/>
                <w:w w:val="98"/>
              </w:rPr>
              <w:t>Potential loss before income taxes attributable to</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3"/>
        </w:trPr>
        <w:tc>
          <w:tcPr>
            <w:tcW w:w="42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accumulated comprehensive income</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$17,266</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3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30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comparable potential loss of value shown in last year's annual report was $39 million on sponsored mutual fund investments of $234 million at the end of 1999. During 2000, we incurred net unrealized losses of $19 million in the value of our mutual fund investments. We last recognized a net loss in the value of our fund holdings in 1994.</w:t>
      </w:r>
    </w:p>
    <w:p>
      <w:pPr>
        <w:spacing w:after="0" w:line="209"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Investments in mutual funds generally moderate market risk because funds, by their nature, invest in a number of different financial instruments. T. Rowe Price further manages its exposure to market risk by diversifying its investments among many domestic and international funds. In addition, investment holdings may be altered from time-to-time, in response to changes in market risks and other factors, as deemed appropriate by management.</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evaluating market risk, it is also important to consider the risk that the value of managed investment portfolios will decline. Because revenues and net income are based primarily on the value of assets under management, declines of financial market values will negatively impact revenues and net income.</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U.S. dollar strengthened against the Japanese yen in 2000, and an exchange rate gain was recognized on the yen borrowing that reversed much of the loss recognized in 1999. In evaluating exchange rate sensitivity, a loss of nearly $2 million would be recognized if the yen strengthened 10% from December 31, 2000. Other foreign currency denominated assets and liabilities are not material.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INFORMATION.</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From time-to-time, information or statements provided by or on behalf of T. Rowe Price, including those within this Annual Report on Form 10-K, may contain certain "forward-looking information," including information relating to anticipated growth in our revenues or earnings, anticipated changes in the amount and composition of assets under management, our anticipated expense levels, and our expectations regarding financial markets and other conditions. Readers are cautioned that any forward-looking information provided by or on behalf of T. Rowe Price is not a guarantee of future</w:t>
      </w:r>
    </w:p>
    <w:p>
      <w:pPr>
        <w:sectPr>
          <w:pgSz w:w="11900" w:h="16838" w:orient="portrait"/>
          <w:cols w:equalWidth="0" w:num="1">
            <w:col w:w="10219"/>
          </w:cols>
          <w:pgMar w:left="240" w:top="312"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performance. Actual results may differ materially from those in forward-looking information as a result of various factors, including but not limited to those discussed below.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11"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Our future revenues will fluctuate due to many factors, including the total value and composition of assets under our management and related cash inflows or outflows in the T. Rowe Price mutual funds and other managed investment portfolios; fluctuations in worldwide financial markets, including those in emerging countries, resulting in appreciation or depreciation of assets under our management; the relative investment performance of the Price mutual funds and other managed investment portfolios as compared to competing offerings and market indices; the extent to which we earn performance-based investment advisory fees; the expense ratios of the Price mutual funds; investor sentiment and investor confidence; the ability to maintain our investment management and administrative fees at appropriate levels; competitive conditions in the mutual fund, asset management, and broader financial services sectors; our introduction of new mutual funds and investment portfolios; our ability to contract with the Price mutual funds for payment for investment advisory-related administrative services provided to the funds and their shareholders; the continuation of trends in the retirement plan marketplace favoring defined contribution plans and participant-directed investments; the amount and timing of income recognized on our venture capital and other investments; and our success in implementing our strategy to significantly expand our international business. Our revenues are substantially dependent on fees earned under contracts with the Price funds and could be adversely affected if the independent directors of one or more of the Price funds determined to terminate or significantly alter the terms of the investment management or related administrative services agreements.</w:t>
      </w:r>
    </w:p>
    <w:p>
      <w:pPr>
        <w:spacing w:after="0" w:line="200" w:lineRule="exact"/>
        <w:rPr>
          <w:sz w:val="20"/>
          <w:szCs w:val="20"/>
          <w:color w:val="auto"/>
        </w:rPr>
      </w:pPr>
    </w:p>
    <w:p>
      <w:pPr>
        <w:spacing w:after="0" w:line="395"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Our future operating results are also dependent upon the level of our operating expenses, which are subject to fluctuation for the following or other reasons: changes in the level of advertising expenses in response to market conditions, expansion of marketing efforts both within the U.S. and internationally, or other factors; variations in the level of compensation expense due to, among other things, performance-based bonuses, changes in our employee count and mix, and competitive factors; changes in expense levels resulting from our acquisition of the minority interests in Rowe Price-Fleming International, including goodwill charges and interest expense, and from differences in the manner in which we provide support for our international investment advisory services; expenses and capital costs, such as technology assets, depreciation, amortization and research and development, incurred to maintain and enhance our administrative and operating services infrastructure, including Internet capabilities; unanticipated costs that may be incurred to protect investor accounts and the goodwill of our clients; and disruptions of services, including those provided by third parties such as communications, power, and the mutual fund transfer agent system.</w:t>
      </w:r>
    </w:p>
    <w:p>
      <w:pPr>
        <w:sectPr>
          <w:pgSz w:w="11900" w:h="16838" w:orient="portrait"/>
          <w:cols w:equalWidth="0" w:num="1">
            <w:col w:w="10219"/>
          </w:cols>
          <w:pgMar w:left="240" w:top="312" w:right="1440" w:bottom="1440"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we incur and effects on investor interest in mutual funds and investing in general or in particular classes of mutual funds or other investments.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6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Index to Financial Statements:</w:t>
            </w:r>
          </w:p>
        </w:tc>
        <w:tc>
          <w:tcPr>
            <w:tcW w:w="540" w:type="dxa"/>
            <w:vAlign w:val="bottom"/>
          </w:tcPr>
          <w:p>
            <w:pPr>
              <w:spacing w:after="0"/>
              <w:rPr>
                <w:sz w:val="17"/>
                <w:szCs w:val="17"/>
                <w:color w:val="auto"/>
              </w:rPr>
            </w:pPr>
          </w:p>
        </w:tc>
      </w:tr>
      <w:tr>
        <w:trPr>
          <w:trHeight w:val="203"/>
        </w:trPr>
        <w:tc>
          <w:tcPr>
            <w:tcW w:w="6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Report of Independent Accountants</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w:t>
            </w:r>
          </w:p>
        </w:tc>
        <w:tc>
          <w:tcPr>
            <w:tcW w:w="5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Balance Sheets at December 31, 1999 and 2000</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Statements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Income for each of the</w:t>
            </w:r>
          </w:p>
        </w:tc>
        <w:tc>
          <w:tcPr>
            <w:tcW w:w="54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three years</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the period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December 31, 2000</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Statements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Cash Flows for each of the</w:t>
            </w:r>
          </w:p>
        </w:tc>
        <w:tc>
          <w:tcPr>
            <w:tcW w:w="54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three years</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 the period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 December 31, 2000</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Statements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Stockholders' Equity for</w:t>
            </w:r>
          </w:p>
        </w:tc>
        <w:tc>
          <w:tcPr>
            <w:tcW w:w="540" w:type="dxa"/>
            <w:vAlign w:val="bottom"/>
          </w:tcPr>
          <w:p>
            <w:pPr>
              <w:spacing w:after="0"/>
              <w:rPr>
                <w:sz w:val="17"/>
                <w:szCs w:val="17"/>
                <w:color w:val="auto"/>
              </w:rPr>
            </w:pP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 of the</w:t>
            </w:r>
          </w:p>
        </w:tc>
        <w:tc>
          <w:tcPr>
            <w:tcW w:w="5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three years in the period ended December 31, 2000</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Summary of Significant Accounting Policies</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6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Notes to Consolidated Financial Statements</w:t>
            </w:r>
          </w:p>
        </w:tc>
        <w:tc>
          <w:tcPr>
            <w:tcW w:w="540" w:type="dxa"/>
            <w:vAlign w:val="bottom"/>
          </w:tcPr>
          <w:p>
            <w:pPr>
              <w:spacing w:after="0"/>
              <w:rPr>
                <w:sz w:val="17"/>
                <w:szCs w:val="17"/>
                <w:color w:val="auto"/>
              </w:rPr>
            </w:pPr>
          </w:p>
        </w:tc>
      </w:tr>
      <w:tr>
        <w:trPr>
          <w:trHeight w:val="203"/>
        </w:trPr>
        <w:tc>
          <w:tcPr>
            <w:tcW w:w="6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including Supplementary Quarterly Financial Data</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32</w:t>
            </w:r>
          </w:p>
        </w:tc>
      </w:tr>
    </w:tbl>
    <w:p>
      <w:pPr>
        <w:sectPr>
          <w:pgSz w:w="11900" w:h="16838" w:orient="portrait"/>
          <w:cols w:equalWidth="0" w:num="1">
            <w:col w:w="10219"/>
          </w:cols>
          <w:pgMar w:left="240" w:top="312" w:right="1440" w:bottom="1440" w:gutter="0" w:footer="0" w:header="0"/>
        </w:sectPr>
      </w:pPr>
    </w:p>
    <w:bookmarkStart w:id="23" w:name="page24"/>
    <w:bookmarkEnd w:id="23"/>
    <w:p>
      <w:pPr>
        <w:ind w:left="120"/>
        <w:spacing w:after="0"/>
        <w:rPr>
          <w:sz w:val="20"/>
          <w:szCs w:val="20"/>
          <w:color w:val="auto"/>
        </w:rPr>
      </w:pPr>
      <w:r>
        <w:rPr>
          <w:rFonts w:ascii="Courier New" w:cs="Courier New" w:eastAsia="Courier New" w:hAnsi="Courier New"/>
          <w:sz w:val="18"/>
          <w:szCs w:val="18"/>
          <w:color w:val="auto"/>
        </w:rPr>
        <w:t>24</w:t>
      </w:r>
    </w:p>
    <w:p>
      <w:pPr>
        <w:ind w:left="2220"/>
        <w:spacing w:after="0" w:line="238" w:lineRule="auto"/>
        <w:rPr>
          <w:sz w:val="20"/>
          <w:szCs w:val="20"/>
          <w:color w:val="auto"/>
        </w:rPr>
      </w:pPr>
      <w:r>
        <w:rPr>
          <w:rFonts w:ascii="Courier New" w:cs="Courier New" w:eastAsia="Courier New" w:hAnsi="Courier New"/>
          <w:sz w:val="18"/>
          <w:szCs w:val="18"/>
          <w:color w:val="auto"/>
        </w:rPr>
        <w:t>REPORT OF INDEPENDENT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w:t>
      </w:r>
    </w:p>
    <w:p>
      <w:pPr>
        <w:ind w:left="120"/>
        <w:spacing w:after="0" w:line="238" w:lineRule="auto"/>
        <w:rPr>
          <w:sz w:val="20"/>
          <w:szCs w:val="20"/>
          <w:color w:val="auto"/>
        </w:rPr>
      </w:pPr>
      <w:r>
        <w:rPr>
          <w:rFonts w:ascii="Courier New" w:cs="Courier New" w:eastAsia="Courier New" w:hAnsi="Courier New"/>
          <w:sz w:val="18"/>
          <w:szCs w:val="18"/>
          <w:color w:val="auto"/>
        </w:rPr>
        <w:t>of T. Rowe Price Group, Inc.</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In our opinion, the consolidated financial statements listed in the accompanying index present fairly, in all material respects, the financial position of T. Rowe Price Group, Inc. and its subsidiaries at December 31, 1999 and 2000,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Baltimore, Maryland</w:t>
      </w:r>
    </w:p>
    <w:p>
      <w:pPr>
        <w:spacing w:after="0" w:line="238" w:lineRule="auto"/>
        <w:rPr>
          <w:sz w:val="20"/>
          <w:szCs w:val="20"/>
          <w:color w:val="auto"/>
        </w:rPr>
      </w:pPr>
      <w:r>
        <w:rPr>
          <w:rFonts w:ascii="Courier New" w:cs="Courier New" w:eastAsia="Courier New" w:hAnsi="Courier New"/>
          <w:sz w:val="18"/>
          <w:szCs w:val="18"/>
          <w:color w:val="auto"/>
        </w:rPr>
        <w:t>January 23, 2001</w:t>
      </w:r>
    </w:p>
    <w:p>
      <w:pPr>
        <w:sectPr>
          <w:pgSz w:w="11900" w:h="16838" w:orient="portrait"/>
          <w:cols w:equalWidth="0" w:num="1">
            <w:col w:w="10219"/>
          </w:cols>
          <w:pgMar w:left="240" w:top="312"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25</w:t>
      </w:r>
    </w:p>
    <w:tbl>
      <w:tblPr>
        <w:tblLayout w:type="fixed"/>
        <w:tblInd w:w="0" w:type="dxa"/>
        <w:tblCellMar>
          <w:top w:w="0" w:type="dxa"/>
          <w:left w:w="0" w:type="dxa"/>
          <w:bottom w:w="0" w:type="dxa"/>
          <w:right w:w="0" w:type="dxa"/>
        </w:tblCellMar>
      </w:tblPr>
      <w:tr>
        <w:trPr>
          <w:trHeight w:val="203"/>
        </w:trPr>
        <w:tc>
          <w:tcPr>
            <w:tcW w:w="5600" w:type="dxa"/>
            <w:vAlign w:val="bottom"/>
          </w:tcPr>
          <w:p>
            <w:pPr>
              <w:ind w:left="2540"/>
              <w:spacing w:after="0" w:line="203" w:lineRule="exact"/>
              <w:rPr>
                <w:sz w:val="20"/>
                <w:szCs w:val="20"/>
                <w:color w:val="auto"/>
              </w:rPr>
            </w:pPr>
            <w:r>
              <w:rPr>
                <w:rFonts w:ascii="Courier New" w:cs="Courier New" w:eastAsia="Courier New" w:hAnsi="Courier New"/>
                <w:sz w:val="18"/>
                <w:szCs w:val="18"/>
                <w:color w:val="auto"/>
              </w:rPr>
              <w:t>CONSOLIDATED BALANCE SHEETS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600" w:type="dxa"/>
            <w:vAlign w:val="bottom"/>
          </w:tcPr>
          <w:p>
            <w:pPr>
              <w:spacing w:after="0"/>
              <w:rPr>
                <w:sz w:val="24"/>
                <w:szCs w:val="24"/>
                <w:color w:val="auto"/>
              </w:rPr>
            </w:pPr>
          </w:p>
        </w:tc>
        <w:tc>
          <w:tcPr>
            <w:tcW w:w="230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600" w:type="dxa"/>
            <w:vAlign w:val="bottom"/>
          </w:tcPr>
          <w:p>
            <w:pPr>
              <w:spacing w:after="0"/>
              <w:rPr>
                <w:sz w:val="17"/>
                <w:szCs w:val="17"/>
                <w:color w:val="auto"/>
              </w:rPr>
            </w:pPr>
          </w:p>
        </w:tc>
        <w:tc>
          <w:tcPr>
            <w:tcW w:w="23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spacing w:after="0"/>
              <w:rPr>
                <w:sz w:val="17"/>
                <w:szCs w:val="17"/>
                <w:color w:val="auto"/>
              </w:rPr>
            </w:pPr>
          </w:p>
        </w:tc>
        <w:tc>
          <w:tcPr>
            <w:tcW w:w="23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(Note 1)</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$358,472</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80,526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(Note 7)</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121,637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131,041</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sponsored mutual funds (Note 1)</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233,924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190,406</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 (Notes 2 and 9)</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44,986</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59,801</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(Note 3)</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210,302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255,660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(Note 4)</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694,985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(Note 8)</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26,244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57,040</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$998,039</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$1,469,459</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$ 37,712</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56,877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compensation and related costs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64,774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66,356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 (Note 5)</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31,819</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13,220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15,614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18,366</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 at savings bank subsidiary</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10,932</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and accrued interest (Note 8)</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17,716</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312,277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interests in consolidated subsidiaries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60,220</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227,855</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478,394</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Commitments and contingent liabilities (Note 9)</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Stockholders' equity (Notes 6 and 9)</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undesignated, $.20 par value -</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and unissued 20,000,000 shares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$.20 par value - authorized</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500,000,000 shares; issued 120,107,818 shares</w:t>
            </w: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1999 and 122,439,232 shares in 2000</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24,022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24,488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48,057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80,855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649,378</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852,775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48,727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32,947</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770,184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991,065</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$998,039</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$1,469,459</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560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312" w:right="1440" w:bottom="1440"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26</w:t>
      </w:r>
    </w:p>
    <w:tbl>
      <w:tblPr>
        <w:tblLayout w:type="fixed"/>
        <w:tblInd w:w="0" w:type="dxa"/>
        <w:tblCellMar>
          <w:top w:w="0" w:type="dxa"/>
          <w:left w:w="0" w:type="dxa"/>
          <w:bottom w:w="0" w:type="dxa"/>
          <w:right w:w="0" w:type="dxa"/>
        </w:tblCellMar>
      </w:tblPr>
      <w:tr>
        <w:trPr>
          <w:trHeight w:val="203"/>
        </w:trPr>
        <w:tc>
          <w:tcPr>
            <w:tcW w:w="5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Year</w:t>
            </w:r>
          </w:p>
        </w:tc>
        <w:tc>
          <w:tcPr>
            <w:tcW w:w="2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ended December 31,</w:t>
            </w:r>
          </w:p>
        </w:tc>
      </w:tr>
      <w:tr>
        <w:trPr>
          <w:trHeight w:val="203"/>
        </w:trPr>
        <w:tc>
          <w:tcPr>
            <w:tcW w:w="4540" w:type="dxa"/>
            <w:vAlign w:val="bottom"/>
          </w:tcPr>
          <w:p>
            <w:pPr>
              <w:spacing w:after="0"/>
              <w:rPr>
                <w:sz w:val="17"/>
                <w:szCs w:val="17"/>
                <w:color w:val="auto"/>
              </w:rPr>
            </w:pPr>
          </w:p>
        </w:tc>
        <w:tc>
          <w:tcPr>
            <w:tcW w:w="34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 except</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gridSpan w:val="5"/>
          </w:tcPr>
          <w:p>
            <w:pPr>
              <w:jc w:val="right"/>
              <w:ind w:right="752"/>
              <w:spacing w:after="0" w:line="203" w:lineRule="exact"/>
              <w:rPr>
                <w:sz w:val="20"/>
                <w:szCs w:val="20"/>
                <w:color w:val="auto"/>
              </w:rPr>
            </w:pPr>
            <w:r>
              <w:rPr>
                <w:rFonts w:ascii="Courier New" w:cs="Courier New" w:eastAsia="Courier New" w:hAnsi="Courier New"/>
                <w:sz w:val="18"/>
                <w:szCs w:val="18"/>
                <w:color w:val="auto"/>
              </w:rPr>
              <w:t>per-share amounts)</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 (Notes 1, 7 and 8)</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advisory fees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$684,296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801,579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916,358</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fees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173,321</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197,297</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236,879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and other income</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28,525</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59,090</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886,142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1,036,379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1,212,327</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and related</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 (Notes 3, 6 and 9)</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304,376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329,385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380,636</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Advertising and promotion</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73,044</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74,140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88,215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Occupancy and equipment (Note 9)</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83,374</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94,008</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110,133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 investment research fees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48,066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53,734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36,665</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Goodwill amortization (Note 4)</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745</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11,879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 (Note 8)</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9,721</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operating expenses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63,723</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69,423</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116,886</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573,328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621,609</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754,135</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before income taxes and</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312,814</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414,770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458,192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 (Note 5)</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118,676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155,166</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174,818</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consolidated companies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194,138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259,604</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283,374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 in</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consolidated subsidiaries</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20,200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14,345</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$174,140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239,404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269,029</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r>
        <w:trPr>
          <w:trHeight w:val="203"/>
        </w:trPr>
        <w:tc>
          <w:tcPr>
            <w:tcW w:w="45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312" w:right="1440" w:bottom="1440" w:gutter="0" w:footer="0" w:header="0"/>
        </w:sectPr>
      </w:pPr>
    </w:p>
    <w:bookmarkStart w:id="26" w:name="page27"/>
    <w:bookmarkEnd w:id="26"/>
    <w:p>
      <w:pPr>
        <w:ind w:left="120"/>
        <w:spacing w:after="0"/>
        <w:rPr>
          <w:sz w:val="20"/>
          <w:szCs w:val="20"/>
          <w:color w:val="auto"/>
        </w:rPr>
      </w:pPr>
      <w:r>
        <w:rPr>
          <w:rFonts w:ascii="Courier New" w:cs="Courier New" w:eastAsia="Courier New" w:hAnsi="Courier New"/>
          <w:sz w:val="18"/>
          <w:szCs w:val="18"/>
          <w:color w:val="auto"/>
        </w:rPr>
        <w:t>27</w:t>
      </w:r>
    </w:p>
    <w:tbl>
      <w:tblPr>
        <w:tblLayout w:type="fixed"/>
        <w:tblInd w:w="0" w:type="dxa"/>
        <w:tblCellMar>
          <w:top w:w="0" w:type="dxa"/>
          <w:left w:w="0" w:type="dxa"/>
          <w:bottom w:w="0" w:type="dxa"/>
          <w:right w:w="0" w:type="dxa"/>
        </w:tblCellMar>
      </w:tblPr>
      <w:tr>
        <w:trPr>
          <w:trHeight w:val="203"/>
        </w:trPr>
        <w:tc>
          <w:tcPr>
            <w:tcW w:w="5960" w:type="dxa"/>
            <w:vAlign w:val="bottom"/>
            <w:gridSpan w:val="2"/>
          </w:tcPr>
          <w:p>
            <w:pPr>
              <w:ind w:left="2000"/>
              <w:spacing w:after="0" w:line="203" w:lineRule="exact"/>
              <w:rPr>
                <w:sz w:val="20"/>
                <w:szCs w:val="20"/>
                <w:color w:val="auto"/>
              </w:rPr>
            </w:pPr>
            <w:r>
              <w:rPr>
                <w:rFonts w:ascii="Courier New" w:cs="Courier New" w:eastAsia="Courier New" w:hAnsi="Courier New"/>
                <w:sz w:val="18"/>
                <w:szCs w:val="18"/>
                <w:color w:val="auto"/>
                <w:w w:val="98"/>
              </w:rPr>
              <w:t>CONSOLIDATED STATEMENTS OF CASH FLOWS</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33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4740" w:type="dxa"/>
            <w:vAlign w:val="bottom"/>
          </w:tcPr>
          <w:p>
            <w:pPr>
              <w:spacing w:after="0"/>
              <w:rPr>
                <w:sz w:val="17"/>
                <w:szCs w:val="17"/>
                <w:color w:val="auto"/>
              </w:rPr>
            </w:pPr>
          </w:p>
        </w:tc>
        <w:tc>
          <w:tcPr>
            <w:tcW w:w="3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______________________________</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spacing w:after="0"/>
              <w:rPr>
                <w:sz w:val="17"/>
                <w:szCs w:val="17"/>
                <w:color w:val="auto"/>
              </w:rPr>
            </w:pP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$174,140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$239,404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$269,029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Adjustments to reconcile net income to net</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32,615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32,628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41,813</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interests in consolidated</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subsidiaries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20,200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14,345</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goodwill</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11,879</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accounts receivable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(13,865)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(20,860)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(8,593)</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accounts payable and accrued</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liabilities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26,236</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26,701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3,921</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changes in assets and liabilities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(9,659)</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231,975</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296,937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322,735</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minority interests in</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Rowe Price-Fleming International</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(783,194)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sponsored mutual funds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(32,538)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(16,059)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(42,576)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Dispositions of sponsored mutual funds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21,708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67,068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(35,888)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(18,808)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from other investments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9,926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(56,558)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(77,417)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(85,612)</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(67,573)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(118,151)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(861,086)</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stock</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(36,424)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(67,418)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Receipts relating to stock issuances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12,901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9,967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19,279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of bank borrowing</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repayment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to stockholders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(40,406)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(48,241)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(62,880)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Savings bank subsidiary deposits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10,932</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to minority interests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(17,044)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(13,479)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activities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(80,973)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260,405</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(decrease) during year</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83,429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74,634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(277,946)</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beginning of year</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200,409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283,838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358,472</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year</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$283,838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$358,472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$ 80,526</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r>
        <w:trPr>
          <w:trHeight w:val="203"/>
        </w:trPr>
        <w:tc>
          <w:tcPr>
            <w:tcW w:w="4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________</w:t>
            </w:r>
          </w:p>
        </w:tc>
      </w:tr>
    </w:tbl>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312"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28</w:t>
      </w:r>
    </w:p>
    <w:p>
      <w:pPr>
        <w:ind w:left="1480"/>
        <w:spacing w:after="0" w:line="238" w:lineRule="auto"/>
        <w:rPr>
          <w:sz w:val="20"/>
          <w:szCs w:val="20"/>
          <w:color w:val="auto"/>
        </w:rPr>
      </w:pPr>
      <w:r>
        <w:rPr>
          <w:rFonts w:ascii="Courier New" w:cs="Courier New" w:eastAsia="Courier New" w:hAnsi="Courier New"/>
          <w:sz w:val="18"/>
          <w:szCs w:val="18"/>
          <w:color w:val="auto"/>
        </w:rPr>
        <w:t>CONSOLIDATED STATEMENTS OF STOCKHOLDERS'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Accumu-</w:t>
            </w:r>
          </w:p>
        </w:tc>
        <w:tc>
          <w:tcPr>
            <w:tcW w:w="10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Capital</w:t>
            </w:r>
          </w:p>
        </w:tc>
        <w:tc>
          <w:tcPr>
            <w:tcW w:w="1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lated</w:t>
            </w:r>
          </w:p>
        </w:tc>
        <w:tc>
          <w:tcPr>
            <w:tcW w:w="10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Common</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w:t>
            </w:r>
          </w:p>
        </w:tc>
        <w:tc>
          <w:tcPr>
            <w:tcW w:w="1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excess</w:t>
            </w:r>
          </w:p>
        </w:tc>
        <w:tc>
          <w:tcPr>
            <w:tcW w:w="1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compre-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par</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par</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Retained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hensive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holders'</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value</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value</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earnings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Balance at December 31, 1997,</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59,097,705 common 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$11,819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$30,707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$415,279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$28,868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$486,673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174,140</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unrealized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holding gains,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2,695</w:t>
            </w: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comprehensive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176,835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2,711,273 common 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under stock-based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29,056</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59,594,288 common 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in 2-for-1 split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(11,919)</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1,220,000 common 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(6,771)</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(29,409)</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(36,424)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(42,379)</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(42,379)</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Balance at December 31, 1998,</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120,183,266 common 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24,037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41,073</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517,631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614,304</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239,404</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unrealized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holding gains,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17,164</w:t>
            </w: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comprehensive income</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256,568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2,141,042 common 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under stock-based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18,145</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18,573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2,216,490 common shares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purchased</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(443) (11,161)</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(55,814)</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(67,418)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(51,843)</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(51,843)</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________</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Balance at December 31, 1999,</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120,107,818 common shares</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$24,022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$48,057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$649,378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$48,727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$770,184</w:t>
            </w:r>
          </w:p>
        </w:tc>
      </w:tr>
    </w:tbl>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312" w:right="1440" w:bottom="144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29</w:t>
      </w:r>
    </w:p>
    <w:tbl>
      <w:tblPr>
        <w:tblLayout w:type="fixed"/>
        <w:tblInd w:w="0" w:type="dxa"/>
        <w:tblCellMar>
          <w:top w:w="0" w:type="dxa"/>
          <w:left w:w="0" w:type="dxa"/>
          <w:bottom w:w="0" w:type="dxa"/>
          <w:right w:w="0" w:type="dxa"/>
        </w:tblCellMar>
      </w:tblPr>
      <w:tr>
        <w:trPr>
          <w:trHeight w:val="203"/>
        </w:trPr>
        <w:tc>
          <w:tcPr>
            <w:tcW w:w="7120" w:type="dxa"/>
            <w:vAlign w:val="bottom"/>
            <w:gridSpan w:val="5"/>
          </w:tcPr>
          <w:p>
            <w:pPr>
              <w:ind w:left="1480"/>
              <w:spacing w:after="0" w:line="203" w:lineRule="exact"/>
              <w:rPr>
                <w:sz w:val="20"/>
                <w:szCs w:val="20"/>
                <w:color w:val="auto"/>
              </w:rPr>
            </w:pPr>
            <w:r>
              <w:rPr>
                <w:rFonts w:ascii="Courier New" w:cs="Courier New" w:eastAsia="Courier New" w:hAnsi="Courier New"/>
                <w:sz w:val="18"/>
                <w:szCs w:val="18"/>
                <w:color w:val="auto"/>
              </w:rPr>
              <w:t>CONSOLIDATED STATEMENTS OF STOCKHOLDERS' EQUITY</w:t>
            </w:r>
          </w:p>
        </w:tc>
        <w:tc>
          <w:tcPr>
            <w:tcW w:w="1000" w:type="dxa"/>
            <w:vAlign w:val="bottom"/>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Accumu-</w:t>
            </w:r>
          </w:p>
        </w:tc>
        <w:tc>
          <w:tcPr>
            <w:tcW w:w="10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w:t>
            </w:r>
          </w:p>
        </w:tc>
        <w:tc>
          <w:tcPr>
            <w:tcW w:w="1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lated</w:t>
            </w:r>
          </w:p>
        </w:tc>
        <w:tc>
          <w:tcPr>
            <w:tcW w:w="10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w:t>
            </w:r>
          </w:p>
        </w:tc>
        <w:tc>
          <w:tcPr>
            <w:tcW w:w="1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excess</w:t>
            </w:r>
          </w:p>
        </w:tc>
        <w:tc>
          <w:tcPr>
            <w:tcW w:w="1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compre-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par</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par</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Retained</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hensive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holders'</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value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earnings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income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30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6220" w:type="dxa"/>
            <w:vAlign w:val="bottom"/>
            <w:gridSpan w:val="4"/>
          </w:tcPr>
          <w:p>
            <w:pPr>
              <w:ind w:left="2540"/>
              <w:spacing w:after="0"/>
              <w:rPr>
                <w:sz w:val="20"/>
                <w:szCs w:val="20"/>
                <w:color w:val="auto"/>
              </w:rPr>
            </w:pPr>
            <w:r>
              <w:rPr>
                <w:rFonts w:ascii="Courier New" w:cs="Courier New" w:eastAsia="Courier New" w:hAnsi="Courier New"/>
                <w:sz w:val="18"/>
                <w:szCs w:val="18"/>
                <w:color w:val="auto"/>
              </w:rPr>
              <w:t>Continued from prior page.</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Balance at December 31, 1999,</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120,107,818 common shares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$24,022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$48,057</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$649,378</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$48,727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$770,184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269,029</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 in unrealized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holding gains,</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taxes</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(15,780)</w:t>
            </w: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comprehensive income</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253,249</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2,331,414 common shares</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under stock-based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plans</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32,798</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33,264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(65,632)</w:t>
            </w:r>
          </w:p>
        </w:tc>
        <w:tc>
          <w:tcPr>
            <w:tcW w:w="9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(65,632)</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Balance at December 31, 2000,</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122,439,232 common shares</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$24,488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$80,855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$852,775</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$32,947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$991,065</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06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312"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30</w:t>
      </w:r>
    </w:p>
    <w:p>
      <w:pPr>
        <w:ind w:left="1700"/>
        <w:spacing w:after="0" w:line="238" w:lineRule="auto"/>
        <w:rPr>
          <w:sz w:val="20"/>
          <w:szCs w:val="20"/>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w:t>
      </w:r>
    </w:p>
    <w:p>
      <w:pPr>
        <w:spacing w:after="0" w:line="21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June 30, 2000, our stockholders approved the one-for-one exchange of their shares of outstanding T. Rowe Price Associates common stock for that of our newly-organized holding company, T. Rowe Price Group. As the result of the share exchange on December 28, 2000, Price Group became the sole owner of Price Associates and Price Associates' former stockholders became the stockholders of Price Group. The exchange was accounted for similar to a pooling-of-interests transaction and Price Group succeeded to the obligation for periodic public reporting.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PREPARATION.</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Our consolidated financial statements are prepared in accordance with accounting principles generally accepted in the United States which require the use of estimates made by our management. They include the accounts of all subsidiaries in which we have a majority or controlling interest. All material intercompany accounts and transactions are eliminated in consolidation.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EQUIVALENTS.</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Cash equivalents consist of short-term, highly liquid investments in sponsored money market mutual funds and overnight commercial paper. The cost of these investments is equivalent to fair value.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 IN SPONSORED MUTUAL FUNDS.</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Investments in sponsored mutual funds are classified as available-for-sale and are reported at fair value. Unrealized security holding gains are recognized in comprehensive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CONCENTRATIONS OF RISK.</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Concentration of credit risk in accounts receivable is believed to be minimal in that clients have substantial assets including those in the investment portfolios that we manage.</w:t>
      </w:r>
    </w:p>
    <w:p>
      <w:pPr>
        <w:sectPr>
          <w:pgSz w:w="11900" w:h="16838" w:orient="portrait"/>
          <w:cols w:equalWidth="0" w:num="1">
            <w:col w:w="10219"/>
          </w:cols>
          <w:pgMar w:left="240" w:top="312" w:right="1440" w:bottom="1440" w:gutter="0" w:footer="0" w:header="0"/>
        </w:sectPr>
      </w:pPr>
    </w:p>
    <w:bookmarkStart w:id="30" w:name="page31"/>
    <w:bookmarkEnd w:id="30"/>
    <w:p>
      <w:pPr>
        <w:ind w:left="1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EQUIPMENT.</w:t>
      </w:r>
    </w:p>
    <w:p>
      <w:pPr>
        <w:spacing w:after="0" w:line="4"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 to 4 years; furniture and other equipment, 5 years; buildings, 33 years; leasehold improvements, 9 years; and leased land, 99 years.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Fees for investment advisory services and related administrative services that we provide to investment advisory clients are recognized when earned.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Costs of advertising are expensed the first time that the advertising takes place.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INVESTMENT RESEARCH FEES.</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International investment research and support was provided by affiliates of Robert Fleming Holdings until our acquisition of their interests in Rowe Price-Fleming International on August 8, 2000. Fees that we paid for these services were based on international assets under management.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Basic earnings per share excludes the dilutive effect of outstanding stock options and is computed by dividing net income by the weighted average common shares outstanding of 119,134,000 in 1998, 120,599,000 in 1999, and 121,196,000 in 2000. Diluted earnings per share reflects the potential dilution that could occur if outstanding stock options were exercised. It is computed by increasing the denominator of the basic calculation by potential dilutive common shares, determined using the treasury stock method, of 10,818,000 in 1998, 8,564,000 in 1999, and 8,452,000 in 2000.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Total comprehensive income is reported in our consolidated statements of stockholders' equity and includes net income and unrealized security holding gains, net of income taxes and any minority interests.</w:t>
      </w:r>
    </w:p>
    <w:p>
      <w:pPr>
        <w:sectPr>
          <w:pgSz w:w="11900" w:h="16838" w:orient="portrait"/>
          <w:cols w:equalWidth="0" w:num="1">
            <w:col w:w="10219"/>
          </w:cols>
          <w:pgMar w:left="240" w:top="312" w:right="1440" w:bottom="1440"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32</w:t>
      </w:r>
    </w:p>
    <w:p>
      <w:pPr>
        <w:ind w:left="1700"/>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INVESTMENTS IN SPONSORED MUTUAL FUNDS.</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Cash equivalents comprising investments in our sponsored money market mutual funds aggregate $354,418,000 at December 31, 1999 and $70,597,000 at December 31, 2000. Investments in our other sponsored mutual funds (in thousands) at December 31 include:</w:t>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Aggregate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Unrealized</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fair</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cost</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holding gains</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funds</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Domestic</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$ 82,214</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$51,727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$133,941</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21,685</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19,351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41,036</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103,899</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71,078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174,977</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Blended funds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14,994</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5,394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20,388</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funds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38,165</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38,559</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$157,058</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$76,866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$233,924</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funds</w:t>
            </w:r>
          </w:p>
        </w:tc>
        <w:tc>
          <w:tcPr>
            <w:tcW w:w="1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Domestic</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$ 95,292</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$39,963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$135,255</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International</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26,377</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6,635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33,012</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121,669</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46,598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168,267</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Blended funds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8,684</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3,491</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12,175</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Bond funds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9,630</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334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9,964</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$139,983</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$50,423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$190,406</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_______</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following table reconciles our unrealized holding gains on investments in sponsored mutual funds (in thousands) to that recognized in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Unrealized holding gains</w:t>
            </w: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during the year</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$ 8,355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$26,237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$(19,027)</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gains (losses)</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realized in net income</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4,840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7,417</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3,515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(26,444)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(9,808)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9,365</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2,569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17,996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(17,079)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126</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1,124</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holding gains</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(losses) recognized in</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comprehensive income</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$ 2,695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$17,164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$(15,955)</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860" w:type="dxa"/>
            <w:vAlign w:val="bottom"/>
          </w:tcPr>
          <w:p>
            <w:pPr>
              <w:spacing w:after="0"/>
              <w:rPr>
                <w:sz w:val="17"/>
                <w:szCs w:val="17"/>
                <w:color w:val="auto"/>
              </w:rPr>
            </w:pP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bl>
    <w:p>
      <w:pPr>
        <w:sectPr>
          <w:pgSz w:w="11900" w:h="16838" w:orient="portrait"/>
          <w:cols w:equalWidth="0" w:num="1">
            <w:col w:w="10219"/>
          </w:cols>
          <w:pgMar w:left="240" w:top="312" w:right="1440" w:bottom="1440"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Dividends earned on investments in sponsored mutual funds, including money market mutual funds, aggregate $20,878,000 in 1998, $32,941,000 in 1999, and $35,157,000 in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OTHER INVESTMENTS.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investments (in thousands) at December 31 consists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Cost method investments, including a 10% interest</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Daiwa SB Investments (Japan) of $15,019,000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$ 18,153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$ 18,001</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method investments, primarily sponsored</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partnerships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14,554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13,240</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Fair value investments</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 securities held by savings bank subsidiary</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available for sale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16,398</w:t>
            </w:r>
          </w:p>
        </w:tc>
      </w:tr>
      <w:tr>
        <w:trPr>
          <w:trHeight w:val="203"/>
        </w:trPr>
        <w:tc>
          <w:tcPr>
            <w:tcW w:w="5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notes of sponsored collateralized bond</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 due 2012, including accrued interest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12,248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12,148</w:t>
            </w:r>
          </w:p>
        </w:tc>
      </w:tr>
      <w:tr>
        <w:trPr>
          <w:trHeight w:val="203"/>
        </w:trPr>
        <w:tc>
          <w:tcPr>
            <w:tcW w:w="5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stocks held pending disposition</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$ 44,986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$ 59,801</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554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________</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debt securities held by our savings bank subsidiary include $290,000 of unrealized gains. These gains, net of deferred taxes of $115,000, are included in comprehensive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PROPERTY AND EQUIPMENT.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equipment (in thousands) at December 31 consists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Computer and communications software and equipment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$107,442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$138,635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 leasehold improvements</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133,842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160,520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Furniture and other equipment</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44,189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56,765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owned and leased</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21,503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21,503</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306,976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377,423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(96,674)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(121,763)</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$210,302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$255,660</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5600" w:type="dxa"/>
            <w:vAlign w:val="bottom"/>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January 1, 1999, we prospectively adopted a new accounting principle requiring the capitalization and subsequent amortization of certain costs of computer software developed for internal use. Accordingly, compensation and related costs totaling $4,555,000 in 1999 and $10,690,000 in 2000 were capitalized.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GOODWILL.</w:t>
      </w:r>
    </w:p>
    <w:p>
      <w:pPr>
        <w:spacing w:after="0" w:line="207" w:lineRule="exact"/>
        <w:rPr>
          <w:sz w:val="20"/>
          <w:szCs w:val="20"/>
          <w:color w:val="auto"/>
        </w:rPr>
      </w:pPr>
    </w:p>
    <w:p>
      <w:pPr>
        <w:jc w:val="both"/>
        <w:ind w:right="2199"/>
        <w:spacing w:after="0" w:line="290" w:lineRule="auto"/>
        <w:rPr>
          <w:sz w:val="20"/>
          <w:szCs w:val="20"/>
          <w:color w:val="auto"/>
        </w:rPr>
      </w:pPr>
      <w:r>
        <w:rPr>
          <w:rFonts w:ascii="Courier New" w:cs="Courier New" w:eastAsia="Courier New" w:hAnsi="Courier New"/>
          <w:sz w:val="16"/>
          <w:szCs w:val="16"/>
          <w:color w:val="auto"/>
        </w:rPr>
        <w:t>On April 11, 2000, we entered into an agreement with Robert Fleming Holdings to purchase its 50% non-controlling interest in our consolidated subsidiary,</w:t>
      </w:r>
    </w:p>
    <w:p>
      <w:pPr>
        <w:sectPr>
          <w:pgSz w:w="11900" w:h="16838" w:orient="portrait"/>
          <w:cols w:equalWidth="0" w:num="1">
            <w:col w:w="10219"/>
          </w:cols>
          <w:pgMar w:left="240" w:top="312"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Rowe Price-Fleming International. On August 8, 2000, we completed the purchase of Robert Fleming's interest for $780 million. Investment banking and legal fees incurred were $3.2 million. Immediately after completing this transaction, we changed the name of Rowe Price-Fleming to T. Rowe Price International. This purchase transaction resulted in goodwill of $704.4 million which is being amortized on a straight line basis over 25 years. Goodwill of $7,937,000 arising from a 1992 acquisition is being amortized over eleven years using the straight-line method. Accumulated amortization of all goodwill aggregates $5,463,000 at December 31, 1999 and $17,342,000 at December 31, 2000.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INCOME TAXES.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provision for income taxes (in thousands) consists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432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income taxes</w:t>
            </w: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Federal and foreign</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$104,376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$144,754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$150,431</w:t>
            </w:r>
          </w:p>
        </w:tc>
      </w:tr>
      <w:tr>
        <w:trPr>
          <w:trHeight w:val="203"/>
        </w:trPr>
        <w:tc>
          <w:tcPr>
            <w:tcW w:w="4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and local</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13,562</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 (tax benefits)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8,104</w:t>
            </w:r>
          </w:p>
        </w:tc>
      </w:tr>
      <w:tr>
        <w:trPr>
          <w:trHeight w:val="203"/>
        </w:trPr>
        <w:tc>
          <w:tcPr>
            <w:tcW w:w="432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32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$118,676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$155,166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$174,818</w:t>
            </w:r>
          </w:p>
        </w:tc>
      </w:tr>
      <w:tr>
        <w:trPr>
          <w:trHeight w:val="203"/>
        </w:trPr>
        <w:tc>
          <w:tcPr>
            <w:tcW w:w="432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432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________</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Deferred income taxes arise from temporary differences between taxable income for financial statement and income tax return purposes. Significant temporary differences related to amortization and depreciation of property and equipment resulted in deferred income taxes of $4,158,000 in 2000. Deferred tax benefits arising from significant temporary differences include $3,122,000 in 1999 related to investment income.</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net deferred tax liability of $11,238,000 included in income taxes payable at December 31, 2000 consists of total deferred tax liabilities of $21,867,000 and total deferred tax assets of $10,629,000. Deferred tax liabilities include $17,763,000 arising from unrealized holding gains on available-for-sale securities. Deferred tax assets include $7,691,000 arising from accrued compensation.</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net deferred tax liability of $17,430,000 included in income taxes payable at December 31, 1999 consists of total deferred tax liabilities of $31,271,000 and total deferred tax assets of $13,841,000. Deferred tax liabilities include $27,013,000 arising from unrealized holding gains on available-for-sale securities. Deferred tax assets include $8,848,000 arising from accrued compensation.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outflows from operating activities include income taxes paid of</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$114,322,000 in 1998, $132,253,000 in 1999, and $188,285,000 in 2000. The additional income tax benefit that we realized from the tax deduction related to the exercise of our stock options resulted in the reduction of income taxes paid by $16,698,000 in 1998, $8,606,000 in 1999, and $13,985,000 in 2000.</w:t>
      </w:r>
    </w:p>
    <w:p>
      <w:pPr>
        <w:sectPr>
          <w:pgSz w:w="11900" w:h="16838" w:orient="portrait"/>
          <w:cols w:equalWidth="0" w:num="1">
            <w:col w:w="10219"/>
          </w:cols>
          <w:pgMar w:left="240" w:top="312" w:right="1440" w:bottom="1440"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table reconciles the statutory federal income tax rate to the effective income tax rate.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1999</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5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Statutory federal income tax rate</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35.0%</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35.0%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income taxes, net of federal tax benefits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items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income tax rate</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37.9%</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w:t>
            </w:r>
          </w:p>
        </w:tc>
      </w:tr>
      <w:tr>
        <w:trPr>
          <w:trHeight w:val="203"/>
        </w:trPr>
        <w:tc>
          <w:tcPr>
            <w:tcW w:w="5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5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______</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COMMON STOCK AND STOCK-BASED COMPENSATION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AUTHORIZED AND ISSUED.</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 two-for-one split of our common stock was effected at the close of business on April 30, 1998. All share and per-share data in these notes have been adjusted to give retroactive effect to the stock split.</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At December 31, 2000, 31,835,208 shares of unissued common stock were reserved for the exercise of stock options. Additionally, 1,680,000 shares are reserved for issuance under a plan whereby substantially all employees may acquire common stock through payroll deductions at prevailing market prices.</w:t>
      </w: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The board of directors has authorized the future repurchase of up to 5,503,510 common shares at December 31,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Cash dividends declared per share were $.355 in 1998, $.43 in 1999, and $.54 in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STOCK OPTION PLANS.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Our six stock-based compensation plans (the 1986, 1990, 1993 and 1996 Stock Incentive Plans and the 1995 and 1998 Director Stock Option Plans) are accounted for using the intrinsic value based method. Under these plans, we have granted fixed stock options with a maximum term of ten years to employees and directors. Vesting of employee options is based solely on the individual continuing to render service and generally occurs over a 5-year graded schedule. The exercise price of each option granted is equivalent to the market price of the common stock at the date of grant. Accordingly, no compensation expense related to stock option grants has been recognized in the consolidated statements of income.</w:t>
      </w: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following table summarizes the status of and changes in our stock option grants during the past three years.</w:t>
      </w:r>
    </w:p>
    <w:p>
      <w:pPr>
        <w:sectPr>
          <w:pgSz w:w="11900" w:h="16838" w:orient="portrait"/>
          <w:cols w:equalWidth="0" w:num="1">
            <w:col w:w="10219"/>
          </w:cols>
          <w:pgMar w:left="240" w:top="31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4"/>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rPr>
              <w:t>36</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Weighted-</w:t>
            </w:r>
          </w:p>
        </w:tc>
        <w:tc>
          <w:tcPr>
            <w:tcW w:w="138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Weighted-</w:t>
            </w:r>
          </w:p>
        </w:tc>
      </w:tr>
      <w:tr>
        <w:trPr>
          <w:trHeight w:val="203"/>
        </w:trPr>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average</w:t>
            </w:r>
          </w:p>
        </w:tc>
        <w:tc>
          <w:tcPr>
            <w:tcW w:w="138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exercise</w:t>
            </w:r>
          </w:p>
        </w:tc>
      </w:tr>
      <w:tr>
        <w:trPr>
          <w:trHeight w:val="203"/>
        </w:trPr>
        <w:tc>
          <w:tcPr>
            <w:tcW w:w="20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price</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_________</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 _________</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1998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23,118,424</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$12.02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11,808,624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3,528,883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35.68</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(3,491,738)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6.51</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(515,000)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18.30</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1998</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22,640,569</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16.41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12,479,069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9.91</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3,470,325</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31.02</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(2,294,013)</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6.73</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(159,400)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23.80</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1999</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23,657,481</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19.45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14,014,481</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13.04</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4,914,085</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38.90</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(2,513,694)</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10.08</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(456,000)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30.66</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at</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2000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25,601,872</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23.90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14,910,572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16.25</w:t>
            </w: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Information regarding the exercise prices and lives of stock options outstanding at December 31, 2000 follows.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8"/>
                <w:szCs w:val="18"/>
                <w:color w:val="auto"/>
                <w:w w:val="98"/>
              </w:rPr>
              <w:t>Weighted-</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average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Weighted-</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remaining</w:t>
            </w:r>
          </w:p>
        </w:tc>
        <w:tc>
          <w:tcPr>
            <w:tcW w:w="1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Weighted-</w:t>
            </w:r>
          </w:p>
        </w:tc>
      </w:tr>
      <w:tr>
        <w:trPr>
          <w:trHeight w:val="203"/>
        </w:trPr>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average</w:t>
            </w:r>
          </w:p>
        </w:tc>
        <w:tc>
          <w:tcPr>
            <w:tcW w:w="1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contractual</w:t>
            </w:r>
          </w:p>
        </w:tc>
        <w:tc>
          <w:tcPr>
            <w:tcW w:w="12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17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Range of</w:t>
            </w:r>
          </w:p>
        </w:tc>
        <w:tc>
          <w:tcPr>
            <w:tcW w:w="14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exercise</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life (in</w:t>
            </w:r>
          </w:p>
        </w:tc>
        <w:tc>
          <w:tcPr>
            <w:tcW w:w="1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prices</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price</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years)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___________</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_________</w:t>
            </w:r>
          </w:p>
        </w:tc>
        <w:tc>
          <w:tcPr>
            <w:tcW w:w="3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___________ ___________ 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$ 4.25 to 29.88</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11,991,715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$ 11.23</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11,341,915</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$ 10.84</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$30.09 to 47.06</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13,610,157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35.06</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3,568,657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33.45</w:t>
            </w:r>
          </w:p>
        </w:tc>
      </w:tr>
      <w:tr>
        <w:trPr>
          <w:trHeight w:val="203"/>
        </w:trPr>
        <w:tc>
          <w:tcPr>
            <w:tcW w:w="17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0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25,601,872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23.90</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14,910,572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16.25</w:t>
            </w:r>
          </w:p>
        </w:tc>
      </w:tr>
      <w:tr>
        <w:trPr>
          <w:trHeight w:val="203"/>
        </w:trPr>
        <w:tc>
          <w:tcPr>
            <w:tcW w:w="17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0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__________</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w:t>
            </w: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Accounting principles require us to make the following disclosures as if the fair value based method of accounting had been applied to our stock option grants after 1994. The weighted-average grant-date fair value of each option awarded is estimated to be $9.88 in 1998, $9.86 in 1999, and $13.45 in 2000 using the Black-Scholes option-pricing model and the following assumptions: dividend yields of 1.4% in 1998 and 1.3% in 1999 and 2000; expected volatility of 30% in 1998, 31% in 1999, and 35% in 2000; risk-free interest rates of 4.5% in 1998, 5.9% in 1999, and 5.6% in 2000; and expected lives of 4.4 years in 1998, 4.7 years in 1999, and 4.8 years in 2000. Had compensation costs been determined including these fair value estimates, pro forma net income would be $161,723,000 in 1998, $219,185,000 in 1999, and $248,040,000 in 2000. Pro forma basic earnings per share would be $1.36 in 1998, $1.82 in 1999, and $2.05 in 2000. Pro forma diluted earnings per share would be $1.25 in 1998, $1.70 in 1999, and $1.92 in 2000.</w:t>
      </w:r>
    </w:p>
    <w:p>
      <w:pPr>
        <w:sectPr>
          <w:pgSz w:w="11900" w:h="16838" w:orient="portrait"/>
          <w:cols w:equalWidth="0" w:num="1">
            <w:col w:w="10219"/>
          </w:cols>
          <w:pgMar w:left="240" w:top="312" w:right="1440" w:bottom="1440" w:gutter="0" w:footer="0" w:header="0"/>
        </w:sectPr>
      </w:pPr>
    </w:p>
    <w:bookmarkStart w:id="36" w:name="page37"/>
    <w:bookmarkEnd w:id="36"/>
    <w:p>
      <w:pPr>
        <w:ind w:left="120"/>
        <w:spacing w:after="0"/>
        <w:rPr>
          <w:sz w:val="20"/>
          <w:szCs w:val="20"/>
          <w:color w:val="auto"/>
        </w:rPr>
      </w:pPr>
      <w:r>
        <w:rPr>
          <w:rFonts w:ascii="Courier New" w:cs="Courier New" w:eastAsia="Courier New" w:hAnsi="Courier New"/>
          <w:sz w:val="18"/>
          <w:szCs w:val="18"/>
          <w:color w:val="auto"/>
        </w:rPr>
        <w:t>37</w:t>
      </w:r>
    </w:p>
    <w:p>
      <w:pPr>
        <w:spacing w:after="0" w:line="238" w:lineRule="auto"/>
        <w:rPr>
          <w:sz w:val="20"/>
          <w:szCs w:val="20"/>
          <w:color w:val="auto"/>
        </w:rPr>
      </w:pPr>
      <w:r>
        <w:rPr>
          <w:rFonts w:ascii="Courier New" w:cs="Courier New" w:eastAsia="Courier New" w:hAnsi="Courier New"/>
          <w:sz w:val="18"/>
          <w:szCs w:val="18"/>
          <w:color w:val="auto"/>
        </w:rPr>
        <w:t>NOTE 7 - INFORMATION ABOUT REVENUES AND SERVICES.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Revenues (in thousands) from advisory services provided under agreements with sponsored mutual funds and other investment clients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Sponsored mutual funds</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and blended</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$296,389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$358,226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$427,693</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115,914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121,294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142,440</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Bond and money market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92,360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97,931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93,020</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504,663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577,451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663,153</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portfolios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179,633</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224,128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253,205</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 advisory fees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$684,296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$801,579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$916,358</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380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bl>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table summarizes the various investment portfolios and assets under management (in billions) on which advisory fees are earned.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12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Average during</w:t>
            </w:r>
          </w:p>
        </w:tc>
        <w:tc>
          <w:tcPr>
            <w:tcW w:w="17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2740" w:type="dxa"/>
            <w:vAlign w:val="bottom"/>
          </w:tcPr>
          <w:p>
            <w:pPr>
              <w:spacing w:after="0"/>
              <w:rPr>
                <w:sz w:val="17"/>
                <w:szCs w:val="17"/>
                <w:color w:val="auto"/>
              </w:rPr>
            </w:pPr>
          </w:p>
        </w:tc>
        <w:tc>
          <w:tcPr>
            <w:tcW w:w="31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________________________</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Sponsored mutual funds</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and blended</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$ 50.9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$ 61.6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$ 72.5</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$ 71.2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$ 68.0</w:t>
            </w:r>
          </w:p>
        </w:tc>
      </w:tr>
      <w:tr>
        <w:trPr>
          <w:trHeight w:val="203"/>
        </w:trPr>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Bond and money market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100.8</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portfolios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$157.5</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$166.7</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7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w:t>
            </w:r>
          </w:p>
        </w:tc>
      </w:tr>
    </w:tbl>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Fees for advisory-related administrative services provided to the funds were $127,243,000 in 1998, $147,224,000 in 1999, and $178,226,000 in 2000. Accounts receivable from the funds aggregate $68,390,000 and $70,537,000 at December 31, 1999 and 2000, respectively. All services to the sponsored mutual funds are provided under contracts which are subject to periodic review and approval by each of the funds' boards and, with respect to investment advisory contracts, also by the funds' shareholders.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DEBT.</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In April 1999, we borrowed 1,809,500,000 yen ($15,019,000) from a bank under a promissory note due in installments of 180,950,000 yen in 2002 and 2003 and 1,447,600,000 yen in 2004. Interest is due quarterly at LIBOR for yen borrowings plus .95% and is fixed until April 2001 at 1.42%. Foreign currency transaction losses of $2,706,000 in 1999 and gains of $1,894,000 in 2000 arising from this borrowing are included in investment and other income.</w:t>
      </w:r>
    </w:p>
    <w:p>
      <w:pPr>
        <w:spacing w:after="0" w:line="18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 partially finance the acquisition of the Rowe Price-Fleming shares, we borrowed $300,000,000 in August 2000 under a $500,000,000 five-year syndicated bank credit facility for which The Chase Manhattan Bank serves as administrative agent. In November 2000, we made a $5,000,000 principal</w:t>
      </w:r>
    </w:p>
    <w:p>
      <w:pPr>
        <w:sectPr>
          <w:pgSz w:w="11900" w:h="16838" w:orient="portrait"/>
          <w:cols w:equalWidth="0" w:num="1">
            <w:col w:w="10219"/>
          </w:cols>
          <w:pgMar w:left="240" w:top="312" w:right="1440" w:bottom="1440"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payment and reduced our borrowing to $295,000,000. Debt acquisition costs of $1,586,000 are included in other assets and are being amortized over five years. Interest on the debt floats at .35% over the Eurodollar base rate and was 7.1% at the end of 2000. On January 8, 2001, the borrowing rate was reset at 6.4% for one month. We also have a complementary $100,000,000 364-day syndicated bank credit facility under which there have been no borrowings. We pay annual commitment fees for our credit facilities of $862,000.</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December 31, 2000, we are in compliance with covenants contained in our credit agreements. Total interest expense on our outstanding debt, including amortization of debt issuance costs and credit facility commitment fees, was $9,512,000 in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OTHER DISCLOSURES.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occupy certain office facilities and rent computer and other equipment under noncancelable operating leases. Related rental expense was $25,953,000 in 1998, $31,888,000 in 1999, and $30,752,000 in 2000. Future minimum rental payments under these leases aggregate $19,058,000 in 2001, $14,554,000 in 2002, $13,103,000 in 2003, $12,536,000 in 2004, $12,552,000 in 2005 and $67,303,000 in later years.</w:t>
      </w:r>
    </w:p>
    <w:p>
      <w:pPr>
        <w:spacing w:after="0" w:line="210"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At December 31, 2000, we had outstanding commitments to fund additional investments totaling $1,032,000.</w:t>
      </w:r>
    </w:p>
    <w:p>
      <w:pPr>
        <w:spacing w:after="0" w:line="208" w:lineRule="exact"/>
        <w:rPr>
          <w:sz w:val="20"/>
          <w:szCs w:val="20"/>
          <w:color w:val="auto"/>
        </w:rPr>
      </w:pPr>
    </w:p>
    <w:p>
      <w:pPr>
        <w:ind w:right="3039"/>
        <w:spacing w:after="0" w:line="279" w:lineRule="auto"/>
        <w:rPr>
          <w:sz w:val="20"/>
          <w:szCs w:val="20"/>
          <w:color w:val="auto"/>
        </w:rPr>
      </w:pPr>
      <w:r>
        <w:rPr>
          <w:rFonts w:ascii="Courier New" w:cs="Courier New" w:eastAsia="Courier New" w:hAnsi="Courier New"/>
          <w:sz w:val="16"/>
          <w:szCs w:val="16"/>
          <w:color w:val="auto"/>
        </w:rPr>
        <w:t>Our consolidated stockholders' equity at December 31, 2000 includes $52,123,000 which is restricted as to use by various regulations and agreements arising in the ordinary course of our business.</w:t>
      </w:r>
    </w:p>
    <w:p>
      <w:pPr>
        <w:spacing w:after="0" w:line="17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From time to time, various claims against us arise in the ordinary course of business, including employment-related claims. In the opinion of management, after consultation with counsel, it is unlikely that any adverse determination in one or more pending claims would have a material adverse effect on our financial position or results of operations.</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Expense for our two defined contribution retirement plans in the United States was $17,852,000 in 1998, $20,835,000 in 1999, and $22,263,000 in 2000.</w:t>
      </w:r>
    </w:p>
    <w:p>
      <w:pPr>
        <w:sectPr>
          <w:pgSz w:w="11900" w:h="16838" w:orient="portrait"/>
          <w:cols w:equalWidth="0" w:num="1">
            <w:col w:w="10219"/>
          </w:cols>
          <w:pgMar w:left="240" w:top="312" w:right="1440" w:bottom="1440" w:gutter="0" w:footer="0" w:header="0"/>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39</w:t>
      </w:r>
    </w:p>
    <w:p>
      <w:pPr>
        <w:spacing w:after="0" w:line="238" w:lineRule="auto"/>
        <w:rPr>
          <w:sz w:val="20"/>
          <w:szCs w:val="20"/>
          <w:color w:val="auto"/>
        </w:rPr>
      </w:pPr>
      <w:r>
        <w:rPr>
          <w:rFonts w:ascii="Courier New" w:cs="Courier New" w:eastAsia="Courier New" w:hAnsi="Courier New"/>
          <w:sz w:val="18"/>
          <w:szCs w:val="18"/>
          <w:color w:val="auto"/>
        </w:rPr>
        <w:t>NOTE 10 - SUPPLEMENTARY QUARTERLY FINANCIAL DATA (Unaudited).</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Basic</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Diluted</w:t>
            </w:r>
          </w:p>
        </w:tc>
      </w:tr>
      <w:tr>
        <w:trPr>
          <w:trHeight w:val="203"/>
        </w:trPr>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earnings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earnings</w:t>
            </w:r>
          </w:p>
        </w:tc>
      </w:tr>
      <w:tr>
        <w:trPr>
          <w:trHeight w:val="203"/>
        </w:trPr>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Net</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per</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142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Revenues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share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142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________</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1420" w:type="dxa"/>
            <w:vAlign w:val="bottom"/>
          </w:tcPr>
          <w:p>
            <w:pPr>
              <w:spacing w:after="0"/>
              <w:rPr>
                <w:sz w:val="17"/>
                <w:szCs w:val="17"/>
                <w:color w:val="auto"/>
              </w:rPr>
            </w:pPr>
          </w:p>
        </w:tc>
        <w:tc>
          <w:tcPr>
            <w:tcW w:w="28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1st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$245,826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$53,413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245,771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53,690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3rd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259,929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62,221</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4th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284,853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70,080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.59</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w:t>
            </w:r>
          </w:p>
        </w:tc>
      </w:tr>
      <w:tr>
        <w:trPr>
          <w:trHeight w:val="608"/>
        </w:trPr>
        <w:tc>
          <w:tcPr>
            <w:tcW w:w="142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1st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316,331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75,034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300,682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69,339</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3rd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303,704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69,183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4th quarter</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291,610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55,473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r>
    </w:tbl>
    <w:p>
      <w:pPr>
        <w:sectPr>
          <w:pgSz w:w="11900" w:h="16838" w:orient="portrait"/>
          <w:cols w:equalWidth="0" w:num="1">
            <w:col w:w="10219"/>
          </w:cols>
          <w:pgMar w:left="240" w:top="312" w:right="1440" w:bottom="1440" w:gutter="0" w:footer="0" w:header="0"/>
        </w:sectPr>
      </w:pPr>
    </w:p>
    <w:bookmarkStart w:id="39" w:name="page40"/>
    <w:bookmarkEnd w:id="39"/>
    <w:p>
      <w:pPr>
        <w:ind w:left="1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 None.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Information required by this item regarding the identification of executive officers and certain significant employees is contained as a separate item at the end of Part I of this Form 10-K. The balance of the information required by this item regarding our directors and executive officers appears in the definitive proxy statement filed pursuant to Regulation 14A for the 2001 Annual Meeting of our stockholders and is incorporated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ITEM 11.</w:t>
            </w:r>
          </w:p>
        </w:tc>
        <w:tc>
          <w:tcPr>
            <w:tcW w:w="6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EXECUTIVE COMPENSATION.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SECURITY OWNERSHIP OF</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CERTAIN BENEFICIAL OWNERS AND MANAGEMENT.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CERTAIN RELATIONSHIPS</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RELATED TRANSACTIONS.</w:t>
            </w:r>
          </w:p>
        </w:tc>
      </w:tr>
    </w:tbl>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Information required by these items appears in the definitive proxy statement filed pursuant to Regulation 14A for the 2001 Annual Meeting of our stockholders and is incorporated by reference.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part of this report.</w:t>
      </w:r>
    </w:p>
    <w:p>
      <w:pPr>
        <w:ind w:left="540" w:hanging="321"/>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See index at Item 8 of Part II.</w:t>
      </w:r>
    </w:p>
    <w:p>
      <w:pPr>
        <w:ind w:left="540" w:hanging="321"/>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  None applicable.</w:t>
      </w:r>
    </w:p>
    <w:p>
      <w:pPr>
        <w:spacing w:after="0" w:line="4" w:lineRule="exact"/>
        <w:rPr>
          <w:rFonts w:ascii="Courier New" w:cs="Courier New" w:eastAsia="Courier New" w:hAnsi="Courier New"/>
          <w:sz w:val="18"/>
          <w:szCs w:val="18"/>
          <w:color w:val="auto"/>
        </w:rPr>
      </w:pPr>
    </w:p>
    <w:p>
      <w:pPr>
        <w:ind w:left="540" w:right="2739" w:hanging="321"/>
        <w:spacing w:after="0" w:line="236"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required by Item 601 of Regulation S-K are filed as part of this Form 10-K. Exhibits 10.06 through 10.11 are compensatory plans and arrangements.</w:t>
      </w:r>
    </w:p>
    <w:p>
      <w:pPr>
        <w:spacing w:after="0" w:line="209" w:lineRule="exact"/>
        <w:rPr>
          <w:sz w:val="20"/>
          <w:szCs w:val="20"/>
          <w:color w:val="auto"/>
        </w:rPr>
      </w:pPr>
    </w:p>
    <w:p>
      <w:pPr>
        <w:ind w:left="1580" w:right="2319" w:hanging="736"/>
        <w:spacing w:after="0" w:line="237" w:lineRule="auto"/>
        <w:tabs>
          <w:tab w:leader="none" w:pos="1560" w:val="left"/>
        </w:tabs>
        <w:rPr>
          <w:sz w:val="20"/>
          <w:szCs w:val="20"/>
          <w:color w:val="auto"/>
        </w:rPr>
      </w:pPr>
      <w:r>
        <w:rPr>
          <w:rFonts w:ascii="Courier New" w:cs="Courier New" w:eastAsia="Courier New" w:hAnsi="Courier New"/>
          <w:sz w:val="18"/>
          <w:szCs w:val="18"/>
          <w:color w:val="auto"/>
        </w:rPr>
        <w:t>2.01</w:t>
        <w:tab/>
        <w:t>Agreement and Plan of Exchange as of April 30, 2000 between T. Rowe Price Associates, Inc. and T. Rowe Price Group, Inc. (Incorporated by reference from Form 424B3; Accession No. 0001113169-00-000003.)</w:t>
      </w:r>
    </w:p>
    <w:p>
      <w:pPr>
        <w:spacing w:after="0" w:line="207" w:lineRule="exact"/>
        <w:rPr>
          <w:sz w:val="20"/>
          <w:szCs w:val="20"/>
          <w:color w:val="auto"/>
        </w:rPr>
      </w:pPr>
    </w:p>
    <w:p>
      <w:pPr>
        <w:ind w:left="1580" w:right="2519" w:hanging="736"/>
        <w:spacing w:after="0" w:line="275" w:lineRule="auto"/>
        <w:tabs>
          <w:tab w:leader="none" w:pos="1560" w:val="left"/>
        </w:tabs>
        <w:rPr>
          <w:sz w:val="20"/>
          <w:szCs w:val="20"/>
          <w:color w:val="auto"/>
        </w:rPr>
      </w:pPr>
      <w:r>
        <w:rPr>
          <w:rFonts w:ascii="Courier New" w:cs="Courier New" w:eastAsia="Courier New" w:hAnsi="Courier New"/>
          <w:sz w:val="18"/>
          <w:szCs w:val="18"/>
          <w:color w:val="auto"/>
        </w:rPr>
        <w:t>2.02</w:t>
      </w:r>
      <w:r>
        <w:rPr>
          <w:sz w:val="20"/>
          <w:szCs w:val="20"/>
          <w:color w:val="auto"/>
        </w:rPr>
        <w:tab/>
      </w:r>
      <w:r>
        <w:rPr>
          <w:rFonts w:ascii="Courier New" w:cs="Courier New" w:eastAsia="Courier New" w:hAnsi="Courier New"/>
          <w:sz w:val="16"/>
          <w:szCs w:val="16"/>
          <w:color w:val="auto"/>
        </w:rPr>
        <w:t>Form of Articles of Share Exchange between T. Rowe Price Associates, Inc. and T. Rowe Price Group, Inc. which was executed on December 14, 2000. (Incorporated by reference from Form 424B3; Accession No. 0001113169-00-000003.)</w:t>
      </w:r>
    </w:p>
    <w:p>
      <w:pPr>
        <w:spacing w:after="0" w:line="182" w:lineRule="exact"/>
        <w:rPr>
          <w:sz w:val="20"/>
          <w:szCs w:val="20"/>
          <w:color w:val="auto"/>
        </w:rPr>
      </w:pPr>
    </w:p>
    <w:p>
      <w:pPr>
        <w:ind w:left="1580" w:right="2319" w:hanging="736"/>
        <w:spacing w:after="0" w:line="272" w:lineRule="auto"/>
        <w:tabs>
          <w:tab w:leader="none" w:pos="1560" w:val="left"/>
        </w:tabs>
        <w:rPr>
          <w:sz w:val="20"/>
          <w:szCs w:val="20"/>
          <w:color w:val="auto"/>
        </w:rPr>
      </w:pPr>
      <w:r>
        <w:rPr>
          <w:rFonts w:ascii="Courier New" w:cs="Courier New" w:eastAsia="Courier New" w:hAnsi="Courier New"/>
          <w:sz w:val="18"/>
          <w:szCs w:val="18"/>
          <w:color w:val="auto"/>
        </w:rPr>
        <w:t>2.03</w:t>
      </w:r>
      <w:r>
        <w:rPr>
          <w:sz w:val="20"/>
          <w:szCs w:val="20"/>
          <w:color w:val="auto"/>
        </w:rPr>
        <w:tab/>
      </w:r>
      <w:r>
        <w:rPr>
          <w:rFonts w:ascii="Courier New" w:cs="Courier New" w:eastAsia="Courier New" w:hAnsi="Courier New"/>
          <w:sz w:val="16"/>
          <w:szCs w:val="16"/>
          <w:color w:val="auto"/>
        </w:rPr>
        <w:t>Stock Purchase Agreement dated as of April 11, 2000 by and between Robert Fleming Holdings Limited and its wholly owned subsidiaries Jardine Fleming International Holdings Limited and Copthall Overseas Limited, T. Rowe Price Associates, Inc., and The Chase Manhattan Corporation. (Incorporated by reference from Form 10-Q Report for the quarterly period</w:t>
      </w:r>
    </w:p>
    <w:p>
      <w:pPr>
        <w:sectPr>
          <w:pgSz w:w="11900" w:h="16838" w:orient="portrait"/>
          <w:cols w:equalWidth="0" w:num="1">
            <w:col w:w="10219"/>
          </w:cols>
          <w:pgMar w:left="24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41</w:t>
      </w:r>
    </w:p>
    <w:p>
      <w:pPr>
        <w:ind w:left="1580"/>
        <w:spacing w:after="0" w:line="238" w:lineRule="auto"/>
        <w:rPr>
          <w:sz w:val="20"/>
          <w:szCs w:val="20"/>
          <w:color w:val="auto"/>
        </w:rPr>
      </w:pPr>
      <w:r>
        <w:rPr>
          <w:rFonts w:ascii="Courier New" w:cs="Courier New" w:eastAsia="Courier New" w:hAnsi="Courier New"/>
          <w:sz w:val="18"/>
          <w:szCs w:val="18"/>
          <w:color w:val="auto"/>
        </w:rPr>
        <w:t>ended June 30, 2000; Accession No. 0000080255-00-000425.)</w:t>
      </w:r>
    </w:p>
    <w:p>
      <w:pPr>
        <w:spacing w:after="0" w:line="207" w:lineRule="exact"/>
        <w:rPr>
          <w:sz w:val="20"/>
          <w:szCs w:val="20"/>
          <w:color w:val="auto"/>
        </w:rPr>
      </w:pPr>
    </w:p>
    <w:p>
      <w:pPr>
        <w:ind w:left="1460" w:right="2319" w:hanging="719"/>
        <w:spacing w:after="0" w:line="235" w:lineRule="auto"/>
        <w:tabs>
          <w:tab w:leader="none" w:pos="1440" w:val="left"/>
        </w:tabs>
        <w:rPr>
          <w:sz w:val="20"/>
          <w:szCs w:val="20"/>
          <w:color w:val="auto"/>
        </w:rPr>
      </w:pPr>
      <w:r>
        <w:rPr>
          <w:rFonts w:ascii="Courier New" w:cs="Courier New" w:eastAsia="Courier New" w:hAnsi="Courier New"/>
          <w:sz w:val="18"/>
          <w:szCs w:val="18"/>
          <w:color w:val="auto"/>
        </w:rPr>
        <w:t>3(i)</w:t>
        <w:tab/>
        <w:t>Amended and Restated Charter of T. Rowe Price Group, Inc. as of March 9, 2001.</w:t>
      </w:r>
    </w:p>
    <w:p>
      <w:pPr>
        <w:spacing w:after="0" w:line="208" w:lineRule="exact"/>
        <w:rPr>
          <w:sz w:val="20"/>
          <w:szCs w:val="20"/>
          <w:color w:val="auto"/>
        </w:rPr>
      </w:pPr>
    </w:p>
    <w:p>
      <w:pPr>
        <w:jc w:val="both"/>
        <w:ind w:left="1460" w:right="2619" w:hanging="719"/>
        <w:spacing w:after="0" w:line="236" w:lineRule="auto"/>
        <w:tabs>
          <w:tab w:leader="none" w:pos="1440" w:val="left"/>
        </w:tabs>
        <w:rPr>
          <w:sz w:val="20"/>
          <w:szCs w:val="20"/>
          <w:color w:val="auto"/>
        </w:rPr>
      </w:pPr>
      <w:r>
        <w:rPr>
          <w:rFonts w:ascii="Courier New" w:cs="Courier New" w:eastAsia="Courier New" w:hAnsi="Courier New"/>
          <w:sz w:val="18"/>
          <w:szCs w:val="18"/>
          <w:color w:val="auto"/>
        </w:rPr>
        <w:t>3(ii)</w:t>
        <w:tab/>
        <w:t>By-Laws of T. Rowe Price Group, Inc. as of June 30, 2000. (Incorporated by reference from Form 424B3; Accession No. 0001113169-00-000003.)</w:t>
      </w:r>
    </w:p>
    <w:p>
      <w:pPr>
        <w:spacing w:after="0" w:line="203" w:lineRule="exact"/>
        <w:rPr>
          <w:sz w:val="20"/>
          <w:szCs w:val="20"/>
          <w:color w:val="auto"/>
        </w:rPr>
      </w:pPr>
    </w:p>
    <w:p>
      <w:pPr>
        <w:jc w:val="center"/>
        <w:ind w:right="1679"/>
        <w:spacing w:after="0"/>
        <w:tabs>
          <w:tab w:leader="none" w:pos="280" w:val="left"/>
        </w:tabs>
        <w:rPr>
          <w:sz w:val="20"/>
          <w:szCs w:val="20"/>
          <w:color w:val="auto"/>
        </w:rPr>
      </w:pPr>
      <w:r>
        <w:rPr>
          <w:rFonts w:ascii="Courier New" w:cs="Courier New" w:eastAsia="Courier New" w:hAnsi="Courier New"/>
          <w:sz w:val="18"/>
          <w:szCs w:val="18"/>
          <w:color w:val="auto"/>
        </w:rPr>
        <w:t>4.01</w:t>
      </w:r>
      <w:r>
        <w:rPr>
          <w:sz w:val="20"/>
          <w:szCs w:val="20"/>
          <w:color w:val="auto"/>
        </w:rPr>
        <w:tab/>
      </w:r>
      <w:r>
        <w:rPr>
          <w:rFonts w:ascii="Courier New" w:cs="Courier New" w:eastAsia="Courier New" w:hAnsi="Courier New"/>
          <w:sz w:val="16"/>
          <w:szCs w:val="16"/>
          <w:color w:val="auto"/>
        </w:rPr>
        <w:t>$500,000,000 Five-Year Credit Agreement among T. Rowe Price</w:t>
      </w:r>
    </w:p>
    <w:p>
      <w:pPr>
        <w:spacing w:after="0" w:line="4" w:lineRule="exact"/>
        <w:rPr>
          <w:sz w:val="20"/>
          <w:szCs w:val="20"/>
          <w:color w:val="auto"/>
        </w:rPr>
      </w:pPr>
    </w:p>
    <w:p>
      <w:pPr>
        <w:ind w:left="1460" w:right="2519"/>
        <w:spacing w:after="0" w:line="275" w:lineRule="auto"/>
        <w:rPr>
          <w:sz w:val="20"/>
          <w:szCs w:val="20"/>
          <w:color w:val="auto"/>
        </w:rPr>
      </w:pPr>
      <w:r>
        <w:rPr>
          <w:rFonts w:ascii="Courier New" w:cs="Courier New" w:eastAsia="Courier New" w:hAnsi="Courier New"/>
          <w:sz w:val="16"/>
          <w:szCs w:val="16"/>
          <w:color w:val="auto"/>
        </w:rPr>
        <w:t>Associates, Inc., the several lenders, and The Chase Manhattan Bank, as administrative agent. (Incorporated by reference from Form 10-Q Report for the quarterly period ended June 30, 2000; Accession No. 0000080255-00-000425.)</w:t>
      </w:r>
    </w:p>
    <w:p>
      <w:pPr>
        <w:spacing w:after="0" w:line="182" w:lineRule="exact"/>
        <w:rPr>
          <w:sz w:val="20"/>
          <w:szCs w:val="20"/>
          <w:color w:val="auto"/>
        </w:rPr>
      </w:pPr>
    </w:p>
    <w:p>
      <w:pPr>
        <w:jc w:val="both"/>
        <w:ind w:left="1460" w:right="2419" w:hanging="842"/>
        <w:spacing w:after="0" w:line="279" w:lineRule="auto"/>
        <w:tabs>
          <w:tab w:leader="none" w:pos="1440" w:val="left"/>
        </w:tabs>
        <w:rPr>
          <w:sz w:val="20"/>
          <w:szCs w:val="20"/>
          <w:color w:val="auto"/>
        </w:rPr>
      </w:pPr>
      <w:r>
        <w:rPr>
          <w:rFonts w:ascii="Courier New" w:cs="Courier New" w:eastAsia="Courier New" w:hAnsi="Courier New"/>
          <w:sz w:val="18"/>
          <w:szCs w:val="18"/>
          <w:color w:val="auto"/>
        </w:rPr>
        <w:t>10.01</w:t>
      </w:r>
      <w:r>
        <w:rPr>
          <w:sz w:val="20"/>
          <w:szCs w:val="20"/>
          <w:color w:val="auto"/>
        </w:rPr>
        <w:tab/>
      </w:r>
      <w:r>
        <w:rPr>
          <w:rFonts w:ascii="Courier New" w:cs="Courier New" w:eastAsia="Courier New" w:hAnsi="Courier New"/>
          <w:sz w:val="16"/>
          <w:szCs w:val="16"/>
          <w:color w:val="auto"/>
        </w:rPr>
        <w:t>Representative Investment Management Agreement with each of the T. Rowe Price mutual funds. (Incorporated by reference from Form N-1A/A; Accession No. 0001046404-97-000008.)</w:t>
      </w:r>
    </w:p>
    <w:p>
      <w:pPr>
        <w:spacing w:after="0" w:line="178" w:lineRule="exact"/>
        <w:rPr>
          <w:sz w:val="20"/>
          <w:szCs w:val="20"/>
          <w:color w:val="auto"/>
        </w:rPr>
      </w:pPr>
    </w:p>
    <w:p>
      <w:pPr>
        <w:ind w:left="1460" w:right="2319" w:hanging="842"/>
        <w:spacing w:after="0" w:line="237" w:lineRule="auto"/>
        <w:tabs>
          <w:tab w:leader="none" w:pos="1440" w:val="left"/>
        </w:tabs>
        <w:rPr>
          <w:sz w:val="20"/>
          <w:szCs w:val="20"/>
          <w:color w:val="auto"/>
        </w:rPr>
      </w:pPr>
      <w:r>
        <w:rPr>
          <w:rFonts w:ascii="Courier New" w:cs="Courier New" w:eastAsia="Courier New" w:hAnsi="Courier New"/>
          <w:sz w:val="18"/>
          <w:szCs w:val="18"/>
          <w:color w:val="auto"/>
        </w:rPr>
        <w:t>10.02</w:t>
        <w:tab/>
        <w:t>Transfer Agency and Service Agreement dated as of January 1, 2000 between each of the T. Rowe Price mutual funds and T. Rowe Price Services, Inc. (Incorporated by reference from Form 485BPOS; Accession No. 0001012968-00-000024.)</w:t>
      </w:r>
    </w:p>
    <w:p>
      <w:pPr>
        <w:spacing w:after="0" w:line="207" w:lineRule="exact"/>
        <w:rPr>
          <w:sz w:val="20"/>
          <w:szCs w:val="20"/>
          <w:color w:val="auto"/>
        </w:rPr>
      </w:pPr>
    </w:p>
    <w:p>
      <w:pPr>
        <w:ind w:left="1460" w:right="2199" w:hanging="842"/>
        <w:spacing w:after="0" w:line="237" w:lineRule="auto"/>
        <w:tabs>
          <w:tab w:leader="none" w:pos="1440" w:val="left"/>
        </w:tabs>
        <w:rPr>
          <w:sz w:val="20"/>
          <w:szCs w:val="20"/>
          <w:color w:val="auto"/>
        </w:rPr>
      </w:pPr>
      <w:r>
        <w:rPr>
          <w:rFonts w:ascii="Courier New" w:cs="Courier New" w:eastAsia="Courier New" w:hAnsi="Courier New"/>
          <w:sz w:val="18"/>
          <w:szCs w:val="18"/>
          <w:color w:val="auto"/>
        </w:rPr>
        <w:t>10.03</w:t>
        <w:tab/>
        <w:t>Agreement dated January 1, 2000, as amended February 9, 2000, between T. Rowe Price Retirement Plan Services, Inc. and each of the T. Rowe Price taxable mutual funds. (Incorporated by reference from Form 485BPOS; Accession No. 0001012968-00-000024.)</w:t>
      </w:r>
    </w:p>
    <w:p>
      <w:pPr>
        <w:spacing w:after="0" w:line="203" w:lineRule="exact"/>
        <w:rPr>
          <w:sz w:val="20"/>
          <w:szCs w:val="20"/>
          <w:color w:val="auto"/>
        </w:rPr>
      </w:pPr>
    </w:p>
    <w:p>
      <w:pPr>
        <w:jc w:val="center"/>
        <w:ind w:right="1699"/>
        <w:spacing w:after="0"/>
        <w:tabs>
          <w:tab w:leader="none" w:pos="280" w:val="left"/>
        </w:tabs>
        <w:rPr>
          <w:sz w:val="20"/>
          <w:szCs w:val="20"/>
          <w:color w:val="auto"/>
        </w:rPr>
      </w:pPr>
      <w:r>
        <w:rPr>
          <w:rFonts w:ascii="Courier New" w:cs="Courier New" w:eastAsia="Courier New" w:hAnsi="Courier New"/>
          <w:sz w:val="18"/>
          <w:szCs w:val="18"/>
          <w:color w:val="auto"/>
        </w:rPr>
        <w:t>10.04</w:t>
      </w:r>
      <w:r>
        <w:rPr>
          <w:sz w:val="20"/>
          <w:szCs w:val="20"/>
          <w:color w:val="auto"/>
        </w:rPr>
        <w:tab/>
      </w:r>
      <w:r>
        <w:rPr>
          <w:rFonts w:ascii="Courier New" w:cs="Courier New" w:eastAsia="Courier New" w:hAnsi="Courier New"/>
          <w:sz w:val="16"/>
          <w:szCs w:val="16"/>
          <w:color w:val="auto"/>
        </w:rPr>
        <w:t>Representative Underwriting Agreement between each of the T.</w:t>
      </w:r>
    </w:p>
    <w:p>
      <w:pPr>
        <w:spacing w:after="0" w:line="4" w:lineRule="exact"/>
        <w:rPr>
          <w:sz w:val="20"/>
          <w:szCs w:val="20"/>
          <w:color w:val="auto"/>
        </w:rPr>
      </w:pPr>
    </w:p>
    <w:p>
      <w:pPr>
        <w:ind w:left="1460" w:right="2199"/>
        <w:spacing w:after="0" w:line="236" w:lineRule="auto"/>
        <w:rPr>
          <w:sz w:val="20"/>
          <w:szCs w:val="20"/>
          <w:color w:val="auto"/>
        </w:rPr>
      </w:pPr>
      <w:r>
        <w:rPr>
          <w:rFonts w:ascii="Courier New" w:cs="Courier New" w:eastAsia="Courier New" w:hAnsi="Courier New"/>
          <w:sz w:val="18"/>
          <w:szCs w:val="18"/>
          <w:color w:val="auto"/>
        </w:rPr>
        <w:t>Rowe Price mutual funds and T. Rowe Price Investment Services, Inc. (Incorporated by reference from Form 485APOS; Accession No. 0000775688-00-000003.)</w:t>
      </w:r>
    </w:p>
    <w:p>
      <w:pPr>
        <w:spacing w:after="0" w:line="209" w:lineRule="exact"/>
        <w:rPr>
          <w:sz w:val="20"/>
          <w:szCs w:val="20"/>
          <w:color w:val="auto"/>
        </w:rPr>
      </w:pPr>
    </w:p>
    <w:p>
      <w:pPr>
        <w:ind w:left="1460" w:right="2199" w:hanging="842"/>
        <w:spacing w:after="0" w:line="268" w:lineRule="auto"/>
        <w:tabs>
          <w:tab w:leader="none" w:pos="1440" w:val="left"/>
        </w:tabs>
        <w:rPr>
          <w:sz w:val="20"/>
          <w:szCs w:val="20"/>
          <w:color w:val="auto"/>
        </w:rPr>
      </w:pPr>
      <w:r>
        <w:rPr>
          <w:rFonts w:ascii="Courier New" w:cs="Courier New" w:eastAsia="Courier New" w:hAnsi="Courier New"/>
          <w:sz w:val="18"/>
          <w:szCs w:val="18"/>
          <w:color w:val="auto"/>
        </w:rPr>
        <w:t>10.05</w:t>
      </w:r>
      <w:r>
        <w:rPr>
          <w:sz w:val="20"/>
          <w:szCs w:val="20"/>
          <w:color w:val="auto"/>
        </w:rPr>
        <w:tab/>
      </w:r>
      <w:r>
        <w:rPr>
          <w:rFonts w:ascii="Courier New" w:cs="Courier New" w:eastAsia="Courier New" w:hAnsi="Courier New"/>
          <w:sz w:val="16"/>
          <w:szCs w:val="16"/>
          <w:color w:val="auto"/>
        </w:rPr>
        <w:t>Amended, Restated, and Consolidated Office Lease dated as of May 22, 1997 between 100 East Pratt Street Limited Partnership and T. Rowe Price Associates, Inc. (Incorporated by reference from Form 10-K for 1997; Accession No.</w:t>
      </w:r>
    </w:p>
    <w:p>
      <w:pPr>
        <w:ind w:left="1460"/>
        <w:spacing w:after="0" w:line="234" w:lineRule="auto"/>
        <w:rPr>
          <w:sz w:val="20"/>
          <w:szCs w:val="20"/>
          <w:color w:val="auto"/>
        </w:rPr>
      </w:pPr>
      <w:r>
        <w:rPr>
          <w:rFonts w:ascii="Courier New" w:cs="Courier New" w:eastAsia="Courier New" w:hAnsi="Courier New"/>
          <w:sz w:val="18"/>
          <w:szCs w:val="18"/>
          <w:color w:val="auto"/>
        </w:rPr>
        <w:t>0000080255-98-000358.)</w:t>
      </w:r>
    </w:p>
    <w:p>
      <w:pPr>
        <w:spacing w:after="0" w:line="207" w:lineRule="exact"/>
        <w:rPr>
          <w:sz w:val="20"/>
          <w:szCs w:val="20"/>
          <w:color w:val="auto"/>
        </w:rPr>
      </w:pPr>
    </w:p>
    <w:p>
      <w:pPr>
        <w:ind w:left="1460" w:right="2419" w:hanging="842"/>
        <w:spacing w:after="0" w:line="290" w:lineRule="auto"/>
        <w:tabs>
          <w:tab w:leader="none" w:pos="1440" w:val="left"/>
        </w:tabs>
        <w:rPr>
          <w:sz w:val="20"/>
          <w:szCs w:val="20"/>
          <w:color w:val="auto"/>
        </w:rPr>
      </w:pPr>
      <w:r>
        <w:rPr>
          <w:rFonts w:ascii="Courier New" w:cs="Courier New" w:eastAsia="Courier New" w:hAnsi="Courier New"/>
          <w:sz w:val="18"/>
          <w:szCs w:val="18"/>
          <w:color w:val="auto"/>
        </w:rPr>
        <w:t>10.06</w:t>
      </w:r>
      <w:r>
        <w:rPr>
          <w:sz w:val="20"/>
          <w:szCs w:val="20"/>
          <w:color w:val="auto"/>
        </w:rPr>
        <w:tab/>
      </w:r>
      <w:r>
        <w:rPr>
          <w:rFonts w:ascii="Courier New" w:cs="Courier New" w:eastAsia="Courier New" w:hAnsi="Courier New"/>
          <w:sz w:val="16"/>
          <w:szCs w:val="16"/>
          <w:color w:val="auto"/>
        </w:rPr>
        <w:t>1990 Stock Incentive Plan. (Incorporated by reference from Form S-8 Registration Statement [File No. 33-37573].)</w:t>
      </w:r>
    </w:p>
    <w:p>
      <w:pPr>
        <w:spacing w:after="0" w:line="170" w:lineRule="exact"/>
        <w:rPr>
          <w:sz w:val="20"/>
          <w:szCs w:val="20"/>
          <w:color w:val="auto"/>
        </w:rPr>
      </w:pPr>
    </w:p>
    <w:p>
      <w:pPr>
        <w:ind w:left="1460" w:right="2419" w:hanging="842"/>
        <w:spacing w:after="0" w:line="290" w:lineRule="auto"/>
        <w:tabs>
          <w:tab w:leader="none" w:pos="1440" w:val="left"/>
        </w:tabs>
        <w:rPr>
          <w:sz w:val="20"/>
          <w:szCs w:val="20"/>
          <w:color w:val="auto"/>
        </w:rPr>
      </w:pPr>
      <w:r>
        <w:rPr>
          <w:rFonts w:ascii="Courier New" w:cs="Courier New" w:eastAsia="Courier New" w:hAnsi="Courier New"/>
          <w:sz w:val="18"/>
          <w:szCs w:val="18"/>
          <w:color w:val="auto"/>
        </w:rPr>
        <w:t>10.07</w:t>
      </w:r>
      <w:r>
        <w:rPr>
          <w:sz w:val="20"/>
          <w:szCs w:val="20"/>
          <w:color w:val="auto"/>
        </w:rPr>
        <w:tab/>
      </w:r>
      <w:r>
        <w:rPr>
          <w:rFonts w:ascii="Courier New" w:cs="Courier New" w:eastAsia="Courier New" w:hAnsi="Courier New"/>
          <w:sz w:val="16"/>
          <w:szCs w:val="16"/>
          <w:color w:val="auto"/>
        </w:rPr>
        <w:t>1993 Stock Incentive Plan. (Incorporated by reference from Form S-8 Registration Statement [File No. 33-72568].)</w:t>
      </w:r>
    </w:p>
    <w:p>
      <w:pPr>
        <w:spacing w:after="0" w:line="170" w:lineRule="exact"/>
        <w:rPr>
          <w:sz w:val="20"/>
          <w:szCs w:val="20"/>
          <w:color w:val="auto"/>
        </w:rPr>
      </w:pPr>
    </w:p>
    <w:p>
      <w:pPr>
        <w:ind w:left="1460" w:right="2319" w:hanging="842"/>
        <w:spacing w:after="0" w:line="290" w:lineRule="auto"/>
        <w:tabs>
          <w:tab w:leader="none" w:pos="1440" w:val="left"/>
        </w:tabs>
        <w:rPr>
          <w:sz w:val="20"/>
          <w:szCs w:val="20"/>
          <w:color w:val="auto"/>
        </w:rPr>
      </w:pPr>
      <w:r>
        <w:rPr>
          <w:rFonts w:ascii="Courier New" w:cs="Courier New" w:eastAsia="Courier New" w:hAnsi="Courier New"/>
          <w:sz w:val="18"/>
          <w:szCs w:val="18"/>
          <w:color w:val="auto"/>
        </w:rPr>
        <w:t>10.08</w:t>
      </w:r>
      <w:r>
        <w:rPr>
          <w:sz w:val="20"/>
          <w:szCs w:val="20"/>
          <w:color w:val="auto"/>
        </w:rPr>
        <w:tab/>
      </w:r>
      <w:r>
        <w:rPr>
          <w:rFonts w:ascii="Courier New" w:cs="Courier New" w:eastAsia="Courier New" w:hAnsi="Courier New"/>
          <w:sz w:val="16"/>
          <w:szCs w:val="16"/>
          <w:color w:val="auto"/>
        </w:rPr>
        <w:t>1995 Director Stock Option Plan. (Incorporated by reference from Form DEF 14A; Accession No. 0000933259-95-000009.)</w:t>
      </w:r>
    </w:p>
    <w:p>
      <w:pPr>
        <w:sectPr>
          <w:pgSz w:w="11900" w:h="16838" w:orient="portrait"/>
          <w:cols w:equalWidth="0" w:num="1">
            <w:col w:w="10099"/>
          </w:cols>
          <w:pgMar w:left="360" w:top="312" w:right="1440" w:bottom="1440" w:gutter="0" w:footer="0" w:header="0"/>
        </w:sectPr>
      </w:pPr>
    </w:p>
    <w:bookmarkStart w:id="41" w:name="page42"/>
    <w:bookmarkEnd w:id="41"/>
    <w:p>
      <w:pPr>
        <w:ind w:left="120"/>
        <w:spacing w:after="0"/>
        <w:rPr>
          <w:sz w:val="20"/>
          <w:szCs w:val="20"/>
          <w:color w:val="auto"/>
        </w:rPr>
      </w:pPr>
      <w:r>
        <w:rPr>
          <w:rFonts w:ascii="Courier New" w:cs="Courier New" w:eastAsia="Courier New" w:hAnsi="Courier New"/>
          <w:sz w:val="18"/>
          <w:szCs w:val="18"/>
          <w:color w:val="auto"/>
        </w:rPr>
        <w:t>42</w:t>
      </w:r>
    </w:p>
    <w:p>
      <w:pPr>
        <w:jc w:val="center"/>
        <w:ind w:right="1679"/>
        <w:spacing w:after="0"/>
        <w:tabs>
          <w:tab w:leader="none" w:pos="280" w:val="left"/>
          <w:tab w:leader="none" w:pos="200" w:val="left"/>
        </w:tabs>
        <w:rPr>
          <w:sz w:val="20"/>
          <w:szCs w:val="20"/>
          <w:color w:val="auto"/>
        </w:rPr>
      </w:pPr>
      <w:r>
        <w:rPr>
          <w:rFonts w:ascii="Courier New" w:cs="Courier New" w:eastAsia="Courier New" w:hAnsi="Courier New"/>
          <w:sz w:val="18"/>
          <w:szCs w:val="18"/>
          <w:color w:val="auto"/>
        </w:rPr>
        <w:t>10.09</w:t>
        <w:tab/>
        <w:t>1996 Stock Incentive Plan.</w:t>
      </w:r>
      <w:r>
        <w:rPr>
          <w:sz w:val="20"/>
          <w:szCs w:val="20"/>
          <w:color w:val="auto"/>
        </w:rPr>
        <w:tab/>
      </w:r>
      <w:r>
        <w:rPr>
          <w:rFonts w:ascii="Courier New" w:cs="Courier New" w:eastAsia="Courier New" w:hAnsi="Courier New"/>
          <w:sz w:val="16"/>
          <w:szCs w:val="16"/>
          <w:color w:val="auto"/>
        </w:rPr>
        <w:t>(Incorporated by reference from</w:t>
      </w:r>
    </w:p>
    <w:p>
      <w:pPr>
        <w:jc w:val="center"/>
        <w:ind w:right="1679"/>
        <w:spacing w:after="0"/>
        <w:tabs>
          <w:tab w:leader="none" w:pos="180" w:val="left"/>
        </w:tabs>
        <w:rPr>
          <w:sz w:val="20"/>
          <w:szCs w:val="20"/>
          <w:color w:val="auto"/>
        </w:rPr>
      </w:pPr>
      <w:r>
        <w:rPr>
          <w:rFonts w:ascii="Courier New" w:cs="Courier New" w:eastAsia="Courier New" w:hAnsi="Courier New"/>
          <w:sz w:val="18"/>
          <w:szCs w:val="18"/>
          <w:color w:val="auto"/>
        </w:rPr>
        <w:t>Form DEF 14A; Accession No.</w:t>
      </w:r>
      <w:r>
        <w:rPr>
          <w:sz w:val="20"/>
          <w:szCs w:val="20"/>
          <w:color w:val="auto"/>
        </w:rPr>
        <w:tab/>
      </w:r>
      <w:r>
        <w:rPr>
          <w:rFonts w:ascii="Courier New" w:cs="Courier New" w:eastAsia="Courier New" w:hAnsi="Courier New"/>
          <w:sz w:val="16"/>
          <w:szCs w:val="16"/>
          <w:color w:val="auto"/>
        </w:rPr>
        <w:t>0001006199-96-000031.)</w:t>
      </w:r>
    </w:p>
    <w:p>
      <w:pPr>
        <w:spacing w:after="0" w:line="206" w:lineRule="exact"/>
        <w:rPr>
          <w:sz w:val="20"/>
          <w:szCs w:val="20"/>
          <w:color w:val="auto"/>
        </w:rPr>
      </w:pPr>
    </w:p>
    <w:p>
      <w:pPr>
        <w:ind w:left="1580" w:right="2319" w:hanging="842"/>
        <w:spacing w:after="0" w:line="290" w:lineRule="auto"/>
        <w:tabs>
          <w:tab w:leader="none" w:pos="156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1998 Director Stock Option Plan. (Incorporated by reference from Form DEF 14A; Accession No. 0000080255-98-000355.)</w:t>
      </w:r>
    </w:p>
    <w:p>
      <w:pPr>
        <w:spacing w:after="0" w:line="170" w:lineRule="exact"/>
        <w:rPr>
          <w:sz w:val="20"/>
          <w:szCs w:val="20"/>
          <w:color w:val="auto"/>
        </w:rPr>
      </w:pPr>
    </w:p>
    <w:p>
      <w:pPr>
        <w:ind w:left="1580" w:right="2619" w:hanging="842"/>
        <w:spacing w:after="0" w:line="236" w:lineRule="auto"/>
        <w:tabs>
          <w:tab w:leader="none" w:pos="1560" w:val="left"/>
        </w:tabs>
        <w:rPr>
          <w:sz w:val="20"/>
          <w:szCs w:val="20"/>
          <w:color w:val="auto"/>
        </w:rPr>
      </w:pPr>
      <w:r>
        <w:rPr>
          <w:rFonts w:ascii="Courier New" w:cs="Courier New" w:eastAsia="Courier New" w:hAnsi="Courier New"/>
          <w:sz w:val="18"/>
          <w:szCs w:val="18"/>
          <w:color w:val="auto"/>
        </w:rPr>
        <w:t>10.11</w:t>
        <w:tab/>
        <w:t>Executive Incentive Compensation Plan. (Incorporated by reference from Form DEF 14A; Accession No. 0000933259-95-000009.)</w:t>
      </w:r>
    </w:p>
    <w:p>
      <w:pPr>
        <w:spacing w:after="0" w:line="203"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Subsidiaries of T. Rowe Price Group, Inc.</w:t>
      </w:r>
    </w:p>
    <w:p>
      <w:pPr>
        <w:spacing w:after="0" w:line="207" w:lineRule="exact"/>
        <w:rPr>
          <w:sz w:val="20"/>
          <w:szCs w:val="20"/>
          <w:color w:val="auto"/>
        </w:rPr>
      </w:pPr>
    </w:p>
    <w:p>
      <w:pPr>
        <w:ind w:left="1580" w:right="4939" w:hanging="835"/>
        <w:spacing w:after="0" w:line="290"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Accountants, PricewaterhouseCoopers LLP.</w:t>
      </w:r>
    </w:p>
    <w:p>
      <w:pPr>
        <w:spacing w:after="0" w:line="169" w:lineRule="exact"/>
        <w:rPr>
          <w:rFonts w:ascii="Courier New" w:cs="Courier New" w:eastAsia="Courier New" w:hAnsi="Courier New"/>
          <w:sz w:val="16"/>
          <w:szCs w:val="16"/>
          <w:color w:val="auto"/>
        </w:rPr>
      </w:pPr>
    </w:p>
    <w:p>
      <w:pPr>
        <w:ind w:left="540" w:right="219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On December 29, 2000, we filed a report disclosing the completion of our reorganization into a holding company structure through a share exchange on December 28, 2000. (Form 8-K12G3; Accession No. 0000950109-00-005100).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 on March 23,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Group, Inc.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George A. Roche, Chairman and President</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indicated on March 23, 2001.</w:t>
      </w:r>
    </w:p>
    <w:p>
      <w:pPr>
        <w:spacing w:after="0" w:line="209" w:lineRule="exact"/>
        <w:rPr>
          <w:sz w:val="20"/>
          <w:szCs w:val="20"/>
          <w:color w:val="auto"/>
        </w:rPr>
      </w:pPr>
    </w:p>
    <w:p>
      <w:pPr>
        <w:ind w:left="540" w:right="4099" w:hanging="526"/>
        <w:spacing w:after="0" w:line="235" w:lineRule="auto"/>
        <w:rPr>
          <w:sz w:val="20"/>
          <w:szCs w:val="20"/>
          <w:color w:val="auto"/>
        </w:rPr>
      </w:pPr>
      <w:r>
        <w:rPr>
          <w:rFonts w:ascii="Courier New" w:cs="Courier New" w:eastAsia="Courier New" w:hAnsi="Courier New"/>
          <w:sz w:val="18"/>
          <w:szCs w:val="18"/>
          <w:color w:val="auto"/>
        </w:rPr>
        <w:t>/s/ George A. Roche, Chairman and Director, President, and Principal Financial Officer</w:t>
      </w:r>
    </w:p>
    <w:p>
      <w:pPr>
        <w:spacing w:after="0"/>
        <w:rPr>
          <w:sz w:val="20"/>
          <w:szCs w:val="20"/>
          <w:color w:val="auto"/>
        </w:rPr>
      </w:pPr>
      <w:r>
        <w:rPr>
          <w:rFonts w:ascii="Courier New" w:cs="Courier New" w:eastAsia="Courier New" w:hAnsi="Courier New"/>
          <w:sz w:val="18"/>
          <w:szCs w:val="18"/>
          <w:color w:val="auto"/>
        </w:rPr>
        <w:t>/s/ James S. Riepe, Vice Chairman and Director</w:t>
      </w:r>
    </w:p>
    <w:p>
      <w:pPr>
        <w:spacing w:after="0" w:line="238" w:lineRule="auto"/>
        <w:rPr>
          <w:sz w:val="20"/>
          <w:szCs w:val="20"/>
          <w:color w:val="auto"/>
        </w:rPr>
      </w:pPr>
      <w:r>
        <w:rPr>
          <w:rFonts w:ascii="Courier New" w:cs="Courier New" w:eastAsia="Courier New" w:hAnsi="Courier New"/>
          <w:sz w:val="18"/>
          <w:szCs w:val="18"/>
          <w:color w:val="auto"/>
        </w:rPr>
        <w:t>/s/ M. David Testa, Vice Chairman and Director</w:t>
      </w:r>
    </w:p>
    <w:p>
      <w:pPr>
        <w:spacing w:after="0"/>
        <w:rPr>
          <w:sz w:val="20"/>
          <w:szCs w:val="20"/>
          <w:color w:val="auto"/>
        </w:rPr>
      </w:pPr>
      <w:r>
        <w:rPr>
          <w:rFonts w:ascii="Courier New" w:cs="Courier New" w:eastAsia="Courier New" w:hAnsi="Courier New"/>
          <w:sz w:val="18"/>
          <w:szCs w:val="18"/>
          <w:color w:val="auto"/>
        </w:rPr>
        <w:t>/s/ Edward C. Bernard, Director</w:t>
      </w:r>
    </w:p>
    <w:p>
      <w:pPr>
        <w:spacing w:after="0" w:line="237" w:lineRule="auto"/>
        <w:rPr>
          <w:sz w:val="20"/>
          <w:szCs w:val="20"/>
          <w:color w:val="auto"/>
        </w:rPr>
      </w:pPr>
      <w:r>
        <w:rPr>
          <w:rFonts w:ascii="Courier New" w:cs="Courier New" w:eastAsia="Courier New" w:hAnsi="Courier New"/>
          <w:sz w:val="18"/>
          <w:szCs w:val="18"/>
          <w:color w:val="auto"/>
        </w:rPr>
        <w:t>/s/ James E. Halbkat, Jr., Director</w:t>
      </w:r>
    </w:p>
    <w:p>
      <w:pPr>
        <w:spacing w:after="0" w:line="238" w:lineRule="auto"/>
        <w:rPr>
          <w:sz w:val="20"/>
          <w:szCs w:val="20"/>
          <w:color w:val="auto"/>
        </w:rPr>
      </w:pPr>
      <w:r>
        <w:rPr>
          <w:rFonts w:ascii="Courier New" w:cs="Courier New" w:eastAsia="Courier New" w:hAnsi="Courier New"/>
          <w:sz w:val="18"/>
          <w:szCs w:val="18"/>
          <w:color w:val="auto"/>
        </w:rPr>
        <w:t>/s/ Donald B. Hebb, Jr., Director</w:t>
      </w:r>
    </w:p>
    <w:p>
      <w:pPr>
        <w:spacing w:after="0"/>
        <w:rPr>
          <w:sz w:val="20"/>
          <w:szCs w:val="20"/>
          <w:color w:val="auto"/>
        </w:rPr>
      </w:pPr>
      <w:r>
        <w:rPr>
          <w:rFonts w:ascii="Courier New" w:cs="Courier New" w:eastAsia="Courier New" w:hAnsi="Courier New"/>
          <w:sz w:val="18"/>
          <w:szCs w:val="18"/>
          <w:color w:val="auto"/>
        </w:rPr>
        <w:t>/s/ Henry H. Hopkins, Director</w:t>
      </w:r>
    </w:p>
    <w:p>
      <w:pPr>
        <w:spacing w:after="0" w:line="237" w:lineRule="auto"/>
        <w:rPr>
          <w:sz w:val="20"/>
          <w:szCs w:val="20"/>
          <w:color w:val="auto"/>
        </w:rPr>
      </w:pPr>
      <w:r>
        <w:rPr>
          <w:rFonts w:ascii="Courier New" w:cs="Courier New" w:eastAsia="Courier New" w:hAnsi="Courier New"/>
          <w:sz w:val="18"/>
          <w:szCs w:val="18"/>
          <w:color w:val="auto"/>
        </w:rPr>
        <w:t>/s/ James A.C. Kennedy, Director</w:t>
      </w:r>
    </w:p>
    <w:p>
      <w:pPr>
        <w:spacing w:after="0"/>
        <w:rPr>
          <w:sz w:val="20"/>
          <w:szCs w:val="20"/>
          <w:color w:val="auto"/>
        </w:rPr>
      </w:pPr>
      <w:r>
        <w:rPr>
          <w:rFonts w:ascii="Courier New" w:cs="Courier New" w:eastAsia="Courier New" w:hAnsi="Courier New"/>
          <w:sz w:val="18"/>
          <w:szCs w:val="18"/>
          <w:color w:val="auto"/>
        </w:rPr>
        <w:t>/s/ John H. Laporte, Director</w:t>
      </w:r>
    </w:p>
    <w:p>
      <w:pPr>
        <w:spacing w:after="0" w:line="237" w:lineRule="auto"/>
        <w:rPr>
          <w:sz w:val="20"/>
          <w:szCs w:val="20"/>
          <w:color w:val="auto"/>
        </w:rPr>
      </w:pPr>
      <w:r>
        <w:rPr>
          <w:rFonts w:ascii="Courier New" w:cs="Courier New" w:eastAsia="Courier New" w:hAnsi="Courier New"/>
          <w:sz w:val="18"/>
          <w:szCs w:val="18"/>
          <w:color w:val="auto"/>
        </w:rPr>
        <w:t>/s/ Richard L. Menschel, Director</w:t>
      </w:r>
    </w:p>
    <w:p>
      <w:pPr>
        <w:spacing w:after="0"/>
        <w:rPr>
          <w:sz w:val="20"/>
          <w:szCs w:val="20"/>
          <w:color w:val="auto"/>
        </w:rPr>
      </w:pPr>
      <w:r>
        <w:rPr>
          <w:rFonts w:ascii="Courier New" w:cs="Courier New" w:eastAsia="Courier New" w:hAnsi="Courier New"/>
          <w:sz w:val="18"/>
          <w:szCs w:val="18"/>
          <w:color w:val="auto"/>
        </w:rPr>
        <w:t>/s/ William T. Reynolds, Director</w:t>
      </w:r>
    </w:p>
    <w:p>
      <w:pPr>
        <w:spacing w:after="0" w:line="237" w:lineRule="auto"/>
        <w:rPr>
          <w:sz w:val="20"/>
          <w:szCs w:val="20"/>
          <w:color w:val="auto"/>
        </w:rPr>
      </w:pPr>
      <w:r>
        <w:rPr>
          <w:rFonts w:ascii="Courier New" w:cs="Courier New" w:eastAsia="Courier New" w:hAnsi="Courier New"/>
          <w:sz w:val="18"/>
          <w:szCs w:val="18"/>
          <w:color w:val="auto"/>
        </w:rPr>
        <w:t>/s/ Brian C. Rogers, Director</w:t>
      </w:r>
    </w:p>
    <w:p>
      <w:pPr>
        <w:spacing w:after="0" w:line="238" w:lineRule="auto"/>
        <w:rPr>
          <w:sz w:val="20"/>
          <w:szCs w:val="20"/>
          <w:color w:val="auto"/>
        </w:rPr>
      </w:pPr>
      <w:r>
        <w:rPr>
          <w:rFonts w:ascii="Courier New" w:cs="Courier New" w:eastAsia="Courier New" w:hAnsi="Courier New"/>
          <w:sz w:val="18"/>
          <w:szCs w:val="18"/>
          <w:color w:val="auto"/>
        </w:rPr>
        <w:t>/s/ Robert L. Strickland, Director</w:t>
      </w:r>
    </w:p>
    <w:p>
      <w:pPr>
        <w:spacing w:after="0"/>
        <w:rPr>
          <w:sz w:val="20"/>
          <w:szCs w:val="20"/>
          <w:color w:val="auto"/>
        </w:rPr>
      </w:pPr>
      <w:r>
        <w:rPr>
          <w:rFonts w:ascii="Courier New" w:cs="Courier New" w:eastAsia="Courier New" w:hAnsi="Courier New"/>
          <w:sz w:val="18"/>
          <w:szCs w:val="18"/>
          <w:color w:val="auto"/>
        </w:rPr>
        <w:t>/s/ Martin G. Wade, Director</w:t>
      </w:r>
    </w:p>
    <w:p>
      <w:pPr>
        <w:spacing w:after="0" w:line="237" w:lineRule="auto"/>
        <w:rPr>
          <w:sz w:val="20"/>
          <w:szCs w:val="20"/>
          <w:color w:val="auto"/>
        </w:rPr>
      </w:pPr>
      <w:r>
        <w:rPr>
          <w:rFonts w:ascii="Courier New" w:cs="Courier New" w:eastAsia="Courier New" w:hAnsi="Courier New"/>
          <w:sz w:val="18"/>
          <w:szCs w:val="18"/>
          <w:color w:val="auto"/>
        </w:rPr>
        <w:t>/s/ Anne Marie Whittemore, Director</w:t>
      </w:r>
    </w:p>
    <w:p>
      <w:pPr>
        <w:spacing w:after="0"/>
        <w:rPr>
          <w:sz w:val="20"/>
          <w:szCs w:val="20"/>
          <w:color w:val="auto"/>
        </w:rPr>
      </w:pPr>
      <w:r>
        <w:rPr>
          <w:rFonts w:ascii="Courier New" w:cs="Courier New" w:eastAsia="Courier New" w:hAnsi="Courier New"/>
          <w:sz w:val="18"/>
          <w:szCs w:val="18"/>
          <w:color w:val="auto"/>
        </w:rPr>
        <w:t>/s/ Joseph P. Croteau, Treasurer and Principal Accounting Officer</w:t>
      </w:r>
    </w:p>
    <w:p>
      <w:pPr>
        <w:sectPr>
          <w:pgSz w:w="11900" w:h="16838" w:orient="portrait"/>
          <w:cols w:equalWidth="0" w:num="1">
            <w:col w:w="10219"/>
          </w:cols>
          <w:pgMar w:left="240" w:top="312" w:right="1440" w:bottom="1440" w:gutter="0" w:footer="0" w:header="0"/>
        </w:sectPr>
      </w:pPr>
    </w:p>
    <w:bookmarkStart w:id="42" w:name="page43"/>
    <w:bookmarkEnd w:id="42"/>
    <w:p>
      <w:pPr>
        <w:ind w:left="120"/>
        <w:spacing w:after="0"/>
        <w:tabs>
          <w:tab w:leader="none" w:pos="60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EXHIBIT 3(i)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AND RESTATED CHARTER OF T. ROWE PRICE GROUP, INC. AS OF MARCH 9, 2001</w:t>
      </w:r>
    </w:p>
    <w:p>
      <w:pPr>
        <w:spacing w:after="0" w:line="22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FIRST: THE UNDERSIGNED, Robye Shaw Margolius, whose address is 6225 Smith Avenue, Baltimore, Maryland 21209, being at least eighteen years of age, acting as incorporator, does hereby form a corporation under the General Laws of the State of Maryland.</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SECOND: The name of the corporation (which is hereinafter called the "Corporation") is: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 Rowe Price Group, Inc.</w:t>
      </w:r>
    </w:p>
    <w:p>
      <w:pPr>
        <w:spacing w:after="0" w:line="207"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THIRD: (a) The purposes for which and any of which the Corporation is formed and the business and objects to be carried on and promoted by it are:</w:t>
      </w:r>
    </w:p>
    <w:p>
      <w:pPr>
        <w:spacing w:after="0" w:line="170" w:lineRule="exact"/>
        <w:rPr>
          <w:sz w:val="20"/>
          <w:szCs w:val="20"/>
          <w:color w:val="auto"/>
        </w:rPr>
      </w:pPr>
    </w:p>
    <w:p>
      <w:pPr>
        <w:ind w:right="2099" w:firstLine="1061"/>
        <w:spacing w:after="0" w:line="237"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engage in any one or more businesses or transactions, or to acquire all or any portion of any entity engaged in any one or more businesses or transactions which the Board of Directors may from time to time authorize or approve, whether or not related to the business described elsewhere in this Article or to any other business at the time or theretofore engaged in by the Corporation.</w:t>
      </w:r>
    </w:p>
    <w:p>
      <w:pPr>
        <w:spacing w:after="0" w:line="210"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foregoing enumerated purposes and objects shall be in no way limited or restricted by reference to, or inference from, the terms of any other clause of this or any other Article of the charter of the Corporation, and each shall be regarded as independent; and they are intended to be and shall be construed as powers as well as purposes and objects of the Corporation and shall be in addition to and not in limitation of the general powers of corporations under the General Laws of the State of Maryland.</w:t>
      </w:r>
    </w:p>
    <w:p>
      <w:pPr>
        <w:spacing w:after="0" w:line="18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FOURTH: The present address of the principal office of the Corporation is 100 East Pratt Street, Baltimore, Maryland 21202.</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FIFTH: The name and address of the resident agent of the Corporation in this State are Barbara A. Van Horn, 100 East Pratt Street, Baltimore, Maryland 21202. Said resident agent is a citizen of the State of Maryland who resides there.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SIXTH: (a) The total number of shares of stock of all classes which the Corporation has authority to issue is 520,000,000 shares of capital stock (par value $.20 per share), amounting in aggregate par value to $104,000,000, of which 500,000,000 shares (par value $.20 per share), amounting in aggregate par value to $10,000,000 are classified as "Common Stock" and 20,000,000 shares (par value $.20 per share) amounting in aggregate par value to $4,000,000 are classified as "Preferred Stock."</w:t>
      </w:r>
    </w:p>
    <w:p>
      <w:pPr>
        <w:spacing w:after="0" w:line="211" w:lineRule="exact"/>
        <w:rPr>
          <w:sz w:val="20"/>
          <w:szCs w:val="20"/>
          <w:color w:val="auto"/>
        </w:rPr>
      </w:pPr>
    </w:p>
    <w:p>
      <w:pPr>
        <w:ind w:right="2099" w:firstLine="535"/>
        <w:spacing w:after="0" w:line="237"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is a description of the preferences, conversion and other rights, voting powers, restrictions, limitations as to dividends, qualifications and terms and conditions of redemption of the Common Stock and the Preferred Stock of the Corporation:</w:t>
      </w:r>
    </w:p>
    <w:p>
      <w:pPr>
        <w:sectPr>
          <w:pgSz w:w="11900" w:h="16838" w:orient="portrait"/>
          <w:cols w:equalWidth="0" w:num="1">
            <w:col w:w="10219"/>
          </w:cols>
          <w:pgMar w:left="240" w:top="13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2</w:t>
      </w:r>
    </w:p>
    <w:p>
      <w:pPr>
        <w:ind w:left="31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left="940" w:right="2099" w:firstLine="1"/>
        <w:spacing w:after="0" w:line="237" w:lineRule="auto"/>
        <w:tabs>
          <w:tab w:leader="none" w:pos="146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Stock shall not be subject to classification or reclassification by the Board of Directors, and shall have the rights and terms hereinafter specified, subject to the terms of any other stock provided in the charter pursuant to classification or reclassification by the Board of Directors or otherwise in accordance with law.</w:t>
      </w:r>
    </w:p>
    <w:p>
      <w:pPr>
        <w:spacing w:after="0" w:line="209" w:lineRule="exact"/>
        <w:rPr>
          <w:rFonts w:ascii="Courier New" w:cs="Courier New" w:eastAsia="Courier New" w:hAnsi="Courier New"/>
          <w:sz w:val="18"/>
          <w:szCs w:val="18"/>
          <w:color w:val="auto"/>
        </w:rPr>
      </w:pPr>
    </w:p>
    <w:p>
      <w:pPr>
        <w:jc w:val="both"/>
        <w:ind w:left="940" w:right="2199" w:firstLine="1"/>
        <w:spacing w:after="0" w:line="237" w:lineRule="auto"/>
        <w:tabs>
          <w:tab w:leader="none" w:pos="146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Article EIGHTH, Section (3) of the charter of the Corporation, each share of Common Stock shall have one vote, and, except as otherwise provided in respect of any Preferred Stock, the exclusive voting power for all purposes shall be vested in the holders of the Common Stock.</w:t>
      </w:r>
    </w:p>
    <w:p>
      <w:pPr>
        <w:spacing w:after="0" w:line="208" w:lineRule="exact"/>
        <w:rPr>
          <w:rFonts w:ascii="Courier New" w:cs="Courier New" w:eastAsia="Courier New" w:hAnsi="Courier New"/>
          <w:sz w:val="18"/>
          <w:szCs w:val="18"/>
          <w:color w:val="auto"/>
        </w:rPr>
      </w:pPr>
    </w:p>
    <w:p>
      <w:pPr>
        <w:ind w:left="940" w:right="2099" w:firstLine="1"/>
        <w:spacing w:after="0" w:line="237" w:lineRule="auto"/>
        <w:tabs>
          <w:tab w:leader="none" w:pos="146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law and any preferences of any Preferred Stock, dividends, including dividends payable in shares of another class of the Corporation's stock, may be paid on the Common Stock of the Corporation at such time and in such amounts as the Board of Directors may deem advisable.</w:t>
      </w:r>
    </w:p>
    <w:p>
      <w:pPr>
        <w:spacing w:after="0" w:line="208" w:lineRule="exact"/>
        <w:rPr>
          <w:rFonts w:ascii="Courier New" w:cs="Courier New" w:eastAsia="Courier New" w:hAnsi="Courier New"/>
          <w:sz w:val="18"/>
          <w:szCs w:val="18"/>
          <w:color w:val="auto"/>
        </w:rPr>
      </w:pPr>
    </w:p>
    <w:p>
      <w:pPr>
        <w:ind w:left="940" w:right="2199" w:firstLine="1"/>
        <w:spacing w:after="0" w:line="237" w:lineRule="auto"/>
        <w:tabs>
          <w:tab w:leader="none" w:pos="146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 winding up of the Corporation, whether voluntary or involuntary, the holders of the Common Stock shall be entitled, after payment or provision for payment of the debts and other liabilities of the Corporation and the amount to which the holders of any Preferred Stock shall be entitled, to share ratably in the remaining net assets of the Corporation.</w:t>
      </w:r>
    </w:p>
    <w:p>
      <w:pPr>
        <w:spacing w:after="0" w:line="205"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left="940" w:right="2099" w:firstLine="1"/>
        <w:spacing w:after="0" w:line="269" w:lineRule="auto"/>
        <w:tabs>
          <w:tab w:leader="none" w:pos="146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shall have authority to classify and reclassify any unissued shares of Preferred Stock by fixing or altering in any one or more respects from time to time before issuance the preferences, conversion or other rights, voting powers, restrictions, limitations as to dividends, qualifications or terms or conditions of redemption of such shares of stock; provided, that the Board of Directors shall not classify or reclassify any of such shares into shares of the Common Stock, or into any class or series of stock (i) which is not prior to the Common Stock either as to dividends or upon liquidation and (ii) which is not limited in some respect either as to dividends or upon liquidation. Subject to the foregoing, the power of the Board of Directors to classify and reclassify any of the shares of Preferred Stock shall include, without limitation, subject to the provisions of the charter, authority to classify or reclassify any unissued shares of such stock into a class or classes of preferred stock, preference stock, special stock or other stock, and to divide and classify shares of any class into one or more series of such class, by determining, fixing, or altering one or more of the following:</w:t>
      </w:r>
    </w:p>
    <w:p>
      <w:pPr>
        <w:sectPr>
          <w:pgSz w:w="11900" w:h="16838" w:orient="portrait"/>
          <w:cols w:equalWidth="0" w:num="1">
            <w:col w:w="10099"/>
          </w:cols>
          <w:pgMar w:left="360" w:top="31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460" w:right="2099" w:firstLine="8"/>
        <w:spacing w:after="0" w:line="238" w:lineRule="auto"/>
        <w:tabs>
          <w:tab w:leader="none" w:pos="198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class or series and the number of shares to constitute such class or series; provided that, unless otherwise prohibited by the terms of such or any other class or series, the number of shares of any class or series may be decreased by the Board of Directors in connection with any classification or reclassification of unissued shares and the number of shares of such class or series may be increased by the Board of Directors in connection with any such classification or reclassification, and any shares of any class or series which have been redeemed, purchased, otherwise acquired or converted into shares of Common Stock or any other class or series shall become part of the authorized capital stock and be subject to classification and reclassification as provided in this Section.</w:t>
      </w:r>
    </w:p>
    <w:p>
      <w:pPr>
        <w:spacing w:after="0" w:line="208" w:lineRule="exact"/>
        <w:rPr>
          <w:rFonts w:ascii="Courier New" w:cs="Courier New" w:eastAsia="Courier New" w:hAnsi="Courier New"/>
          <w:sz w:val="18"/>
          <w:szCs w:val="18"/>
          <w:color w:val="auto"/>
        </w:rPr>
      </w:pPr>
    </w:p>
    <w:p>
      <w:pPr>
        <w:ind w:left="1460" w:right="2319" w:firstLine="8"/>
        <w:spacing w:after="0" w:line="271" w:lineRule="auto"/>
        <w:tabs>
          <w:tab w:leader="none" w:pos="19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and, if so, the rates, amounts and times at which, and the conditions under which, dividends shall be payable on shares of such class or series, whether any such dividends shall rank senior or junior to or on a parity with the dividends payable on any other class or series of Preferred Stock, and the status of any such dividends as cumulative, cumulative to a limited extent or non-cumulative and as participating or non-participating.</w:t>
      </w:r>
    </w:p>
    <w:p>
      <w:pPr>
        <w:spacing w:after="0" w:line="185" w:lineRule="exact"/>
        <w:rPr>
          <w:rFonts w:ascii="Courier New" w:cs="Courier New" w:eastAsia="Courier New" w:hAnsi="Courier New"/>
          <w:sz w:val="16"/>
          <w:szCs w:val="16"/>
          <w:color w:val="auto"/>
        </w:rPr>
      </w:pPr>
    </w:p>
    <w:p>
      <w:pPr>
        <w:ind w:left="1460" w:right="2199" w:firstLine="8"/>
        <w:spacing w:after="0" w:line="279" w:lineRule="auto"/>
        <w:tabs>
          <w:tab w:leader="none" w:pos="19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shares of such class or series shall have voting rights, in addition to any voting rights provided by law and, if so, the terms of such voting rights.</w:t>
      </w:r>
    </w:p>
    <w:p>
      <w:pPr>
        <w:spacing w:after="0" w:line="178" w:lineRule="exact"/>
        <w:rPr>
          <w:rFonts w:ascii="Courier New" w:cs="Courier New" w:eastAsia="Courier New" w:hAnsi="Courier New"/>
          <w:sz w:val="16"/>
          <w:szCs w:val="16"/>
          <w:color w:val="auto"/>
        </w:rPr>
      </w:pPr>
    </w:p>
    <w:p>
      <w:pPr>
        <w:ind w:left="1460" w:right="2099" w:firstLine="8"/>
        <w:spacing w:after="0" w:line="237" w:lineRule="auto"/>
        <w:tabs>
          <w:tab w:leader="none" w:pos="198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shares of such class or series shall have conversion or exchange privileges and, if so, the terms and conditions thereof, including provision for adjustment of the conversion or exchange rate in such events or at such times as the Board of Directors shall determine.</w:t>
      </w:r>
    </w:p>
    <w:p>
      <w:pPr>
        <w:spacing w:after="0" w:line="208" w:lineRule="exact"/>
        <w:rPr>
          <w:rFonts w:ascii="Courier New" w:cs="Courier New" w:eastAsia="Courier New" w:hAnsi="Courier New"/>
          <w:sz w:val="18"/>
          <w:szCs w:val="18"/>
          <w:color w:val="auto"/>
        </w:rPr>
      </w:pPr>
    </w:p>
    <w:p>
      <w:pPr>
        <w:ind w:left="1460" w:right="2199" w:firstLine="8"/>
        <w:spacing w:after="0" w:line="271" w:lineRule="auto"/>
        <w:tabs>
          <w:tab w:leader="none" w:pos="19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shares of such class or series shall be subject to redemption and, if so, the terms and conditions of such redemption, including the date or dates upon or after which they shall be redeemable and the amount per share payable in case of redemption, which amount may vary under different conditions and at different redemption dates; and whether or not there shall be any sinking fund or purchase account in respect thereof, and if so, the terms thereof.</w:t>
      </w:r>
    </w:p>
    <w:p>
      <w:pPr>
        <w:spacing w:after="0" w:line="185" w:lineRule="exact"/>
        <w:rPr>
          <w:rFonts w:ascii="Courier New" w:cs="Courier New" w:eastAsia="Courier New" w:hAnsi="Courier New"/>
          <w:sz w:val="16"/>
          <w:szCs w:val="16"/>
          <w:color w:val="auto"/>
        </w:rPr>
      </w:pPr>
    </w:p>
    <w:p>
      <w:pPr>
        <w:ind w:left="1460" w:right="2099" w:firstLine="8"/>
        <w:spacing w:after="0" w:line="271" w:lineRule="auto"/>
        <w:tabs>
          <w:tab w:leader="none" w:pos="198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holders of shares of such class or series upon the liquidation, dissolution or winding up of the affairs of, or upon any distribution of the assets of, the Corporation, which rights may vary depending upon whether such liquidation, dissolution or winding up is voluntary or involuntary and, if voluntary, may vary at different dates, and whether such rights shall rank senior or junior to or on a</w:t>
      </w:r>
    </w:p>
    <w:p>
      <w:pPr>
        <w:sectPr>
          <w:pgSz w:w="11900" w:h="16838" w:orient="portrait"/>
          <w:cols w:equalWidth="0" w:num="1">
            <w:col w:w="10099"/>
          </w:cols>
          <w:pgMar w:left="360" w:top="312" w:right="1440" w:bottom="1440" w:gutter="0" w:footer="0" w:header="0"/>
        </w:sectPr>
      </w:pPr>
    </w:p>
    <w:bookmarkStart w:id="45" w:name="page46"/>
    <w:bookmarkEnd w:id="45"/>
    <w:p>
      <w:pPr>
        <w:ind w:left="120"/>
        <w:spacing w:after="0"/>
        <w:rPr>
          <w:sz w:val="20"/>
          <w:szCs w:val="20"/>
          <w:color w:val="auto"/>
        </w:rPr>
      </w:pPr>
      <w:r>
        <w:rPr>
          <w:rFonts w:ascii="Courier New" w:cs="Courier New" w:eastAsia="Courier New" w:hAnsi="Courier New"/>
          <w:sz w:val="18"/>
          <w:szCs w:val="18"/>
          <w:color w:val="auto"/>
        </w:rPr>
        <w:t>4</w:t>
      </w:r>
    </w:p>
    <w:p>
      <w:pPr>
        <w:jc w:val="right"/>
        <w:ind w:right="2099"/>
        <w:spacing w:after="0" w:line="238" w:lineRule="auto"/>
        <w:rPr>
          <w:sz w:val="20"/>
          <w:szCs w:val="20"/>
          <w:color w:val="auto"/>
        </w:rPr>
      </w:pPr>
      <w:r>
        <w:rPr>
          <w:rFonts w:ascii="Courier New" w:cs="Courier New" w:eastAsia="Courier New" w:hAnsi="Courier New"/>
          <w:sz w:val="18"/>
          <w:szCs w:val="18"/>
          <w:color w:val="auto"/>
        </w:rPr>
        <w:t>parity with such rights of any other class or series of stock.</w:t>
      </w:r>
    </w:p>
    <w:p>
      <w:pPr>
        <w:spacing w:after="0" w:line="207" w:lineRule="exact"/>
        <w:rPr>
          <w:sz w:val="20"/>
          <w:szCs w:val="20"/>
          <w:color w:val="auto"/>
        </w:rPr>
      </w:pPr>
    </w:p>
    <w:p>
      <w:pPr>
        <w:ind w:left="1580" w:right="2099" w:firstLine="8"/>
        <w:spacing w:after="0" w:line="271"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 shall be any limitations applicable, while shares of such class or series are outstanding, upon the payment of dividends or making of distributions on, or the acquisition of, or the use of moneys for purchase or redemption of, any stock of the Corporation, or upon any other action of the Corporation, including action under this Section, and, if so, the terms and conditions thereof.</w:t>
      </w:r>
    </w:p>
    <w:p>
      <w:pPr>
        <w:spacing w:after="0" w:line="187" w:lineRule="exact"/>
        <w:rPr>
          <w:rFonts w:ascii="Courier New" w:cs="Courier New" w:eastAsia="Courier New" w:hAnsi="Courier New"/>
          <w:sz w:val="16"/>
          <w:szCs w:val="16"/>
          <w:color w:val="auto"/>
        </w:rPr>
      </w:pPr>
    </w:p>
    <w:p>
      <w:pPr>
        <w:ind w:left="1580" w:right="2199" w:firstLine="8"/>
        <w:spacing w:after="0" w:line="237" w:lineRule="auto"/>
        <w:tabs>
          <w:tab w:leader="none" w:pos="210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preferences, rights, restrictions, including restrictions on transferability, and qualifications of shares of such class or series, not inconsistent with law and the charter of the Corporation.</w:t>
      </w:r>
    </w:p>
    <w:p>
      <w:pPr>
        <w:spacing w:after="0" w:line="207" w:lineRule="exact"/>
        <w:rPr>
          <w:rFonts w:ascii="Courier New" w:cs="Courier New" w:eastAsia="Courier New" w:hAnsi="Courier New"/>
          <w:sz w:val="18"/>
          <w:szCs w:val="18"/>
          <w:color w:val="auto"/>
        </w:rPr>
      </w:pPr>
    </w:p>
    <w:p>
      <w:pPr>
        <w:ind w:left="1060" w:right="2099" w:firstLine="1"/>
        <w:spacing w:after="0" w:line="237" w:lineRule="auto"/>
        <w:tabs>
          <w:tab w:leader="none" w:pos="158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hereof and of any articles supplementary to the charter providing for the classification or reclassification of any shares of Preferred Stock or of any other charter document of the Corporation (unless otherwise provided in any such articles or document), any class or series of stock of the Corporation shall be deemed to rank:</w:t>
      </w:r>
    </w:p>
    <w:p>
      <w:pPr>
        <w:spacing w:after="0" w:line="209" w:lineRule="exact"/>
        <w:rPr>
          <w:rFonts w:ascii="Courier New" w:cs="Courier New" w:eastAsia="Courier New" w:hAnsi="Courier New"/>
          <w:sz w:val="18"/>
          <w:szCs w:val="18"/>
          <w:color w:val="auto"/>
        </w:rPr>
      </w:pPr>
    </w:p>
    <w:p>
      <w:pPr>
        <w:ind w:left="1580" w:right="2199" w:firstLine="8"/>
        <w:spacing w:after="0" w:line="237" w:lineRule="auto"/>
        <w:tabs>
          <w:tab w:leader="none" w:pos="2107"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another class or series either as to dividends or upon liquidation, if the holders of such class or series shall be entitled to the receipt of dividends or of amounts distributable on liquidation, dissolution or winding up, as the case may be, in preference or priority to holders of such other class or series;</w:t>
      </w:r>
    </w:p>
    <w:p>
      <w:pPr>
        <w:spacing w:after="0" w:line="209" w:lineRule="exact"/>
        <w:rPr>
          <w:rFonts w:ascii="Courier New" w:cs="Courier New" w:eastAsia="Courier New" w:hAnsi="Courier New"/>
          <w:sz w:val="18"/>
          <w:szCs w:val="18"/>
          <w:color w:val="auto"/>
        </w:rPr>
      </w:pPr>
    </w:p>
    <w:p>
      <w:pPr>
        <w:ind w:left="1580" w:right="2199" w:firstLine="8"/>
        <w:spacing w:after="0" w:line="270" w:lineRule="auto"/>
        <w:tabs>
          <w:tab w:leader="none" w:pos="210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parity with another class or series either as to dividends or upon liquidation, whether or not the dividend rates, dividend payment dates or redemption or liquidation price per share thereof be different from those of such others, if the holders of such class or series of stock shall be entitled to receipt of dividends or amounts distributable upon liquidation, dissolution or winding up, as the case may be, in proportion to their respective dividend rates or redemption or liquidation prices, without preference or priority over the holders of such other class or series; and</w:t>
      </w:r>
    </w:p>
    <w:p>
      <w:pPr>
        <w:spacing w:after="0" w:line="189" w:lineRule="exact"/>
        <w:rPr>
          <w:rFonts w:ascii="Courier New" w:cs="Courier New" w:eastAsia="Courier New" w:hAnsi="Courier New"/>
          <w:sz w:val="16"/>
          <w:szCs w:val="16"/>
          <w:color w:val="auto"/>
        </w:rPr>
      </w:pPr>
    </w:p>
    <w:p>
      <w:pPr>
        <w:ind w:left="1580" w:right="2099" w:firstLine="8"/>
        <w:spacing w:after="0" w:line="272" w:lineRule="auto"/>
        <w:tabs>
          <w:tab w:leader="none" w:pos="200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to another class or series either as to dividends or upon liquidation, if the rights of the holders of such class or series shall be subject or subordinate to the rights of the holders of such other class or series in respect of the receipt of dividends or the amounts distributable upon liquidation, dissolution or winding up, as the case may be.</w:t>
      </w:r>
    </w:p>
    <w:p>
      <w:pPr>
        <w:spacing w:after="0" w:line="186"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SEVENTH: The number of directors of the Corporation shall be 15, which number may be increased or decreased pursuant to the By-Laws of the Corporation, but shall never be less than the minimum number permitted by the General Laws of the State of Maryland now or hereafter in force. The names of</w:t>
      </w:r>
    </w:p>
    <w:p>
      <w:pPr>
        <w:sectPr>
          <w:pgSz w:w="11900" w:h="16838" w:orient="portrait"/>
          <w:cols w:equalWidth="0" w:num="1">
            <w:col w:w="10219"/>
          </w:cols>
          <w:pgMar w:left="240" w:top="312" w:right="1440" w:bottom="1440" w:gutter="0" w:footer="0" w:header="0"/>
        </w:sectPr>
      </w:pPr>
    </w:p>
    <w:bookmarkStart w:id="46" w:name="page47"/>
    <w:bookmarkEnd w:id="46"/>
    <w:p>
      <w:pPr>
        <w:ind w:left="1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directors who will serve until the first annual meeting of stockholders of the Corporation and until their successors are elected and qualify are as follows: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Edward C. Bernard</w:t>
      </w:r>
    </w:p>
    <w:p>
      <w:pPr>
        <w:ind w:left="2640"/>
        <w:spacing w:after="0" w:line="238" w:lineRule="auto"/>
        <w:rPr>
          <w:sz w:val="20"/>
          <w:szCs w:val="20"/>
          <w:color w:val="auto"/>
        </w:rPr>
      </w:pPr>
      <w:r>
        <w:rPr>
          <w:rFonts w:ascii="Courier New" w:cs="Courier New" w:eastAsia="Courier New" w:hAnsi="Courier New"/>
          <w:sz w:val="18"/>
          <w:szCs w:val="18"/>
          <w:color w:val="auto"/>
        </w:rPr>
        <w:t>James E. Halbkat, Jr.</w:t>
      </w:r>
    </w:p>
    <w:p>
      <w:pPr>
        <w:ind w:left="2640"/>
        <w:spacing w:after="0"/>
        <w:rPr>
          <w:sz w:val="20"/>
          <w:szCs w:val="20"/>
          <w:color w:val="auto"/>
        </w:rPr>
      </w:pPr>
      <w:r>
        <w:rPr>
          <w:rFonts w:ascii="Courier New" w:cs="Courier New" w:eastAsia="Courier New" w:hAnsi="Courier New"/>
          <w:sz w:val="18"/>
          <w:szCs w:val="18"/>
          <w:color w:val="auto"/>
        </w:rPr>
        <w:t>Donald B. Hebb, Jr.</w:t>
      </w:r>
    </w:p>
    <w:p>
      <w:pPr>
        <w:ind w:left="2640"/>
        <w:spacing w:after="0" w:line="237" w:lineRule="auto"/>
        <w:rPr>
          <w:sz w:val="20"/>
          <w:szCs w:val="20"/>
          <w:color w:val="auto"/>
        </w:rPr>
      </w:pPr>
      <w:r>
        <w:rPr>
          <w:rFonts w:ascii="Courier New" w:cs="Courier New" w:eastAsia="Courier New" w:hAnsi="Courier New"/>
          <w:sz w:val="18"/>
          <w:szCs w:val="18"/>
          <w:color w:val="auto"/>
        </w:rPr>
        <w:t>Henry H. Hopkins</w:t>
      </w:r>
    </w:p>
    <w:p>
      <w:pPr>
        <w:ind w:left="2640"/>
        <w:spacing w:after="0" w:line="238" w:lineRule="auto"/>
        <w:rPr>
          <w:sz w:val="20"/>
          <w:szCs w:val="20"/>
          <w:color w:val="auto"/>
        </w:rPr>
      </w:pPr>
      <w:r>
        <w:rPr>
          <w:rFonts w:ascii="Courier New" w:cs="Courier New" w:eastAsia="Courier New" w:hAnsi="Courier New"/>
          <w:sz w:val="18"/>
          <w:szCs w:val="18"/>
          <w:color w:val="auto"/>
        </w:rPr>
        <w:t>James A.C. Kennedy</w:t>
      </w:r>
    </w:p>
    <w:p>
      <w:pPr>
        <w:ind w:left="2640"/>
        <w:spacing w:after="0"/>
        <w:rPr>
          <w:sz w:val="20"/>
          <w:szCs w:val="20"/>
          <w:color w:val="auto"/>
        </w:rPr>
      </w:pPr>
      <w:r>
        <w:rPr>
          <w:rFonts w:ascii="Courier New" w:cs="Courier New" w:eastAsia="Courier New" w:hAnsi="Courier New"/>
          <w:sz w:val="18"/>
          <w:szCs w:val="18"/>
          <w:color w:val="auto"/>
        </w:rPr>
        <w:t>John H. Laporte</w:t>
      </w:r>
    </w:p>
    <w:p>
      <w:pPr>
        <w:ind w:left="2640"/>
        <w:spacing w:after="0" w:line="237" w:lineRule="auto"/>
        <w:rPr>
          <w:sz w:val="20"/>
          <w:szCs w:val="20"/>
          <w:color w:val="auto"/>
        </w:rPr>
      </w:pPr>
      <w:r>
        <w:rPr>
          <w:rFonts w:ascii="Courier New" w:cs="Courier New" w:eastAsia="Courier New" w:hAnsi="Courier New"/>
          <w:sz w:val="18"/>
          <w:szCs w:val="18"/>
          <w:color w:val="auto"/>
        </w:rPr>
        <w:t>Richard L. Menschel</w:t>
      </w:r>
    </w:p>
    <w:p>
      <w:pPr>
        <w:ind w:left="2640"/>
        <w:spacing w:after="0"/>
        <w:rPr>
          <w:sz w:val="20"/>
          <w:szCs w:val="20"/>
          <w:color w:val="auto"/>
        </w:rPr>
      </w:pPr>
      <w:r>
        <w:rPr>
          <w:rFonts w:ascii="Courier New" w:cs="Courier New" w:eastAsia="Courier New" w:hAnsi="Courier New"/>
          <w:sz w:val="18"/>
          <w:szCs w:val="18"/>
          <w:color w:val="auto"/>
        </w:rPr>
        <w:t>William T. Reynolds</w:t>
      </w:r>
    </w:p>
    <w:p>
      <w:pPr>
        <w:ind w:left="2640"/>
        <w:spacing w:after="0" w:line="237" w:lineRule="auto"/>
        <w:rPr>
          <w:sz w:val="20"/>
          <w:szCs w:val="20"/>
          <w:color w:val="auto"/>
        </w:rPr>
      </w:pPr>
      <w:r>
        <w:rPr>
          <w:rFonts w:ascii="Courier New" w:cs="Courier New" w:eastAsia="Courier New" w:hAnsi="Courier New"/>
          <w:sz w:val="18"/>
          <w:szCs w:val="18"/>
          <w:color w:val="auto"/>
        </w:rPr>
        <w:t>James S. Riepe</w:t>
      </w:r>
    </w:p>
    <w:p>
      <w:pPr>
        <w:ind w:left="2640"/>
        <w:spacing w:after="0"/>
        <w:rPr>
          <w:sz w:val="20"/>
          <w:szCs w:val="20"/>
          <w:color w:val="auto"/>
        </w:rPr>
      </w:pPr>
      <w:r>
        <w:rPr>
          <w:rFonts w:ascii="Courier New" w:cs="Courier New" w:eastAsia="Courier New" w:hAnsi="Courier New"/>
          <w:sz w:val="18"/>
          <w:szCs w:val="18"/>
          <w:color w:val="auto"/>
        </w:rPr>
        <w:t>George A. Roche</w:t>
      </w:r>
    </w:p>
    <w:p>
      <w:pPr>
        <w:ind w:left="2640"/>
        <w:spacing w:after="0" w:line="237" w:lineRule="auto"/>
        <w:rPr>
          <w:sz w:val="20"/>
          <w:szCs w:val="20"/>
          <w:color w:val="auto"/>
        </w:rPr>
      </w:pPr>
      <w:r>
        <w:rPr>
          <w:rFonts w:ascii="Courier New" w:cs="Courier New" w:eastAsia="Courier New" w:hAnsi="Courier New"/>
          <w:sz w:val="18"/>
          <w:szCs w:val="18"/>
          <w:color w:val="auto"/>
        </w:rPr>
        <w:t>Brian C. Rogers</w:t>
      </w:r>
    </w:p>
    <w:p>
      <w:pPr>
        <w:ind w:left="2640"/>
        <w:spacing w:after="0" w:line="238" w:lineRule="auto"/>
        <w:rPr>
          <w:sz w:val="20"/>
          <w:szCs w:val="20"/>
          <w:color w:val="auto"/>
        </w:rPr>
      </w:pPr>
      <w:r>
        <w:rPr>
          <w:rFonts w:ascii="Courier New" w:cs="Courier New" w:eastAsia="Courier New" w:hAnsi="Courier New"/>
          <w:sz w:val="18"/>
          <w:szCs w:val="18"/>
          <w:color w:val="auto"/>
        </w:rPr>
        <w:t>Robert L. Strickland</w:t>
      </w:r>
    </w:p>
    <w:p>
      <w:pPr>
        <w:ind w:left="2640"/>
        <w:spacing w:after="0"/>
        <w:rPr>
          <w:sz w:val="20"/>
          <w:szCs w:val="20"/>
          <w:color w:val="auto"/>
        </w:rPr>
      </w:pPr>
      <w:r>
        <w:rPr>
          <w:rFonts w:ascii="Courier New" w:cs="Courier New" w:eastAsia="Courier New" w:hAnsi="Courier New"/>
          <w:sz w:val="18"/>
          <w:szCs w:val="18"/>
          <w:color w:val="auto"/>
        </w:rPr>
        <w:t>M. David Testa</w:t>
      </w:r>
    </w:p>
    <w:p>
      <w:pPr>
        <w:ind w:left="2640"/>
        <w:spacing w:after="0" w:line="237" w:lineRule="auto"/>
        <w:rPr>
          <w:sz w:val="20"/>
          <w:szCs w:val="20"/>
          <w:color w:val="auto"/>
        </w:rPr>
      </w:pPr>
      <w:r>
        <w:rPr>
          <w:rFonts w:ascii="Courier New" w:cs="Courier New" w:eastAsia="Courier New" w:hAnsi="Courier New"/>
          <w:sz w:val="18"/>
          <w:szCs w:val="18"/>
          <w:color w:val="auto"/>
        </w:rPr>
        <w:t>Martin G. Wade</w:t>
      </w:r>
    </w:p>
    <w:p>
      <w:pPr>
        <w:ind w:left="2640"/>
        <w:spacing w:after="0"/>
        <w:rPr>
          <w:sz w:val="20"/>
          <w:szCs w:val="20"/>
          <w:color w:val="auto"/>
        </w:rPr>
      </w:pPr>
      <w:r>
        <w:rPr>
          <w:rFonts w:ascii="Courier New" w:cs="Courier New" w:eastAsia="Courier New" w:hAnsi="Courier New"/>
          <w:sz w:val="18"/>
          <w:szCs w:val="18"/>
          <w:color w:val="auto"/>
        </w:rPr>
        <w:t>Anne Marie Whittemore</w:t>
      </w:r>
    </w:p>
    <w:p>
      <w:pPr>
        <w:spacing w:after="0" w:line="20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EIGHTH: The following provisions are hereby adopted for the purpose of defining, limiting, and regulating the powers of the Corporation and of the directors and stockholders:</w:t>
      </w:r>
    </w:p>
    <w:p>
      <w:pPr>
        <w:spacing w:after="0" w:line="209" w:lineRule="exact"/>
        <w:rPr>
          <w:sz w:val="20"/>
          <w:szCs w:val="20"/>
          <w:color w:val="auto"/>
        </w:rPr>
      </w:pPr>
    </w:p>
    <w:p>
      <w:pPr>
        <w:ind w:right="2319" w:firstLine="535"/>
        <w:spacing w:after="0" w:line="237"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is hereby empowered to authorize the issuance from time to time of shares of its stock of any class, whether now or hereafter authorized, or securities convertible into shares of its stock of any class or classes, whether now or hereafter authorized, for such consideration as may be deemed advisable by the Board of Directors and without any action by the stockholders.</w:t>
      </w:r>
    </w:p>
    <w:p>
      <w:pPr>
        <w:spacing w:after="0" w:line="209" w:lineRule="exact"/>
        <w:rPr>
          <w:rFonts w:ascii="Courier New" w:cs="Courier New" w:eastAsia="Courier New" w:hAnsi="Courier New"/>
          <w:sz w:val="18"/>
          <w:szCs w:val="18"/>
          <w:color w:val="auto"/>
        </w:rPr>
      </w:pPr>
    </w:p>
    <w:p>
      <w:pPr>
        <w:ind w:right="2099" w:firstLine="535"/>
        <w:spacing w:after="0" w:line="238"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any stock or any other securities of the Corporation, whether now or hereafter authorized, shall have any preemptive right to subscribe for or purchase any stock or any other securities of the Corporation other than such, if any, as the Board of Directors, in its sole discretion, may determine and at such price or prices and upon such other terms as the Board of Directors, in its sole discretion, may fix; and any stock or other securities which the Board of Directors may determine to offer for subscription may, as the Board of Directors in its sole discretion shall determine, be offered to the holders of any class, series or type of stock or other securities at the time outstanding to the exclusion of the holders of any or all other classes, series, or types of stock or other securities at the time outstanding.</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(3)(a) For purposes of this Paragraph (3), the following words have the meanings indicated:</w:t>
      </w:r>
    </w:p>
    <w:p>
      <w:pPr>
        <w:spacing w:after="0" w:line="208" w:lineRule="exact"/>
        <w:rPr>
          <w:sz w:val="20"/>
          <w:szCs w:val="20"/>
          <w:color w:val="auto"/>
        </w:rPr>
      </w:pPr>
    </w:p>
    <w:p>
      <w:pPr>
        <w:ind w:left="1060" w:right="2319" w:firstLine="1"/>
        <w:spacing w:after="0" w:line="237" w:lineRule="auto"/>
        <w:tabs>
          <w:tab w:leader="none" w:pos="158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including the term "affiliated person", means a person that directly, or indirectly through one or more intermediaries, controls, or is controlled by, or is under common control with, a specified person.</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940" w:right="2419" w:firstLine="1"/>
        <w:spacing w:after="0" w:line="235" w:lineRule="auto"/>
        <w:tabs>
          <w:tab w:leader="none" w:pos="157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when used to indicate a relationship with any person, means:</w:t>
      </w:r>
    </w:p>
    <w:p>
      <w:pPr>
        <w:spacing w:after="0" w:line="208" w:lineRule="exact"/>
        <w:rPr>
          <w:rFonts w:ascii="Courier New" w:cs="Courier New" w:eastAsia="Courier New" w:hAnsi="Courier New"/>
          <w:sz w:val="18"/>
          <w:szCs w:val="18"/>
          <w:color w:val="auto"/>
        </w:rPr>
      </w:pPr>
    </w:p>
    <w:p>
      <w:pPr>
        <w:ind w:left="1460" w:right="2199" w:firstLine="8"/>
        <w:spacing w:after="0" w:line="237" w:lineRule="auto"/>
        <w:tabs>
          <w:tab w:leader="none" w:pos="19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or organization, other than the Corporation or a subsidiary of the Corporation, of which such person is an officer, director, or partner or is, directly or indirectly, the beneficial owner of 10% or more of any class of equity securities;</w:t>
      </w:r>
    </w:p>
    <w:p>
      <w:pPr>
        <w:spacing w:after="0" w:line="208" w:lineRule="exact"/>
        <w:rPr>
          <w:rFonts w:ascii="Courier New" w:cs="Courier New" w:eastAsia="Courier New" w:hAnsi="Courier New"/>
          <w:sz w:val="18"/>
          <w:szCs w:val="18"/>
          <w:color w:val="auto"/>
        </w:rPr>
      </w:pPr>
    </w:p>
    <w:p>
      <w:pPr>
        <w:ind w:left="1460" w:right="2519" w:firstLine="8"/>
        <w:spacing w:after="0" w:line="279" w:lineRule="auto"/>
        <w:tabs>
          <w:tab w:leader="none" w:pos="198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 or other estate in which such person has a substantial beneficial interest or as to which such person serves as trustee or in a similar fiduciary capacity;</w:t>
      </w:r>
    </w:p>
    <w:p>
      <w:pPr>
        <w:spacing w:after="0" w:line="178" w:lineRule="exact"/>
        <w:rPr>
          <w:rFonts w:ascii="Courier New" w:cs="Courier New" w:eastAsia="Courier New" w:hAnsi="Courier New"/>
          <w:sz w:val="16"/>
          <w:szCs w:val="16"/>
          <w:color w:val="auto"/>
        </w:rPr>
      </w:pPr>
    </w:p>
    <w:p>
      <w:pPr>
        <w:ind w:left="1460" w:right="2099" w:firstLine="8"/>
        <w:spacing w:after="0" w:line="235" w:lineRule="auto"/>
        <w:tabs>
          <w:tab w:leader="none" w:pos="19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relative or spouse of such person, or any relative of such spouse, who has the same home as such person; and</w:t>
      </w:r>
    </w:p>
    <w:p>
      <w:pPr>
        <w:spacing w:after="0" w:line="208" w:lineRule="exact"/>
        <w:rPr>
          <w:rFonts w:ascii="Courier New" w:cs="Courier New" w:eastAsia="Courier New" w:hAnsi="Courier New"/>
          <w:sz w:val="18"/>
          <w:szCs w:val="18"/>
          <w:color w:val="auto"/>
        </w:rPr>
      </w:pPr>
    </w:p>
    <w:p>
      <w:pPr>
        <w:jc w:val="both"/>
        <w:ind w:left="1460" w:right="2099" w:firstLine="8"/>
        <w:spacing w:after="0" w:line="236" w:lineRule="auto"/>
        <w:tabs>
          <w:tab w:leader="none" w:pos="19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relative or spouse of such person, or any relative of such spouse who is a director or officer of the Corporation or any of its affiliates.</w:t>
      </w:r>
    </w:p>
    <w:p>
      <w:pPr>
        <w:spacing w:after="0" w:line="208" w:lineRule="exact"/>
        <w:rPr>
          <w:rFonts w:ascii="Courier New" w:cs="Courier New" w:eastAsia="Courier New" w:hAnsi="Courier New"/>
          <w:sz w:val="18"/>
          <w:szCs w:val="18"/>
          <w:color w:val="auto"/>
        </w:rPr>
      </w:pPr>
    </w:p>
    <w:p>
      <w:pPr>
        <w:ind w:left="940" w:right="2519" w:firstLine="1"/>
        <w:spacing w:after="0" w:line="235" w:lineRule="auto"/>
        <w:tabs>
          <w:tab w:leader="none" w:pos="167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when used with respect to any Voting Stock, means a person:</w:t>
      </w:r>
    </w:p>
    <w:p>
      <w:pPr>
        <w:spacing w:after="0" w:line="208" w:lineRule="exact"/>
        <w:rPr>
          <w:rFonts w:ascii="Courier New" w:cs="Courier New" w:eastAsia="Courier New" w:hAnsi="Courier New"/>
          <w:sz w:val="18"/>
          <w:szCs w:val="18"/>
          <w:color w:val="auto"/>
        </w:rPr>
      </w:pPr>
    </w:p>
    <w:p>
      <w:pPr>
        <w:ind w:left="1460" w:right="2099" w:firstLine="8"/>
        <w:spacing w:after="0" w:line="235" w:lineRule="auto"/>
        <w:tabs>
          <w:tab w:leader="none" w:pos="1987"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the beneficial owner of Voting Stock, directly or indirectly;</w:t>
      </w:r>
    </w:p>
    <w:p>
      <w:pPr>
        <w:spacing w:after="0" w:line="208" w:lineRule="exact"/>
        <w:rPr>
          <w:rFonts w:ascii="Courier New" w:cs="Courier New" w:eastAsia="Courier New" w:hAnsi="Courier New"/>
          <w:sz w:val="18"/>
          <w:szCs w:val="18"/>
          <w:color w:val="auto"/>
        </w:rPr>
      </w:pPr>
    </w:p>
    <w:p>
      <w:pPr>
        <w:ind w:left="1460" w:right="2519" w:firstLine="8"/>
        <w:spacing w:after="0" w:line="290" w:lineRule="auto"/>
        <w:tabs>
          <w:tab w:leader="none" w:pos="1987"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or Associate of which is the beneficial owner of Voting Stock, directly or indirectly;</w:t>
      </w:r>
    </w:p>
    <w:p>
      <w:pPr>
        <w:spacing w:after="0" w:line="164" w:lineRule="exact"/>
        <w:rPr>
          <w:rFonts w:ascii="Courier New" w:cs="Courier New" w:eastAsia="Courier New" w:hAnsi="Courier New"/>
          <w:sz w:val="16"/>
          <w:szCs w:val="16"/>
          <w:color w:val="auto"/>
        </w:rPr>
      </w:pPr>
    </w:p>
    <w:p>
      <w:pPr>
        <w:ind w:left="2000" w:hanging="532"/>
        <w:spacing w:after="0"/>
        <w:tabs>
          <w:tab w:leader="none" w:pos="20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has, or whose Affiliate or Associate has,</w:t>
      </w:r>
    </w:p>
    <w:p>
      <w:pPr>
        <w:spacing w:after="0" w:line="206" w:lineRule="exact"/>
        <w:rPr>
          <w:rFonts w:ascii="Courier New" w:cs="Courier New" w:eastAsia="Courier New" w:hAnsi="Courier New"/>
          <w:sz w:val="18"/>
          <w:szCs w:val="18"/>
          <w:color w:val="auto"/>
        </w:rPr>
      </w:pPr>
    </w:p>
    <w:p>
      <w:pPr>
        <w:ind w:left="2000" w:right="2199" w:hanging="5"/>
        <w:spacing w:after="0" w:line="237" w:lineRule="auto"/>
        <w:tabs>
          <w:tab w:leader="none" w:pos="2527"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acquire Voting Stock (whether such right is exercisable immediately or only after the passage of time) pursuant to any agreement, arrangement, or understanding or upon the exercise of conversion rights, exchange rights, warrants or options, or otherwise; or</w:t>
      </w:r>
    </w:p>
    <w:p>
      <w:pPr>
        <w:spacing w:after="0" w:line="210" w:lineRule="exact"/>
        <w:rPr>
          <w:sz w:val="20"/>
          <w:szCs w:val="20"/>
          <w:color w:val="auto"/>
        </w:rPr>
      </w:pPr>
    </w:p>
    <w:p>
      <w:pPr>
        <w:ind w:left="2000" w:right="2619" w:hanging="5"/>
        <w:spacing w:after="0" w:line="235" w:lineRule="auto"/>
        <w:tabs>
          <w:tab w:leader="none" w:pos="2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vote Voting Stock pursuant to any agreement, arrangement, or understanding; or</w:t>
      </w:r>
    </w:p>
    <w:p>
      <w:pPr>
        <w:spacing w:after="0" w:line="208" w:lineRule="exact"/>
        <w:rPr>
          <w:sz w:val="20"/>
          <w:szCs w:val="20"/>
          <w:color w:val="auto"/>
        </w:rPr>
      </w:pPr>
    </w:p>
    <w:p>
      <w:pPr>
        <w:ind w:left="2000" w:right="2099" w:hanging="5"/>
        <w:spacing w:after="0" w:line="270" w:lineRule="auto"/>
        <w:tabs>
          <w:tab w:leader="none" w:pos="273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arrangement, or understanding for the purpose of acquiring, holding, voting, or disposing of Voting Stock with any other person that beneficially owns, or whose Affiliates or Associates beneficially own, directly or indirectly, such shares of Voting Stock; provided, that directors, officers, and employees of the Corporation shall not be deemed to have any such agreement, arrangement, or understanding on the basis of their status, or actions taken in their capacities, as directors, officers, or employees of the Corporation or</w:t>
      </w:r>
    </w:p>
    <w:p>
      <w:pPr>
        <w:sectPr>
          <w:pgSz w:w="11900" w:h="16838" w:orient="portrait"/>
          <w:cols w:equalWidth="0" w:num="1">
            <w:col w:w="10099"/>
          </w:cols>
          <w:pgMar w:left="360" w:top="31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2000" w:right="2419"/>
        <w:spacing w:after="0" w:line="237" w:lineRule="auto"/>
        <w:rPr>
          <w:sz w:val="20"/>
          <w:szCs w:val="20"/>
          <w:color w:val="auto"/>
        </w:rPr>
      </w:pPr>
      <w:r>
        <w:rPr>
          <w:rFonts w:ascii="Courier New" w:cs="Courier New" w:eastAsia="Courier New" w:hAnsi="Courier New"/>
          <w:sz w:val="18"/>
          <w:szCs w:val="18"/>
          <w:color w:val="auto"/>
        </w:rPr>
        <w:t>any subsidiaries of the Corporation or as general or limited partners of partnerships formed to make investments or on the basis of their Voting Stock with respect to management proposals.</w:t>
      </w:r>
    </w:p>
    <w:p>
      <w:pPr>
        <w:spacing w:after="0" w:line="207" w:lineRule="exact"/>
        <w:rPr>
          <w:sz w:val="20"/>
          <w:szCs w:val="20"/>
          <w:color w:val="auto"/>
        </w:rPr>
      </w:pPr>
    </w:p>
    <w:p>
      <w:pPr>
        <w:ind w:left="2000" w:hanging="532"/>
        <w:spacing w:after="0"/>
        <w:tabs>
          <w:tab w:leader="none" w:pos="200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subparagraph (a) (iii) of this Paragraph</w:t>
      </w:r>
    </w:p>
    <w:p>
      <w:pPr>
        <w:spacing w:after="0" w:line="21" w:lineRule="exact"/>
        <w:rPr>
          <w:rFonts w:ascii="Courier New" w:cs="Courier New" w:eastAsia="Courier New" w:hAnsi="Courier New"/>
          <w:sz w:val="16"/>
          <w:szCs w:val="16"/>
          <w:color w:val="auto"/>
        </w:rPr>
      </w:pPr>
    </w:p>
    <w:p>
      <w:pPr>
        <w:ind w:left="1460" w:right="2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(I) the solicitation of revocable proxies and the voting thereof by proxy holders in connection with annual or special meetings of stockholders prior to the time the Corporation is subject to the proxy rules under the Securities Exchange Act of 1934 or thereafter in accordance with such proxy rules, and</w:t>
      </w:r>
    </w:p>
    <w:p>
      <w:pPr>
        <w:ind w:left="1460" w:right="2099" w:firstLine="8"/>
        <w:spacing w:after="0" w:line="271" w:lineRule="auto"/>
        <w:tabs>
          <w:tab w:leader="none" w:pos="1987"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of recommendations on matters to be submitted for stockholder approval or intentions to vote Voting Stock of which such persons are the Beneficial Owners prior to the time the Corporation is subject to the proxy rules under the Securities Exchange Act of 1934 or thereafter in accordance with such proxy rules shall not constitute agreements, arrangements, or understandings for the purpose of acquiring, holding, voting, or disposing of Voting Stock.</w:t>
      </w:r>
    </w:p>
    <w:p>
      <w:pPr>
        <w:spacing w:after="0" w:line="185" w:lineRule="exact"/>
        <w:rPr>
          <w:rFonts w:ascii="Courier New" w:cs="Courier New" w:eastAsia="Courier New" w:hAnsi="Courier New"/>
          <w:sz w:val="16"/>
          <w:szCs w:val="16"/>
          <w:color w:val="auto"/>
        </w:rPr>
      </w:pPr>
    </w:p>
    <w:p>
      <w:pPr>
        <w:ind w:left="940" w:right="2099" w:firstLine="1"/>
        <w:spacing w:after="0" w:line="237" w:lineRule="auto"/>
        <w:tabs>
          <w:tab w:leader="none" w:pos="157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including the terms "controlling", "controlled by", and "under common control with", means the possession, directly or indirectly, of the power to vote or cause the direction of the management and policies of a person, whether through the ownership of voting securities, by contract, or otherwise, and the beneficial ownership of 10% or more of the votes entitled to be cast by a corporation's voting stock creates a presumption of control.</w:t>
      </w:r>
    </w:p>
    <w:p>
      <w:pPr>
        <w:spacing w:after="0" w:line="212" w:lineRule="exact"/>
        <w:rPr>
          <w:rFonts w:ascii="Courier New" w:cs="Courier New" w:eastAsia="Courier New" w:hAnsi="Courier New"/>
          <w:sz w:val="18"/>
          <w:szCs w:val="18"/>
          <w:color w:val="auto"/>
        </w:rPr>
      </w:pPr>
    </w:p>
    <w:p>
      <w:pPr>
        <w:ind w:left="940" w:right="2199" w:firstLine="1"/>
        <w:spacing w:after="0" w:line="290" w:lineRule="auto"/>
        <w:tabs>
          <w:tab w:leader="none" w:pos="146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when used to indicate those additional persons whose Voting Stock is Beneficially Owned by a person, shall include:</w:t>
      </w:r>
    </w:p>
    <w:p>
      <w:pPr>
        <w:spacing w:after="0" w:line="164" w:lineRule="exact"/>
        <w:rPr>
          <w:rFonts w:ascii="Courier New" w:cs="Courier New" w:eastAsia="Courier New" w:hAnsi="Courier New"/>
          <w:sz w:val="16"/>
          <w:szCs w:val="16"/>
          <w:color w:val="auto"/>
        </w:rPr>
      </w:pPr>
    </w:p>
    <w:p>
      <w:pPr>
        <w:ind w:left="2000" w:hanging="532"/>
        <w:spacing w:after="0"/>
        <w:tabs>
          <w:tab w:leader="none" w:pos="20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w:t>
      </w:r>
    </w:p>
    <w:p>
      <w:pPr>
        <w:spacing w:after="0" w:line="201" w:lineRule="exact"/>
        <w:rPr>
          <w:rFonts w:ascii="Courier New" w:cs="Courier New" w:eastAsia="Courier New" w:hAnsi="Courier New"/>
          <w:sz w:val="18"/>
          <w:szCs w:val="18"/>
          <w:color w:val="auto"/>
        </w:rPr>
      </w:pPr>
    </w:p>
    <w:p>
      <w:pPr>
        <w:ind w:left="2000" w:hanging="532"/>
        <w:spacing w:after="0"/>
        <w:tabs>
          <w:tab w:leader="none" w:pos="20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Affiliates and Associates of the person; and</w:t>
      </w:r>
    </w:p>
    <w:p>
      <w:pPr>
        <w:spacing w:after="0" w:line="206" w:lineRule="exact"/>
        <w:rPr>
          <w:rFonts w:ascii="Courier New" w:cs="Courier New" w:eastAsia="Courier New" w:hAnsi="Courier New"/>
          <w:sz w:val="18"/>
          <w:szCs w:val="18"/>
          <w:color w:val="auto"/>
        </w:rPr>
      </w:pPr>
    </w:p>
    <w:p>
      <w:pPr>
        <w:ind w:left="1460" w:right="2319" w:firstLine="8"/>
        <w:spacing w:after="0" w:line="290" w:lineRule="auto"/>
        <w:tabs>
          <w:tab w:leader="none" w:pos="198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person whose stock is Beneficially Owned by the person or an Affiliate or Associate of the person;</w:t>
      </w:r>
    </w:p>
    <w:p>
      <w:pPr>
        <w:spacing w:after="0" w:line="170" w:lineRule="exact"/>
        <w:rPr>
          <w:sz w:val="20"/>
          <w:szCs w:val="20"/>
          <w:color w:val="auto"/>
        </w:rPr>
      </w:pPr>
    </w:p>
    <w:p>
      <w:pPr>
        <w:ind w:left="940" w:right="2099"/>
        <w:spacing w:after="0" w:line="237" w:lineRule="auto"/>
        <w:rPr>
          <w:sz w:val="20"/>
          <w:szCs w:val="20"/>
          <w:color w:val="auto"/>
        </w:rPr>
      </w:pPr>
      <w:r>
        <w:rPr>
          <w:rFonts w:ascii="Courier New" w:cs="Courier New" w:eastAsia="Courier New" w:hAnsi="Courier New"/>
          <w:sz w:val="18"/>
          <w:szCs w:val="18"/>
          <w:color w:val="auto"/>
        </w:rPr>
        <w:t>and shall include all persons that jointly file a statement of beneficial ownership pursuant to Section 13(d) of the Securities Exchange Act of 1934, irrespective of any disclaimers of beneficial ownership.</w:t>
      </w:r>
    </w:p>
    <w:p>
      <w:pPr>
        <w:spacing w:after="0" w:line="207" w:lineRule="exact"/>
        <w:rPr>
          <w:sz w:val="20"/>
          <w:szCs w:val="20"/>
          <w:color w:val="auto"/>
        </w:rPr>
      </w:pPr>
    </w:p>
    <w:p>
      <w:pPr>
        <w:jc w:val="both"/>
        <w:ind w:left="940" w:right="3159" w:firstLine="1"/>
        <w:spacing w:after="0" w:line="236" w:lineRule="auto"/>
        <w:tabs>
          <w:tab w:leader="none" w:pos="157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Stock" means shares of capital stock of the Corporation entitled to vote generally in the election of directors.</w:t>
      </w:r>
    </w:p>
    <w:p>
      <w:pPr>
        <w:spacing w:after="0" w:line="208" w:lineRule="exact"/>
        <w:rPr>
          <w:rFonts w:ascii="Courier New" w:cs="Courier New" w:eastAsia="Courier New" w:hAnsi="Courier New"/>
          <w:sz w:val="18"/>
          <w:szCs w:val="18"/>
          <w:color w:val="auto"/>
        </w:rPr>
      </w:pPr>
    </w:p>
    <w:p>
      <w:pPr>
        <w:ind w:left="-120" w:right="2099" w:firstLine="535"/>
        <w:spacing w:after="0" w:line="279" w:lineRule="auto"/>
        <w:tabs>
          <w:tab w:leader="none" w:pos="93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or Group that is the Beneficial Owner of more than 15% of any class of Voting Stock shall have the right to vote not more than 15% of the shares of such class, and the remaining shares Beneficially Owned by such</w:t>
      </w:r>
    </w:p>
    <w:p>
      <w:pPr>
        <w:sectPr>
          <w:pgSz w:w="11900" w:h="16838" w:orient="portrait"/>
          <w:cols w:equalWidth="0" w:num="1">
            <w:col w:w="10099"/>
          </w:cols>
          <w:pgMar w:left="360" w:top="312" w:right="1440" w:bottom="1440" w:gutter="0" w:footer="0" w:header="0"/>
        </w:sectPr>
      </w:pPr>
    </w:p>
    <w:bookmarkStart w:id="49" w:name="page50"/>
    <w:bookmarkEnd w:id="49"/>
    <w:p>
      <w:pPr>
        <w:ind w:left="1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person or Group shall be deducted from the total number of shares of Voting Stock of such class for purposes of determining the proportion of Voting Stock required to approve a matter submitted for stockholder approval. In the case of a Group, the votes of individual members of a Group shall be reduced on a pro rata basis for purposes of determining which shares of such class of Voting Stock shall be voted so that the Group shall have in the aggregate the right to vote not more than 15% of the shares of such class of Voting Stock. A person that is a member of more than one Group shall vote the least number of shares of a class of voting stock that he may vote as a member of any such Group.</w:t>
      </w:r>
    </w:p>
    <w:p>
      <w:pPr>
        <w:spacing w:after="0" w:line="215" w:lineRule="exact"/>
        <w:rPr>
          <w:sz w:val="20"/>
          <w:szCs w:val="20"/>
          <w:color w:val="auto"/>
        </w:rPr>
      </w:pPr>
    </w:p>
    <w:p>
      <w:pPr>
        <w:ind w:right="2319" w:firstLine="535"/>
        <w:spacing w:after="0" w:line="290" w:lineRule="auto"/>
        <w:tabs>
          <w:tab w:leader="none" w:pos="105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this Paragraph (3) shall not create any presumptions of control for purposes of the Investment Company Act of 1940.</w:t>
      </w:r>
    </w:p>
    <w:p>
      <w:pPr>
        <w:spacing w:after="0" w:line="170" w:lineRule="exact"/>
        <w:rPr>
          <w:sz w:val="20"/>
          <w:szCs w:val="20"/>
          <w:color w:val="auto"/>
        </w:rPr>
      </w:pPr>
    </w:p>
    <w:p>
      <w:pPr>
        <w:ind w:right="2099" w:firstLine="535"/>
        <w:spacing w:after="0" w:line="269"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shall have power from time to time and in its sole discretion to determine in accordance with sound accounting practice, what constitutes annual or other net profits, earnings, surplus, or net assets in excess of capital; to fix and vary from time to time the amount to be reserved as working capital, or determine that retained earnings or surplus shall remain in the hands of the Corporation; to set apart out of any funds of the Corporation such reserve or reserves in such amount or amounts and for such proper purpose or purposes as it shall determine and to abolish any such reserve or any part thereof; to distribute and pay distributions or dividends in stock, cash or other securities or property, out of surplus or any other funds or amounts legally available therefor, at such times and to the stockholders of record on such dates as it may, from time to time, determine; and to determine whether and to what extent and at what times and places and under what conditions and regulations the books, accounts and documents of the Corporation, or any of them, shall be open to the inspection of stockholders, except as otherwise provided by statute or by the By-Laws, and, except as so provided, no stockholder shall have any right to inspect any book, account, or document of the Corporation unless authorized so to do by resolution of the Board of Directors.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2099" w:firstLine="535"/>
        <w:spacing w:after="0" w:line="237" w:lineRule="auto"/>
        <w:tabs>
          <w:tab w:leader="none" w:pos="105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law requiring the authorization of any action by a greater proportion than a majority of the total number of shares of all classes of capital stock, such action shall be valid and effective if authorized by the affirmative vote of the holders of a majority of the total number of shares of all classes outstanding and entitled to vote thereon, except that the affirmative vote of the holders of two-thirds of the total number of shares of all classes outstanding and entitled to vote thereon shall be required to amend, repeal, or adopt any provision inconsistent with Article EIGHTH, Section (3).</w:t>
      </w:r>
    </w:p>
    <w:p>
      <w:pPr>
        <w:spacing w:after="0" w:line="213" w:lineRule="exact"/>
        <w:rPr>
          <w:rFonts w:ascii="Courier New" w:cs="Courier New" w:eastAsia="Courier New" w:hAnsi="Courier New"/>
          <w:sz w:val="18"/>
          <w:szCs w:val="18"/>
          <w:color w:val="auto"/>
        </w:rPr>
      </w:pPr>
    </w:p>
    <w:p>
      <w:pPr>
        <w:ind w:right="2099" w:firstLine="535"/>
        <w:spacing w:after="0" w:line="271" w:lineRule="auto"/>
        <w:tabs>
          <w:tab w:leader="none" w:pos="105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indemnify (a) its directors to the full extent provided by the general laws of the State of Maryland now or hereafter in force, including the advance of expenses under the procedures provided by such laws; (b) its officers to the same extent it shall indemnify its directors; and (c) its officers who are not directors to such further extent as shall be authorized by the Board of Directors and be consistent with law. The foregoing shall not limit the authority of the Corporation to indemnify</w:t>
      </w:r>
    </w:p>
    <w:p>
      <w:pPr>
        <w:sectPr>
          <w:pgSz w:w="11900" w:h="16838" w:orient="portrait"/>
          <w:cols w:equalWidth="0" w:num="1">
            <w:col w:w="10219"/>
          </w:cols>
          <w:pgMar w:left="240" w:top="312" w:right="1440" w:bottom="1440" w:gutter="0" w:footer="0" w:header="0"/>
        </w:sectPr>
      </w:pPr>
    </w:p>
    <w:bookmarkStart w:id="50" w:name="page51"/>
    <w:bookmarkEnd w:id="50"/>
    <w:p>
      <w:pPr>
        <w:ind w:left="120"/>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other employees and agents consistent with law.</w:t>
      </w:r>
    </w:p>
    <w:p>
      <w:pPr>
        <w:spacing w:after="0" w:line="207" w:lineRule="exact"/>
        <w:rPr>
          <w:sz w:val="20"/>
          <w:szCs w:val="20"/>
          <w:color w:val="auto"/>
        </w:rPr>
      </w:pPr>
    </w:p>
    <w:p>
      <w:pPr>
        <w:ind w:right="2099" w:firstLine="535"/>
        <w:spacing w:after="0" w:line="271"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fullest extent permitted by Maryland statutory or decisional law, as amended or interpreted, no director or officer of this Corporation shall be personally liable to the Corporation or its stockholders for money damages. No amendment of the charter of the Corporation or repeal of any of its provisions shall limit or eliminate the benefits provided to directors and officers under this provision with respect to any act or omission which occurred prior to such amendment or repeal.</w:t>
      </w:r>
    </w:p>
    <w:p>
      <w:pPr>
        <w:spacing w:after="0" w:line="187" w:lineRule="exact"/>
        <w:rPr>
          <w:rFonts w:ascii="Courier New" w:cs="Courier New" w:eastAsia="Courier New" w:hAnsi="Courier New"/>
          <w:sz w:val="16"/>
          <w:szCs w:val="16"/>
          <w:color w:val="auto"/>
        </w:rPr>
      </w:pPr>
    </w:p>
    <w:p>
      <w:pPr>
        <w:ind w:right="2199" w:firstLine="535"/>
        <w:spacing w:after="0" w:line="271" w:lineRule="auto"/>
        <w:tabs>
          <w:tab w:leader="none" w:pos="105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reserves the right from time to time to make any amendments of its charter which may now or hereafter be authorized by law, including any amendments changing the terms or contract rights, as expressly set forth in its charter, of any of its outstanding stock by classification, reclassification, or otherwise, but no such amendment which changes such terms or contract rights of any of its outstanding stock shall be valid unless such amendment shall have been authorized by not less than a majority of the aggregate number of the votes entitled to be cast thereon. by a vote at a meeting or in writing with or without a meeting.</w:t>
      </w:r>
    </w:p>
    <w:p>
      <w:pPr>
        <w:spacing w:after="0" w:line="18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enumeration and definition of particular powers of the Board of Directors included in the foregoing shall in no way be limited or restricted by reference to or inference from the terms of any other clause of this or any other Article of the charter of the Corporation, or construed as or deemed by inference or otherwise in any manner to exclude or limit any powers conferred upon the Board of Directors under the General Laws of the State of Maryland now or hereafter in force.</w:t>
      </w:r>
    </w:p>
    <w:p>
      <w:pPr>
        <w:spacing w:after="0" w:line="205"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NINTH:</w:t>
      </w:r>
      <w:r>
        <w:rPr>
          <w:sz w:val="20"/>
          <w:szCs w:val="20"/>
          <w:color w:val="auto"/>
        </w:rPr>
        <w:tab/>
      </w:r>
      <w:r>
        <w:rPr>
          <w:rFonts w:ascii="Courier New" w:cs="Courier New" w:eastAsia="Courier New" w:hAnsi="Courier New"/>
          <w:sz w:val="16"/>
          <w:szCs w:val="16"/>
          <w:color w:val="auto"/>
        </w:rPr>
        <w:t>The duration of the Corporation shall be perpetual.</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I have signed these Articles of Incorporation, acknowledging the same to be my act, on February 4,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Robye Shaw Margolius</w:t>
      </w:r>
    </w:p>
    <w:p>
      <w:pPr>
        <w:sectPr>
          <w:pgSz w:w="11900" w:h="16838" w:orient="portrait"/>
          <w:cols w:equalWidth="0" w:num="1">
            <w:col w:w="10219"/>
          </w:cols>
          <w:pgMar w:left="240" w:top="312" w:right="1440" w:bottom="1440" w:gutter="0" w:footer="0" w:header="0"/>
        </w:sectPr>
      </w:pPr>
    </w:p>
    <w:bookmarkStart w:id="51" w:name="page52"/>
    <w:bookmarkEnd w:id="51"/>
    <w:p>
      <w:pPr>
        <w:ind w:left="686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SUBSIDIARIES OF T. ROWE PRICE GROUP,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DECEMBER 31, 2000</w:t>
      </w:r>
    </w:p>
    <w:p>
      <w:pPr>
        <w:spacing w:after="0" w:line="200" w:lineRule="exact"/>
        <w:rPr>
          <w:sz w:val="20"/>
          <w:szCs w:val="20"/>
          <w:color w:val="auto"/>
        </w:rPr>
      </w:pPr>
    </w:p>
    <w:p>
      <w:pPr>
        <w:spacing w:after="0" w:line="204"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Subsidiary companies and state of incorporation</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 Rowe Price</w:t>
            </w:r>
          </w:p>
        </w:tc>
        <w:tc>
          <w:tcPr>
            <w:tcW w:w="5520" w:type="dxa"/>
            <w:vAlign w:val="bottom"/>
          </w:tcPr>
          <w:p>
            <w:pPr>
              <w:ind w:left="40"/>
              <w:spacing w:after="0"/>
              <w:rPr>
                <w:sz w:val="20"/>
                <w:szCs w:val="20"/>
                <w:color w:val="auto"/>
              </w:rPr>
            </w:pPr>
            <w:r>
              <w:rPr>
                <w:rFonts w:ascii="Courier New" w:cs="Courier New" w:eastAsia="Courier New" w:hAnsi="Courier New"/>
                <w:sz w:val="18"/>
                <w:szCs w:val="18"/>
                <w:color w:val="auto"/>
              </w:rPr>
              <w:t>Associates, Inc. (Maryland)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(Canada),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Investment Services,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Investment Technologies,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Retirement Plan Services,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Savings Bank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Services,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 Rowe Price Stable Asset Management,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TRP Finance,</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(Delaware)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6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 Rowe Price International,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TRP Suburban</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Second,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 Rowe Price</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Advisory Services, Inc. (Maryland)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 Rowe Price</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Global Investment Services Ltd. (United Kingdom)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200" w:lineRule="exact"/>
        <w:rPr>
          <w:sz w:val="20"/>
          <w:szCs w:val="20"/>
          <w:color w:val="auto"/>
        </w:rPr>
      </w:pP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Other subsidiaries have been omitted because, when considered in the aggregate, they do not constitute a significant subsidiary.</w:t>
      </w:r>
    </w:p>
    <w:p>
      <w:pPr>
        <w:sectPr>
          <w:pgSz w:w="11900" w:h="16838" w:orient="portrait"/>
          <w:cols w:equalWidth="0" w:num="1">
            <w:col w:w="10219"/>
          </w:cols>
          <w:pgMar w:left="240" w:top="136" w:right="1440" w:bottom="1440" w:gutter="0" w:footer="0" w:header="0"/>
        </w:sectPr>
      </w:pPr>
    </w:p>
    <w:bookmarkStart w:id="52" w:name="page53"/>
    <w:bookmarkEnd w:id="52"/>
    <w:p>
      <w:pPr>
        <w:ind w:left="686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Statements on Form S-8 (No. 033-07012, No. 033-37573, No. 033-72568, No. 033-58749, No. 333-20333 and No. 333-90967) of T. Rowe Price Group, Inc. of our report dated January 23, 2001 appearing on page 24 of this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Baltimore, Maryland</w:t>
      </w:r>
    </w:p>
    <w:p>
      <w:pPr>
        <w:spacing w:after="0" w:line="238" w:lineRule="auto"/>
        <w:rPr>
          <w:sz w:val="20"/>
          <w:szCs w:val="20"/>
          <w:color w:val="auto"/>
        </w:rPr>
      </w:pPr>
      <w:r>
        <w:rPr>
          <w:rFonts w:ascii="Courier New" w:cs="Courier New" w:eastAsia="Courier New" w:hAnsi="Courier New"/>
          <w:sz w:val="18"/>
          <w:szCs w:val="18"/>
          <w:color w:val="auto"/>
        </w:rPr>
        <w:t>March 23,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lvl w:ilvl="1">
      <w:lvlJc w:val="left"/>
      <w:lvlText w:val="%2."/>
      <w:numFmt w:val="decimal"/>
      <w:start w:val="1"/>
    </w:lvl>
  </w:abstractNum>
  <w:abstractNum w:abstractNumId="1">
    <w:nsid w:val="140E0F76"/>
    <w:multiLevelType w:val="hybridMultilevel"/>
    <w:lvl w:ilvl="0">
      <w:lvlJc w:val="left"/>
      <w:lvlText w:val="%1"/>
      <w:numFmt w:val="lowerLetter"/>
      <w:start w:val="1"/>
    </w:lvl>
    <w:lvl w:ilvl="1">
      <w:lvlJc w:val="left"/>
      <w:lvlText w:val="%2"/>
      <w:numFmt w:val="decimal"/>
      <w:start w:val="23"/>
    </w:lvl>
  </w:abstractNum>
  <w:abstractNum w:abstractNumId="2">
    <w:nsid w:val="3352255A"/>
    <w:multiLevelType w:val="hybridMultilevel"/>
    <w:lvl w:ilvl="0">
      <w:lvlJc w:val="left"/>
      <w:lvlText w:val="(%1)"/>
      <w:numFmt w:val="lowerLetter"/>
      <w:start w:val="2"/>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decimal"/>
      <w:start w:val="1"/>
    </w:lvl>
    <w:lvl w:ilvl="1">
      <w:lvlJc w:val="left"/>
      <w:lvlText w:val="(%2)"/>
      <w:numFmt w:val="lowerLetter"/>
      <w:start w:val="7"/>
    </w:lvl>
  </w:abstractNum>
  <w:abstractNum w:abstractNumId="9">
    <w:nsid w:val="4E6AFB66"/>
    <w:multiLevelType w:val="hybridMultilevel"/>
    <w:lvl w:ilvl="0">
      <w:lvlJc w:val="left"/>
      <w:lvlText w:val="(%1)"/>
      <w:numFmt w:val="decimal"/>
      <w:start w:val="6"/>
    </w:lvl>
    <w:lvl w:ilvl="1">
      <w:lvlJc w:val="left"/>
      <w:lvlText w:val="(%2)"/>
      <w:numFmt w:val="low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13">
    <w:nsid w:val="3F2DBA31"/>
    <w:multiLevelType w:val="hybridMultilevel"/>
    <w:lvl w:ilvl="0">
      <w:lvlJc w:val="left"/>
      <w:lvlText w:val="(%1)"/>
      <w:numFmt w:val="upperLetter"/>
      <w:start w:val="35"/>
    </w:lvl>
  </w:abstractNum>
  <w:abstractNum w:abstractNumId="14">
    <w:nsid w:val="7C83E458"/>
    <w:multiLevelType w:val="hybridMultilevel"/>
    <w:lvl w:ilvl="0">
      <w:lvlJc w:val="left"/>
      <w:lvlText w:val="(%1)"/>
      <w:numFmt w:val="upperLetter"/>
      <w:start w:val="61"/>
    </w:lvl>
  </w:abstractNum>
  <w:abstractNum w:abstractNumId="15">
    <w:nsid w:val="257130A3"/>
    <w:multiLevelType w:val="hybridMultilevel"/>
    <w:lvl w:ilvl="0">
      <w:lvlJc w:val="left"/>
      <w:lvlText w:val="%1"/>
      <w:numFmt w:val="lowerRoman"/>
      <w:start w:val="1"/>
    </w:lvl>
    <w:lvl w:ilvl="1">
      <w:lvlJc w:val="left"/>
      <w:lvlText w:val="(%2)"/>
      <w:numFmt w:val="upperLetter"/>
      <w:start w:val="4"/>
    </w:lvl>
  </w:abstractNum>
  <w:abstractNum w:abstractNumId="16">
    <w:nsid w:val="62BBD95A"/>
    <w:multiLevelType w:val="hybridMultilevel"/>
    <w:lvl w:ilvl="0">
      <w:lvlJc w:val="left"/>
      <w:lvlText w:val="%1"/>
      <w:numFmt w:val="lowerRoman"/>
      <w:start w:val="1"/>
    </w:lvl>
    <w:lvl w:ilvl="1">
      <w:lvlJc w:val="left"/>
      <w:lvlText w:val="(%2)"/>
      <w:numFmt w:val="upperLetter"/>
      <w:start w:val="35"/>
    </w:lvl>
  </w:abstractNum>
  <w:abstractNum w:abstractNumId="17">
    <w:nsid w:val="436C6125"/>
    <w:multiLevelType w:val="hybridMultilevel"/>
    <w:lvl w:ilvl="0">
      <w:lvlJc w:val="left"/>
      <w:lvlText w:val="(%1)"/>
      <w:numFmt w:val="lowerRoman"/>
      <w:start w:val="4"/>
    </w:lvl>
    <w:lvl w:ilvl="1">
      <w:lvlJc w:val="left"/>
      <w:lvlText w:val="(%2)"/>
      <w:numFmt w:val="upperLetter"/>
      <w:start w:val="1"/>
    </w:lvl>
  </w:abstractNum>
  <w:abstractNum w:abstractNumId="18">
    <w:nsid w:val="628C895D"/>
    <w:multiLevelType w:val="hybridMultilevel"/>
    <w:lvl w:ilvl="0">
      <w:lvlJc w:val="left"/>
      <w:lvlText w:val="%1"/>
      <w:numFmt w:val="lowerLetter"/>
      <w:start w:val="1"/>
    </w:lvl>
    <w:lvl w:ilvl="1">
      <w:lvlJc w:val="left"/>
      <w:lvlText w:val="(%2)"/>
      <w:numFmt w:val="lowerRoman"/>
      <w:start w:val="6"/>
    </w:lvl>
  </w:abstractNum>
  <w:abstractNum w:abstractNumId="19">
    <w:nsid w:val="333AB105"/>
    <w:multiLevelType w:val="hybridMultilevel"/>
    <w:lvl w:ilvl="0">
      <w:lvlJc w:val="left"/>
      <w:lvlText w:val="(%1)"/>
      <w:numFmt w:val="lowerLetter"/>
      <w:start w:val="2"/>
    </w:lvl>
    <w:lvl w:ilvl="1">
      <w:lvlJc w:val="left"/>
      <w:lvlText w:val="%2"/>
      <w:numFmt w:val="lowerRoman"/>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1)"/>
      <w:numFmt w:val="decimal"/>
      <w:start w:val="4"/>
    </w:lvl>
  </w:abstractNum>
  <w:abstractNum w:abstractNumId="22">
    <w:nsid w:val="2D1D5AE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2019-12-15T02:45:17Z</dcterms:created>
  <dcterms:modified xsi:type="dcterms:W3CDTF">2019-12-15T02:45:17Z</dcterms:modified>
</cp:coreProperties>
</file>