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QUARTERLY REPORT PURSUANT TO SECTION 13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2011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 ROWE PRICE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39370</wp:posOffset>
            </wp:positionV>
            <wp:extent cx="4485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-130175</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-130175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97"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22" w:right="239" w:bottom="1440" w:gutter="0" w:footer="0" w:header="0"/>
        </w:sectPr>
      </w:pPr>
    </w:p>
    <w:p>
      <w:pPr>
        <w:spacing w:after="0" w:line="4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4"/>
          <w:szCs w:val="24"/>
          <w:color w:val="auto"/>
        </w:rPr>
      </w:pPr>
    </w:p>
    <w:p>
      <w:pPr>
        <w:sectPr>
          <w:pgSz w:w="11900" w:h="16838" w:orient="portrait"/>
          <w:cols w:equalWidth="0" w:num="4">
            <w:col w:w="2040" w:space="720"/>
            <w:col w:w="1360" w:space="720"/>
            <w:col w:w="3720" w:space="720"/>
            <w:col w:w="2140"/>
          </w:cols>
          <w:pgMar w:left="240" w:top="5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19, 2011, is 259,750,308</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12/31/2010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813.1</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747.9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209.7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71.9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$.20 par value — authorized 750,000,000; issued 258,760,000 shares in 2010 and 259,631,000 in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506.3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2,599.4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3,296.5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3,455.9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3/31/2010</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471.8</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682.4</w:t>
            </w:r>
          </w:p>
        </w:tc>
        <w:tc>
          <w:tcPr>
            <w:tcW w:w="0" w:type="dxa"/>
            <w:vAlign w:val="bottom"/>
          </w:tcPr>
          <w:p>
            <w:pPr>
              <w:spacing w:after="0"/>
              <w:rPr>
                <w:sz w:val="1"/>
                <w:szCs w:val="1"/>
                <w:color w:val="auto"/>
              </w:rPr>
            </w:pPr>
          </w:p>
        </w:tc>
      </w:tr>
      <w:tr>
        <w:trPr>
          <w:trHeight w:val="439"/>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311.5</w:t>
            </w:r>
          </w:p>
        </w:tc>
        <w:tc>
          <w:tcPr>
            <w:tcW w:w="0" w:type="dxa"/>
            <w:vAlign w:val="bottom"/>
          </w:tcPr>
          <w:p>
            <w:pPr>
              <w:spacing w:after="0"/>
              <w:rPr>
                <w:sz w:val="1"/>
                <w:szCs w:val="1"/>
                <w:color w:val="auto"/>
              </w:rPr>
            </w:pPr>
          </w:p>
        </w:tc>
      </w:tr>
      <w:tr>
        <w:trPr>
          <w:trHeight w:val="432"/>
        </w:trPr>
        <w:tc>
          <w:tcPr>
            <w:tcW w:w="506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153.0</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w w:val="96"/>
              </w:rPr>
              <w:t>The accompanying notes are an integral part of these statements.</w:t>
            </w:r>
          </w:p>
        </w:tc>
        <w:tc>
          <w:tcPr>
            <w:tcW w:w="4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60" w:type="dxa"/>
            <w:vAlign w:val="bottom"/>
            <w:gridSpan w:val="2"/>
            <w:vMerge w:val="continue"/>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400" w:type="dxa"/>
            <w:vAlign w:val="bottom"/>
            <w:gridSpan w:val="2"/>
          </w:tcPr>
          <w:p>
            <w:pPr>
              <w:jc w:val="right"/>
              <w:ind w:right="3427"/>
              <w:spacing w:after="0"/>
              <w:rPr>
                <w:sz w:val="20"/>
                <w:szCs w:val="20"/>
                <w:color w:val="auto"/>
              </w:rPr>
            </w:pPr>
            <w:r>
              <w:rPr>
                <w:rFonts w:ascii="Arial" w:cs="Arial" w:eastAsia="Arial" w:hAnsi="Arial"/>
                <w:sz w:val="18"/>
                <w:szCs w:val="18"/>
                <w:color w:val="auto"/>
              </w:rPr>
              <w:t>Page 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153.0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Investment in UTI Asset Management Company Limited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debt securities held by savings bank subsidiary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(61.5)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change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color w:val="auto"/>
                <w:w w:val="97"/>
              </w:rPr>
              <w:t>Additional</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capital in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462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85"/>
              </w:rPr>
              <w:t>shares</w:t>
            </w: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Common</w:t>
            </w:r>
          </w:p>
        </w:tc>
        <w:tc>
          <w:tcPr>
            <w:tcW w:w="122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1"/>
              </w:rPr>
              <w:t>excess of par</w:t>
            </w:r>
          </w:p>
        </w:tc>
        <w:tc>
          <w:tcPr>
            <w:tcW w:w="2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Retained</w:t>
            </w:r>
          </w:p>
        </w:tc>
        <w:tc>
          <w:tcPr>
            <w:tcW w:w="132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0"/>
              </w:rPr>
              <w:t>comprehensive</w:t>
            </w:r>
          </w:p>
        </w:tc>
        <w:tc>
          <w:tcPr>
            <w:tcW w:w="108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46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4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1"/>
              </w:rPr>
              <w:t>stock</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5"/>
              </w:rPr>
              <w:t>value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earnings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92"/>
              </w:rPr>
              <w:t>income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2010</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258,760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$ 2,599.4</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3,296.5</w:t>
            </w: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Net unrealized holding gains, net of tax</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translation adjustment, net of tax</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option exercises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w w:val="96"/>
              </w:rPr>
              <w:t>Restricted shares issued, net of shares withheld for taxes</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vesting of restricted stock units</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Forfeiture of restricted awards</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tax benefits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Balances at March 31, 2011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259,631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$ 2,713.3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3,455.9</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5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2010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$154.0 million at December 31, 2010, and $162.5 million at March 31, 2011.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w w:val="91"/>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4"/>
              </w:rPr>
              <w:t>03/31/2010</w:t>
            </w:r>
          </w:p>
        </w:tc>
        <w:tc>
          <w:tcPr>
            <w:tcW w:w="340" w:type="dxa"/>
            <w:vAlign w:val="bottom"/>
          </w:tcPr>
          <w:p>
            <w:pPr>
              <w:spacing w:after="0"/>
              <w:rPr>
                <w:sz w:val="12"/>
                <w:szCs w:val="12"/>
                <w:color w:val="auto"/>
              </w:rPr>
            </w:pPr>
          </w:p>
        </w:tc>
        <w:tc>
          <w:tcPr>
            <w:tcW w:w="1020" w:type="dxa"/>
            <w:vAlign w:val="bottom"/>
            <w:gridSpan w:val="3"/>
          </w:tcPr>
          <w:p>
            <w:pPr>
              <w:ind w:left="340"/>
              <w:spacing w:after="0" w:line="142" w:lineRule="exact"/>
              <w:rPr>
                <w:sz w:val="20"/>
                <w:szCs w:val="20"/>
                <w:color w:val="auto"/>
              </w:rPr>
            </w:pPr>
            <w:r>
              <w:rPr>
                <w:rFonts w:ascii="Arial" w:cs="Arial" w:eastAsia="Arial" w:hAnsi="Arial"/>
                <w:sz w:val="14"/>
                <w:szCs w:val="14"/>
                <w:color w:val="auto"/>
                <w:w w:val="94"/>
              </w:rPr>
              <w:t>03/31/2011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3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334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262.8</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327.0</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400.5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120.3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154.8</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3340" w:type="dxa"/>
            <w:vAlign w:val="bottom"/>
            <w:gridSpan w:val="2"/>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471.8</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588.8</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As of</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6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1"/>
              </w:rPr>
              <w:t>12/31/2010</w:t>
            </w:r>
          </w:p>
        </w:tc>
        <w:tc>
          <w:tcPr>
            <w:tcW w:w="10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175.6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220.8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117.5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154.6</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money market and stable value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domiciled outside the United States account for 12% of our assets under management at March 31, 2011.</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three months of the year were $65.6 million in 2010 and $75.0 million in 2011.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5"/>
              </w:rPr>
              <w:t>Aggregate</w:t>
            </w:r>
          </w:p>
        </w:tc>
        <w:tc>
          <w:tcPr>
            <w:tcW w:w="6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Unrealized holding</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color w:val="auto"/>
              </w:rPr>
              <w:t>cost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gains</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2010</w:t>
            </w: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281.7</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178.6</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March 31, 2011</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281.7</w:t>
            </w:r>
          </w:p>
        </w:tc>
        <w:tc>
          <w:tcPr>
            <w:tcW w:w="9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203.1</w:t>
            </w:r>
          </w:p>
        </w:tc>
        <w:tc>
          <w:tcPr>
            <w:tcW w:w="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 funds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12/31/2010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3/31/2011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Fair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Fair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c>
          <w:tcPr>
            <w:tcW w:w="0" w:type="dxa"/>
            <w:vAlign w:val="bottom"/>
          </w:tcPr>
          <w:p>
            <w:pPr>
              <w:spacing w:after="0"/>
              <w:rPr>
                <w:sz w:val="1"/>
                <w:szCs w:val="1"/>
                <w:color w:val="auto"/>
              </w:rPr>
            </w:pPr>
          </w:p>
        </w:tc>
      </w:tr>
      <w:tr>
        <w:trPr>
          <w:trHeight w:val="167"/>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Investments with temporary impairment (50 securities in 2011)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value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c>
          <w:tcPr>
            <w:tcW w:w="0" w:type="dxa"/>
            <w:vAlign w:val="bottom"/>
          </w:tcPr>
          <w:p>
            <w:pPr>
              <w:spacing w:after="0"/>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than 12 months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12 months or more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Investments with unrealized holding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Aggregate cost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estimated fair value of our customer deposit liability, based on discounting expected cash outflows at maturity dates that range up to five years, using current interest rates offered for deposits with the same dates of maturity, was $164.1 million at December 31, 2010, and $168.3 million at March 31,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840" w:type="dxa"/>
            <w:vAlign w:val="bottom"/>
            <w:gridSpan w:val="3"/>
          </w:tcPr>
          <w:p>
            <w:pPr>
              <w:ind w:left="2160"/>
              <w:spacing w:after="0"/>
              <w:rPr>
                <w:sz w:val="20"/>
                <w:szCs w:val="20"/>
                <w:color w:val="auto"/>
              </w:rPr>
            </w:pPr>
            <w:r>
              <w:rPr>
                <w:rFonts w:ascii="Arial" w:cs="Arial" w:eastAsia="Arial" w:hAnsi="Arial"/>
                <w:sz w:val="14"/>
                <w:szCs w:val="14"/>
                <w:color w:val="auto"/>
                <w:w w:val="94"/>
              </w:rPr>
              <w:t>12/31/2010</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10% interest in Daiwa SB Investments Ltd. (Japan)</w:t>
            </w:r>
          </w:p>
        </w:tc>
        <w:tc>
          <w:tcPr>
            <w:tcW w:w="23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 interest in UTI Asset Management Company Limited (India)</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Other investments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U.S. Treasury note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34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240" w:right="22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 investments. There have been no transfers in or out of the levels. The following table summarizes our investments (in millions) that are recognized in our balance sheet using fair value measurements determined based on the differing levels of inputs.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54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500"/>
              <w:spacing w:after="0"/>
              <w:rPr>
                <w:sz w:val="20"/>
                <w:szCs w:val="20"/>
                <w:color w:val="auto"/>
              </w:rPr>
            </w:pPr>
            <w:r>
              <w:rPr>
                <w:rFonts w:ascii="Arial" w:cs="Arial" w:eastAsia="Arial" w:hAnsi="Arial"/>
                <w:sz w:val="14"/>
                <w:szCs w:val="14"/>
                <w:color w:val="auto"/>
                <w:w w:val="97"/>
              </w:rPr>
              <w:t>Level 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8"/>
              </w:rPr>
              <w:t>December 31, 2010</w:t>
            </w:r>
          </w:p>
        </w:tc>
        <w:tc>
          <w:tcPr>
            <w:tcW w:w="69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Cash equivalents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rPr>
              <w:t>726.9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ind w:left="200"/>
              <w:spacing w:after="0"/>
              <w:rPr>
                <w:sz w:val="20"/>
                <w:szCs w:val="20"/>
                <w:color w:val="auto"/>
              </w:rPr>
            </w:pPr>
            <w:r>
              <w:rPr>
                <w:rFonts w:ascii="Arial" w:cs="Arial" w:eastAsia="Arial" w:hAnsi="Arial"/>
                <w:sz w:val="18"/>
                <w:szCs w:val="18"/>
                <w:color w:val="auto"/>
              </w:rPr>
              <w:t>Held as available-for-sale</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rPr>
              <w:t>747.9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3"/>
              </w:rPr>
              <w:t>1,479.6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spacing w:after="0"/>
              <w:rPr>
                <w:sz w:val="20"/>
                <w:szCs w:val="20"/>
                <w:color w:val="auto"/>
              </w:rPr>
            </w:pPr>
            <w:r>
              <w:rPr>
                <w:rFonts w:ascii="Arial" w:cs="Arial" w:eastAsia="Arial" w:hAnsi="Arial"/>
                <w:sz w:val="18"/>
                <w:szCs w:val="18"/>
                <w:color w:val="auto"/>
              </w:rPr>
              <w:t>March 31, 2011</w:t>
            </w: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973.6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Investments in sponsored mutual funds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Held as available-for-sale</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774.0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ind w:left="200"/>
              <w:spacing w:after="0"/>
              <w:rPr>
                <w:sz w:val="20"/>
                <w:szCs w:val="20"/>
                <w:color w:val="auto"/>
              </w:rPr>
            </w:pPr>
            <w:r>
              <w:rPr>
                <w:rFonts w:ascii="Arial" w:cs="Arial" w:eastAsia="Arial" w:hAnsi="Arial"/>
                <w:sz w:val="18"/>
                <w:szCs w:val="18"/>
                <w:color w:val="auto"/>
              </w:rPr>
              <w:t>Held as trading</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8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8380" w:type="dxa"/>
            <w:vAlign w:val="bottom"/>
            <w:gridSpan w:val="5"/>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1,752.4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spacing w:after="0"/>
              <w:rPr>
                <w:sz w:val="20"/>
                <w:szCs w:val="20"/>
                <w:color w:val="auto"/>
              </w:rPr>
            </w:pPr>
            <w:r>
              <w:rPr>
                <w:rFonts w:ascii="Arial" w:cs="Arial" w:eastAsia="Arial" w:hAnsi="Arial"/>
                <w:sz w:val="18"/>
                <w:szCs w:val="18"/>
                <w:color w:val="auto"/>
              </w:rPr>
              <w:t>NOTE 7 — STOCK-BASED COMPENSATION.</w:t>
            </w: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Stock-based grants.</w:t>
            </w:r>
          </w:p>
        </w:tc>
        <w:tc>
          <w:tcPr>
            <w:tcW w:w="69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380" w:type="dxa"/>
            <w:vAlign w:val="bottom"/>
            <w:gridSpan w:val="8"/>
          </w:tcPr>
          <w:p>
            <w:pPr>
              <w:spacing w:after="0"/>
              <w:rPr>
                <w:sz w:val="20"/>
                <w:szCs w:val="20"/>
                <w:color w:val="auto"/>
              </w:rPr>
            </w:pPr>
            <w:r>
              <w:rPr>
                <w:rFonts w:ascii="Arial" w:cs="Arial" w:eastAsia="Arial" w:hAnsi="Arial"/>
                <w:sz w:val="18"/>
                <w:szCs w:val="18"/>
                <w:color w:val="auto"/>
                <w:w w:val="96"/>
              </w:rPr>
              <w:t>The following table summarizes the status of and changes in our stock option grants during the first three months of 2011.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4"/>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440" w:type="dxa"/>
            <w:vAlign w:val="bottom"/>
            <w:gridSpan w:val="5"/>
            <w:shd w:val="clear" w:color="auto" w:fill="CCEEFF"/>
          </w:tcPr>
          <w:p>
            <w:pPr>
              <w:jc w:val="right"/>
              <w:ind w:right="230"/>
              <w:spacing w:after="0"/>
              <w:rPr>
                <w:sz w:val="20"/>
                <w:szCs w:val="20"/>
                <w:color w:val="auto"/>
              </w:rPr>
            </w:pPr>
            <w:r>
              <w:rPr>
                <w:rFonts w:ascii="Arial" w:cs="Arial" w:eastAsia="Arial" w:hAnsi="Arial"/>
                <w:sz w:val="18"/>
                <w:szCs w:val="18"/>
                <w:color w:val="auto"/>
              </w:rPr>
              <w:t>37,759,580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Semiannual grants</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2,894,480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440" w:type="dxa"/>
            <w:vAlign w:val="bottom"/>
            <w:gridSpan w:val="5"/>
            <w:shd w:val="clear" w:color="auto" w:fill="CCEEFF"/>
          </w:tcPr>
          <w:p>
            <w:pPr>
              <w:jc w:val="right"/>
              <w:ind w:right="230"/>
              <w:spacing w:after="0"/>
              <w:rPr>
                <w:sz w:val="20"/>
                <w:szCs w:val="20"/>
                <w:color w:val="auto"/>
              </w:rPr>
            </w:pPr>
            <w:r>
              <w:rPr>
                <w:rFonts w:ascii="Arial" w:cs="Arial" w:eastAsia="Arial" w:hAnsi="Arial"/>
                <w:sz w:val="18"/>
                <w:szCs w:val="18"/>
                <w:color w:val="auto"/>
              </w:rPr>
              <w:t>20,653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New hire grants</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5"/>
            <w:shd w:val="clear" w:color="auto" w:fill="CCEEFF"/>
          </w:tcPr>
          <w:p>
            <w:pPr>
              <w:jc w:val="right"/>
              <w:ind w:right="170"/>
              <w:spacing w:after="0"/>
              <w:rPr>
                <w:sz w:val="20"/>
                <w:szCs w:val="20"/>
                <w:color w:val="auto"/>
              </w:rPr>
            </w:pPr>
            <w:r>
              <w:rPr>
                <w:rFonts w:ascii="Arial" w:cs="Arial" w:eastAsia="Arial" w:hAnsi="Arial"/>
                <w:sz w:val="18"/>
                <w:szCs w:val="18"/>
                <w:color w:val="auto"/>
              </w:rPr>
              <w:t>(1,711,550)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4"/>
          </w:tcPr>
          <w:p>
            <w:pPr>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120" w:type="dxa"/>
            <w:vAlign w:val="bottom"/>
            <w:gridSpan w:val="4"/>
          </w:tcPr>
          <w:p>
            <w:pPr>
              <w:jc w:val="right"/>
              <w:ind w:right="170"/>
              <w:spacing w:after="0"/>
              <w:rPr>
                <w:sz w:val="20"/>
                <w:szCs w:val="20"/>
                <w:color w:val="auto"/>
              </w:rPr>
            </w:pPr>
            <w:r>
              <w:rPr>
                <w:rFonts w:ascii="Arial" w:cs="Arial" w:eastAsia="Arial" w:hAnsi="Arial"/>
                <w:sz w:val="18"/>
                <w:szCs w:val="18"/>
                <w:color w:val="auto"/>
              </w:rPr>
              <w:t>(158,960)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440" w:type="dxa"/>
            <w:vAlign w:val="bottom"/>
            <w:gridSpan w:val="5"/>
            <w:shd w:val="clear" w:color="auto" w:fill="CCEEFF"/>
          </w:tcPr>
          <w:p>
            <w:pPr>
              <w:jc w:val="right"/>
              <w:ind w:right="230"/>
              <w:spacing w:after="0"/>
              <w:rPr>
                <w:sz w:val="20"/>
                <w:szCs w:val="20"/>
                <w:color w:val="auto"/>
              </w:rPr>
            </w:pPr>
            <w:r>
              <w:rPr>
                <w:rFonts w:ascii="Arial" w:cs="Arial" w:eastAsia="Arial" w:hAnsi="Arial"/>
                <w:sz w:val="18"/>
                <w:szCs w:val="18"/>
                <w:color w:val="auto"/>
              </w:rPr>
              <w:t>38,805,203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gridSpan w:val="5"/>
            <w:vMerge w:val="restart"/>
          </w:tcPr>
          <w:p>
            <w:pPr>
              <w:spacing w:after="0"/>
              <w:rPr>
                <w:sz w:val="20"/>
                <w:szCs w:val="20"/>
                <w:color w:val="auto"/>
              </w:rPr>
            </w:pPr>
            <w:r>
              <w:rPr>
                <w:rFonts w:ascii="Arial" w:cs="Arial" w:eastAsia="Arial" w:hAnsi="Arial"/>
                <w:sz w:val="18"/>
                <w:szCs w:val="18"/>
                <w:color w:val="auto"/>
              </w:rPr>
              <w:t>Exercisable at end of period</w:t>
            </w: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5"/>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20,112,811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three months of 2011.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Restricted</w:t>
            </w: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Restricted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480" w:type="dxa"/>
            <w:vAlign w:val="bottom"/>
          </w:tcPr>
          <w:p>
            <w:pPr>
              <w:spacing w:after="0"/>
              <w:rPr>
                <w:sz w:val="12"/>
                <w:szCs w:val="12"/>
                <w:color w:val="auto"/>
              </w:rPr>
            </w:pPr>
          </w:p>
        </w:tc>
        <w:tc>
          <w:tcPr>
            <w:tcW w:w="1300" w:type="dxa"/>
            <w:vAlign w:val="bottom"/>
          </w:tcPr>
          <w:p>
            <w:pPr>
              <w:ind w:left="140"/>
              <w:spacing w:after="0" w:line="149" w:lineRule="exact"/>
              <w:rPr>
                <w:sz w:val="20"/>
                <w:szCs w:val="20"/>
                <w:color w:val="auto"/>
              </w:rPr>
            </w:pPr>
            <w:r>
              <w:rPr>
                <w:rFonts w:ascii="Arial" w:cs="Arial" w:eastAsia="Arial" w:hAnsi="Arial"/>
                <w:sz w:val="14"/>
                <w:szCs w:val="14"/>
                <w:color w:val="auto"/>
                <w:w w:val="99"/>
              </w:rPr>
              <w:t>Weighted-average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units</w:t>
            </w:r>
          </w:p>
        </w:tc>
        <w:tc>
          <w:tcPr>
            <w:tcW w:w="480" w:type="dxa"/>
            <w:vAlign w:val="bottom"/>
          </w:tcPr>
          <w:p>
            <w:pPr>
              <w:spacing w:after="0"/>
              <w:rPr>
                <w:sz w:val="14"/>
                <w:szCs w:val="14"/>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638,532</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368,201</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 to employees</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122,575</w:t>
            </w:r>
          </w:p>
        </w:tc>
        <w:tc>
          <w:tcPr>
            <w:tcW w:w="1680" w:type="dxa"/>
            <w:vAlign w:val="bottom"/>
            <w:gridSpan w:val="4"/>
          </w:tcPr>
          <w:p>
            <w:pPr>
              <w:jc w:val="right"/>
              <w:ind w:right="300"/>
              <w:spacing w:after="0"/>
              <w:rPr>
                <w:sz w:val="20"/>
                <w:szCs w:val="20"/>
                <w:color w:val="auto"/>
              </w:rPr>
            </w:pPr>
            <w:r>
              <w:rPr>
                <w:rFonts w:ascii="Arial" w:cs="Arial" w:eastAsia="Arial" w:hAnsi="Arial"/>
                <w:sz w:val="18"/>
                <w:szCs w:val="18"/>
                <w:color w:val="auto"/>
              </w:rPr>
              <w:t>65,650</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(1,750)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(8,790)</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(20,251)</w:t>
            </w:r>
          </w:p>
        </w:tc>
        <w:tc>
          <w:tcPr>
            <w:tcW w:w="1780" w:type="dxa"/>
            <w:vAlign w:val="bottom"/>
            <w:gridSpan w:val="2"/>
          </w:tcPr>
          <w:p>
            <w:pPr>
              <w:ind w:left="840"/>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period</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751,442</w:t>
            </w:r>
          </w:p>
        </w:tc>
        <w:tc>
          <w:tcPr>
            <w:tcW w:w="16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411,850</w:t>
            </w:r>
          </w:p>
        </w:tc>
        <w:tc>
          <w:tcPr>
            <w:tcW w:w="17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62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March 31, 2011.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Third quarter 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2013 through 2016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8 — EARNINGS PER SHARE CALCULATIONS.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following table presents the reconciliation (in millions) of our net income to net income allocated to our common stockholders and the weighted average shares (in millions) that are used in calculating the basic and the diluted earnings per share on our common stock. Weighted average common shares outstanding assuming dilution reflects the potential additional dilution, determined using the treasury stock method that could occur if outstanding stock options were exercised. The table also shows the weighted average outstanding stock options (in millions) and their average exercise price excluded from the calculation of diluted earnings per common share as the inclusion of such shares would be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common stockholders</w:t>
            </w:r>
          </w:p>
        </w:tc>
        <w:tc>
          <w:tcPr>
            <w:tcW w:w="18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193.8</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outstanding stock options excluded from the calculation of diluted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common share</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Average exercise price</w:t>
            </w: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NOTE 9 — COMPREHENSIVE INCOME AND ACCUMULATED OTHER COMPREHENSIVE INCOME.</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The following table presents the components (in millions) of comprehensive income.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unrealized holding gains (losses)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Deferred tax benefits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unrealized holding gains (losses) recognized in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Total net unrealized holding gains recognized in other comprehensive income</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in UTI Asset Management Company Limited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600"/>
              <w:spacing w:after="0"/>
              <w:rPr>
                <w:sz w:val="20"/>
                <w:szCs w:val="20"/>
                <w:color w:val="auto"/>
              </w:rPr>
            </w:pPr>
            <w:r>
              <w:rPr>
                <w:rFonts w:ascii="Arial" w:cs="Arial" w:eastAsia="Arial" w:hAnsi="Arial"/>
                <w:sz w:val="18"/>
                <w:szCs w:val="18"/>
                <w:color w:val="auto"/>
              </w:rPr>
              <w:t>Change in currency translation adjustment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tax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Total currency translation adjustment</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currency translation adjustment results from translating our proportionate share of the financial statements of UTI, our equity method investment, into U.S. dollars. Assets and liabilities are translated into U.S. dollars using quarter-end exchange rates, and revenues and expenses are translated using weighted-average exchange rates for the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(in millions) at March 31, 2011, are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243.8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held by savings bank subsidiary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(95.4)</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deferred tax benefit of $1.8 million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2011, the related condensed consolidated statements of income and cash flows for the three-month periods ended March 31, 2011 and 2010, and the related condensed consolidated statement of stockholders’ equity for the three-month period ended March 31, 2011. These condensed consolidated financial statements are the responsibility of the Company’s management.</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2010, and the related consolidated statements of income, stockholders’ equity, and cash flows for the year then ended (not presented herein); and in our report dated February 8, 2011, we expressed an unqualified opinion on those consolidated financial statements. In our opinion, the information set forth in the accompanying condensed consolidated balance sheet as of December 31, 2010,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domiciled outside the United States account for 12% of our assets under management at March 31, 2011.</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Equity markets around the world ended the first quarter of 2011 with gains despite experiencing volatility along the way. The positive momentum of late 2010 continued into 2011 as improving economic conditions and strong corporate earnings advanced markets steadily through mid-February. Political turmoil in North Africa and the Middle East followed by the devastating earthquake and nuclear crisis in Japan prompted a market sell-off as investors looked to reduce risk. Indexes rebounded strongly, however, in the quarter’s closing weeks.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Amid this volatility, the S&amp;P 500 Index of large-cap companies in leading industries of the U.S. economy posted a first quarter gain of 5.9% while the Russell 2000 Index, which measures the performance of small-cap U.S. companies returned 7.9%. For the quarter, the NASDAQ Composite Index, which is heavily weighted with technology companies, returned 4.8% (excluding dividends). Markets outside the U.S. experienced less robust gains. The MSCI EAFE Index, which measures the performance of mostly large-cap stocks in Europe, Australasia and the Far East, returned 3.5%, and the MSCI Emerging Markets Index returned 2.1%.</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Long-term Treasury yields experienced volatility in the first quarter of 2011 as well, as investors periodically sought the safety of U.S. government bonds. Rates steadied toward the end of the quarter, however, as market anxieties regarding recent global developments diminished somewhat, and the Federal Reserve left U.S. monetary policy unchanged at its March meeting. On balance, the yield on the benchmark 10-year bond increased 18 basis points during the quarter to 3.47%.</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U.S. fixed income securities experienced modest returns in the first quarter of 2011. The strong corporate earnings reported in early 2011 helped high yield corporate bonds build on their substantial gains in 2010, while investment-grade issues recorded more modest gains. The Credit Suisse High Yield Index gained 3.8% in the first quarter of 2010, while the Barclays Capital U.S. Aggregate Index gained .42%. The Barclays Capital Global Aggregate Ex-US Dollar Bond Index was up 1.8% in the first quarter of 2011, due in part to a weakening U.S. dollar, and the J.P. Morgan Emerging Markets Index Plus gained .74%.</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this volatile environment, our assets under management increased $27.9 billion from the December 31, 2010 record level of $482.0 billion to $509.9 billion at March 31, 2011. The change (in billions) during the first quarter of 2011 occurred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Quarter</w:t>
            </w:r>
          </w:p>
        </w:tc>
      </w:tr>
      <w:tr>
        <w:trPr>
          <w:trHeight w:val="149"/>
        </w:trPr>
        <w:tc>
          <w:tcPr>
            <w:tcW w:w="20" w:type="dxa"/>
            <w:vAlign w:val="bottom"/>
          </w:tcPr>
          <w:p>
            <w:pPr>
              <w:spacing w:after="0"/>
              <w:rPr>
                <w:sz w:val="12"/>
                <w:szCs w:val="12"/>
                <w:color w:val="auto"/>
              </w:rPr>
            </w:pPr>
          </w:p>
        </w:tc>
        <w:tc>
          <w:tcPr>
            <w:tcW w:w="10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7"/>
              </w:rPr>
              <w:t>ended</w:t>
            </w:r>
          </w:p>
        </w:tc>
      </w:tr>
      <w:tr>
        <w:trPr>
          <w:trHeight w:val="167"/>
        </w:trPr>
        <w:tc>
          <w:tcPr>
            <w:tcW w:w="20" w:type="dxa"/>
            <w:vAlign w:val="bottom"/>
          </w:tcPr>
          <w:p>
            <w:pPr>
              <w:spacing w:after="0"/>
              <w:rPr>
                <w:sz w:val="14"/>
                <w:szCs w:val="14"/>
                <w:color w:val="auto"/>
              </w:rPr>
            </w:pPr>
          </w:p>
        </w:tc>
        <w:tc>
          <w:tcPr>
            <w:tcW w:w="10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3/31/2011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Market valuation changes and income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620" w:type="dxa"/>
            <w:vAlign w:val="bottom"/>
            <w:shd w:val="clear" w:color="auto" w:fill="CCEEFF"/>
          </w:tcPr>
          <w:p>
            <w:pPr>
              <w:spacing w:after="0"/>
              <w:rPr>
                <w:sz w:val="20"/>
                <w:szCs w:val="20"/>
                <w:color w:val="auto"/>
              </w:rPr>
            </w:pPr>
            <w:r>
              <w:rPr>
                <w:rFonts w:ascii="Arial" w:cs="Arial" w:eastAsia="Arial" w:hAnsi="Arial"/>
                <w:sz w:val="18"/>
                <w:szCs w:val="18"/>
                <w:color w:val="auto"/>
              </w:rPr>
              <w:t>Change during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Assets under management at March 31, 2011, include $385.1 billion in stock and blended asset investment portfolios and $124.8 billion in fixed income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investment portfolios. The investment portfolios that we manage consist of $300.2 billion in the T. Rowe Price mutual funds distributed in the U.S.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$209.7 billion in other investment portfolios, including separately managed accounts, sub-advised funds, and other sponsored investment portfolios including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trust funds and mutual funds offered to investors outside the U.S. and through variable annuity life insurance plans.</w:t>
      </w:r>
    </w:p>
    <w:p>
      <w:pPr>
        <w:spacing w:after="0" w:line="1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2011 versus first quarter 2010.</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Investment advisory revenues increased 24.8%, or $117.0 million, to $588.8 million in the first quarter of 2011 as average assets under our management increased $101.5 billion to $498.4 billion. The average annualized fee rate earned on our assets under management was 47.9 basis points during the first quarter of 2011 down from the 48.2 basis points earned in the 2010 quarter, and virtually unchanged from the fee rate of 48.0 basis points earned in 2010. We continue to voluntarily waive money market fees to maintain a positive yield for fund investors. Fees of $7.0 million were waived in the first quarter of 2011, an increase of $.2 million from the fees waived in the comparable 2010 quarter. We anticipate such fee waivers could continue for the remainder of 2011.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815"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Net revenues increased $126.2 million, or 22.7%, to $682.4 million. Operating expenses of $370.9 million in the first quarter of 2011 were up $53.4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16.8% from the comparable 2010 quarter. Overall, net operating income of $311.5 million for the first quarter of 2011 was 30.5% higher than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$238.7 million earned in the 2010 quarter. The increase in our average assets under management and resulting advisory revenue increased our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for the first quarter of 2011 to 45.6% from 42.9% in the comparable 2010 quarter. Net income increased $41.6 million from the first quarter of 2010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$194.6 million and diluted earnings per share on our common stock increased 26.3% to $.72 from $.57 in the 2010 quarter.</w:t>
      </w:r>
    </w:p>
    <w:p>
      <w:pPr>
        <w:spacing w:after="0" w:line="10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Investment advisory revenues earned from the T. Rowe Price mutual funds distributed in the U.S. increased 23.1%, or $75.1 million, to $400.5 million. Average mutual fund assets under management in the first quarter of 2011 were $292.0 billion, an increase of 23.1% from the average for the comparable 2010 quarter. Mutual fund assets at March 31, 2011 were $300.2 billion, an increase of $17.6 billion, or 6.2% from the end of 2010.</w:t>
      </w:r>
    </w:p>
    <w:p>
      <w:pPr>
        <w:spacing w:after="0" w:line="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inflows to the sponsored mutual funds were $4.4 billion during the first quarter of 2011, including $2.5 billion originating in our target-date retirement funds. Net inflows include $2.9 billion added to the stock and blended asset funds and $1.8 billion added to the bond funds. The Equity Income, New Income, Growth Stock, Institutional Mid-Cap Equity Growth, and Overseas Stock Funds each added more than $.4 billion for a total of $3.0 billion during the 2011 quarter. The money market funds had net outflows of $.3 billion. Market appreciation and income increased our mutual fund assets under management by $13.2 billion during the first quarter of 2011.</w:t>
      </w:r>
    </w:p>
    <w:p>
      <w:pPr>
        <w:spacing w:after="0" w:line="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Investment advisory revenues earned on the other investment portfolios that we manage increased $41.9 million, or 28.6%, from the first quarter of 2010, to $188.3 million. Average assets in these portfolios were $206.4 billion during the first quarter of 2011, an increase of $46.8 billion, or 29.3%, from the 2010 quarter. Ending assets at March 31, 2011 were $209.7 billion, up $10.3 billion from the end of 2010. Net inflows were $1.4 billion for the first quarter of 2011. Strong net inflows into our sub-advised funds from third party financial intermediaries and into our other sponsored portfolios were partially offset by net outflows from a few institutional investors who restructured their equity investment portfolios. Market appreciation and income increased assets under management in these portfolios by $8.9 billion.</w:t>
      </w:r>
    </w:p>
    <w:p>
      <w:pPr>
        <w:spacing w:after="0" w:line="8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Administrative fees increased $9.5 million from the first quarter of 2010 to $93.1 million. This change includes a $6.9 million increase in our mutual fund servicing revenue and $2.5 million increase in 12b-1 distribution and service fees recognized on higher average assets under management in the Advisor and R classes of our sponsored mutual funds. Changes in administrative fees are generally offset by a similar change in the related operating expenses that are incurred to distribute Advisor and R class fund shares through third party intermediaries and to provide services to the funds and their investors.</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Compensation and related costs increased $35.2 million, or 16.9%, compared to the first quarter of 2010. Almost half of this increase is attributable to an increase in our annual variable compensation programs, which are based on our operating results and other factors such as our relative risk-adjusted investment performance, and the quality of our client service. The change also includes an increase of $11.7 million in salaries expense and employee benefits from the 2010 quarter, which results from an increase in our average staff size of 6.0% coupled with a modest increase in our associates’ base salaries at the beginning of the year. Increases in temporary employment expenses, non-cash stock-based compensation expense, and other employee costs make up the balance of the change from the 2010 period. At March 31, 2011, we employed 5,104 associates up just slightly from the 5,052 associates employed at the end of 2010.</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Advertising and promotion expenditures were up $1.9 million, or 8.1%, compared to the first quarter of 2010 in response to investor interest. We currently expect that our advertising and promotion expenditures for the second quarter of 2011 will be about $2.0 million higher than the comparable 2010 quarter and spending for the full year 2011 could increase about 15% from 2010. We vary our level of spending based on market conditions and investor demand as well as our efforts to expand our investor base in the U.S. and abroad.</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Occupancy and facility costs together with depreciation and amortization expense were up $3.2 million versus the 2010 quarter. The change includes the impact of placing our new technology support facility into service in February 2011, as well as higher operating costs for our existing facilities and the added cost to update our technology capabilities, including related maintenance programs, to meet increasing business demands.</w:t>
      </w:r>
    </w:p>
    <w:p>
      <w:pPr>
        <w:spacing w:after="0" w:line="44"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Other operating expenses increased $13.1 million, or 29.0%, from the first quarter of 2010, including an increase of $2.5 million in distribution and service expenses recognized on higher average assets under management in our Advisor and R classes of mutual fund shares that are sourced from financial intermediaries. These costs are offset by an equal increase in our administrative revenues recognized from the 12b-1 fees discussed above. Consulting and professional fees, information services, and other operating costs have all risen from the first quarter of 2010 to meet increasing business demands.</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non-operating investment activity, which includes interest income as well as the recognition of investment gains and losses, decreased $1.4 million from the comparable 2010 quarter. The 2010 quarter included a $2.2 million gain recognized on the settlement and valuation of non-deliverable forward contracts used to economically hedge the foreign currency exposure associated with the UTI acquisition price. The change also includes $1.7 million in equity earnings recognized in the first quarter of 2011 from our investment in UTI.</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first quarter of 2011 provision for income taxes as a percentage of pretax income is 38.3%. A higher anticipated effective state income tax rate has pushed the current estimate for the full year 2011 to 38.3%, up from the prior estimate of 37.8%.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Operating activities during the first quarter of 2011 provided cash flows of $336.0 million, up $79.3 million from 2010, including a $41.6 million increase in net income and a $2.5 million increase in non-cash expenses for depreciation, amortization and stock-based compensation. Timing differences in the cash settlement of our assets and liabilities increased our cash flows by $35.2 million versus the 2010 quarter. Our interim operating cash flows do not include bonus compensation that is accrued throughout the year before being substantially paid out in December.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totaled $17.0 million, down $157.4 million from the 2010 period, primarily due to the 2010 period including the</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$143.6 million related to our purchase of a 26% equity interest in UTI. Our capital spending for property and equipment decreased $13.3 million from the 2010 period because we completed the construction of our technology support facility in late 2010.</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$67.2 million in the first quarter of 2011, up $5.7 million from 2010. Dividends paid during the first quarter of 2011 increased $10.7 million from the 2011 period due primarily to a $.04 increase in our quarterly per-share dividend. The increase in the dividends paid was partially offset by the change in cash flows from our savings bank deposits.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950" w:gutter="0" w:footer="0" w:header="0"/>
        </w:sectPr>
      </w:pPr>
    </w:p>
    <w:bookmarkStart w:id="12" w:name="page13"/>
    <w:bookmarkEnd w:id="12"/>
    <w:p>
      <w:pPr>
        <w:ind w:right="160"/>
        <w:spacing w:after="0" w:line="264" w:lineRule="auto"/>
        <w:rPr>
          <w:sz w:val="20"/>
          <w:szCs w:val="20"/>
          <w:color w:val="auto"/>
        </w:rPr>
      </w:pPr>
      <w:r>
        <w:rPr>
          <w:rFonts w:ascii="Arial" w:cs="Arial" w:eastAsia="Arial" w:hAnsi="Arial"/>
          <w:sz w:val="18"/>
          <w:szCs w:val="18"/>
          <w:color w:val="auto"/>
        </w:rPr>
        <w:t>Our cash and mutual fund investments at March 31, 2011 were more than $1.8 billion, and we have no debt. Given the availability of these financial resources, we do not maintain an available external source of liquidity. We anticipate property and equipment expenditures for the full year 2011 to be about $110 million and expect to fund them from our cash balances.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statements, including that which we have not yet adopted. We do not believe that any such guidance will have a material effect on our financial position or results of operation.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2010.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and changes in their market valuations.</w:t>
      </w:r>
    </w:p>
    <w:p>
      <w:pPr>
        <w:spacing w:after="0" w:line="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2011. Based on that evaluation, our principal executive and principal financial officers have concluded that our disclosure controls and procedures as of March 31, 2011,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2011, and has concluded that there was no change during the first quarter of 2011 that has materially affected, or is reasonably likely to materially affect, our internal control over financial reporting.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653"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2011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740" w:type="dxa"/>
            <w:vAlign w:val="bottom"/>
            <w:gridSpan w:val="4"/>
          </w:tcPr>
          <w:p>
            <w:pPr>
              <w:jc w:val="center"/>
              <w:ind w:left="96"/>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Average</w:t>
            </w: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6"/>
              </w:rPr>
              <w:t>Shares Purchased as</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Shares</w:t>
            </w:r>
          </w:p>
        </w:tc>
        <w:tc>
          <w:tcPr>
            <w:tcW w:w="3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3"/>
              </w:rPr>
              <w:t>Price Paid</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Part of Publicly</w:t>
            </w: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2"/>
              </w:rPr>
              <w:t>Yet Be Purchased</w:t>
            </w: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Arial" w:cs="Arial" w:eastAsia="Arial" w:hAnsi="Arial"/>
                <w:sz w:val="14"/>
                <w:szCs w:val="14"/>
                <w:color w:val="auto"/>
              </w:rPr>
              <w:t>Month</w:t>
            </w:r>
          </w:p>
        </w:tc>
        <w:tc>
          <w:tcPr>
            <w:tcW w:w="48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Purchased</w:t>
            </w:r>
          </w:p>
        </w:tc>
        <w:tc>
          <w:tcPr>
            <w:tcW w:w="30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color w:val="auto"/>
                <w:w w:val="91"/>
              </w:rPr>
              <w:t>per Share</w:t>
            </w: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Announced Program</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Under the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66.45</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February</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246,464</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69.66</w:t>
            </w: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22,410,910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513,684</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62.78</w:t>
            </w:r>
          </w:p>
        </w:tc>
        <w:tc>
          <w:tcPr>
            <w:tcW w:w="1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21,910,910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857,091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65.17</w:t>
            </w:r>
          </w:p>
        </w:tc>
        <w:tc>
          <w:tcPr>
            <w:tcW w:w="6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authorizations, and pre-existing outstanding shares surrendered to the company to pay the exercise price in connection with swap exercises of employee stock options. Of the shares repurchased in March 2011, 500,000 were repurchased pursuant to the Board of Directors’ June 5, 2008 publicly announced authorization. All other shares repurchased during the quarter related to swap exercises.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21, 2011, we issued a press release reporting our results of operations for the first quarter of 2011.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420"/>
          </w:cols>
          <w:pgMar w:left="240" w:top="931" w:right="239" w:bottom="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3(i).1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Charter of T. Rowe Price Group, Inc., as Amended by Articles of Amendment dated April 10, 2008. (Incorporated by reference from Form 10-Q Report for the quarterly period ended March 31, 2008; Accession No. 0000950133-08-001597).</w:t>
      </w:r>
    </w:p>
    <w:p>
      <w:pPr>
        <w:spacing w:after="0" w:line="76" w:lineRule="exact"/>
        <w:rPr>
          <w:sz w:val="20"/>
          <w:szCs w:val="20"/>
          <w:color w:val="auto"/>
        </w:rPr>
      </w:pPr>
    </w:p>
    <w:p>
      <w:pPr>
        <w:sectPr>
          <w:pgSz w:w="11900" w:h="16838" w:orient="portrait"/>
          <w:cols w:equalWidth="0" w:num="2">
            <w:col w:w="400" w:space="300"/>
            <w:col w:w="10720"/>
          </w:cols>
          <w:pgMar w:left="240" w:top="931" w:right="239" w:bottom="0" w:gutter="0" w:footer="0" w:header="0"/>
          <w:type w:val="continuous"/>
        </w:sectPr>
      </w:pPr>
    </w:p>
    <w:p>
      <w:pPr>
        <w:spacing w:after="0"/>
        <w:rPr>
          <w:sz w:val="20"/>
          <w:szCs w:val="20"/>
          <w:color w:val="auto"/>
        </w:rPr>
      </w:pPr>
      <w:r>
        <w:rPr>
          <w:rFonts w:ascii="Arial" w:cs="Arial" w:eastAsia="Arial" w:hAnsi="Arial"/>
          <w:sz w:val="18"/>
          <w:szCs w:val="18"/>
          <w:color w:val="auto"/>
        </w:rPr>
        <w:t>3(ii)</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Amended and Restated By-Laws of T. Rowe Price Group, Inc. as of February 12, 2009. (Incorporated by reference from Form 8-K Current Report as of February 17, 2009; Accession No. 0000950133-09-000369).</w:t>
      </w:r>
    </w:p>
    <w:p>
      <w:pPr>
        <w:spacing w:after="0" w:line="76" w:lineRule="exact"/>
        <w:rPr>
          <w:sz w:val="20"/>
          <w:szCs w:val="20"/>
          <w:color w:val="auto"/>
        </w:rPr>
      </w:pPr>
    </w:p>
    <w:p>
      <w:pPr>
        <w:sectPr>
          <w:pgSz w:w="11900" w:h="16838" w:orient="portrait"/>
          <w:cols w:equalWidth="0" w:num="2">
            <w:col w:w="320" w:space="380"/>
            <w:col w:w="10720"/>
          </w:cols>
          <w:pgMar w:left="240" w:top="931" w:right="239" w:bottom="0" w:gutter="0" w:footer="0" w:header="0"/>
          <w:type w:val="continuous"/>
        </w:sectPr>
      </w:pPr>
    </w:p>
    <w:p>
      <w:pPr>
        <w:ind w:right="2420" w:firstLine="8"/>
        <w:spacing w:after="0" w:line="391" w:lineRule="auto"/>
        <w:tabs>
          <w:tab w:leader="none" w:pos="689" w:val="left"/>
        </w:tabs>
        <w:numPr>
          <w:ilvl w:val="0"/>
          <w:numId w:val="1"/>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130" w:lineRule="exact"/>
        <w:rPr>
          <w:rFonts w:ascii="Arial" w:cs="Arial" w:eastAsia="Arial" w:hAnsi="Arial"/>
          <w:sz w:val="18"/>
          <w:szCs w:val="18"/>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30" w:lineRule="exact"/>
        <w:rPr>
          <w:rFonts w:ascii="Arial" w:cs="Arial" w:eastAsia="Arial" w:hAnsi="Arial"/>
          <w:sz w:val="18"/>
          <w:szCs w:val="18"/>
          <w:color w:val="auto"/>
        </w:rPr>
      </w:pPr>
    </w:p>
    <w:p>
      <w:pPr>
        <w:ind w:left="700" w:hanging="69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Press release issued April 21, 2011, reporting our results of operations for the first quarter of 2011.</w:t>
      </w:r>
    </w:p>
    <w:p>
      <w:pPr>
        <w:spacing w:after="0" w:line="131" w:lineRule="exact"/>
        <w:rPr>
          <w:sz w:val="20"/>
          <w:szCs w:val="20"/>
          <w:color w:val="auto"/>
        </w:rPr>
      </w:pPr>
    </w:p>
    <w:p>
      <w:pPr>
        <w:ind w:left="700" w:right="100" w:hanging="692"/>
        <w:spacing w:after="0" w:line="264"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73"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4680" w:type="dxa"/>
            <w:vAlign w:val="bottom"/>
          </w:tcPr>
          <w:p>
            <w:pPr>
              <w:ind w:left="100"/>
              <w:spacing w:after="0"/>
              <w:rPr>
                <w:sz w:val="20"/>
                <w:szCs w:val="20"/>
                <w:color w:val="auto"/>
              </w:rPr>
            </w:pPr>
            <w:r>
              <w:rPr>
                <w:rFonts w:ascii="Arial" w:cs="Arial" w:eastAsia="Arial" w:hAnsi="Arial"/>
                <w:sz w:val="18"/>
                <w:szCs w:val="18"/>
                <w:color w:val="auto"/>
                <w:w w:val="96"/>
              </w:rPr>
              <w:t>XBRL Instance Document (File name: trow-20110331.xml).</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4680" w:type="dxa"/>
            <w:vAlign w:val="bottom"/>
          </w:tcPr>
          <w:p>
            <w:pPr>
              <w:ind w:left="100"/>
              <w:spacing w:after="0"/>
              <w:rPr>
                <w:sz w:val="20"/>
                <w:szCs w:val="20"/>
                <w:color w:val="auto"/>
              </w:rPr>
            </w:pPr>
            <w:r>
              <w:rPr>
                <w:rFonts w:ascii="Arial" w:cs="Arial" w:eastAsia="Arial" w:hAnsi="Arial"/>
                <w:sz w:val="18"/>
                <w:szCs w:val="18"/>
                <w:color w:val="auto"/>
                <w:w w:val="96"/>
              </w:rPr>
              <w:t>XBRL Taxonomy Extension Schema Document (File name:</w:t>
            </w:r>
          </w:p>
        </w:tc>
      </w:tr>
      <w:tr>
        <w:trPr>
          <w:trHeight w:val="230"/>
        </w:trPr>
        <w:tc>
          <w:tcPr>
            <w:tcW w:w="74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trow-20110331.xsd).</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4680" w:type="dxa"/>
            <w:vAlign w:val="bottom"/>
          </w:tcPr>
          <w:p>
            <w:pPr>
              <w:ind w:left="100"/>
              <w:spacing w:after="0"/>
              <w:rPr>
                <w:sz w:val="20"/>
                <w:szCs w:val="20"/>
                <w:color w:val="auto"/>
              </w:rPr>
            </w:pPr>
            <w:r>
              <w:rPr>
                <w:rFonts w:ascii="Arial" w:cs="Arial" w:eastAsia="Arial" w:hAnsi="Arial"/>
                <w:sz w:val="18"/>
                <w:szCs w:val="18"/>
                <w:color w:val="auto"/>
                <w:w w:val="93"/>
              </w:rPr>
              <w:t>XBRL Taxonomy Calculation Linkbase Document (File name:</w:t>
            </w:r>
          </w:p>
        </w:tc>
      </w:tr>
      <w:tr>
        <w:trPr>
          <w:trHeight w:val="230"/>
        </w:trPr>
        <w:tc>
          <w:tcPr>
            <w:tcW w:w="74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trow-20110331_cal.xml).</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4680" w:type="dxa"/>
            <w:vAlign w:val="bottom"/>
          </w:tcPr>
          <w:p>
            <w:pPr>
              <w:ind w:left="100"/>
              <w:spacing w:after="0"/>
              <w:rPr>
                <w:sz w:val="20"/>
                <w:szCs w:val="20"/>
                <w:color w:val="auto"/>
              </w:rPr>
            </w:pPr>
            <w:r>
              <w:rPr>
                <w:rFonts w:ascii="Arial" w:cs="Arial" w:eastAsia="Arial" w:hAnsi="Arial"/>
                <w:sz w:val="18"/>
                <w:szCs w:val="18"/>
                <w:color w:val="auto"/>
              </w:rPr>
              <w:t>XBRL Taxonomy Label Linkbase Document (File name:</w:t>
            </w:r>
          </w:p>
        </w:tc>
      </w:tr>
      <w:tr>
        <w:trPr>
          <w:trHeight w:val="230"/>
        </w:trPr>
        <w:tc>
          <w:tcPr>
            <w:tcW w:w="74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trow-201103031_lab.xml).</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4680" w:type="dxa"/>
            <w:vAlign w:val="bottom"/>
          </w:tcPr>
          <w:p>
            <w:pPr>
              <w:ind w:left="100"/>
              <w:spacing w:after="0"/>
              <w:rPr>
                <w:sz w:val="20"/>
                <w:szCs w:val="20"/>
                <w:color w:val="auto"/>
              </w:rPr>
            </w:pPr>
            <w:r>
              <w:rPr>
                <w:rFonts w:ascii="Arial" w:cs="Arial" w:eastAsia="Arial" w:hAnsi="Arial"/>
                <w:sz w:val="18"/>
                <w:szCs w:val="18"/>
                <w:color w:val="auto"/>
                <w:w w:val="90"/>
              </w:rPr>
              <w:t>XBRL Taxonomy Presentation Linkbase Document (File name:</w:t>
            </w:r>
          </w:p>
        </w:tc>
      </w:tr>
      <w:tr>
        <w:trPr>
          <w:trHeight w:val="230"/>
        </w:trPr>
        <w:tc>
          <w:tcPr>
            <w:tcW w:w="74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trow-20110331_pre.xml).</w:t>
            </w:r>
          </w:p>
        </w:tc>
      </w:tr>
      <w:tr>
        <w:trPr>
          <w:trHeight w:val="323"/>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4680" w:type="dxa"/>
            <w:vAlign w:val="bottom"/>
          </w:tcPr>
          <w:p>
            <w:pPr>
              <w:ind w:left="100"/>
              <w:spacing w:after="0"/>
              <w:rPr>
                <w:sz w:val="20"/>
                <w:szCs w:val="20"/>
                <w:color w:val="auto"/>
              </w:rPr>
            </w:pPr>
            <w:r>
              <w:rPr>
                <w:rFonts w:ascii="Arial" w:cs="Arial" w:eastAsia="Arial" w:hAnsi="Arial"/>
                <w:sz w:val="18"/>
                <w:szCs w:val="18"/>
                <w:color w:val="auto"/>
                <w:w w:val="95"/>
              </w:rPr>
              <w:t>XBRL Taxonomy Definition Linkbase Document (File name:</w:t>
            </w:r>
          </w:p>
        </w:tc>
      </w:tr>
      <w:tr>
        <w:trPr>
          <w:trHeight w:val="230"/>
        </w:trPr>
        <w:tc>
          <w:tcPr>
            <w:tcW w:w="74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trow-20110331_def.xml).</w:t>
            </w: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2564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931" w:right="239" w:bottom="0" w:gutter="0" w:footer="0" w:header="0"/>
          <w:type w:val="continuous"/>
        </w:sectPr>
      </w:pPr>
    </w:p>
    <w:bookmarkStart w:id="14" w:name="page15"/>
    <w:bookmarkEnd w:id="14"/>
    <w:p>
      <w:pPr>
        <w:ind w:left="900" w:right="4840" w:hanging="899"/>
        <w:spacing w:after="0" w:line="282" w:lineRule="auto"/>
        <w:rPr>
          <w:sz w:val="20"/>
          <w:szCs w:val="20"/>
          <w:color w:val="auto"/>
        </w:rPr>
      </w:pPr>
      <w:r>
        <w:rPr>
          <w:rFonts w:ascii="Arial" w:cs="Arial" w:eastAsia="Arial" w:hAnsi="Arial"/>
          <w:sz w:val="18"/>
          <w:szCs w:val="18"/>
          <w:b w:val="1"/>
          <w:bCs w:val="1"/>
          <w:color w:val="auto"/>
        </w:rPr>
        <w:t>Exhibit 15 Letter from KPMG LLP, independent registered public accounting firm, re unaudited interim financial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left="300" w:right="20" w:hanging="277"/>
        <w:spacing w:after="0" w:line="277"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No. 333-142092, and No. 333-167317.</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21, 2011 related to our review of interim financial information.</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2011</w:t>
      </w:r>
    </w:p>
    <w:p>
      <w:pPr>
        <w:sectPr>
          <w:pgSz w:w="11900" w:h="16838" w:orient="portrait"/>
          <w:cols w:equalWidth="0" w:num="1">
            <w:col w:w="11260"/>
          </w:cols>
          <w:pgMar w:left="240" w:top="121"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31(i).1 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2011, of T. Rowe Price Group, Inc.;</w:t>
      </w:r>
    </w:p>
    <w:p>
      <w:pPr>
        <w:spacing w:after="0" w:line="130"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0" w:firstLine="4"/>
        <w:spacing w:after="0" w:line="264" w:lineRule="auto"/>
        <w:tabs>
          <w:tab w:leader="none" w:pos="70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20" w:firstLine="4"/>
        <w:spacing w:after="0" w:line="264" w:lineRule="auto"/>
        <w:tabs>
          <w:tab w:leader="none" w:pos="71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
        <w:spacing w:after="0" w:line="308" w:lineRule="auto"/>
        <w:tabs>
          <w:tab w:leader="none" w:pos="705"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20" w:firstLine="4"/>
        <w:spacing w:after="0" w:line="308" w:lineRule="auto"/>
        <w:tabs>
          <w:tab w:leader="none" w:pos="715"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460" w:right="3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80" w:firstLine="4"/>
        <w:spacing w:after="0" w:line="277" w:lineRule="auto"/>
        <w:tabs>
          <w:tab w:leader="none" w:pos="69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0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21,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31(i).2Rule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2011, of T. Rowe Price Group, Inc.;</w:t>
      </w:r>
    </w:p>
    <w:p>
      <w:pPr>
        <w:spacing w:after="0" w:line="130"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0" w:firstLine="4"/>
        <w:spacing w:after="0" w:line="264" w:lineRule="auto"/>
        <w:tabs>
          <w:tab w:leader="none" w:pos="70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20" w:firstLine="4"/>
        <w:spacing w:after="0" w:line="264" w:lineRule="auto"/>
        <w:tabs>
          <w:tab w:leader="none" w:pos="71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
        <w:spacing w:after="0" w:line="308" w:lineRule="auto"/>
        <w:tabs>
          <w:tab w:leader="none" w:pos="70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20" w:firstLine="4"/>
        <w:spacing w:after="0" w:line="308" w:lineRule="auto"/>
        <w:tabs>
          <w:tab w:leader="none" w:pos="715"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460" w:right="3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80" w:firstLine="4"/>
        <w:spacing w:after="0" w:line="277" w:lineRule="auto"/>
        <w:tabs>
          <w:tab w:leader="none" w:pos="69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0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21,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7" w:name="page18"/>
    <w:bookmarkEnd w:id="17"/>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2011, of T. Rowe Price Group, Inc., that:</w:t>
      </w:r>
    </w:p>
    <w:p>
      <w:pPr>
        <w:spacing w:after="0" w:line="6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21,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223520</wp:posOffset>
            </wp:positionV>
            <wp:extent cx="6646545" cy="831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4654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700"/>
        <w:spacing w:after="0" w:line="400" w:lineRule="auto"/>
        <w:rPr>
          <w:sz w:val="20"/>
          <w:szCs w:val="20"/>
          <w:color w:val="auto"/>
        </w:rPr>
      </w:pPr>
      <w:r>
        <w:rPr>
          <w:rFonts w:ascii="Arial" w:cs="Arial" w:eastAsia="Arial" w:hAnsi="Arial"/>
          <w:sz w:val="17"/>
          <w:szCs w:val="17"/>
          <w:b w:val="1"/>
          <w:bCs w:val="1"/>
          <w:color w:val="auto"/>
        </w:rPr>
        <w:t xml:space="preserve">T. ROWE PRICE GROUP REPORTS FIRST QUARTER 2011 RESULTS </w:t>
      </w:r>
      <w:r>
        <w:rPr>
          <w:rFonts w:ascii="Arial" w:cs="Arial" w:eastAsia="Arial" w:hAnsi="Arial"/>
          <w:sz w:val="17"/>
          <w:szCs w:val="17"/>
          <w:b w:val="1"/>
          <w:bCs w:val="1"/>
          <w:i w:val="1"/>
          <w:iCs w:val="1"/>
          <w:color w:val="auto"/>
        </w:rPr>
        <w:t>Assets Under Management Reach Record Level of $510 Billion</w:t>
      </w:r>
    </w:p>
    <w:p>
      <w:pPr>
        <w:spacing w:after="0" w:line="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BALTIMORE (April 21, 2011) — T. Rowe Price Group, Inc. (NASDAQ-GS: TROW) today reported its first quarter 2011 results, including net revenues of $682.4 million, net income of $194.6 million, and diluted earnings per common share of $.72, an increase of 26% from the $.57 per share in the comparable 2010 quarter. Net revenues were $556.2 million in the first quarter of 2010, and net income was $153.0 million.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Assets under management increased $27.9 billion from $482.0 billion at December 31, 2010, to a record $509.9 billion at March 31, 2011, including</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$300.2 billion in the T. Rowe Price mutual funds distributed in the United States and $209.7 billion in other managed investment portfolios. Net cash inflows in the first quarter 2011 totaled $5.8 billion, and market appreciation and income added $22.1 billion to assets under management. As a result, investment advisory revenues increased 25%, or $117 million, from the comparable 2010 quarter.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Relative to the 2010 first quarter, investment advisory revenues earned from the T. Rowe Price mutual funds distributed in the U.S. increased 23%, or</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$75.1 million, to $400.5 million. Average mutual fund assets under management in the first quarter 2011 were $292.0 billion, an increase of 23% from the average for the comparable 2010 quarter. Mutual fund assets at March 31, 2011 were $300.2 billion, an increase of $17.6 billion, or 6%, from the end of 2010. The firm voluntarily waived money market fund fees of $7.0 million in the first quarter 2011 in order to maintain a positive yield for fund investors, compared to fee waivers of $6.8 million in the comparable 2010 quarter.</w:t>
      </w:r>
    </w:p>
    <w:p>
      <w:pPr>
        <w:spacing w:after="0" w:line="8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Net inflows to the sponsored mutual funds were $4.4 billion during the first quarter 2011, including $2.9 billion added to the stock and blended asset funds and $1.8 billion added to the bond funds. The money market funds had net outflows of $.3 billion. The Equity Income, New Income, Growth Stock, Institutional Mid-Cap Equity Growth, and Overseas Stock funds each added more than $.4 billion during the 2011 quarter. Market appreciation and income increased mutual fund assets under management by $13.2 billion during the first quarter of 2010.</w:t>
      </w:r>
    </w:p>
    <w:p>
      <w:pPr>
        <w:spacing w:after="0" w:line="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Investment advisory revenues earned on the other investment portfolios that the firm manages increased $41.9 million, or 29%, from the first quarter 2010, to $188.3 million. Average assets in these portfolios were $206.4 billion during the first quarter 2011, an increase of $46.8 billion, or 29%, from the 2010 quarter. Ending assets at March 31, 2011 were $209.7 billion, up $10.3 billion from the end of 2010. Net inflows were $1.4 billion for the first quarter 2011. Strong net inflows into sub-advised funds from third party financial intermediaries and into other sponsored portfolios were partially offset by net outflows from a few institutional investors who restructured their equity investment portfolios. Market appreciation and income increased assets under management in these portfolios by $8.9 billion. Investors domiciled outside the United States accounted for 12% of the firm’s assets under management at March 31, 2011.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target-date retirement investment portfolios continue to be a steady source of assets under management. During the first quarter 2011, net inflows of</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$2.9 billion originated in these portfolios. Assets in the target-date retirement portfolios were $65.4 billion at March 31, 2011, accounting for nearly 13% of the firm’s assets under management and 20% of its mutual fund assets.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were $370.9 million in the first quarter of 2011, up $53.4 million from the 2010 quarter. Compensation and related costs increased</w:t>
      </w:r>
    </w:p>
    <w:p>
      <w:pPr>
        <w:spacing w:after="0" w:line="35"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$35.2 million, or 17%, from the comparable 2010 quarter, due primarily to an increase in the accrual for the firm’s annual variable compensation program, salaries, and related benefits. At March 31, 2011, we employed 5,104 associates, up slightly from the 5,052 associates employed at the end of 2010.</w:t>
      </w:r>
    </w:p>
    <w:p>
      <w:pPr>
        <w:spacing w:after="0" w:line="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Advertising and promotion expenditures were up $1.9 million compared to the first quarter 2010. The firm currently expects that its advertising and promotion expenditures for the second quarter 2011 will be about $2 million higher than the comparable 2010 quarter, and spending for the full year 2011 could increase about 15% from 2010 levels. The firm varies its level of spending based on market conditions and investor demand as well as its efforts to expand its investor base in the United States and abroad.</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operating expenses increased $13.1 million, or 29%, from the first quarter of 2010, including $2.5 million in higher distribution expenses recognized on greater fund assets under management that are sourced from financial intermediaries, which offsets the same increase in administrative revenues from 12b-1 fees. Additionally, consulting and professional fees, information services, and other costs have all risen in the 2011 quarter to meet increased business demands.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320"/>
        <w:spacing w:after="0" w:line="308" w:lineRule="auto"/>
        <w:rPr>
          <w:sz w:val="20"/>
          <w:szCs w:val="20"/>
          <w:color w:val="auto"/>
        </w:rPr>
      </w:pPr>
      <w:r>
        <w:rPr>
          <w:rFonts w:ascii="Arial" w:cs="Arial" w:eastAsia="Arial" w:hAnsi="Arial"/>
          <w:sz w:val="17"/>
          <w:szCs w:val="17"/>
          <w:color w:val="auto"/>
        </w:rPr>
        <w:t>The first quarter 2011 provision for income taxes as a percentage of pretax income has been recognized using an estimated 38.3% rate. Higher anticipated state income taxes have pushed the current estimate for the full year 2011 to 38.3%, up from the prior estimate of 37.8%.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James A.C. Kennedy, the company’s chief executive officer and president, commented: “The firm’s long-term investment advisory results relative to our peers remain very strong, with 89% of the T. Rowe Price funds across their share classes outperforming their comparable Lipper averages on a total return basis for the three- and five-year periods ended March 31, 2011, 81% outperforming for the 10-year period, and 65% outperforming for the one-year period. In addition, T. Rowe Price stock, bond and blended asset funds that ended the quarter with an overall rating of four or five stars from Morningstar account for nearly 78% of our rated funds’ assets under management.</w:t>
      </w:r>
    </w:p>
    <w:p>
      <w:pPr>
        <w:spacing w:after="0" w:line="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“Continuing the momentum from last year, solid net client inflows and market gains combined to boost the firm’s assets under management at the end of the first quarter to another record high. Our quarterly net revenues, net income, and earnings are also at record levels. This first quarter financial performance was achieved during a strong, albeit volatile, period for world equity markets. Market gains through mid-February and a strong rally in the latter half of March sandwiched a significant sell-off in which unrest in North Africa and the Middle East, as well as the unfolding tragedy in Japan, rattled world markets.</w:t>
      </w:r>
    </w:p>
    <w:p>
      <w:pPr>
        <w:spacing w:after="0" w:line="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strong capital position gives us the flexibility to continue to invest in our people, infrastructure, technology, and general capabilities. We remain debt-free with substantial liquidity, including cash and mutual fund investment holdings exceeding $1.8 billion. Based on current strategic projects and plans, the company’s capital expenditures for all of 2011 are estimated to be about $110 million. These cash expenditures are funded from our available liquid resources. Through March 31, we have expended $31 million to repurchase 500,000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“Although markets remain volatile, improving sentiment has led investors to largely shrug off recent geopolitical and economic uncertainties. The U.S. economic recovery is slowly picking up steam, corporate earnings are strong, and mergers and acquisitions activity should continue. Meanwhile, equity valuations are still reasonably attractive. Nonetheless, strong cross-currents remain, including higher energy costs, a still-depressed U.S. housing market, the ongoing political debate regarding the U.S. federal budget, and an inflation threat in many emerging economies that could dampen global consumer spending. Global political turmoil also remains a concern, as do lingering European sovereign debt challenges, although growth in the developing world still looks fairly robust. Upward pressure on global interest rates will likely persist and challenge bond market returns in future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closing, Mr. Kennedy said: “On April 2 of this year we celebrated our silver anniversary as a public company. Of the 630 associates we employed 25 years ago, 102 of them are still active employees today. We thank each of them for their long-tenured and valuable service. Now with more than 5,100 talented and dedicated associates, a healthy balance sheet, and globally diversified investment and distribution expertise, we feel we are very well positioned for the future. Our focus will continue to be adding value for our clients and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financial results presented in this release are unaudited. The firm expects that it will file its Form 10-Q Quarterly Report for the first quarter 2011 with the U.S. Securities and Exchange Commission later today. The Form 10-Q will include additional information on the firm’s unaudited financial results at March 31, 2011.</w:t>
      </w:r>
    </w:p>
    <w:p>
      <w:pPr>
        <w:spacing w:after="0" w:line="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common share, anticipated changes in the amount and composition of assets under management, anticipated expense levels, estimated tax rates, and expectations regarding financial results, future transactions, investments, capital expenditures, and other market conditions. For a discussion concerning risks and other factors that could affect future results, see the firm’s 2010 Form 10-K reports.</w:t>
      </w:r>
    </w:p>
    <w:p>
      <w:pPr>
        <w:spacing w:after="0" w:line="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Founded in 1937, Baltimore-based T. Rowe Price (</w:t>
      </w:r>
      <w:r>
        <w:rPr>
          <w:rFonts w:ascii="Arial" w:cs="Arial" w:eastAsia="Arial" w:hAnsi="Arial"/>
          <w:sz w:val="18"/>
          <w:szCs w:val="18"/>
          <w:u w:val="single" w:color="auto"/>
          <w:color w:val="auto"/>
        </w:rPr>
        <w:t>troweprice.com</w:t>
      </w:r>
      <w:r>
        <w:rPr>
          <w:rFonts w:ascii="Arial" w:cs="Arial" w:eastAsia="Arial" w:hAnsi="Arial"/>
          <w:sz w:val="18"/>
          <w:szCs w:val="18"/>
          <w:color w:val="auto"/>
        </w:rPr>
        <w:t>)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3/31/2010</w:t>
            </w:r>
          </w:p>
        </w:tc>
        <w:tc>
          <w:tcPr>
            <w:tcW w:w="34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471.8</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682.4</w:t>
            </w:r>
          </w:p>
        </w:tc>
        <w:tc>
          <w:tcPr>
            <w:tcW w:w="0" w:type="dxa"/>
            <w:vAlign w:val="bottom"/>
          </w:tcPr>
          <w:p>
            <w:pPr>
              <w:spacing w:after="0"/>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91.0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153.0</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194.6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0.59</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00" w:type="dxa"/>
            <w:vAlign w:val="bottom"/>
            <w:vMerge w:val="restart"/>
          </w:tcPr>
          <w:p>
            <w:pPr>
              <w:jc w:val="right"/>
              <w:ind w:right="337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191"/>
              <w:spacing w:after="0"/>
              <w:rPr>
                <w:sz w:val="20"/>
                <w:szCs w:val="20"/>
                <w:color w:val="auto"/>
              </w:rPr>
            </w:pPr>
            <w:r>
              <w:rPr>
                <w:rFonts w:ascii="Arial" w:cs="Arial" w:eastAsia="Arial" w:hAnsi="Arial"/>
                <w:sz w:val="14"/>
                <w:szCs w:val="14"/>
                <w:color w:val="auto"/>
                <w:w w:val="91"/>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3/31/2010</w:t>
            </w:r>
          </w:p>
        </w:tc>
        <w:tc>
          <w:tcPr>
            <w:tcW w:w="12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62.6</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portfolios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money market and stable value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188.3</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As of</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5"/>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4"/>
              </w:rPr>
              <w:t>12/31/2010</w:t>
            </w:r>
          </w:p>
        </w:tc>
        <w:tc>
          <w:tcPr>
            <w:tcW w:w="12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282.6</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300.2</w:t>
            </w: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Other portfolios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154.6</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148.2</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Bond, money market and stable value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209.7</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portfolios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Fixed income portfolios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121.4</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left="191"/>
              <w:spacing w:after="0"/>
              <w:rPr>
                <w:sz w:val="20"/>
                <w:szCs w:val="20"/>
                <w:color w:val="auto"/>
              </w:rPr>
            </w:pPr>
            <w:r>
              <w:rPr>
                <w:rFonts w:ascii="Arial" w:cs="Arial" w:eastAsia="Arial" w:hAnsi="Arial"/>
                <w:sz w:val="14"/>
                <w:szCs w:val="14"/>
                <w:color w:val="auto"/>
                <w:w w:val="91"/>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93"/>
              </w:rPr>
              <w:t>3/31/2010</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Condensed Consolidated Cash Flows Information (in millions)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256.7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6"/>
              </w:rPr>
              <w:t>Cash used in investing activities, including $(11.7) for additions to property and equipment in 2011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9"/>
          </w:tcPr>
          <w:p>
            <w:pPr>
              <w:spacing w:after="0"/>
              <w:rPr>
                <w:sz w:val="20"/>
                <w:szCs w:val="20"/>
                <w:color w:val="auto"/>
              </w:rPr>
            </w:pPr>
            <w:r>
              <w:rPr>
                <w:rFonts w:ascii="Arial" w:cs="Arial" w:eastAsia="Arial" w:hAnsi="Arial"/>
                <w:sz w:val="18"/>
                <w:szCs w:val="18"/>
                <w:color w:val="auto"/>
                <w:w w:val="94"/>
              </w:rPr>
              <w:t>Cash used in financing activities, including common stock repurchases of $(31.3) and dividends paid of $(80.7) in 2011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12/31/2010</w:t>
            </w:r>
          </w:p>
        </w:tc>
        <w:tc>
          <w:tcPr>
            <w:tcW w:w="1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3/31/2011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Condensed Consolidated Balance Sheet Information (in millions)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813.1</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$ 1,064.9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747.9</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investments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209.7</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665.7</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645.3</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3,642.0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430.1</w:t>
            </w:r>
          </w:p>
        </w:tc>
        <w:tc>
          <w:tcPr>
            <w:tcW w:w="0" w:type="dxa"/>
            <w:vAlign w:val="bottom"/>
          </w:tcPr>
          <w:p>
            <w:pPr>
              <w:spacing w:after="0"/>
              <w:rPr>
                <w:sz w:val="1"/>
                <w:szCs w:val="1"/>
                <w:color w:val="auto"/>
              </w:rPr>
            </w:pPr>
          </w:p>
        </w:tc>
      </w:tr>
      <w:tr>
        <w:trPr>
          <w:trHeight w:val="209"/>
        </w:trPr>
        <w:tc>
          <w:tcPr>
            <w:tcW w:w="8960" w:type="dxa"/>
            <w:vAlign w:val="bottom"/>
            <w:gridSpan w:val="10"/>
          </w:tcPr>
          <w:p>
            <w:pPr>
              <w:spacing w:after="0"/>
              <w:rPr>
                <w:sz w:val="20"/>
                <w:szCs w:val="20"/>
                <w:color w:val="auto"/>
              </w:rPr>
            </w:pPr>
            <w:r>
              <w:rPr>
                <w:rFonts w:ascii="Arial" w:cs="Arial" w:eastAsia="Arial" w:hAnsi="Arial"/>
                <w:sz w:val="18"/>
                <w:szCs w:val="18"/>
                <w:color w:val="auto"/>
                <w:w w:val="97"/>
              </w:rPr>
              <w:t>Stockholders’ equity, 259.6 common shares outstanding in 2011, including net unrealized holding gains of $151.2 in</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$ 3,296.5</w:t>
            </w: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$ 3,455.9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vMerge w:val="restart"/>
          </w:tcPr>
          <w:p>
            <w:pPr>
              <w:jc w:val="right"/>
              <w:ind w:right="6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5"/>
    </w:lvl>
  </w:abstractNum>
  <w:abstractNum w:abstractNumId="1">
    <w:nsid w:val="238E1F29"/>
    <w:multiLevelType w:val="hybridMultilevel"/>
    <w:lvl w:ilvl="0">
      <w:lvlJc w:val="left"/>
      <w:lvlText w:val="%1"/>
      <w:numFmt w:val="decimal"/>
      <w:start w:val="32"/>
    </w:lvl>
  </w:abstractNum>
  <w:abstractNum w:abstractNumId="2">
    <w:nsid w:val="46E87CCD"/>
    <w:multiLevelType w:val="hybridMultilevel"/>
    <w:lvl w:ilvl="0">
      <w:lvlJc w:val="left"/>
      <w:lvlText w:val="%1"/>
      <w:numFmt w:val="decimal"/>
      <w:start w:val="99"/>
    </w:lvl>
  </w:abstractNum>
  <w:abstractNum w:abstractNumId="3">
    <w:nsid w:val="3D1B58BA"/>
    <w:multiLevelType w:val="hybridMultilevel"/>
    <w:lvl w:ilvl="0">
      <w:lvlJc w:val="left"/>
      <w:lvlText w:val="%1"/>
      <w:numFmt w:val="decimal"/>
      <w:start w:val="10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2019-12-10T20:21:55Z</dcterms:created>
  <dcterms:modified xsi:type="dcterms:W3CDTF">2019-12-10T20:21:55Z</dcterms:modified>
</cp:coreProperties>
</file>