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FORM 10-K</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157"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u w:val="single" w:color="auto"/>
          <w:color w:val="auto"/>
        </w:rPr>
        <w:t>T. ROWE PRICE GROUP, INC.</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Maryland</w:t>
            </w:r>
          </w:p>
        </w:tc>
        <w:tc>
          <w:tcPr>
            <w:tcW w:w="24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52-2264646</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1320" w:type="dxa"/>
            <w:vAlign w:val="bottom"/>
          </w:tcPr>
          <w:p>
            <w:pPr>
              <w:spacing w:after="0"/>
              <w:rPr>
                <w:sz w:val="21"/>
                <w:szCs w:val="21"/>
                <w:color w:val="auto"/>
              </w:rPr>
            </w:pPr>
          </w:p>
        </w:tc>
        <w:tc>
          <w:tcPr>
            <w:tcW w:w="3840" w:type="dxa"/>
            <w:vAlign w:val="bottom"/>
            <w:gridSpan w:val="5"/>
          </w:tcPr>
          <w:p>
            <w:pPr>
              <w:jc w:val="center"/>
              <w:ind w:left="2132"/>
              <w:spacing w:after="0"/>
              <w:rPr>
                <w:sz w:val="20"/>
                <w:szCs w:val="20"/>
                <w:color w:val="auto"/>
              </w:rPr>
            </w:pPr>
            <w:r>
              <w:rPr>
                <w:rFonts w:ascii="Arial" w:cs="Arial" w:eastAsia="Arial" w:hAnsi="Arial"/>
                <w:sz w:val="18"/>
                <w:szCs w:val="18"/>
                <w:color w:val="auto"/>
                <w:w w:val="89"/>
              </w:rPr>
              <w:t>State of incorporation</w:t>
            </w:r>
          </w:p>
        </w:tc>
        <w:tc>
          <w:tcPr>
            <w:tcW w:w="3260" w:type="dxa"/>
            <w:vAlign w:val="bottom"/>
            <w:gridSpan w:val="6"/>
          </w:tcPr>
          <w:p>
            <w:pPr>
              <w:jc w:val="center"/>
              <w:ind w:left="552"/>
              <w:spacing w:after="0"/>
              <w:rPr>
                <w:sz w:val="20"/>
                <w:szCs w:val="20"/>
                <w:color w:val="auto"/>
              </w:rPr>
            </w:pPr>
            <w:r>
              <w:rPr>
                <w:rFonts w:ascii="Arial" w:cs="Arial" w:eastAsia="Arial" w:hAnsi="Arial"/>
                <w:sz w:val="18"/>
                <w:szCs w:val="18"/>
                <w:color w:val="auto"/>
                <w:w w:val="91"/>
              </w:rPr>
              <w:t>IRS Employer Identification No.</w:t>
            </w: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53"/>
        </w:trPr>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7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0"/>
              </w:rPr>
              <w:t>100 East Pratt Street, Baltimore, Maryland 21202</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5"/>
        </w:trPr>
        <w:tc>
          <w:tcPr>
            <w:tcW w:w="1320" w:type="dxa"/>
            <w:vAlign w:val="bottom"/>
          </w:tcPr>
          <w:p>
            <w:pPr>
              <w:spacing w:after="0"/>
              <w:rPr>
                <w:sz w:val="20"/>
                <w:szCs w:val="20"/>
                <w:color w:val="auto"/>
              </w:rPr>
            </w:pPr>
          </w:p>
        </w:tc>
        <w:tc>
          <w:tcPr>
            <w:tcW w:w="7100" w:type="dxa"/>
            <w:vAlign w:val="bottom"/>
            <w:gridSpan w:val="11"/>
          </w:tcPr>
          <w:p>
            <w:pPr>
              <w:jc w:val="center"/>
              <w:ind w:left="1592"/>
              <w:spacing w:after="0"/>
              <w:rPr>
                <w:sz w:val="20"/>
                <w:szCs w:val="20"/>
                <w:color w:val="auto"/>
              </w:rPr>
            </w:pPr>
            <w:r>
              <w:rPr>
                <w:rFonts w:ascii="Arial" w:cs="Arial" w:eastAsia="Arial" w:hAnsi="Arial"/>
                <w:sz w:val="18"/>
                <w:szCs w:val="18"/>
                <w:color w:val="auto"/>
                <w:w w:val="90"/>
              </w:rPr>
              <w:t>Address, including zip code, of principal executive offices</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40"/>
        </w:trPr>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(410) 345-2000</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5"/>
        </w:trPr>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560" w:type="dxa"/>
            <w:vAlign w:val="bottom"/>
            <w:gridSpan w:val="10"/>
          </w:tcPr>
          <w:p>
            <w:pPr>
              <w:jc w:val="center"/>
              <w:ind w:right="840"/>
              <w:spacing w:after="0"/>
              <w:rPr>
                <w:sz w:val="20"/>
                <w:szCs w:val="20"/>
                <w:color w:val="auto"/>
              </w:rPr>
            </w:pPr>
            <w:r>
              <w:rPr>
                <w:rFonts w:ascii="Arial" w:cs="Arial" w:eastAsia="Arial" w:hAnsi="Arial"/>
                <w:sz w:val="18"/>
                <w:szCs w:val="18"/>
                <w:color w:val="auto"/>
                <w:w w:val="87"/>
              </w:rPr>
              <w:t>Registrant’s telephone number, including area code</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51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320" w:type="dxa"/>
            <w:vAlign w:val="bottom"/>
          </w:tcPr>
          <w:p>
            <w:pPr>
              <w:spacing w:after="0"/>
              <w:rPr>
                <w:sz w:val="24"/>
                <w:szCs w:val="24"/>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Common stock, $.20 par value per share</w:t>
            </w:r>
          </w:p>
        </w:tc>
        <w:tc>
          <w:tcPr>
            <w:tcW w:w="7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The NASDAQ Stock Market LLC</w:t>
            </w:r>
          </w:p>
        </w:tc>
        <w:tc>
          <w:tcPr>
            <w:tcW w:w="140" w:type="dxa"/>
            <w:vAlign w:val="bottom"/>
          </w:tcPr>
          <w:p>
            <w:pPr>
              <w:spacing w:after="0"/>
              <w:rPr>
                <w:sz w:val="24"/>
                <w:szCs w:val="24"/>
                <w:color w:val="auto"/>
              </w:rPr>
            </w:pPr>
          </w:p>
        </w:tc>
      </w:tr>
      <w:tr>
        <w:trPr>
          <w:trHeight w:val="217"/>
        </w:trPr>
        <w:tc>
          <w:tcPr>
            <w:tcW w:w="1320" w:type="dxa"/>
            <w:vAlign w:val="bottom"/>
          </w:tcPr>
          <w:p>
            <w:pPr>
              <w:spacing w:after="0"/>
              <w:rPr>
                <w:sz w:val="18"/>
                <w:szCs w:val="18"/>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1"/>
              </w:rPr>
              <w:t>(Title of class)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60" w:type="dxa"/>
            <w:vAlign w:val="bottom"/>
            <w:gridSpan w:val="6"/>
          </w:tcPr>
          <w:p>
            <w:pPr>
              <w:ind w:left="540"/>
              <w:spacing w:after="0"/>
              <w:rPr>
                <w:sz w:val="20"/>
                <w:szCs w:val="20"/>
                <w:color w:val="auto"/>
              </w:rPr>
            </w:pPr>
            <w:r>
              <w:rPr>
                <w:rFonts w:ascii="Arial" w:cs="Arial" w:eastAsia="Arial" w:hAnsi="Arial"/>
                <w:sz w:val="18"/>
                <w:szCs w:val="18"/>
                <w:color w:val="auto"/>
                <w:w w:val="83"/>
              </w:rPr>
              <w:t>(Name of exchange on which registered)</w:t>
            </w:r>
          </w:p>
        </w:tc>
        <w:tc>
          <w:tcPr>
            <w:tcW w:w="140" w:type="dxa"/>
            <w:vAlign w:val="bottom"/>
          </w:tcPr>
          <w:p>
            <w:pPr>
              <w:spacing w:after="0"/>
              <w:rPr>
                <w:sz w:val="18"/>
                <w:szCs w:val="18"/>
                <w:color w:val="auto"/>
              </w:rPr>
            </w:pPr>
          </w:p>
        </w:tc>
      </w:tr>
      <w:tr>
        <w:trPr>
          <w:trHeight w:val="370"/>
        </w:trPr>
        <w:tc>
          <w:tcPr>
            <w:tcW w:w="8420" w:type="dxa"/>
            <w:vAlign w:val="bottom"/>
            <w:gridSpan w:val="12"/>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860" w:type="dxa"/>
            <w:vAlign w:val="bottom"/>
          </w:tcPr>
          <w:p>
            <w:pPr>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78"/>
        </w:trPr>
        <w:tc>
          <w:tcPr>
            <w:tcW w:w="8420" w:type="dxa"/>
            <w:vAlign w:val="bottom"/>
            <w:gridSpan w:val="12"/>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860" w:type="dxa"/>
            <w:vAlign w:val="bottom"/>
          </w:tcPr>
          <w:p>
            <w:pPr>
              <w:ind w:left="160"/>
              <w:spacing w:after="0"/>
              <w:rPr>
                <w:sz w:val="20"/>
                <w:szCs w:val="20"/>
                <w:color w:val="auto"/>
              </w:rPr>
            </w:pPr>
            <w:r>
              <w:rPr>
                <w:rFonts w:ascii="Arial" w:cs="Arial" w:eastAsia="Arial" w:hAnsi="Arial"/>
                <w:sz w:val="18"/>
                <w:szCs w:val="18"/>
                <w:color w:val="auto"/>
              </w:rPr>
              <w:t>[  ] Yes</w:t>
            </w: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15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132" w:lineRule="exact"/>
        <w:rPr>
          <w:sz w:val="24"/>
          <w:szCs w:val="24"/>
          <w:color w:val="auto"/>
        </w:rPr>
      </w:pPr>
    </w:p>
    <w:p>
      <w:pPr>
        <w:ind w:right="580"/>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132"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165"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30" w:right="379" w:bottom="1440" w:gutter="0" w:footer="0" w:header="0"/>
        </w:sectPr>
      </w:pPr>
    </w:p>
    <w:p>
      <w:pPr>
        <w:spacing w:after="0" w:line="120"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Large accelerated filer [X]</w:t>
      </w:r>
    </w:p>
    <w:p>
      <w:pPr>
        <w:spacing w:after="0" w:line="65" w:lineRule="exact"/>
        <w:rPr>
          <w:sz w:val="24"/>
          <w:szCs w:val="24"/>
          <w:color w:val="auto"/>
        </w:rPr>
      </w:pPr>
    </w:p>
    <w:p>
      <w:pPr>
        <w:ind w:left="820"/>
        <w:spacing w:after="0"/>
        <w:tabs>
          <w:tab w:leader="none" w:pos="25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72" w:lineRule="exact"/>
        <w:rPr>
          <w:sz w:val="24"/>
          <w:szCs w:val="24"/>
          <w:color w:val="auto"/>
        </w:rPr>
      </w:pPr>
    </w:p>
    <w:p>
      <w:pPr>
        <w:sectPr>
          <w:pgSz w:w="11900" w:h="16838" w:orient="portrait"/>
          <w:cols w:equalWidth="0" w:num="3">
            <w:col w:w="4820" w:space="720"/>
            <w:col w:w="2120" w:space="720"/>
            <w:col w:w="2900"/>
          </w:cols>
          <w:pgMar w:left="240" w:top="230" w:right="37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  ]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76" w:lineRule="exact"/>
        <w:rPr>
          <w:sz w:val="24"/>
          <w:szCs w:val="24"/>
          <w:color w:val="auto"/>
        </w:rPr>
      </w:pPr>
    </w:p>
    <w:p>
      <w:pPr>
        <w:sectPr>
          <w:pgSz w:w="11900" w:h="16838" w:orient="portrait"/>
          <w:cols w:equalWidth="0" w:num="3">
            <w:col w:w="7240" w:space="180"/>
            <w:col w:w="580" w:space="180"/>
            <w:col w:w="3100"/>
          </w:cols>
          <w:pgMar w:left="240" w:top="230" w:right="379" w:bottom="1440" w:gutter="0" w:footer="0" w:header="0"/>
          <w:type w:val="continuous"/>
        </w:sectPr>
      </w:pPr>
    </w:p>
    <w:p>
      <w:pPr>
        <w:ind w:right="100"/>
        <w:spacing w:after="0" w:line="259"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$60.34 per share (the NASDAQ Official Closing Price on June 30, 2011, the last business day of the registrant’s most recently completed second fiscal quarter) was $15.0 billion.</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1, 2012, is 253,483,961.</w:t>
      </w:r>
    </w:p>
    <w:p>
      <w:pPr>
        <w:spacing w:after="0" w:line="171"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DOCUMENTS INCORPORATED BY REFERENCE: In Part III, the Definitive Proxy Statement for the 2012 Annual Meeting of Stockholders to be filed pursuant to Regulation 14A.</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62.</w:t>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PAGE</w:t>
            </w:r>
          </w:p>
        </w:tc>
      </w:tr>
      <w:tr>
        <w:trPr>
          <w:trHeight w:val="171"/>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0000EE"/>
            </w:tcBorders>
          </w:tcPr>
          <w:p>
            <w:pPr>
              <w:jc w:val="center"/>
              <w:spacing w:after="0" w:line="171"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620" w:type="dxa"/>
            <w:vAlign w:val="bottom"/>
            <w:gridSpan w:val="8"/>
          </w:tcPr>
          <w:p>
            <w:pPr>
              <w:spacing w:after="0"/>
              <w:rPr>
                <w:sz w:val="14"/>
                <w:szCs w:val="14"/>
                <w:color w:val="auto"/>
              </w:rPr>
            </w:pPr>
          </w:p>
        </w:tc>
        <w:tc>
          <w:tcPr>
            <w:tcW w:w="440" w:type="dxa"/>
            <w:vAlign w:val="bottom"/>
          </w:tcPr>
          <w:p>
            <w:pPr>
              <w:jc w:val="right"/>
              <w:spacing w:after="0" w:line="171" w:lineRule="exact"/>
              <w:rPr>
                <w:sz w:val="20"/>
                <w:szCs w:val="20"/>
                <w:color w:val="auto"/>
              </w:rPr>
            </w:pPr>
            <w:r>
              <w:rPr>
                <w:rFonts w:ascii="Arial" w:cs="Arial" w:eastAsia="Arial" w:hAnsi="Arial"/>
                <w:sz w:val="18"/>
                <w:szCs w:val="18"/>
                <w:color w:val="auto"/>
              </w:rPr>
              <w:t>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920" w:type="dxa"/>
            <w:vAlign w:val="bottom"/>
            <w:gridSpan w:val="2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866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540" w:type="dxa"/>
            <w:vAlign w:val="bottom"/>
            <w:gridSpan w:val="2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56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824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Mine Safety Disclosures</w:t>
              </w:r>
            </w:hyperlink>
          </w:p>
        </w:tc>
        <w:tc>
          <w:tcPr>
            <w:tcW w:w="780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w:t>
            </w:r>
          </w:p>
        </w:tc>
        <w:tc>
          <w:tcPr>
            <w:tcW w:w="9540" w:type="dxa"/>
            <w:vAlign w:val="bottom"/>
            <w:gridSpan w:val="2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Officers of the Registrant</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41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0"/>
          </w:tcPr>
          <w:p>
            <w:pPr>
              <w:jc w:val="center"/>
              <w:ind w:right="460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PART II</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54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21"/>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2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53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Financial Statements and Supplementary Data</w:t>
              </w:r>
            </w:hyperlink>
          </w:p>
        </w:tc>
        <w:tc>
          <w:tcPr>
            <w:tcW w:w="630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Changes in and Disagreements with Accountants on Accounting and Financial Disclosure</w:t>
              </w:r>
            </w:hyperlink>
          </w:p>
        </w:tc>
        <w:tc>
          <w:tcPr>
            <w:tcW w:w="32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Controls and Procedures</w:t>
              </w:r>
            </w:hyperlink>
          </w:p>
        </w:tc>
        <w:tc>
          <w:tcPr>
            <w:tcW w:w="782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54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1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0000EE"/>
            </w:tcBorders>
            <w:gridSpan w:val="5"/>
          </w:tcPr>
          <w:p>
            <w:pPr>
              <w:jc w:val="cente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PART III</w:t>
              </w:r>
            </w:hyperlink>
          </w:p>
        </w:tc>
        <w:tc>
          <w:tcPr>
            <w:tcW w:w="45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954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17"/>
                <w:szCs w:val="17"/>
                <w:color w:val="auto"/>
              </w:rPr>
            </w:pPr>
          </w:p>
        </w:tc>
        <w:tc>
          <w:tcPr>
            <w:tcW w:w="556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54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24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42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1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40" w:type="dxa"/>
            <w:vAlign w:val="bottom"/>
            <w:gridSpan w:val="12"/>
          </w:tcPr>
          <w:p>
            <w:pPr>
              <w:jc w:val="center"/>
              <w:ind w:right="4420"/>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PART IV</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34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Exhibits, Financial Statement Schedules</w:t>
              </w:r>
            </w:hyperlink>
          </w:p>
        </w:tc>
        <w:tc>
          <w:tcPr>
            <w:tcW w:w="640" w:type="dxa"/>
            <w:vAlign w:val="bottom"/>
            <w:tcBorders>
              <w:top w:val="single" w:sz="8" w:color="0000EE"/>
            </w:tcBorders>
            <w:gridSpan w:val="5"/>
          </w:tcPr>
          <w:p>
            <w:pPr>
              <w:spacing w:after="0"/>
              <w:rPr>
                <w:sz w:val="17"/>
                <w:szCs w:val="17"/>
                <w:color w:val="auto"/>
              </w:rPr>
            </w:pPr>
          </w:p>
        </w:tc>
        <w:tc>
          <w:tcPr>
            <w:tcW w:w="456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340" w:type="dxa"/>
            <w:vAlign w:val="bottom"/>
            <w:gridSpan w:val="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10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 Rowe Price Group is a financial services holding company that provides global investment management services through its subsidiaries to individual and institutional investors in the sponsored T. Rowe Price mutual funds and other investment portfolios, including separately managed accounts, subadvised funds, and other sponsored investment funds offered to investors outside the U.S. and through variable annuity life insurance plans in the U.S.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was first offered to the public in 1986. The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corporate holding company structure was established in 2000.</w:t>
      </w:r>
    </w:p>
    <w:p>
      <w:pPr>
        <w:spacing w:after="0" w:line="16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We derive the majority of our consolidated revenue and net income from investment advisory services provided by our subsidiaries, primarily T. Rowe Price Associates, Inc. and T. Rowe Price International Ltd. Our revenues depend largely on the total value and composition of assets under our management. Accordingly, fluctuations in financial markets and in the composition of assets under management impact our revenues and results of operations.</w:t>
      </w:r>
    </w:p>
    <w:p>
      <w:pPr>
        <w:spacing w:after="0" w:line="10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in the U.S. and other countries. In general, over a third of our assets under management are sourced from our third-party financial intermediary distribution channel with the remaining three distribution channels making up the balance.</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manage a broad range of U.S. and international stock, blended asset, bond, and money market mutual funds and other investment portfolios that are designed to meet the varied and changing needs and objectives of individual and institutional investors.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 objectives for our managed investment portfolios, including the Price funds, accommodate a variety of strategies. Investors select from among the mutual funds based on the distinct objective that is described in each fund’s prospectus and can exchange balances among the funds as permitted when economic and market conditions and their investment needs change. Investment management of other client portfolios includes approaches similar to those employed in the Price funds.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Equity investment strategies may emphasize large-cap, mid-cap or small-cap investing; growth, value or core investing; and U.S., global, or international investing. We also offer systematic, tax-efficient, and blended equity and asset allocation investment strategies including target retirement-date investment portfolios,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employ fundamental and quantitative security analyses in the performance of the investment advisory function. We maintain substantial internal equity and fixed income investment research capabilities. We perform original industry and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England with additional staff resident in Argentina, Australia, Hong Kong, Japan, and Singapore. We also use research provided by brokerage firms and security analysts in a supportive capacity and information received from private economists, political observers, commentators, government experts, and market analysts. Our stock selection process for some investment portfolios is based on quantitative analyses using computerized data modeling.</w:t>
      </w:r>
    </w:p>
    <w:p>
      <w:pPr>
        <w:spacing w:after="0" w:line="120"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or investment portfolio if we believe that we have the appropriate investment management expertise and that its objective will be useful for investors over a long period. Conversely, we may also limit new investments into a mutual fund or investment mandate in order to maintain the integrity of the investment strategy and to protect the interests of its existing fund shareholders and investors. At present, the following funds are closed to all new investors.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w w:val="92"/>
              </w:rPr>
              <w:t>Fund</w:t>
            </w:r>
          </w:p>
        </w:tc>
        <w:tc>
          <w:tcPr>
            <w:tcW w:w="3000" w:type="dxa"/>
            <w:vAlign w:val="bottom"/>
          </w:tcPr>
          <w:p>
            <w:pPr>
              <w:spacing w:after="0"/>
              <w:rPr>
                <w:sz w:val="19"/>
                <w:szCs w:val="19"/>
                <w:color w:val="auto"/>
              </w:rPr>
            </w:pP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rPr>
              <w:t>Date Closed</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74"/>
              </w:rPr>
              <w:t>2003</w:t>
            </w:r>
          </w:p>
        </w:tc>
        <w:tc>
          <w:tcPr>
            <w:tcW w:w="0" w:type="dxa"/>
            <w:vAlign w:val="bottom"/>
          </w:tcPr>
          <w:p>
            <w:pPr>
              <w:spacing w:after="0" w:line="20" w:lineRule="exact"/>
              <w:rPr>
                <w:sz w:val="1"/>
                <w:szCs w:val="1"/>
                <w:color w:val="auto"/>
              </w:rPr>
            </w:pPr>
          </w:p>
        </w:tc>
      </w:tr>
      <w:tr>
        <w:trPr>
          <w:trHeight w:val="203"/>
        </w:trPr>
        <w:tc>
          <w:tcPr>
            <w:tcW w:w="3400" w:type="dxa"/>
            <w:vAlign w:val="bottom"/>
            <w:gridSpan w:val="2"/>
          </w:tcPr>
          <w:p>
            <w:pPr>
              <w:spacing w:after="0" w:line="203" w:lineRule="exact"/>
              <w:rPr>
                <w:sz w:val="20"/>
                <w:szCs w:val="20"/>
                <w:color w:val="auto"/>
              </w:rPr>
            </w:pPr>
            <w:r>
              <w:rPr>
                <w:rFonts w:ascii="Arial" w:cs="Arial" w:eastAsia="Arial" w:hAnsi="Arial"/>
                <w:sz w:val="18"/>
                <w:szCs w:val="18"/>
                <w:color w:val="auto"/>
              </w:rPr>
              <w:t>Institutional Mid-Cap Equity Growth</w:t>
            </w:r>
          </w:p>
        </w:tc>
        <w:tc>
          <w:tcPr>
            <w:tcW w:w="800" w:type="dxa"/>
            <w:vAlign w:val="bottom"/>
            <w:vMerge w:val="continue"/>
          </w:tcPr>
          <w:p>
            <w:pPr>
              <w:spacing w:after="0"/>
              <w:rPr>
                <w:sz w:val="17"/>
                <w:szCs w:val="17"/>
                <w:color w:val="auto"/>
              </w:rPr>
            </w:pPr>
          </w:p>
        </w:tc>
        <w:tc>
          <w:tcPr>
            <w:tcW w:w="960" w:type="dxa"/>
            <w:vAlign w:val="bottom"/>
          </w:tcPr>
          <w:p>
            <w:pPr>
              <w:spacing w:after="0" w:line="203" w:lineRule="exact"/>
              <w:rPr>
                <w:sz w:val="20"/>
                <w:szCs w:val="20"/>
                <w:color w:val="auto"/>
              </w:rPr>
            </w:pPr>
            <w:r>
              <w:rPr>
                <w:rFonts w:ascii="Arial" w:cs="Arial" w:eastAsia="Arial" w:hAnsi="Arial"/>
                <w:sz w:val="18"/>
                <w:szCs w:val="18"/>
                <w:color w:val="auto"/>
                <w:w w:val="91"/>
              </w:rPr>
              <w:t>December 8,</w:t>
            </w: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Institutional Small-Cap Stock</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20, 2004</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Mid-Cap Growth</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rPr>
              <w:t>May 31, 2010</w:t>
            </w: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Mid-Cap Value</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rPr>
              <w:t>May 31, 2010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Nearly 91% of our administrative and distribution and servicing fee revenues in 2011 were determined based generally on the recovery of our related costs to provide these services. Changes in our administrative revenues, distribution and servicing fees, and related expenses, therefore, do not significantly affect our net operating income or net income.</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Information concerning our revenues, results of operations and total assets, and our assets under management during the past three years is contained in our consolidated financial statements and in note 2 thereto, which are both included in Item 8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2011 DEVELOPMENTS.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Global markets were unusually volatile during 2011 as economic and geopolitical concerns weighed heavily on investor confidence at times. In this uncertain and volatile environment, our assets under management increased $7.5 billion over the course of 2011 and ended the year at $489.5 billion. Our strong relative investment performance and brand awareness contributed significantly to attracting net inflows of $14.1 billion that were sourced primarily from third-party financial intermediaries. Lower market valuations and fund distributions not reinvested, reduced assets under management by $6.6 billion in 2011.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firm’s long-term investment advisory results relative to our peers remain strong, with 76% of the T. Rowe Price funds across their share classes surpassing their comparable Lipper averages on a total return basis for the three-year period ended December 31, 2011, 86% outperforming for the five-year period, 77% outperforming for the 10-year period, and 60% outperforming for the one-year period. In addition, T. Rowe Price stock, bond and blended asset funds that ended the quarter with an overall rating of four or five stars from Morningstar account for 83% of our rated funds’ assets under management.</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Details of our assets under management (in billions) at December 31, 2011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mutual funds distributed in U.S.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investment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5054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 by asset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Stock and blended asset portfolios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Fixed income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5054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 by account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Retirement accounts and variable annuity portfolios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50545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hanging="96"/>
        <w:spacing w:after="0"/>
        <w:tabs>
          <w:tab w:leader="none" w:pos="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289.4</w:t>
      </w:r>
    </w:p>
    <w:p>
      <w:pPr>
        <w:spacing w:after="0" w:line="4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17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317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00" w:hanging="96"/>
        <w:spacing w:after="0"/>
        <w:tabs>
          <w:tab w:leader="none" w:pos="100" w:val="left"/>
        </w:tabs>
        <w:numPr>
          <w:ilvl w:val="0"/>
          <w:numId w:val="3"/>
        </w:numPr>
        <w:rPr>
          <w:rFonts w:ascii="Arial" w:cs="Arial" w:eastAsia="Arial" w:hAnsi="Arial"/>
          <w:sz w:val="15"/>
          <w:szCs w:val="15"/>
          <w:color w:val="auto"/>
        </w:rPr>
      </w:pPr>
      <w:r>
        <w:rPr>
          <w:rFonts w:ascii="Arial" w:cs="Arial" w:eastAsia="Arial" w:hAnsi="Arial"/>
          <w:sz w:val="15"/>
          <w:szCs w:val="15"/>
          <w:color w:val="auto"/>
        </w:rPr>
        <w:t>352.4</w:t>
      </w:r>
    </w:p>
    <w:p>
      <w:pPr>
        <w:spacing w:after="0" w:line="4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17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317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82" w:lineRule="exact"/>
        <w:rPr>
          <w:sz w:val="20"/>
          <w:szCs w:val="20"/>
          <w:color w:val="auto"/>
        </w:rPr>
      </w:pPr>
    </w:p>
    <w:p>
      <w:pPr>
        <w:ind w:left="100" w:hanging="96"/>
        <w:spacing w:after="0"/>
        <w:tabs>
          <w:tab w:leader="none" w:pos="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293.2</w:t>
      </w:r>
    </w:p>
    <w:p>
      <w:pPr>
        <w:spacing w:after="0" w:line="4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17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317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3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denominated securities account for about $63.0 billion of our total assets under management at December 31, 2011.</w:t>
      </w:r>
    </w:p>
    <w:p>
      <w:pPr>
        <w:spacing w:after="0" w:line="17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Our target-date retirement portfolios, which provide shareholders with single, diversified portfolios that invest in the underlying T. Rowe Price funds and other investment portfolios, continue to be a significant source of asset growth. Of the firm’s net inflows of $14.1 billion in 2011, $8.0 billion originated in these portfolios. Assets under management in these portfolios were $66.9 billion at December 31, 2011 and represent more than 13% of our managed assets at year-end.</w:t>
      </w:r>
    </w:p>
    <w:p>
      <w:pPr>
        <w:spacing w:after="0" w:line="8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Six Price funds - Growth Stock, Mid-Cap Growth, Equity Income, Value, Blue Chip Growth, Capital Appreciation - accounted for 25% of our investment advisory revenues in 2011 and 20% of our assets under management at December 31, 2011. Our largest client account relationship outside the T. Rowe Price funds is with a third-party financial intermediary that accounted for about 3% of our investment advisory revenues in 2011. Our international clients account for 11% of our total assets under management at December 31, 2011.</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See the Background section of Management’s Discussion and Analysis of Financial Condition and Results of Operations in Item 7 of this report for more information on the 2011 market environment in which we operated.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Advisory and Distribution Services.</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Investment advisory revenues earned from the Price funds are determined daily based on the net assets managed in each fund. The advisory fee paid monthly by each of the Price funds is computed on a daily basis by multiplying a fund’s net assets by a specific fee rate. For the majority of the Price funds, the fee rate is equal to the sum of a tiered group rate that is set based on the aggregate net assets of nearly all of the Price funds and an individual fund rate that is set based on the fund’s specific investment objective.</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effective tiered group rate when combined net assets of nearly all of the Price funds exceed $220 billion is calculated based on a weighted-average fee across pricing tiers of 30.0 basis points for the first $220 billion of net assets plus 28.5 basis points for net assets in excess of $220 billion. To the extent that the combined net assets of these funds increase, the group charge component of a fund’s advisory fee rate, and therefore the advisory fee rate paid by each fund, will decrease. The individual fund rate for the Growth Stock, Mid-Cap Growth, Equity Income, and Blue Chip Growth is the weighted average of the base individual rate plus a 15% reduction in the individual rate for net assets in excess of $15 billion.</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effective fee rates determined in the above manner for those stock and bond funds that incurred advisory fees of at least $5 million in 2011 varied from a low of 40 basis points for the Short Term Bond, Maryland Tax-Free Bond and Tax-Free Short-Intermediate funds to a high of 105 basis points for the Emerging Europe &amp; Mediterranean, International Discovery, Latin America, and Emerging Markets Stock funds.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Several of the Price funds, including the Index and Summit funds as well as specific funds offered solely to institutional investors; do not include a group fee component but rather an individual fund fee or an all-inclusive fee, which covers both investment management and ordinary operating expenses. Each of the funds in the series of Spectrum Funds and in the series of target-date Retirement Funds invest in a diversified portfolio of other Price funds and have no separate investment advisory fee. However, they indirectly bear the expenses of the funds in which they invest.</w:t>
      </w:r>
    </w:p>
    <w:p>
      <w:pPr>
        <w:spacing w:after="0" w:line="11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Our money market funds experienced advisory fee rates in 2011 from a low of negative seven basis points for the California Tax-Free Money Fund to a high of 18 basis points for the Summit Cash Reserves Fund, as we continued to voluntarily waive money market advisory fees to maintain a zero or positive yield for fund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investors. We waived $36.4 million fees in 2011 compared to $25.1 million in 2010. We began waiving our money market advisory fees during the second half of 2009 and anticipate these fee waivers will continue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Details of each fund’s fee arrangement are available in its prospectus.</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fixed income portfolios.</w:t>
      </w:r>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Certain of the Price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In addition, those Price funds offered to investors through variable annuity life insurance plans have a share class that incurs a 12b-1 fee of 25 basis points. Our subsidiary, T. Rowe Price Investment Services, is the principal distributor of the Price funds and enters into agreements with each intermediary. Payment of 12b-1 fees is made by each fund directly to the applicable intermediaries.</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 of income. We also recognize, as distribution and servicing costs in the consolidated statement of income, the corresponding payment of these fees from each fund to the third-party financial intermediaries. The fee revenue that we recognize from the funds and the expense that we recognize for the fees paid to third-party intermediaries are equal in amount and, therefore, do not impact our net operating income.</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mutual fund expenses in excess of these self-imposed limits. During the latter portion of the period, we may recover some or all of the waived fees and absorbed costs.</w:t>
      </w:r>
    </w:p>
    <w:p>
      <w:pPr>
        <w:spacing w:after="0" w:line="140"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enhancements to our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collective investment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 Assets under Management.</w:t>
      </w:r>
    </w:p>
    <w:p>
      <w:pPr>
        <w:spacing w:after="0" w:line="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At December 31, 2011, assets under our management in the Price funds aggregated $289.4 billion, an increase of 2.4% or $6.8 billion from the beginning of the year. The following table presents the net assets (in billions) of our largest funds (net assets in excess of $.7 billion at December 31) and the year each fund was started.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tcPr>
          <w:p>
            <w:pPr>
              <w:spacing w:after="0"/>
              <w:rPr>
                <w:sz w:val="19"/>
                <w:szCs w:val="19"/>
                <w:color w:val="auto"/>
              </w:rPr>
            </w:pPr>
          </w:p>
        </w:tc>
      </w:tr>
      <w:tr>
        <w:trPr>
          <w:trHeight w:val="198"/>
        </w:trPr>
        <w:tc>
          <w:tcPr>
            <w:tcW w:w="72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Stock and blended asset funds:</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Balanced (1991)</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$ 2.9</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$ 2.8</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Blue Chip Growth (1993)</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Capital Appreciation (1986)</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Growth (1992)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Emerging Europe &amp; Mediterranean (2000)</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 Stock (1995)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Equity Income (1985)</w:t>
            </w:r>
          </w:p>
        </w:tc>
        <w:tc>
          <w:tcPr>
            <w:tcW w:w="420" w:type="dxa"/>
            <w:vAlign w:val="bottom"/>
          </w:tcPr>
          <w:p>
            <w:pPr>
              <w:jc w:val="right"/>
              <w:spacing w:after="0"/>
              <w:rPr>
                <w:sz w:val="20"/>
                <w:szCs w:val="20"/>
                <w:color w:val="auto"/>
              </w:rPr>
            </w:pPr>
            <w:r>
              <w:rPr>
                <w:rFonts w:ascii="Arial" w:cs="Arial" w:eastAsia="Arial" w:hAnsi="Arial"/>
                <w:sz w:val="18"/>
                <w:szCs w:val="18"/>
                <w:color w:val="auto"/>
              </w:rPr>
              <w:t>20.4</w:t>
            </w:r>
          </w:p>
        </w:tc>
        <w:tc>
          <w:tcPr>
            <w:tcW w:w="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Index 500 (1990)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220"/>
              <w:spacing w:after="0"/>
              <w:rPr>
                <w:sz w:val="20"/>
                <w:szCs w:val="20"/>
                <w:color w:val="auto"/>
              </w:rPr>
            </w:pPr>
            <w:r>
              <w:rPr>
                <w:rFonts w:ascii="Arial" w:cs="Arial" w:eastAsia="Arial" w:hAnsi="Arial"/>
                <w:sz w:val="18"/>
                <w:szCs w:val="18"/>
                <w:color w:val="auto"/>
              </w:rPr>
              <w:t>European Stock (1990)</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Stock (1995)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Growth &amp; Income (1982)</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Growth Stock (1950)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Health Sciences (1995)</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Emerging Markets Equity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Institutional Large-Cap Growth (2001)</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Large-Cap Value (2000)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Institutional Mid-Cap Equity Growth (1996)</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Discovery (1988)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International Growth &amp; Income (1998)</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Stock (1980)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Latin America (1993)</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Media &amp; Telecommunications (1993)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Mid-Cap Growth (1992)</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Mid-Cap Value (1996)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New America Growth (1985)</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Asia (1990)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New Era (1969)</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Horizons (1960)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Overseas Stock (2006)</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Personal Strategy Balanced (1994)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Personal Strategy Growth (1994)</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Personal Strategy Income (1994)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Real Assets (2010)</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(1997)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Science &amp; Technology (1987)</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Small-Cap Stock (1992)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Small-Cap Value (1988)</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Value (1994)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Other stock and blended asset funds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438"/>
        </w:trPr>
        <w:tc>
          <w:tcPr>
            <w:tcW w:w="7080" w:type="dxa"/>
            <w:vAlign w:val="bottom"/>
          </w:tcPr>
          <w:p>
            <w:pPr>
              <w:spacing w:after="0"/>
              <w:rPr>
                <w:sz w:val="20"/>
                <w:szCs w:val="20"/>
                <w:color w:val="auto"/>
              </w:rPr>
            </w:pPr>
            <w:r>
              <w:rPr>
                <w:rFonts w:ascii="Arial" w:cs="Arial" w:eastAsia="Arial" w:hAnsi="Arial"/>
                <w:sz w:val="18"/>
                <w:szCs w:val="18"/>
                <w:color w:val="auto"/>
              </w:rPr>
              <w:t>Bond and money market funds:</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Income (1995)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Emerging Markets Bond (1994)</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GNMA (1985)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High Yield (1984)</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Inflation Focused Bond (2006)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Institutional Floating Rate (2008)</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Institutional High Yield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International Bond (1986)</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Maryland Tax-Free Bond (1987)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New Income (1973)</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Prime Reserve (1976)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Short-Term Bond (1984)</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Summit Cash Reserves (1993)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Summit Municipal Intermediate (1993)</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Money (1981)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Tax-Free High Yield (1985)</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Tax-Free Income (1976)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Tax-Free Short-Intermediate (1983)</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Bond Enhanced Index (2000)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220"/>
              <w:spacing w:after="0"/>
              <w:rPr>
                <w:sz w:val="20"/>
                <w:szCs w:val="20"/>
                <w:color w:val="auto"/>
              </w:rPr>
            </w:pPr>
            <w:r>
              <w:rPr>
                <w:rFonts w:ascii="Arial" w:cs="Arial" w:eastAsia="Arial" w:hAnsi="Arial"/>
                <w:sz w:val="18"/>
                <w:szCs w:val="18"/>
                <w:color w:val="auto"/>
              </w:rPr>
              <w:t>U.S. Treasury Money (1982)</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Virginia Tax-Free Bond (1991)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3"/>
        </w:trPr>
        <w:tc>
          <w:tcPr>
            <w:tcW w:w="7080" w:type="dxa"/>
            <w:vAlign w:val="bottom"/>
          </w:tcPr>
          <w:p>
            <w:pPr>
              <w:ind w:left="220"/>
              <w:spacing w:after="0"/>
              <w:rPr>
                <w:sz w:val="20"/>
                <w:szCs w:val="20"/>
                <w:color w:val="auto"/>
              </w:rPr>
            </w:pPr>
            <w:r>
              <w:rPr>
                <w:rFonts w:ascii="Arial" w:cs="Arial" w:eastAsia="Arial" w:hAnsi="Arial"/>
                <w:sz w:val="18"/>
                <w:szCs w:val="18"/>
                <w:color w:val="auto"/>
              </w:rPr>
              <w:t>Other bond and money market funds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282.6</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289.4</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Spectrum and Retirement fund of fund series are not presented in the table because their assets are already included in their underlying fund holdings.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managed $200.1 billion at December 31, 2011, in other client investment portfolios, up $.7 billion from the beginning of the year. We provide investment advisory services to these clients through our subsidiaries on a separately managed or subadvised account basis and through sponsored investment portfolios, such as collective investment trusts, Luxembourg-based mutual funds, and variable annuity insurance plans. At December 31, these portfolios included the following investment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9"/>
                <w:szCs w:val="19"/>
                <w:color w:val="auto"/>
              </w:rPr>
            </w:pPr>
          </w:p>
        </w:tc>
      </w:tr>
      <w:tr>
        <w:trPr>
          <w:trHeight w:val="212"/>
        </w:trPr>
        <w:tc>
          <w:tcPr>
            <w:tcW w:w="48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U.S. stocks</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$ 114.0</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International stocks</w:t>
            </w:r>
          </w:p>
        </w:tc>
        <w:tc>
          <w:tcPr>
            <w:tcW w:w="3280" w:type="dxa"/>
            <w:vAlign w:val="bottom"/>
            <w:gridSpan w:val="3"/>
          </w:tcPr>
          <w:p>
            <w:pPr>
              <w:jc w:val="right"/>
              <w:ind w:right="500"/>
              <w:spacing w:after="0"/>
              <w:rPr>
                <w:sz w:val="20"/>
                <w:szCs w:val="20"/>
                <w:color w:val="auto"/>
              </w:rPr>
            </w:pPr>
            <w:r>
              <w:rPr>
                <w:rFonts w:ascii="Arial" w:cs="Arial" w:eastAsia="Arial" w:hAnsi="Arial"/>
                <w:sz w:val="18"/>
                <w:szCs w:val="18"/>
                <w:color w:val="auto"/>
              </w:rPr>
              <w:t>34.2</w:t>
            </w: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Bonds and money market securities</w:t>
            </w:r>
          </w:p>
        </w:tc>
        <w:tc>
          <w:tcPr>
            <w:tcW w:w="2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200.1</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at a contracted annual fee rate. The value of assets under management billed is generally based on daily valuations, month-end average valuations, or end of billing period valuations. In 2011, approximately 53% of advisory fees were recognized based on daily portfolio valuations, 27% were based on month-end averages, and 19% were based on end of billing period valuations.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17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 Rowe Price Associates, T. Rowe Price International Ltd, T. Rowe Price (Canada), T. Rowe Price Hong Kong Limited, T. Rowe Price Singapore Private Ltd., and T. Rowe Price Advisory Services are registered with the SEC as investment advisers under the Investment Advisers Act of 1940. T. Rowe Price International Ltd is also regulated by the Financial Services Authority (FSA) in the United Kingdom and, in certain cases, by other foreign regulators. The Securities and Futures Commission and Monetary Authority of Singapore also regulate T. Rowe Price Hong Kong Limited and T. Rowe Price Singapore Private Ltd., respectively. Our transfer agent services subsidiaries are registered under the Securities Exchange Act of 1934, and our trust company is regulated by the State of Maryland, Commissioner of Financial Regulation. T. Rowe Price (Canada) is also registered with several of the provincial securities commissions in Canada.</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changes resulting from the Dodd-Frank Act, the T. Rowe Price Savings Bank is now regulated by the Office of the Comptroller of the Currency, U.S. Department of the Treasury. In addition, the Federal Reserve is now responsible for supervision of T. Rowe Price Group and T. Rowe Price Associates, as savings and loan holding companies, as well as the other T. Rowe Price non-depository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 Rowe Price Investment Services is a registered broker-dealer and member of the Financial Industry Regulatory Authority (FINRA) and the Securities Investor Protection Corporation. We provide brokerage services through this subsidiary primarily to complement the other services provided to shareholders of the Price funds. Pershing, a third-party clearing broker and affiliate of the Bank of New York, maintains our brokerage’s customer accounts and clears all transactions.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subsidiaries’ net capital, as defined, meets or exceeds all minimum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December 31, 2011, we employed 5,255 associates, up 4% from the 5,052 associates employed at the end of 2010. We may add additional temporary and part-time personnel to our staff from time to time to meet periodic and special project demands, primarily for technology and mutual fund administrative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t>
      </w:r>
      <w:r>
        <w:rPr>
          <w:rFonts w:ascii="Arial" w:cs="Arial" w:eastAsia="Arial" w:hAnsi="Arial"/>
          <w:sz w:val="16"/>
          <w:szCs w:val="16"/>
          <w:u w:val="single" w:color="auto"/>
          <w:color w:val="auto"/>
        </w:rPr>
        <w:t>http://trow.client.shareholder.com/financials.cfm</w:t>
      </w:r>
      <w:r>
        <w:rPr>
          <w:rFonts w:ascii="Arial" w:cs="Arial" w:eastAsia="Arial" w:hAnsi="Arial"/>
          <w:sz w:val="16"/>
          <w:szCs w:val="16"/>
          <w:color w:val="auto"/>
        </w:rPr>
        <w:t>. We also make our financial statement information from our periodic SEC filings available on our website in the form of XBRL data files that may be used to facilitate computer-assisted investor analysis.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3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62"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 The performance of our money market funds is dependent on the income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underlying securities exceeding the operating costs of the fund. When interest rates are at the historic lows that presently exist, the operating costs of the funds will become a greater portion of the portfolio’s income and reduce the yield of the funds to very low levels. Since the second half of 2009 and presently, such an environment has caused us to waive a portion of our advisory fees on money market funds in order to maintain yields at or above 0% to fund investors. Such actions reduce our advisory fee income and net income. Also, bank deposits may become more attractive to investors and money market funds have and could continue to experience redemptions. Client losses decrease our revenues and net income.</w:t>
      </w:r>
    </w:p>
    <w:p>
      <w:pPr>
        <w:spacing w:after="0" w:line="35" w:lineRule="exact"/>
        <w:rPr>
          <w:sz w:val="20"/>
          <w:szCs w:val="20"/>
          <w:color w:val="auto"/>
        </w:rPr>
      </w:pPr>
    </w:p>
    <w:p>
      <w:pPr>
        <w:ind w:left="460" w:right="12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62" w:lineRule="exact"/>
        <w:rPr>
          <w:rFonts w:ascii="Arial" w:cs="Arial" w:eastAsia="Arial" w:hAnsi="Arial"/>
          <w:sz w:val="18"/>
          <w:szCs w:val="18"/>
          <w:color w:val="auto"/>
        </w:rPr>
      </w:pPr>
    </w:p>
    <w:p>
      <w:pPr>
        <w:jc w:val="both"/>
        <w:ind w:left="460" w:right="180" w:hanging="452"/>
        <w:spacing w:after="0" w:line="33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8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 significant majority of our revenues are based on contracts with the Price funds that are subject to termination without cause and on short notice.</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mutual fund companies,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hedge funds,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traded funds,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brokerage and investment banking firms,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We believe that competition within the investment management industry will intensify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If current or potential customers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4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affect on our reputation and subject us to regulatory sanctions, fines, penalties, and litigation.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90" w:lineRule="exact"/>
        <w:rPr>
          <w:sz w:val="20"/>
          <w:szCs w:val="20"/>
          <w:color w:val="auto"/>
        </w:rPr>
      </w:pPr>
    </w:p>
    <w:p>
      <w:pPr>
        <w:ind w:left="460" w:right="1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 and failure to identify excessive trading in mutual funds by our customers or plan participants;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90" w:lineRule="exact"/>
        <w:rPr>
          <w:sz w:val="20"/>
          <w:szCs w:val="20"/>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level of our advertising expenses, including the costs of expanding investment advisory services to investors outside of the United States and further penetrating U.S. distribution channels;</w:t>
      </w:r>
    </w:p>
    <w:p>
      <w:pPr>
        <w:spacing w:after="0" w:line="50" w:lineRule="exact"/>
        <w:rPr>
          <w:rFonts w:ascii="Arial" w:cs="Arial" w:eastAsia="Arial" w:hAnsi="Arial"/>
          <w:sz w:val="18"/>
          <w:szCs w:val="18"/>
          <w:color w:val="auto"/>
        </w:rPr>
      </w:pPr>
    </w:p>
    <w:p>
      <w:pPr>
        <w:ind w:left="460" w:right="30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future impairment of our investment in UTI Asset Management Company Limited (UTI);</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balance sheet;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90" w:lineRule="exact"/>
        <w:rPr>
          <w:rFonts w:ascii="Arial" w:cs="Arial" w:eastAsia="Arial" w:hAnsi="Arial"/>
          <w:sz w:val="18"/>
          <w:szCs w:val="18"/>
          <w:color w:val="auto"/>
        </w:rPr>
      </w:pPr>
    </w:p>
    <w:p>
      <w:pPr>
        <w:ind w:left="460" w:right="8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causing disruptions in national or global economies that decrease investor confidence and make investment products generally less attractive,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associates,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interrupting our business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any associates, or if we are unable to respond adequately to such an event in a timely manner, we may be unable to continue our business operations, which could lead to a tarnished reputation and loss of customers that results in a decrease in assets under management, lower revenues and materially reduced net income.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currently have a substantial portion of our assets invested in our stock, blended asset and bond mutual funds. All of these investments are subject to investment market risk and our non-operating investment income could be adversely affected by the realization of losses upon the disposition of our investments or the recognition of significant other than temporary impairments.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71"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We have a savings bank subsidiary that accepts time deposits from customers, pays a fixed rate of interest to them, and invests in asset-backed debt securities. Although we generally hold these investments to maturity, which generally correlates to the maturities of our customer deposits, fluctuations in credit risk could result in impairments among the bank’s fixed income investments and, in turn, could result in a mismatch between a lower or negative return on our investment portfolio and the interest paid on our customer deposits. To the extent that this occurs, our assets and results of operations would be adversely affected.</w:t>
      </w:r>
    </w:p>
    <w:p>
      <w:pPr>
        <w:spacing w:after="0" w:line="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expanding into new jurisdictions, and making non-controlling minority investments in other entities.</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own a 26% investment in UTI (India) and we may consider non-controlling minority investments in other entities in the future. We may not realize future returns from such investments or any collaborative activities that may develop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operate in a number of jurisdictions outside of the United States. In addition, we have a large investment in UTI, an Indian asset management company. Our international operations require us to comply with the legal requirements of various foreign jurisdictions and expose us to the political consequences of operating in foreign jurisdictions. Our foreign business operations are also subject to the following risks:</w:t>
      </w:r>
    </w:p>
    <w:p>
      <w:pPr>
        <w:spacing w:after="0" w:line="26" w:lineRule="exact"/>
        <w:rPr>
          <w:sz w:val="20"/>
          <w:szCs w:val="20"/>
          <w:color w:val="auto"/>
        </w:rPr>
      </w:pPr>
    </w:p>
    <w:p>
      <w:pPr>
        <w:ind w:left="5440" w:right="5340" w:hanging="5432"/>
        <w:spacing w:after="0" w:line="576"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difficulty in managing, operating and marketing our international operations; Page 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extensive regulation by foreign and domestic governments, regulatory agencies such as the SEC, the FED, and OCC in the United States and the FSA in the United Kingdom, and self-regulatory organizations such as FINRA. The conduct of our business is in large part dictated by adherence to such regulation, including federal laws such as the Dodd-Frank Act of 2010,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118"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Our regulatory environment is frequently altered by new regulations and by revisions to, and evolving interpretations of, existing regulations. Future changes could require us to modify or curtail our investment offerings and business operations. For example, the Volker Rule as currently proposed has led us to begin evaluating whether it remains prudent to maintain our savings bank in light of the potential restrictions the rule could place on our other business activities.</w:t>
      </w:r>
    </w:p>
    <w:p>
      <w:pPr>
        <w:spacing w:after="0" w:line="8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132"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As a result of the economic downturn in 2008 and 2009 and the significant turmoil in the investment banking, banking and financial services industry, including the need for government intervention, regulators both in and outside the United States have shown increasing interest in the oversight of the broad financial and investment industry. Some of the newly adopted and proposed regulations are focused directly on the investment management industry, while others are more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broadly focused but in many cases will impact our industry as well. These new laws and regulations can be expected to place greater compliance and administrative burdens on us, which likely would increase our expenses without increasing revenues and could adversely impact our business operations. In addition, new regulations could require the Price funds to reduce the level of certain mutual fund fees paid to us or require us to bear additional expenses, which would affect our operating results. Further, adverse results of regulatory investigations of mutual fund, investment advisory and financial services firms could tarnish the reputation of the financial services industry generally and mutual funds and investment advisers more specifically, causing investors to avoid further fund investments or redeem their account balances. Redemptions would decrease the assets under our management, which would reduce our advisory revenues and net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of litigation and in regulatory investigations in the financial services industry in recent years, including customer claims and class action suits alleging substantial monetary damages.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carry insurance in amounts and under terms that we believe are appropriate. We cannot assure that our insurance will cover most liabilities and losses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Certain of our subsidiaries are subject to net capital requirements imposed by various federal, state, and foreign authorities. Each of our subsidiaries’ net capital meets or exceeds all minimum requirements; however, a significant operating or investment loss or an extraordinary charge against net capital could adversely affect the ability of our subsidiaries to expand or even maintain their operations if we were unable to make additional investments in them.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We require specialized technology to operate our business and would be adversely affected if our technology became inoperative or obsolete.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7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our third-party service providers’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3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294,000 square feet in Colorado Springs, Colorado, and 822,000 square feet on three parcels of land in close proximity in Owings Mills, Maryland. We have an additional 381,000 square feet of space in two facilities at the largest Owings Mills site that were completed in late 2009. Our current expectation is that these facilities will not be placed into service until 2013 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earliest. Our recently completed 60,000 square foot technology support facility in Hagerstown, Maryland was placed into service in the first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own a 72-acre parcel of land in Pasco County, Florida to accommodate future development as business demands require.</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presently maintain investor centers for walk-in traffic and investor meetings in leased facilities located in the Baltimore, Maryland; Boca Raton, Florida; Boston (Wellesley, Massachusetts); Chicago (Oak Brook and Northbrook, Illinois); Los Angeles (Century City, California); New York City/New Jersey (Garden City, New York, and Paramus and Short Hills, New Jersey); San Francisco (Walnut Creek, California); Tampa, Florida; and Washington, D.C. (Washington, D.C. and McLean, Virginia) areas. We also have investor centers in our owned facilities in Colorado Springs and Owings Mills. These investor centers allow us to be available in person to meet with a large number of our individual investors.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Our corporate offices include 421,000 square feet under lease until mid-2017 at 100 East Pratt Street in Baltimore. We lease our other offices, including those in London, our business recovery site in Maryland, and our customer service call center in Tampa. We operate offices in 13 countries around the world.</w:t>
      </w:r>
    </w:p>
    <w:p>
      <w:pPr>
        <w:spacing w:after="0" w:line="85"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Information concerning our anticipated capital expenditures in 2012 and our future minimum rental payments under noncancelable operating leases at December 31, 2011, is set forth in the capital resources and liquidity and contractual obligations discussions in Item 7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(58), Chief Executive Officer and President since 2007. Mr. Kennedy was previously a Vice President from 1981-2006.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(56), Chairman since 2007 and a Vice President since 1985.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(55), Vice Chairman since 2007 and a Vice President since 1989.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(51), a Vice President since 1990.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(49), a Vice President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Michael C. Gitlin (41), a Vice President since 2007. Mr. Gitlin was Head of U.S. Equity Sales for Citigroup Global Markets from 2005 to 2007.</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John D. Linehan (47), a Vice President since 2001.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Kenneth V. Moreland (55), Chief Financial Officer and a Vice President since 2004. Mr. Moreland assumed the Treasurer position in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(59), a Vice President since 1987. Mr. O’Melia plans to retire on March 31, 2012.</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Jessica M. Hiebler (36), Principal Accounting Officer since 2010 and a Vice President since 2009. Ms. Hiebler has been a Vice President of T. Rowe Price Associates since she joined the firm in 2005.</w:t>
      </w:r>
    </w:p>
    <w:p>
      <w:pPr>
        <w:spacing w:after="0" w:line="11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0860"/>
          </w:cols>
          <w:pgMar w:left="240" w:top="459" w:right="7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2nd</w:t>
            </w:r>
          </w:p>
        </w:tc>
        <w:tc>
          <w:tcPr>
            <w:tcW w:w="1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3rd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4th</w:t>
            </w:r>
          </w:p>
        </w:tc>
      </w:tr>
      <w:tr>
        <w:trPr>
          <w:trHeight w:val="222"/>
        </w:trPr>
        <w:tc>
          <w:tcPr>
            <w:tcW w:w="682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78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2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Quarter</w:t>
            </w:r>
          </w:p>
        </w:tc>
      </w:tr>
      <w:tr>
        <w:trPr>
          <w:trHeight w:val="212"/>
        </w:trPr>
        <w:tc>
          <w:tcPr>
            <w:tcW w:w="68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2010 – High price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59.44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51.21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520"/>
              <w:spacing w:after="0"/>
              <w:rPr>
                <w:sz w:val="20"/>
                <w:szCs w:val="20"/>
                <w:color w:val="auto"/>
              </w:rPr>
            </w:pPr>
            <w:r>
              <w:rPr>
                <w:rFonts w:ascii="Arial" w:cs="Arial" w:eastAsia="Arial" w:hAnsi="Arial"/>
                <w:sz w:val="18"/>
                <w:szCs w:val="18"/>
                <w:color w:val="auto"/>
              </w:rPr>
              <w:t>Low price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47.42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44.28</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42.81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49.35</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dividends declared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431"/>
        </w:trPr>
        <w:tc>
          <w:tcPr>
            <w:tcW w:w="6820" w:type="dxa"/>
            <w:vAlign w:val="bottom"/>
          </w:tcPr>
          <w:p>
            <w:pPr>
              <w:spacing w:after="0"/>
              <w:rPr>
                <w:sz w:val="20"/>
                <w:szCs w:val="20"/>
                <w:color w:val="auto"/>
              </w:rPr>
            </w:pPr>
            <w:r>
              <w:rPr>
                <w:rFonts w:ascii="Arial" w:cs="Arial" w:eastAsia="Arial" w:hAnsi="Arial"/>
                <w:sz w:val="18"/>
                <w:szCs w:val="18"/>
                <w:color w:val="auto"/>
              </w:rPr>
              <w:t>2011 – High price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71.29</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68.59</w:t>
            </w:r>
          </w:p>
        </w:tc>
        <w:tc>
          <w:tcPr>
            <w:tcW w:w="4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62.25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59.55</w:t>
            </w:r>
          </w:p>
        </w:tc>
        <w:tc>
          <w:tcPr>
            <w:tcW w:w="100" w:type="dxa"/>
            <w:vAlign w:val="bottom"/>
          </w:tcPr>
          <w:p>
            <w:pPr>
              <w:spacing w:after="0"/>
              <w:rPr>
                <w:sz w:val="24"/>
                <w:szCs w:val="24"/>
                <w:color w:val="auto"/>
              </w:rPr>
            </w:pPr>
          </w:p>
        </w:tc>
      </w:tr>
      <w:tr>
        <w:trPr>
          <w:trHeight w:val="217"/>
        </w:trPr>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Low price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60.58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55.94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45.75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44.68</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ind w:left="520"/>
              <w:spacing w:after="0"/>
              <w:rPr>
                <w:sz w:val="20"/>
                <w:szCs w:val="20"/>
                <w:color w:val="auto"/>
              </w:rPr>
            </w:pPr>
            <w:r>
              <w:rPr>
                <w:rFonts w:ascii="Arial" w:cs="Arial" w:eastAsia="Arial" w:hAnsi="Arial"/>
                <w:sz w:val="18"/>
                <w:szCs w:val="18"/>
                <w:color w:val="auto"/>
              </w:rPr>
              <w:t>Cash dividends declared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presently plan to declare and pay quarterly cash dividends in 2012 that, taken together, will exceed the $1.24 per share declared and paid in 2011. Our annual dividends per share have increased every year since we became a public company in 1986; however, there can be no assurance that we will continue to pay dividends at increasing rates or at all.</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common stockholders have approved all of our equity compensation plans. These plans provide for the issuance of up to 52,887,988 shares of our common stock at December 31, 2011, including 39,239,722 shares that may be issued upon the exercise of outstanding stock options at a weighted average price of $45.27, and 385,934 shares that may be issued upon settlement of our outstanding stock units. Additionally, 13,262,332 shares remain available for future issuances. Under the terms of the 2004 Stock Incentive Plan, the number of shares provided and available for future issuance will increase as we repurchase common stock in the future with the proceeds from stock option exercises.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2011.</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Total Number of</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Maximum Number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82"/>
              </w:rPr>
              <w:t>Shares Purchased as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Shares that May Yet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1"/>
              </w:rPr>
              <w:t>Month</w:t>
            </w:r>
          </w:p>
        </w:tc>
        <w:tc>
          <w:tcPr>
            <w:tcW w:w="1420" w:type="dxa"/>
            <w:vAlign w:val="bottom"/>
            <w:vMerge w:val="restart"/>
          </w:tcPr>
          <w:p>
            <w:pPr>
              <w:spacing w:after="0"/>
              <w:rPr>
                <w:sz w:val="18"/>
                <w:szCs w:val="18"/>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9"/>
              </w:rPr>
              <w:t>Total Number of</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Average Price</w:t>
            </w: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Part of Publicly</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Be Purchased Under</w:t>
            </w: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2080" w:type="dxa"/>
            <w:vAlign w:val="bottom"/>
            <w:gridSpan w:val="2"/>
          </w:tcPr>
          <w:p>
            <w:pPr>
              <w:jc w:val="center"/>
              <w:ind w:right="840"/>
              <w:spacing w:after="0"/>
              <w:rPr>
                <w:sz w:val="20"/>
                <w:szCs w:val="20"/>
                <w:color w:val="auto"/>
              </w:rPr>
            </w:pPr>
            <w:r>
              <w:rPr>
                <w:rFonts w:ascii="Arial" w:cs="Arial" w:eastAsia="Arial" w:hAnsi="Arial"/>
                <w:sz w:val="18"/>
                <w:szCs w:val="18"/>
                <w:color w:val="auto"/>
                <w:w w:val="83"/>
              </w:rPr>
              <w:t>Shares Purchased</w:t>
            </w:r>
          </w:p>
        </w:tc>
        <w:tc>
          <w:tcPr>
            <w:tcW w:w="1880" w:type="dxa"/>
            <w:vAlign w:val="bottom"/>
            <w:gridSpan w:val="3"/>
          </w:tcPr>
          <w:p>
            <w:pPr>
              <w:spacing w:after="0"/>
              <w:rPr>
                <w:sz w:val="20"/>
                <w:szCs w:val="20"/>
                <w:color w:val="auto"/>
              </w:rPr>
            </w:pPr>
            <w:r>
              <w:rPr>
                <w:rFonts w:ascii="Arial" w:cs="Arial" w:eastAsia="Arial" w:hAnsi="Arial"/>
                <w:sz w:val="18"/>
                <w:szCs w:val="18"/>
                <w:color w:val="auto"/>
              </w:rPr>
              <w:t>Paid per Share</w:t>
            </w:r>
          </w:p>
        </w:tc>
        <w:tc>
          <w:tcPr>
            <w:tcW w:w="232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Announced Program</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the Program</w:t>
            </w: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3"/>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0"/>
              </w:rPr>
              <w:t>October</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184,179</w:t>
            </w:r>
          </w:p>
        </w:tc>
        <w:tc>
          <w:tcPr>
            <w:tcW w:w="8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47.76</w:t>
            </w:r>
          </w:p>
        </w:tc>
        <w:tc>
          <w:tcPr>
            <w:tcW w:w="8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152,164</w:t>
            </w:r>
          </w:p>
        </w:tc>
        <w:tc>
          <w:tcPr>
            <w:tcW w:w="8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13,765,681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November</w:t>
            </w:r>
          </w:p>
        </w:tc>
        <w:tc>
          <w:tcPr>
            <w:tcW w:w="1240" w:type="dxa"/>
            <w:vAlign w:val="bottom"/>
          </w:tcPr>
          <w:p>
            <w:pPr>
              <w:jc w:val="right"/>
              <w:spacing w:after="0"/>
              <w:rPr>
                <w:sz w:val="20"/>
                <w:szCs w:val="20"/>
                <w:color w:val="auto"/>
              </w:rPr>
            </w:pPr>
            <w:r>
              <w:rPr>
                <w:rFonts w:ascii="Arial" w:cs="Arial" w:eastAsia="Arial" w:hAnsi="Arial"/>
                <w:sz w:val="18"/>
                <w:szCs w:val="18"/>
                <w:color w:val="auto"/>
              </w:rPr>
              <w:t>59,307</w:t>
            </w:r>
          </w:p>
        </w:tc>
        <w:tc>
          <w:tcPr>
            <w:tcW w:w="8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50.63</w:t>
            </w:r>
          </w:p>
        </w:tc>
        <w:tc>
          <w:tcPr>
            <w:tcW w:w="2320" w:type="dxa"/>
            <w:vAlign w:val="bottom"/>
            <w:gridSpan w:val="2"/>
          </w:tcPr>
          <w:p>
            <w:pPr>
              <w:jc w:val="right"/>
              <w:ind w:right="860"/>
              <w:spacing w:after="0"/>
              <w:rPr>
                <w:sz w:val="20"/>
                <w:szCs w:val="20"/>
                <w:color w:val="auto"/>
              </w:rPr>
            </w:pPr>
            <w:r>
              <w:rPr>
                <w:rFonts w:ascii="Arial" w:cs="Arial" w:eastAsia="Arial" w:hAnsi="Arial"/>
                <w:sz w:val="18"/>
                <w:szCs w:val="18"/>
                <w:color w:val="auto"/>
              </w:rPr>
              <w:t>50,000</w:t>
            </w:r>
          </w:p>
        </w:tc>
        <w:tc>
          <w:tcPr>
            <w:tcW w:w="1540" w:type="dxa"/>
            <w:vAlign w:val="bottom"/>
          </w:tcPr>
          <w:p>
            <w:pPr>
              <w:jc w:val="right"/>
              <w:spacing w:after="0"/>
              <w:rPr>
                <w:sz w:val="20"/>
                <w:szCs w:val="20"/>
                <w:color w:val="auto"/>
              </w:rPr>
            </w:pPr>
            <w:r>
              <w:rPr>
                <w:rFonts w:ascii="Arial" w:cs="Arial" w:eastAsia="Arial" w:hAnsi="Arial"/>
                <w:sz w:val="18"/>
                <w:szCs w:val="18"/>
                <w:color w:val="auto"/>
              </w:rPr>
              <w:t>13,715,681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86"/>
              </w:rPr>
              <w:t>December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110,018</w:t>
            </w:r>
          </w:p>
        </w:tc>
        <w:tc>
          <w:tcPr>
            <w:tcW w:w="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8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920" w:type="dxa"/>
            <w:vAlign w:val="bottom"/>
            <w:gridSpan w:val="2"/>
          </w:tcPr>
          <w:p>
            <w:pPr>
              <w:jc w:val="center"/>
              <w:ind w:right="1400"/>
              <w:spacing w:after="0"/>
              <w:rPr>
                <w:sz w:val="20"/>
                <w:szCs w:val="20"/>
                <w:color w:val="auto"/>
              </w:rPr>
            </w:pPr>
            <w:r>
              <w:rPr>
                <w:rFonts w:ascii="Arial" w:cs="Arial" w:eastAsia="Arial" w:hAnsi="Arial"/>
                <w:sz w:val="18"/>
                <w:szCs w:val="18"/>
                <w:color w:val="auto"/>
                <w:w w:val="89"/>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353,504</w:t>
            </w:r>
          </w:p>
        </w:tc>
        <w:tc>
          <w:tcPr>
            <w:tcW w:w="8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51.31</w:t>
            </w:r>
          </w:p>
        </w:tc>
        <w:tc>
          <w:tcPr>
            <w:tcW w:w="2320" w:type="dxa"/>
            <w:vAlign w:val="bottom"/>
            <w:gridSpan w:val="2"/>
          </w:tcPr>
          <w:p>
            <w:pPr>
              <w:jc w:val="right"/>
              <w:ind w:right="860"/>
              <w:spacing w:after="0"/>
              <w:rPr>
                <w:sz w:val="20"/>
                <w:szCs w:val="20"/>
                <w:color w:val="auto"/>
              </w:rPr>
            </w:pPr>
            <w:r>
              <w:rPr>
                <w:rFonts w:ascii="Arial" w:cs="Arial" w:eastAsia="Arial" w:hAnsi="Arial"/>
                <w:sz w:val="18"/>
                <w:szCs w:val="18"/>
                <w:color w:val="auto"/>
              </w:rPr>
              <w:t>202,164</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Shares repurchased by us in a quarter may include repurchases conducted pursuant to publicly announced board authorizations, and outstanding shares surrendered to the company to pay the exercise price in connection with swap exercises of employee stock options. Of the shares repurchased in the fourth quarter of 2011, 202,164 were repurchased pursuant to the Board of Directors’ September 8, 2010 publicly announced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2011, we repurchased 8,695,229 shares of our common stock pursuant to the Board of Directors’ June 5, 2008 and September 8, 2010 authorizations.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140,000 beneficial stockholder accounts holding our common 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Item 6. Selected Financial Data.</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80" w:type="dxa"/>
            <w:vAlign w:val="bottom"/>
            <w:gridSpan w:val="3"/>
          </w:tcPr>
          <w:p>
            <w:pPr>
              <w:jc w:val="right"/>
              <w:ind w:right="72"/>
              <w:spacing w:after="0"/>
              <w:rPr>
                <w:sz w:val="20"/>
                <w:szCs w:val="20"/>
                <w:color w:val="auto"/>
              </w:rPr>
            </w:pPr>
            <w:r>
              <w:rPr>
                <w:rFonts w:ascii="Arial" w:cs="Arial" w:eastAsia="Arial" w:hAnsi="Arial"/>
                <w:sz w:val="18"/>
                <w:szCs w:val="18"/>
                <w:color w:val="auto"/>
              </w:rPr>
              <w:t>2007</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2008</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2009</w:t>
            </w: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2010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88"/>
              </w:rPr>
              <w:t>(in millions, except per-share data)</w:t>
            </w: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2,116</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2,367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operating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702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536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733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1.08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4"/>
              </w:rPr>
              <w:t>255.9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257.2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common shares outstanding assuming dilution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279.1</w:t>
            </w: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269.9</w:t>
            </w:r>
          </w:p>
        </w:tc>
        <w:tc>
          <w:tcPr>
            <w:tcW w:w="38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262.3</w:t>
            </w:r>
          </w:p>
        </w:tc>
        <w:tc>
          <w:tcPr>
            <w:tcW w:w="1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265.1</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December 31,</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w w:val="99"/>
              </w:rPr>
              <w:t>2007</w:t>
            </w: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2008</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2009</w:t>
            </w:r>
          </w:p>
        </w:tc>
        <w:tc>
          <w:tcPr>
            <w:tcW w:w="7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2010</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Balance sheet data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3,177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2,819</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$3,210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3,642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2,777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2,489</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$2,882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3,297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(in billions)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276.3</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4"/>
              </w:rPr>
              <w:t>482.0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revenues and net income are derived primarily from investment advisory services provided to individual and institutional investors in our sponsored mutual funds and other managed investment portfolios. The other managed investment portfolios include separately managed accounts, subadvised funds, and other sponsored investment portfolios including common trust funds and mutual funds offered to investors outside the United States and through variable annuity life insurance plans. Investment advisory clients outside the United States account for 11% of our assets under management at December 31, 2011.</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revenues depend largely on the total value and composition of assets under our management. Accordingly, fluctuations in financial markets and in the composition of assets under management affect our revenues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U.S. equity markets ended 2011 virtually unchanged from the end of 2010 despite experiencing wide trading ranges over the course of the year. Economic and geopolitical concerns weighed heavily on markets at times during the year and contributed to high volatility. The positive momentum in equity markets in late 2010 continued into 2011 as signs of an improving U.S. economy and the release of strong corporate earnings helped lift major indexes by the end of April to new highs not seen since March 2009. Equities began to fall in May and continued to decline through the summer, as the U.S. and European economies showed signs of weakening, the European debt crisis intensified, and U.S. Congress struggled to reach an agreement on deficit reduction and raising the federal debt ceiling. The uncertainties surrounding these macro concerns combined with Standard &amp; Poor’s downgrade in August of the U.S. government’s long-term sovereign credit rating led investors in search of less risky assets and increased selling pressure on markets through early October. Volatility in the markets continued through the end of the year, despite favorable U.S. economic data, as the bipartisan congressional super committee failed to reach a deficit reduction agreement and European leaders failed to develop a concrete plan to address their own debt crisis.</w:t>
      </w:r>
    </w:p>
    <w:p>
      <w:pPr>
        <w:spacing w:after="0" w:line="12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this volatile environment, the global stock indexes produced flat to negative results. The S&amp;P 500 Index of large-cap companies in leading industries of the U.S. economy returned 2.1% in 2011, while the NASDAQ Composite Index, which is heavily weighted with technology companies, was down 1.8% (excluding dividends) and the Russell 2000, which generally reflects smaller companies, decreased 4.2%. Performance for stock markets outside the U.S. was notably worse, although a strengthening U.S. dollar decreased the magnitude of the losses in dollar terms. In 2011, the MSCI EAFE Index, which measures the performance of mostly large-cap stocks in Europe, Australasia, and the Far East, produced an 11.7% loss while the MSCI Emerging Markets Index decreased 18.2%.</w:t>
      </w:r>
    </w:p>
    <w:p>
      <w:pPr>
        <w:spacing w:after="0" w:line="10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Despite the S&amp;P downgrade, Treasury yields fell to historic lows in the third quarter of 2011 and prices rose as investors sought the safety of these securities in the wake of the equity market weakness, the intensifying European debt crisis, and slowing economic growth. To support the U.S. economy, the Federal Reserve announced in the third quarter of 2011 that it would keep the federal funds target rate near 0% until at least mid-2013, trade short-term Treasury holdings for longer-term issues, and resume mortgage-backed security purchases. Treasury yields ended the year below their levels at the end of 2010 as nervous global investors continued to seek out less risky investments. The yield on the benchmark 10-year U.S. Treasury at December 31, 2011, was 1.9%, a decrease of 141 basis points from the end of 2010.</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Bonds produced positive overall returns in 2011, as strong gains among long-term government bonds compensated for lower returns in other categories. Municipal and corporate bonds did very well, while high yield securities trailed as solid returns in the first half of 2011 were followed by flat performance in the second half of 2011 as investors sought less risky assets.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2011, the Barclays Capital Municipal Bond Index returned 10.7%, the Barclays Capital U.S. Aggregate Index gained 7.8%, and the Credit Suisse High Yield Index was up 5.5%. A similar trend was seen in the non-U.S. bond markets though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gains were limited by a stronger U.S. dollar versus other currencies. The J.P. Morgan Emerging Markets Index Plus gained 9.2% in 2011, while the Barclays Capital Global Aggregate Ex-U.S. Dollar Bond Index was up 4.4%.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With an uncertain and volatile market environment as a backdrop, our assets under management increased $7.5 billion over the course of 2011 and ended the year at $489.5 billion. Net cash inflows from investors in 2011 of $14.1 billion were partially offset by market depreciation and distributions not reinvested of $6.6 billion. Assets under management (in billions) at the end of the year and changes over the year are detailed below.</w:t>
      </w:r>
    </w:p>
    <w:p>
      <w:pPr>
        <w:sectPr>
          <w:pgSz w:w="11900" w:h="16838" w:orient="portrait"/>
          <w:cols w:equalWidth="0" w:num="1">
            <w:col w:w="11400"/>
          </w:cols>
          <w:pgMar w:left="240" w:top="459" w:right="2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Assets under management by investment portfolio</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 Rowe Price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0801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 by asset class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Stock and blended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0801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Fixed income portfolios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08012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Components of changes in assets under management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Assets under management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08012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Net cash inflows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Sponsored mutual funds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0801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0801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Net market gains (losses) and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Mutual fund distributions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08012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2009</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ind w:left="272"/>
              <w:spacing w:after="0"/>
              <w:rPr>
                <w:sz w:val="20"/>
                <w:szCs w:val="20"/>
                <w:color w:val="auto"/>
              </w:rPr>
            </w:pPr>
            <w:r>
              <w:rPr>
                <w:rFonts w:ascii="Arial" w:cs="Arial" w:eastAsia="Arial" w:hAnsi="Arial"/>
                <w:sz w:val="18"/>
                <w:szCs w:val="18"/>
                <w:color w:val="auto"/>
                <w:w w:val="84"/>
              </w:rPr>
              <w:t>2010</w:t>
            </w: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$232.7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$282.6</w:t>
            </w:r>
          </w:p>
        </w:tc>
        <w:tc>
          <w:tcPr>
            <w:tcW w:w="5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$289.4</w:t>
            </w:r>
          </w:p>
        </w:tc>
        <w:tc>
          <w:tcPr>
            <w:tcW w:w="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199.4</w:t>
            </w: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w:t>
            </w:r>
          </w:p>
        </w:tc>
        <w:tc>
          <w:tcPr>
            <w:tcW w:w="180" w:type="dxa"/>
            <w:vAlign w:val="bottom"/>
          </w:tcPr>
          <w:p>
            <w:pPr>
              <w:spacing w:after="0"/>
              <w:rPr>
                <w:sz w:val="19"/>
                <w:szCs w:val="19"/>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6"/>
              </w:rPr>
              <w:t>December 31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2009</w:t>
            </w:r>
          </w:p>
        </w:tc>
        <w:tc>
          <w:tcPr>
            <w:tcW w:w="180" w:type="dxa"/>
            <w:vAlign w:val="bottom"/>
          </w:tcPr>
          <w:p>
            <w:pPr>
              <w:spacing w:after="0"/>
              <w:rPr>
                <w:sz w:val="18"/>
                <w:szCs w:val="18"/>
                <w:color w:val="auto"/>
              </w:rPr>
            </w:pPr>
          </w:p>
        </w:tc>
        <w:tc>
          <w:tcPr>
            <w:tcW w:w="86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2010</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$290.4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$360.6</w:t>
            </w:r>
          </w:p>
        </w:tc>
        <w:tc>
          <w:tcPr>
            <w:tcW w:w="5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$352.4</w:t>
            </w:r>
          </w:p>
        </w:tc>
        <w:tc>
          <w:tcPr>
            <w:tcW w:w="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500" w:type="dxa"/>
            <w:vAlign w:val="bottom"/>
          </w:tcPr>
          <w:p>
            <w:pPr>
              <w:jc w:val="right"/>
              <w:spacing w:after="0"/>
              <w:rPr>
                <w:sz w:val="20"/>
                <w:szCs w:val="20"/>
                <w:color w:val="auto"/>
              </w:rPr>
            </w:pPr>
            <w:r>
              <w:rPr>
                <w:rFonts w:ascii="Arial" w:cs="Arial" w:eastAsia="Arial" w:hAnsi="Arial"/>
                <w:sz w:val="18"/>
                <w:szCs w:val="18"/>
                <w:color w:val="auto"/>
              </w:rPr>
              <w:t>137.1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w:t>
            </w:r>
          </w:p>
        </w:tc>
        <w:tc>
          <w:tcPr>
            <w:tcW w:w="180" w:type="dxa"/>
            <w:vAlign w:val="bottom"/>
          </w:tcPr>
          <w:p>
            <w:pPr>
              <w:spacing w:after="0"/>
              <w:rPr>
                <w:sz w:val="19"/>
                <w:szCs w:val="19"/>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3"/>
              </w:rPr>
              <w:t>Year ended</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2009</w:t>
            </w:r>
          </w:p>
        </w:tc>
        <w:tc>
          <w:tcPr>
            <w:tcW w:w="180" w:type="dxa"/>
            <w:vAlign w:val="bottom"/>
          </w:tcPr>
          <w:p>
            <w:pPr>
              <w:spacing w:after="0"/>
              <w:rPr>
                <w:sz w:val="18"/>
                <w:szCs w:val="18"/>
                <w:color w:val="auto"/>
              </w:rPr>
            </w:pPr>
          </w:p>
        </w:tc>
        <w:tc>
          <w:tcPr>
            <w:tcW w:w="86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2010</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w:t>
            </w:r>
          </w:p>
        </w:tc>
        <w:tc>
          <w:tcPr>
            <w:tcW w:w="5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482.0</w:t>
            </w:r>
          </w:p>
        </w:tc>
        <w:tc>
          <w:tcPr>
            <w:tcW w:w="60" w:type="dxa"/>
            <w:vAlign w:val="bottom"/>
          </w:tcPr>
          <w:p>
            <w:pPr>
              <w:spacing w:after="0"/>
              <w:rPr>
                <w:sz w:val="18"/>
                <w:szCs w:val="18"/>
                <w:color w:val="auto"/>
              </w:rPr>
            </w:pPr>
          </w:p>
        </w:tc>
      </w:tr>
      <w:tr>
        <w:trPr>
          <w:trHeight w:val="431"/>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4"/>
                <w:szCs w:val="24"/>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13.6</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16.7</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30.3</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r>
      <w:tr>
        <w:trPr>
          <w:trHeight w:val="216"/>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60.8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p>
    <w:p>
      <w:pPr>
        <w:sectPr>
          <w:pgSz w:w="11900" w:h="16838" w:orient="portrait"/>
          <w:cols w:equalWidth="0" w:num="2">
            <w:col w:w="6140" w:space="720"/>
            <w:col w:w="454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gridSpan w:val="2"/>
          </w:tcPr>
          <w:p>
            <w:pPr>
              <w:spacing w:after="0" w:line="204" w:lineRule="exact"/>
              <w:rPr>
                <w:sz w:val="20"/>
                <w:szCs w:val="20"/>
                <w:color w:val="auto"/>
              </w:rPr>
            </w:pPr>
            <w:r>
              <w:rPr>
                <w:rFonts w:ascii="Arial" w:cs="Arial" w:eastAsia="Arial" w:hAnsi="Arial"/>
                <w:sz w:val="18"/>
                <w:szCs w:val="18"/>
                <w:color w:val="auto"/>
              </w:rPr>
              <w:t>Increase during year</w:t>
            </w:r>
          </w:p>
        </w:tc>
        <w:tc>
          <w:tcPr>
            <w:tcW w:w="2000" w:type="dxa"/>
            <w:vAlign w:val="bottom"/>
          </w:tcPr>
          <w:p>
            <w:pPr>
              <w:spacing w:after="0"/>
              <w:rPr>
                <w:sz w:val="17"/>
                <w:szCs w:val="17"/>
                <w:color w:val="auto"/>
              </w:rPr>
            </w:pPr>
          </w:p>
        </w:tc>
        <w:tc>
          <w:tcPr>
            <w:tcW w:w="500" w:type="dxa"/>
            <w:vAlign w:val="bottom"/>
          </w:tcPr>
          <w:p>
            <w:pPr>
              <w:jc w:val="right"/>
              <w:spacing w:after="0" w:line="204" w:lineRule="exact"/>
              <w:rPr>
                <w:sz w:val="20"/>
                <w:szCs w:val="20"/>
                <w:color w:val="auto"/>
              </w:rPr>
            </w:pPr>
            <w:r>
              <w:rPr>
                <w:rFonts w:ascii="Arial" w:cs="Arial" w:eastAsia="Arial" w:hAnsi="Arial"/>
                <w:sz w:val="18"/>
                <w:szCs w:val="18"/>
                <w:color w:val="auto"/>
              </w:rPr>
              <w:t>115.0</w:t>
            </w:r>
          </w:p>
        </w:tc>
        <w:tc>
          <w:tcPr>
            <w:tcW w:w="560" w:type="dxa"/>
            <w:vAlign w:val="bottom"/>
          </w:tcPr>
          <w:p>
            <w:pPr>
              <w:spacing w:after="0"/>
              <w:rPr>
                <w:sz w:val="17"/>
                <w:szCs w:val="17"/>
                <w:color w:val="auto"/>
              </w:rPr>
            </w:pPr>
          </w:p>
        </w:tc>
        <w:tc>
          <w:tcPr>
            <w:tcW w:w="1060" w:type="dxa"/>
            <w:vAlign w:val="bottom"/>
            <w:gridSpan w:val="2"/>
          </w:tcPr>
          <w:p>
            <w:pPr>
              <w:jc w:val="right"/>
              <w:ind w:right="560"/>
              <w:spacing w:after="0" w:line="204" w:lineRule="exact"/>
              <w:rPr>
                <w:sz w:val="20"/>
                <w:szCs w:val="20"/>
                <w:color w:val="auto"/>
              </w:rPr>
            </w:pPr>
            <w:r>
              <w:rPr>
                <w:rFonts w:ascii="Arial" w:cs="Arial" w:eastAsia="Arial" w:hAnsi="Arial"/>
                <w:sz w:val="18"/>
                <w:szCs w:val="18"/>
                <w:color w:val="auto"/>
              </w:rPr>
              <w:t>90.7</w:t>
            </w:r>
          </w:p>
        </w:tc>
        <w:tc>
          <w:tcPr>
            <w:tcW w:w="500" w:type="dxa"/>
            <w:vAlign w:val="bottom"/>
          </w:tcPr>
          <w:p>
            <w:pPr>
              <w:jc w:val="right"/>
              <w:spacing w:after="0" w:line="204"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end of year</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391.3</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2009 and 2010 net cash inflows were sourced most significantly from third-party financial intermediaries and from institutional investors around the world, whereas net cash flows in 2011 were sourced primarily from third-party financial intermediaries. Our relative investment performance over much of this period and brand awareness contributed significantly to attracting net inflows to our firm.</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increases to our assets under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2011, we changed the presentation of our consolidated statements of income. We are presenting distribution and servicing fees earned from 12b-1 plans of the Advisor, R, and VIP II classes of our sponsored mutual funds, previously included in administrative fees, as a separate line to enhance transparency of these fees. We also are presenting as a separate line the offsetting distribution and servicing costs, previously included in other operating expenses, paid to third-party financial intermediaries who source those share classes noted above. Investment income earned by our savings bank subsidiary, previously presented on its own, is being reported net of interest expense paid on savings bank deposits. The line was renamed net revenue of savings bank subsidiary and the details of this line are included in note 4 to the consolidated financial statements. All amounts for the comparable calendar years have been reclassified to conform to the 2011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versus 2010.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were up 15.9%, or $322.2 million, to $2.3 billion in 2011, as average assets under our management increased $74.5 billion to</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$497.1 billion. The average annualized fee rate earned on our assets under management was 47.3 basis points during 2011 compared to 48.0 basis points earned in 2010. The decrease in our average annualized fee rate is primarily a result of the $11.3 million increase in money market management fees voluntarily waived by the firm in order to maintain a positive yield for fund investors. The firm waived $36.4 million in money market fees in 2011 compared to $25.1 million in 2010. The firm expects that these fee waivers will continue in 2012.</w:t>
      </w:r>
    </w:p>
    <w:p>
      <w:pPr>
        <w:spacing w:after="0" w:line="14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Net revenues increased $379.9 million, or 16.0%, to $2.7 billion. Operating expenses were $1.5 billion in 2011, an increase of $189.5 million, or 14.2%. Overall, net operating income for 2011 increased $190.4 million, or 18.4%, to $1.2 billion. The increase in our average assets under management and resulting advisory revenue increased our operating margin for 2011 to 44.7% from 43.8% in 2010. Net income increased $101.0 million, or 15.0%, to $773.2 million from the 2010 period. Our diluted earnings per share on our common stock increased 15.4% to $2.92 from the $2.53 earned in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were $1.6 billion in 2011, an increase of 15.3%, or $213.3 million, on higher average mutual fund assets. Average mutual fund assets in 2011 were $292.1 billion, an increase of 16.5% from the 2010 average. Mutual fund assets at December 31, 2011, were $289.4 billion, up $6.8 billion from the end of 2010.</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inflows to the mutual funds during 2011 were $11.0 billion. These net inflows include $7.5 billion that originated in our target-date retirement funds, which in turn invest in a broadly diversified portfolio of other Price funds, and automatically rebalance to maintain their specific asset allocation weightings. Net cash inflows of $6.6 billion were added to our stock and blended asset funds, $3.9 billion to our bond funds, and $.5 billion were added to our money market funds. The Overseas Stock, International Stock, New America Growth, Emerging Markets Stock, and New Income funds each added more than $1.2 billion in net inflows for a combined total of $6.8 billion. Fund net inflow amounts in 2011 are presented net of $1.4 billion that was transferred to the other investment portfolios during the year. Market depreciation and income not reinvested lowered our mutual fund assets under management by $4.2 billion in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Investment advisory revenues earned on the other investment portfolios that we manage increased $108.9 million, or 17.2%, to $741.4 million. Average assets in these portfolios were $205.0 billion during 2011, an increase of $33.2 billion, or 19.3%, from the 2010 year. Ending assets at December 31, 2011, were $200.1 billion, an increase of $.7 billion from the end of 2010. Net inflows into these portfolios in 2011 were $3.1 billion. We experienced strong cash inflows into our subadvised funds from third-party intermediaries, into our fixed income portfolios from institutional investors, and into our other sponsored portfolios during the year. These inflows were partially offset by outflows from our equity portfolios by a few institutional investors that were reducing risk in their portfolios in the wake of the volatile market environment experienced in 2011. Lower market valuations reduced assets under management in these portfolios by $2.4 billion.</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Administrative fees increased $26.9 million to $321.2 million in 2011. The increase is attributable to our mutual fund servicing activities and defined contribution recordkeeping services for the mutual funds and their investors. Changes in administrative fees are generally offset by similar changes in related operating expenses that are incurred to provide services to the funds and their investors.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and servicing fees earned from 12b-1 plans of the Advisor, R, and VIP II classes of our sponsored mutual funds were $74.6 million in 2011, an increase of $31.4 million from 2010. The increase includes $7.3 million recognized on greater assets under management in these share classes, and $24.1 million earned primarily on R class shares in the last nine months of 2011 for which the comparable 2010 fees were netted against related distribution and servicing costs. The 12b-1 fees earned are offset entirely by the cost paid to third-party intermediaries who source these assets. These costs are reported as distribution and servicing costs on the face of the consolidated income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Compensation and related costs were $969.8 million, an increase of $109.4 million, or 12.7%, compared to 2010. The largest part of the increase is attributable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$46.9 million increase in salaries and related benefits, which results from a 5.6% annual increase in our average staff size. The 2011 change also includes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$36.4 million increase in our annual variable compensation programs. Greater use of outside contractors to meet growing business demands increased our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by $11.2 million. The remainder of the change from 2010 is attributable to higher non-cash stock-based compensation expense and other employee related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costs. At December 31, 2011, we employed 5,255 associates, an increase of 4.0% from the end of 2010, to support both business growth and added capabilities.</w:t>
      </w:r>
    </w:p>
    <w:p>
      <w:pPr>
        <w:spacing w:after="0" w:line="1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Advertising and promotion expenditures were $90.8 million, up $3.9 million, or 4.5%, compared to 2010. We currently estimate that advertising and promotion expenditures for 2012 will increase modestly from 2011 levels. We vary our level of spending based on market conditions and investor demand as well as our efforts to expand our investor base globally.</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$15.3 million, or 8.9%, versus 2010. The change includes the impact of placing our new technology support facility into service in February 2011, as well as the added costs to update our technology capabilities, including related maintenance programs, to meet increasing business demands.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operating expenses increased $29.5 million, or 17.5%, from 2010. The charitable contribution made to the T. Rowe Price Foundation in 2011 was higher than in 2010, and we increased our spending on professional fees, information, and other third-party services, and travel to meet increasing business demands. The increases in these costs were offset by the $16.4 million charge incurred in 2010 from the one-time contribution made to certain money market funds that did not reoccur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was down $9.8 million from the 2010 period. This decrease is primarily due to the 2010 period including $7.6 million in gains realized on the sale of certain mutual fund investments and $2.2 million recognized in early 2010 on the settlement and valuation of the forward contracts used to hedge the foreign currency exposure associated with our investment in UTI Asset Management Company Limited (UTI). The 2011 period includes $6.4 million in net earnings from our investment in UTI, an increase of $1.1 million over the earnings recognized in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effective tax rate for 2011 is 38.2% as compared to 37.2% in 2010. The increase is primarily attributable to higher effective state tax rates as well as greater discrete tax benefits recognized in 2010 from the settlement of state income tax positions and the firm’s international reorganization. The firm currently estimates its effective tax rate for 2012 will be about 37.7%.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versus 2009.</w:t>
      </w:r>
    </w:p>
    <w:p>
      <w:pPr>
        <w:spacing w:after="0" w:line="17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Investment advisory revenues were up 31.1%, or $480.7 million, to $2.0 billion in 2010, as average assets under our management increased $101.3 billion to $422.6 billion. The average annualized fee rate earned on our assets under management was 48.0 basis points during 2010, virtually unchanged from the 48.1 basis points earned in 2009, including the effect of the voluntary fee waivers made to our money market funds.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revenues increased $499.8 million, or 26.8%, to nearly $2.4 billion. Operating expenses were $1.3 billion in 2010, an increase of $164.9 million, or 14.1%. This increase includes the $16.4 million charge related to the one-time contribution made to certain of our money market funds. Overall, net operating income for 2010 increased $334.9 million, or 47.7%, to more than $1.0 billion. The increase in our average assets under management and resulting advisory revenue increased our operating margin for 2010 to 43.8% from 37.6% for 2009. We recognized non-operating investment income of $33.5 million in 2010 compared to investment losses in 2009 of $12.7 million. The 2009 year included $36.1 million in other than temporary impairment charges recognized in the first quarter on our investments in sponsored mutual funds. Net income increased $238.6 million, or 55%, to $672.2 million from the 2009 period resulting in diluted earnings per share on our common stock to increase 53% to $2.53 from the $1.65 earned in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30.5%, or $326.0 million, to nearly $1.4 billion. Average mutual fund assets in 2010 were $250.8 billion, an increase of 30.8% from the 2009 average.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Net inflows to the mutual funds during 2010 were $13.6 billion, including $5.9 billion originating in our target-date Retirement Funds. Fund net inflow amounts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2010 are presented net of $1.0 billion that was transferred to our target-date retirement trusts from the Retirement Funds. Our bond funds had net inflows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 billion. The New Income Fund had net inflows of $2.2 billion and the Short-Term Bond Fund added $1.4 billion. The stock and blended asset funds added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 billion of net inflows, including $1.4 billion into the Value Fund. The Mid-Cap Value, Equity Income, Institutional Large-Cap Growth, and Dividend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each added more than $500 million for a combined total of $2.2 billion in net inflows. The money market funds had net outflows of $400 million.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valuations and income increased fund assets by $36.3 billion.</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$154.7 million, or 32.4%, to $632.5 million. Average assets in these portfolios were $171.8 billion during 2010, an increase of $42.3 billion, or 32.7%, from the 2009 year. Net inflows primarily from institutional investors and third-party financial intermediaries were $16.7 billion, while market appreciation and income added $24.1 billion. These net inflows were invested primarily in our equity mandates, though we also saw strong demand for our fixed income strategies. Net inflows include a transfer of $1.0 billion from the target-date retirement funds.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Administrative fees increased $6.5 million to $294.3 million in 2010. Increases in our mutual fund servicing and defined contribution plan revenues of $10.2 million were offset by a $3.7 million decrease in brokerage fees due to a reduction in per-trade commissions charged beginning July 1, 2010, to customers with substantial assets. Changes in administrative fees are generally offset by similar changes in related operating expenses that are incurred to provide services to the funds and their investors.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Distribution and servicing fees earned from 12b-1 plans of the Advisor and R classes of our sponsored mutual fund shares were $43.2 million in 2010, an increase of $12.2 million from 2009. We recognized higher fees in 2010 on greater assets under management in these share classes. Changes in these fees are offset by an equal increase in the distribution and servicing costs paid to those third-party financial intermediaries that distribute these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Compensation and related costs, increased $87.0 million, or 11.2%, compared to 2009. The largest part of the change is attributable to a $63.9 million increase in our annual variable compensation programs. Greater use of outside contractors increased our 2010 costs by $14.1 million with the remainder of the change primarily attributable to higher other employee benefits and employee related costs. At December 31, 2010, we employed 5,052 associates, an increase of 5.2% from the end of 2009, to support both business growth and added capabilities.</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Advertising and promotion expenditures were up $13.7 million, or 18.7%, compared to 2009 in response to investor interest in recovering markets over the 2010 period.</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 and servicing costs paid to third-party financial intermediaries that distribute our Advisor and R classes of mutual fund shares increased $12.2 million from 2009, as average assets under management in these classes was greater. These costs are offset by an equal increase in our distribution and servicing fees earned from 12b-1 plans of these classes, as discussed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$4.1 million, or 2.4%, versus 2009. The amount of office space occupied, and the operating costs of our facilities have all risen to meet increased business demands. These increasing business demands have also led us to upgrade our technology capabilities and related maintenance programs.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operating expenses increased $47.9 million, or 39.7%, from 2009. This increase includes a $16.4 million charge related to the one-time contribution made to certain money market funds to offset the effects of cumulative net losses realized in recent years. The remainder of the increase relates to higher consulting fees, travel costs, and other professional services, incurred to meet increasing business demands.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 (loss)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non-operating investment income activity resulted in a net gain of $33.5 million in 2010, compared to a net loss of $12.7 million in the 2009 period. This change of $46.2 million includes $36.1 million in other than temporary impairments recognized on our investments in sponsored mutual funds in 2009. The change also includes $1.3 million in more gains recognized in the 2010 period for the settlement and valuation of a series of non-deliverable forward contracts used to economically hedge the foreign currency exposure associated with the UTI acquisition price and $5.3 million in net earnings from our investment in UTI.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2010 provision for income taxes as a percentage of pretax income is 37.2%. The 2010 income tax provision includes nonrecurring discrete benefits of .4% related to the settlement of prior years state income tax positions and .2% from the firm’s reorganization of its international entities, which was completed to help realize additional operational efficiencies.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2011, stockholders’ equity increased from $3.3 billion to $3.4 billion. We repurchased nearly 8.7 million common shares for $479.7 million in 2011 from existing cash balances and cash generated from operations. Tangible book value is $2.8 billion at December 31, 2011, and our cash and cash equivalents and our mutual fund investment holdings total nearly $1.7 billion. Given the availability of these financial resources, we do not maintain an available external source of liquidity.</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2011, we had outstanding commitments to make additional contributions totaling $42.5 million to various investment partnerships in which we have an existing investment. We presently anticipate funding 2012 property and equipment expenditures of about $100 million from our cash balances and operating cash inflows.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versus 2010</w:t>
      </w:r>
      <w:r>
        <w:rPr>
          <w:rFonts w:ascii="Arial" w:cs="Arial" w:eastAsia="Arial" w:hAnsi="Arial"/>
          <w:sz w:val="18"/>
          <w:szCs w:val="18"/>
          <w:color w:val="auto"/>
        </w:rPr>
        <w: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activities during 2011 provided cash flows of $948.4 million, up $215.6 million from 2010, including a $101.0 million increase in net income. The increase also includes an $81.7 million change in the timing differences in the cash settlement of our income taxes, accounts receivable and accrued revenues and payables, and accrued liabilities.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cash used in investing activities totaled $165.0 million, down $111.9 million from the 2010 period. Cash flows in 2010 included $143.6 million in cash used to purchase our 26% equity interest in UTI. We spent $35.7 million less in property and equipment expenditures in 2011 compared to 2010 due to the construction of our technology support facility being substantially complete at the end of 2010. These reductions in cash used in 2011 were offset by an increase of $57.0 million in net investments made into our sponsored mutual funds compared to the 2010 period.</w:t>
      </w:r>
    </w:p>
    <w:p>
      <w:pPr>
        <w:spacing w:after="0" w:line="113"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Net cash used in financing activities was $698.6 million in 2011, up $312.5 million from the 2010 period. We increased our stock repurchases by expending $239.7 million more in 2011 compared to the 2010 year. Dividends paid during 2011 increased $39.0 million from the 2010 period due primarily to a $.04 increase in our quarterly per-share dividend. The impact of dividends paid and stock repurchases was greater in 2011, as proceeds related to our stock-based compensation plans decreased $47.8 million on reduced exercise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versus 2009</w:t>
      </w:r>
      <w:r>
        <w:rPr>
          <w:rFonts w:ascii="Arial" w:cs="Arial" w:eastAsia="Arial" w:hAnsi="Arial"/>
          <w:sz w:val="18"/>
          <w:szCs w:val="18"/>
          <w:color w:val="auto"/>
        </w:rPr>
        <w:t>.</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Operating activities during 2010 provided cash flows of $732.8 million, up $197.2 million from 2009, including a $238.6 million increase in net income. Cash flows in 2009 also included the impact of $36.1 million in other than temporary impairments of our investments in sponsored mutual funds that did not recur in 2010.</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Net cash used in investing activities totaled $276.9 million, up $110.2 million from the 2009 period, primarily from the purchase of a 26% equity interest in UTI for $142.4 million plus related transaction costs incurred in the 2010 period of $1.2 million. We spent $15.9 million less in property and equipment expenditures in 2010 compared to 2009 due to the construction of our two new facilities in Owings Mills, Maryland being completed in late 2009.</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Net cash used in financing activities was $386.1 million in 2010, up $141.4 million from the 2009 period. We increased our stock repurchases by expending $169.0 million more in 2010 compared to the 2009 year. Dividends paid during 2010 increased $22.0 million from the 2009 period due primarily to a $.02 increase in our quarterly per-share dividend. These uses of cash were offset by $35.3 million more in cash proceeds from option exercises compared to 2009 as the higher market valuations of our common stock experienced in 2010 led employees to exercise.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following table presents a summary of our future obligations (in millions) under the terms of existing operating leases and other contractual cash purchase commitments at December 31, 2011.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2012 and future years. The information also excludes the $4.7 million of uncertain tax positions discussed in Note 9 to our consolidated financial statements because it is not possible to estimate the time period in which a payment might be made to the tax authorities.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Total</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w w:val="84"/>
              </w:rPr>
              <w:t>2013-14</w:t>
            </w: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2015-16</w:t>
            </w:r>
          </w:p>
        </w:tc>
        <w:tc>
          <w:tcPr>
            <w:tcW w:w="380" w:type="dxa"/>
            <w:vAlign w:val="bottom"/>
          </w:tcPr>
          <w:p>
            <w:pPr>
              <w:spacing w:after="0"/>
              <w:rPr>
                <w:sz w:val="19"/>
                <w:szCs w:val="19"/>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rPr>
              <w:t>Later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Noncancelable operating leases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143</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also have outstanding commitments to fund additional contributions to investment partnerships in which we have an existing investment totaling $42.5 million at December 31,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2011 Annual Report. In the following discussion, we highlight and explain further certain of those policies that are most critical to the preparation and understanding of our financial statements.</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u w:val="single" w:color="auto"/>
          <w:color w:val="auto"/>
        </w:rPr>
        <w:t>Other than temporary impairments of available-for-sale securities</w:t>
      </w:r>
      <w:r>
        <w:rPr>
          <w:rFonts w:ascii="Arial" w:cs="Arial" w:eastAsia="Arial" w:hAnsi="Arial"/>
          <w:sz w:val="16"/>
          <w:szCs w:val="16"/>
          <w:color w:val="auto"/>
        </w:rPr>
        <w:t>. We generally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as a component of comprehensive income within the statement of stockholders’ equity. We next review each individual security position that has an unrealized loss or impairment to determine if that impairment is other than temporary.</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determining whether a mutual fund holding is other than temporarily impaired, we consider many factors, including the duration of time it has existed, the severity of the impairment, any subsequent changes in value, and our intent and ability to hold the security for a period of time sufficient for an anticipated recovery in fair value. Subject to the other considerations noted above, with respect to duration of time, we believe a mutual fund holding with an unrealized loss that has persisted daily throughout the six months between quarter-ends is generally presumed to have an other than temporary impairment. We may also recognize an other than temporary loss of less than six months in our statement of income if the particular circumstances of the underlying investment do not warrant our belief that a near-term recovery is possible.</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 impaired debt security held by our savings bank subsidiary is considered to have an other than temporary loss that we will recognize in our statement of income if the impairment is caused by a change in credit quality that affects our ability to recover our amortized cost or if we intend to sell the security or believe that it is more likely than not that we will be required to sell the security before recovering cost. Minor impairments of 5% or less are generally considered temporary.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Other than temporary impairments of equity method investments</w:t>
      </w:r>
      <w:r>
        <w:rPr>
          <w:rFonts w:ascii="Arial" w:cs="Arial" w:eastAsia="Arial" w:hAnsi="Arial"/>
          <w:sz w:val="18"/>
          <w:szCs w:val="18"/>
          <w:color w:val="auto"/>
        </w:rPr>
        <w:t>. We evaluate our equity method investments, including our investment in UTI, for impairment when events or changes in circumstances indicate that the carrying value of the investment exceeds its fair value, and the decline in fair value is other than temporary.</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evaluate the carrying amount of goodwill in our balance sheet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 of income using a fair value 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May 2011, the FASB issued amended guidance clarifying how to measure and disclose fair value. We do not believe the adoption of such amended guidance on January 1, 2012, will have a significant effect on our consolidated financial statements.</w:t>
      </w:r>
    </w:p>
    <w:p>
      <w:pPr>
        <w:spacing w:after="0" w:line="13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have also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changes in their market valuations, and any other than temporary impairments that may arise or, in the case of our equity method investments, our proportionate share of the investee’s net income.</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following table (in millions) presents the equity price risk from investments in sponsored mutual funds that are accounted for as available-for-sale securities by assuming a hypothetical decline in the fair values of mutual fund shares. This potential future loss of value, before any income tax benefits, reflects the valuation of mutual fund investments at year-end using each fund’s lowest net asset value per share during 2011. In considering this presentation, it is important to note that: not all funds experienced their lowest net asset value per share on the same day; it is likely that the composition of the mutual fund investment portfolio would be changed if adverse market conditions persisted; and we could experience future losses in excess of those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Potential</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3"/>
              </w:rPr>
              <w:t>Fair value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Percentage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lower</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Percentage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Potential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12/31/2011</w:t>
            </w:r>
          </w:p>
        </w:tc>
        <w:tc>
          <w:tcPr>
            <w:tcW w:w="4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of portfolio</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value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of portfolio</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44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4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$40.2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Bond funds</w:t>
            </w:r>
          </w:p>
        </w:tc>
        <w:tc>
          <w:tcPr>
            <w:tcW w:w="2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346.6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338.7</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764.5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716.4</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48.1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comparable potential loss of value presented in our 2010 annual report was $109.1 million on sponsored mutual fund investments of $747.9 million. During 2011, we actually experienced net unrealized losses of $40.2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13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hold other investments of $206.3 million at December 31, 2011, including our $144.8 million equity investment in UTI. Given the nature of UTI’s business, should conditions deteriorate in markets in which they operate, we are at risk for loss up to our carrying amount. In addition, our investment in UTI exposes us to foreign currency risk related to translating our proportionate share of their financial statements, which are denominated in Indian rupees (INR), to U.S. dollars(USD) each reporting period. We do not use derivative financial instruments to manage this foreign currency risk, so both positive and negative fluctuations in the INR against the USD will affect accumulated other comprehensive income and the carrying amount of our investment. Our cumulative translation loss, net of tax, at December 31, 2011, was $5.6 million.</w:t>
      </w:r>
    </w:p>
    <w:p>
      <w:pPr>
        <w:spacing w:after="0" w:line="12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though our revenues are predominately realized in USD. We do not believe that foreign currency fluctuations materially affect our results of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9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0980" w:type="dxa"/>
            <w:vAlign w:val="bottom"/>
            <w:gridSpan w:val="9"/>
            <w:vMerge w:val="restart"/>
          </w:tcPr>
          <w:p>
            <w:pPr>
              <w:spacing w:after="0"/>
              <w:rPr>
                <w:sz w:val="20"/>
                <w:szCs w:val="20"/>
                <w:color w:val="auto"/>
              </w:rPr>
            </w:pPr>
            <w:r>
              <w:rPr>
                <w:rFonts w:ascii="Arial" w:cs="Arial" w:eastAsia="Arial" w:hAnsi="Arial"/>
                <w:sz w:val="18"/>
                <w:szCs w:val="18"/>
                <w:color w:val="auto"/>
              </w:rPr>
              <w:t>Index to Financial Statements: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89"/>
        </w:trPr>
        <w:tc>
          <w:tcPr>
            <w:tcW w:w="10980" w:type="dxa"/>
            <w:vAlign w:val="bottom"/>
            <w:gridSpan w:val="9"/>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60" w:type="dxa"/>
            <w:vAlign w:val="bottom"/>
            <w:gridSpan w:val="8"/>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at December 31, 2010 and 2011</w:t>
              </w:r>
            </w:hyperlink>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Income for each of the three years in the period ended December 31, 2011</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Statements of Cash Flows for each of the three years in the period ended December 31, 2011</w:t>
              </w:r>
            </w:hyperlink>
          </w:p>
        </w:tc>
        <w:tc>
          <w:tcPr>
            <w:tcW w:w="32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Stockholders' Equity for each of the three years in the period ended December 31, 2011</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Summary of Significant Accounting Policies</w:t>
              </w:r>
            </w:hyperlink>
          </w:p>
        </w:tc>
        <w:tc>
          <w:tcPr>
            <w:tcW w:w="4960" w:type="dxa"/>
            <w:vAlign w:val="bottom"/>
            <w:tcBorders>
              <w:top w:val="single" w:sz="8" w:color="0000EE"/>
            </w:tcBorders>
            <w:gridSpan w:val="6"/>
          </w:tcPr>
          <w:p>
            <w:pPr>
              <w:spacing w:after="0"/>
              <w:rPr>
                <w:sz w:val="17"/>
                <w:szCs w:val="17"/>
                <w:color w:val="auto"/>
              </w:rPr>
            </w:pPr>
          </w:p>
        </w:tc>
        <w:tc>
          <w:tcPr>
            <w:tcW w:w="26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 including Supplementary Quarterly Financial Data</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Report of Independent Registered Public Accounting Firm</w:t>
              </w:r>
            </w:hyperlink>
          </w:p>
        </w:tc>
        <w:tc>
          <w:tcPr>
            <w:tcW w:w="2600" w:type="dxa"/>
            <w:vAlign w:val="bottom"/>
            <w:tcBorders>
              <w:top w:val="single" w:sz="8" w:color="0000EE"/>
            </w:tcBorders>
            <w:gridSpan w:val="2"/>
          </w:tcPr>
          <w:p>
            <w:pPr>
              <w:spacing w:after="0"/>
              <w:rPr>
                <w:sz w:val="17"/>
                <w:szCs w:val="17"/>
                <w:color w:val="auto"/>
              </w:rPr>
            </w:pPr>
          </w:p>
        </w:tc>
        <w:tc>
          <w:tcPr>
            <w:tcW w:w="40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12/31/2010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12/31/2011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(Notes 1 and 6)</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813.1</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in sponsored mutual funds (Notes 3 and 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(Notes 4 and 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investments (Notes 5 and 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(Notes 8 and 9)</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3,642.0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3,770.3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(Notes 5, 7 and 13)</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(Notes 10, 12 and 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Common stock, $.20 par value - authorized 750,000,000; issued 258,760,000 shares in 2010 and 253,272,000 shares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2,599.4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3,296.5</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3,642.0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3,770.3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summary of significant accounting policies and notes to consolidated financial statements are an integral part of these statements.</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8"/>
          </w:tcPr>
          <w:p>
            <w:pPr>
              <w:ind w:left="2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2009</w:t>
            </w:r>
          </w:p>
        </w:tc>
        <w:tc>
          <w:tcPr>
            <w:tcW w:w="3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4"/>
              </w:rPr>
              <w:t>2010</w:t>
            </w:r>
          </w:p>
        </w:tc>
        <w:tc>
          <w:tcPr>
            <w:tcW w:w="3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1,546.1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2,026.8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2,349.0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(Note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Distribution and servicing fees (Note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 of savings bank subsidiary (Note 4)</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1,867.4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2,367.2</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2,747.1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Compensation and related costs (Notes 7, 10 and 13)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Distribution and servicing costs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Occupancy and facility costs (Note 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1,165.8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1,330.7</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1,036.5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1,070.0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income taxes (Note 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 (Note 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summary of significant accounting policies and notes to consolidated financial statements are an integral part of these statements.</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7"/>
          </w:tcPr>
          <w:p>
            <w:pPr>
              <w:jc w:val="right"/>
              <w:ind w:right="4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2009</w:t>
            </w: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2010</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$ 433.6</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$ 672.2</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Intangible asset amortization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Changes in accounts receivable and accrued revenue</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(69.3)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payables and accrued liabilities</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(143.6)</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(74.3)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(62.3)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investments made</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other investments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(133.9)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(118.0)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438"/>
        </w:trPr>
        <w:tc>
          <w:tcPr>
            <w:tcW w:w="8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plans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(256.9)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(278.9)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(244.7)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(386.1)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Net change during year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124.2</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4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At end of year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$ 743.3</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$ 813.1</w:t>
            </w:r>
          </w:p>
        </w:tc>
        <w:tc>
          <w:tcPr>
            <w:tcW w:w="26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$ 897.9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summary of significant accounting policies and notes to consolidated financial statements are an integral part of these statements.</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Additional</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capital in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0"/>
              </w:rPr>
              <w:t>shares</w:t>
            </w: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4"/>
              </w:rPr>
              <w:t>excess of par</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Retained</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comprehensive</w:t>
            </w:r>
          </w:p>
        </w:tc>
        <w:tc>
          <w:tcPr>
            <w:tcW w:w="1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7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5"/>
              </w:rPr>
              <w:t>outstanding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85"/>
              </w:rPr>
              <w:t>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5"/>
              </w:rPr>
              <w:t>earnings</w:t>
            </w:r>
          </w:p>
        </w:tc>
        <w:tc>
          <w:tcPr>
            <w:tcW w:w="100" w:type="dxa"/>
            <w:vAlign w:val="bottom"/>
          </w:tcPr>
          <w:p>
            <w:pPr>
              <w:spacing w:after="0"/>
              <w:rPr>
                <w:sz w:val="13"/>
                <w:szCs w:val="13"/>
                <w:color w:val="auto"/>
              </w:rPr>
            </w:pPr>
          </w:p>
        </w:tc>
        <w:tc>
          <w:tcPr>
            <w:tcW w:w="9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income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Balances at December 31, 2008</w:t>
            </w: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256,856</w:t>
            </w:r>
          </w:p>
        </w:tc>
        <w:tc>
          <w:tcPr>
            <w:tcW w:w="16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51.4</w:t>
            </w: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363.7</w:t>
            </w:r>
          </w:p>
        </w:tc>
        <w:tc>
          <w:tcPr>
            <w:tcW w:w="16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$2,086.8</w:t>
            </w: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(13.1)</w:t>
            </w:r>
          </w:p>
        </w:tc>
        <w:tc>
          <w:tcPr>
            <w:tcW w:w="100" w:type="dxa"/>
            <w:vAlign w:val="bottom"/>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2,488.8</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Net unrealized holding gains, net of tax</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shares issued, net of shares withheld for taxes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(43.1)</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2009</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258,534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Net unrealized holding gains, net of tax</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Restricted shares issued, net of shares withheld for taxes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repurchased</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63"/>
        </w:trPr>
        <w:tc>
          <w:tcPr>
            <w:tcW w:w="6160" w:type="dxa"/>
            <w:vAlign w:val="bottom"/>
            <w:gridSpan w:val="2"/>
          </w:tcPr>
          <w:p>
            <w:pPr>
              <w:spacing w:after="0" w:line="155" w:lineRule="exact"/>
              <w:rPr>
                <w:sz w:val="20"/>
                <w:szCs w:val="20"/>
                <w:color w:val="auto"/>
              </w:rPr>
            </w:pPr>
            <w:r>
              <w:rPr>
                <w:rFonts w:ascii="Arial" w:cs="Arial" w:eastAsia="Arial" w:hAnsi="Arial"/>
                <w:sz w:val="14"/>
                <w:szCs w:val="14"/>
                <w:color w:val="auto"/>
              </w:rPr>
              <w:t>Balances at December 31, 2010</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258,760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2,599.4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unrealized holding losses, net of tax</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stock-based compensation plans activity</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option exercises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shares issued, net of shares withheld for taxes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Shares issued upon vesting of restricted stock units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Forfeiture of restricted awards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200"/>
              <w:spacing w:after="0" w:line="149" w:lineRule="exact"/>
              <w:rPr>
                <w:sz w:val="20"/>
                <w:szCs w:val="20"/>
                <w:color w:val="auto"/>
              </w:rPr>
            </w:pPr>
            <w:r>
              <w:rPr>
                <w:rFonts w:ascii="Arial" w:cs="Arial" w:eastAsia="Arial" w:hAnsi="Arial"/>
                <w:sz w:val="14"/>
                <w:szCs w:val="14"/>
                <w:color w:val="auto"/>
              </w:rPr>
              <w:t>Net tax benefits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Common shares repurchased</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(289.5)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2011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2,765.2</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summary of significant accounting policies and notes to consolidated financial statements are an integral part of these statements.</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These consolidated financial statements have been prepared by our management in accordance with accounting principles generally accepted in the United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require that we make certain estimates and assumptions. Actual results may vary from our estimates.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2011, we changed the presentation of our consolidated statements of income. We are presenting distribution and servicing fees earned from 12b-1 plans of the Advisor, R, and VIP II classes of our sponsored mutual funds previously included in administrative fees, as a separate line to enhance transparency of these fees. We also are presenting as a separate line the offsetting distribution and servicing costs, previously included in other operating expenses, paid to third-party financial intermediaries who source those share classes noted above. Investment income earned by our savings bank subsidiary, previously presented on its own, is being classified net of interest expense paid on savings bank deposits. The line was renamed net revenue of savings bank subsidiary and the details of this line are included in note 4 to the consolidated financial statements. All amounts for the comparable calendar years have been reclassified to conform to the 2011 presentation.</w:t>
      </w:r>
    </w:p>
    <w:p>
      <w:pPr>
        <w:spacing w:after="0" w:line="14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$5.4 million at December 31, 2011. This variable interest entity is a non-recourse, limited liability company for which we are the collateral manager and receive related investment advisory fees. We recognized the full impairment of our investment in this CBO in 2002 and do not expect to recognize any future gains or losses from this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MUTUAL FUNDS.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 and generally classify these holdings as available-for-sale. Changes in net unrealized holding gains on these investments are recognized in accumulated other comprehensive income.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the carrying amount of each investment on a quarterly basis and recognize an impairment charge in non-operating investment income whenever an unrealized loss is considered other than temporary. In determining whether a mutual fund holding is other then temporarily impaired we consider many factors, including the duration of time it has existed, the severity of the impairment, any subsequent changes in value and our intent and ability to hold the security for a period of time sufficient for an anticipated recovery in fair value. Subject to the other considerations noted above, with respect to duration of time, we believe a mutual fund holding with an unrealized loss that has persisted daily throughout the six months between quarter-ends is generally presumed to have an other than temporary impairment. We may also recognize an other than temporary loss if particular circumstances of the underlying investment do not warrant our belief that a near-term recovery is possible.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HELD BY SAVINGS BANK SUBSIDIARY.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investments in marketable debt securities, including mortgage- and other asset-backed securities held by our savings bank subsidiary, are classified as available-for-sale and reported at fair value. Changes in net unrealized holding gains on these debt securities are recognized in accumulated other comprehensive income.</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debt securities are generally traded in the over-the-counter market. Securities with remaining maturities of one year or more at the time of acquisition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remaining maturities of less than one year at the time of acquisition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 Our investment valuation policies, methods and sources are the same as those employed by the sponsored mutual funds to price similar investment holdings.</w:t>
      </w:r>
    </w:p>
    <w:p>
      <w:pPr>
        <w:spacing w:after="0" w:line="1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review the carrying amount of each investment on a quarterly basis. We will recognize an impairment charge in non-operating investment income if the impairment is caused by a change in credit quality that affects our ability to recover our amortized cost. An impairment charge will also be taken if we intend to sell the security before its maturity, which generally correlates to the maturities of our customer deposits, or if we believe that it is more likely than not that, we will be required to sell the security before recovering cost.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classify some investments in sponsored mutual funds made at fund formation as trading because they are expected to be held for only a short period of time.</w:t>
      </w:r>
    </w:p>
    <w:p>
      <w:pPr>
        <w:spacing w:after="0" w:line="194"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Investments that give us the ability to exercise significant influence over the operating and financial policies of the investee are recognized using the equity method of accounting. The carrying value of these investments are adjusted to reflect our proportionate share of income or loss, any unrealized gain or loss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resulting from the translation of foreign denominated financial statements into U.S. dollars and dividends received. Our proportionate share of income or loss is included in non-operating investment income (loss) in the consolidated statements of income. As permitted under existing accounting guidance, we adopted a policy by which we recognize our share of UTI Asset Management Company Limited’s (UTI) earnings on a quarter lag as current financial information is not available in a timely manner.</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evaluate our equity method investments for impairment when events or changes in circumstances indicate that the carrying value of the investment exceeds its fair value, and the decline in fair value is other than temporary.</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Those other investments to which we do not exercise significant influence over the operating and financial policies of the investee are recognized using the cost method of accounting.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3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3.4 years; buildings and improvements, 32.1 years; leasehold improvements, 8.6 years; furniture and other equipment, 6.6 years; and leased land, 99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Our evaluations have indicated that no impairment exists.</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Fees for investment advisory services, which are based on a percentage of assets under management, and related administrative services that we provide to investment advisory clients, including our sponsored mutual funds, are recognized in the period that our services are provided.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 and servicing fees earned from 12b-1 plans of the Advisor, R, and VIP II classes of our sponsored mutual funds are recognized in the period that they are earned, which is the same period that the related mutual funds recognize their expense. These fees are offset entirely by the distribution and servicing costs paid to third-party financial intermediaries that source these share classes.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AWARDS AND OPTIONS.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stockholders have approved the 2001 and 2004 Stock Incentive Plans under which we have issued restricted shares and restricted stock units that convert to shares after vesting. Vesting of these awards generally occurs over a four to five-year graded schedule. All restricted shareholders and restricted stock unit holders receive non-forfeitable cash dividends and cash dividend-equivalents, respectively, on our dividend payable date.</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two stockholder approved employee plans (the 2001 and 2004 Stock Incentive Plans), we have granted qualified incentive and nonqualified fixed stock options with a maximum term of 10 years to employees. Vesting of our employee option grants is based solely on the individual continuing to render service and generally occurs over a five- to six-year graded schedule. The exercise price of each option granted is equivalent to the market price of the common stock at the date of grant.</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semiannually grant options with a maximum term of 10 years, restricted shares and restricted stock units to non-employee directors under the stockholder approved 2007 plan. These grants vest over six months to one year, and in the case of restricted stock units are settled upon the non-employee directors’ departure from the board. Non-employee directors holding restricted shares receive non-forfeitable dividends while restricted stock unit holders are issued non-forfeitable dividend equivalents in the form of vested stock units on our dividend payable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recognize the grant-date fair value of these awards as compensation expense ratably over the awards service period. The expense recognized includes an estimate of awards that will be forfeited. The restricted shares and units are valued on the grant-date using the closing market price of our common stock. We used the Black-Scholes option-pricing model to estimate the fair value of each option grant, including reloads,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91"/>
              </w:rPr>
              <w:t>Weighted-average</w:t>
            </w: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1"/>
        </w:trPr>
        <w:tc>
          <w:tcPr>
            <w:tcW w:w="5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2009</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200" w:type="dxa"/>
            <w:vAlign w:val="bottom"/>
          </w:tcPr>
          <w:p>
            <w:pPr>
              <w:spacing w:after="0"/>
              <w:rPr>
                <w:sz w:val="18"/>
                <w:szCs w:val="18"/>
                <w:color w:val="auto"/>
              </w:rPr>
            </w:pPr>
          </w:p>
        </w:tc>
      </w:tr>
      <w:tr>
        <w:trPr>
          <w:trHeight w:val="210"/>
        </w:trPr>
        <w:tc>
          <w:tcPr>
            <w:tcW w:w="5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Grant-date fair value per option awarded, including reload grants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$10.07</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$14.26</w:t>
            </w:r>
          </w:p>
        </w:tc>
        <w:tc>
          <w:tcPr>
            <w:tcW w:w="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Assumptions used: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in years</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32%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22"/>
        </w:trPr>
        <w:tc>
          <w:tcPr>
            <w:tcW w:w="554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stock and stock units, on which we pay non-forfeitable dividends, as if they were a separate class of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Total comprehensive income is reported in our consolidated statements of stockholders’ equity and includes net income, the change in net unrealized security holding gains (losses), after income taxes (tax benefits), and the change in the currency translation adjustment, after income taxes (tax benefits).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Cash equivalent investments in our sponsored money market mutual funds aggregate $726.9 million at December 31, 2010, and $823.2 million at December 31, 2011. Dividends earned on these investments totaled $1.6 million in 2009, $.1 million in 2010, and $.1 million in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$154.0 million at December 31, 2010, and $155.9 million at December 31, 2011.</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investment advisory services provided under agreements with our sponsored mutual funds and other investment clients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94"/>
              </w:rPr>
              <w:t>2009</w:t>
            </w:r>
          </w:p>
        </w:tc>
        <w:tc>
          <w:tcPr>
            <w:tcW w:w="2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2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Sponsored mutual funds in the U.S.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843.7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$1,116.3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1,068.3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1,394.3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391.6</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514.4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632.5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1,546.1</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88"/>
              </w:rPr>
              <w:t>Average during</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4"/>
          </w:tcPr>
          <w:p>
            <w:pPr>
              <w:ind w:left="1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2009</w:t>
            </w: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2010</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2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$139.5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$217.6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$212.4</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$ 211.7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2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250.8</w:t>
            </w:r>
          </w:p>
        </w:tc>
        <w:tc>
          <w:tcPr>
            <w:tcW w:w="3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292.1</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282.6</w:t>
            </w:r>
          </w:p>
        </w:tc>
        <w:tc>
          <w:tcPr>
            <w:tcW w:w="50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93.3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148.2</w:t>
            </w: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2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3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205.0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199.4</w:t>
            </w:r>
          </w:p>
        </w:tc>
        <w:tc>
          <w:tcPr>
            <w:tcW w:w="50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11% of our assets under management at December 31, 2011.</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Fees for advisory-related administrative and distribution services provided to our sponsored mutual funds were $249.9 million in 2009, $266.8 million in 2010, and $321.6 million in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3"/>
          </w:tcPr>
          <w:p>
            <w:pPr>
              <w:spacing w:after="0"/>
              <w:rPr>
                <w:sz w:val="20"/>
                <w:szCs w:val="20"/>
                <w:color w:val="auto"/>
              </w:rPr>
            </w:pPr>
            <w:r>
              <w:rPr>
                <w:rFonts w:ascii="Arial" w:cs="Arial" w:eastAsia="Arial" w:hAnsi="Arial"/>
                <w:sz w:val="18"/>
                <w:szCs w:val="18"/>
                <w:color w:val="auto"/>
              </w:rPr>
              <w:t>NOTE 3 – INVESTMENTS IN SPONSORED MUTUAL FUNDS.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00" w:type="dxa"/>
            <w:vAlign w:val="bottom"/>
            <w:gridSpan w:val="3"/>
          </w:tcPr>
          <w:p>
            <w:pPr>
              <w:spacing w:after="0"/>
              <w:rPr>
                <w:sz w:val="20"/>
                <w:szCs w:val="20"/>
                <w:color w:val="auto"/>
              </w:rPr>
            </w:pPr>
            <w:r>
              <w:rPr>
                <w:rFonts w:ascii="Arial" w:cs="Arial" w:eastAsia="Arial" w:hAnsi="Arial"/>
                <w:sz w:val="18"/>
                <w:szCs w:val="18"/>
                <w:color w:val="auto"/>
              </w:rPr>
              <w:t>These investments (in millions) at December 31 include:</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86"/>
              </w:rPr>
              <w:t>Aggregate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Unrealized holding</w:t>
            </w:r>
          </w:p>
        </w:tc>
        <w:tc>
          <w:tcPr>
            <w:tcW w:w="2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w w:val="98"/>
              </w:rPr>
              <w:t>Aggregate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w w:val="96"/>
              </w:rPr>
              <w:t>cost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gains</w:t>
            </w:r>
          </w:p>
        </w:tc>
        <w:tc>
          <w:tcPr>
            <w:tcW w:w="24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losses</w:t>
            </w:r>
          </w:p>
        </w:tc>
        <w:tc>
          <w:tcPr>
            <w:tcW w:w="22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8"/>
                <w:szCs w:val="18"/>
                <w:color w:val="auto"/>
                <w:w w:val="79"/>
              </w:rPr>
              <w:t>2010</w:t>
            </w:r>
          </w:p>
        </w:tc>
        <w:tc>
          <w:tcPr>
            <w:tcW w:w="68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281.7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178.6</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217.7</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2011</w:t>
            </w:r>
          </w:p>
        </w:tc>
        <w:tc>
          <w:tcPr>
            <w:tcW w:w="6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281.7</w:t>
            </w: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137.0</w:t>
            </w:r>
          </w:p>
        </w:tc>
        <w:tc>
          <w:tcPr>
            <w:tcW w:w="440" w:type="dxa"/>
            <w:vAlign w:val="bottom"/>
            <w:tcBorders>
              <w:top w:val="single" w:sz="8" w:color="CCEEFF"/>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w:t>
            </w:r>
          </w:p>
        </w:tc>
        <w:tc>
          <w:tcPr>
            <w:tcW w:w="4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592.</w:t>
            </w:r>
            <w:r>
              <w:rPr>
                <w:rFonts w:ascii="Arial" w:cs="Arial" w:eastAsia="Arial" w:hAnsi="Arial"/>
                <w:sz w:val="18"/>
                <w:szCs w:val="18"/>
                <w:u w:val="single" w:color="auto"/>
                <w:color w:val="auto"/>
              </w:rPr>
              <w:t>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175.5</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unrealized holding losses at December 31, 2011, are attributable to ten fund holdings with an aggregate fair value of $86.3 million and are considered temporary.</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$9.8 million in 2009, $10.3 million in 2010, and $10.6 million in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 4 – SAVINGS BANK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w:t>
            </w:r>
          </w:p>
        </w:tc>
        <w:tc>
          <w:tcPr>
            <w:tcW w:w="6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Unrealized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holding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holding</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8"/>
                <w:szCs w:val="18"/>
                <w:color w:val="auto"/>
                <w:w w:val="83"/>
              </w:rPr>
              <w:t>gains</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gains</w:t>
            </w:r>
          </w:p>
        </w:tc>
        <w:tc>
          <w:tcPr>
            <w:tcW w:w="0" w:type="dxa"/>
            <w:vAlign w:val="bottom"/>
          </w:tcPr>
          <w:p>
            <w:pPr>
              <w:spacing w:after="0"/>
              <w:rPr>
                <w:sz w:val="1"/>
                <w:szCs w:val="1"/>
                <w:color w:val="auto"/>
              </w:rPr>
            </w:pPr>
          </w:p>
        </w:tc>
      </w:tr>
      <w:tr>
        <w:trPr>
          <w:trHeight w:val="222"/>
        </w:trPr>
        <w:tc>
          <w:tcPr>
            <w:tcW w:w="70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value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8"/>
                <w:szCs w:val="18"/>
                <w:color w:val="auto"/>
                <w:w w:val="85"/>
              </w:rPr>
              <w:t>(losses)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7"/>
              </w:rPr>
              <w:t>value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2"/>
              </w:rPr>
              <w:t>(losses)</w:t>
            </w:r>
          </w:p>
        </w:tc>
        <w:tc>
          <w:tcPr>
            <w:tcW w:w="0" w:type="dxa"/>
            <w:vAlign w:val="bottom"/>
          </w:tcPr>
          <w:p>
            <w:pPr>
              <w:spacing w:after="0"/>
              <w:rPr>
                <w:sz w:val="1"/>
                <w:szCs w:val="1"/>
                <w:color w:val="auto"/>
              </w:rPr>
            </w:pPr>
          </w:p>
        </w:tc>
      </w:tr>
      <w:tr>
        <w:trPr>
          <w:trHeight w:val="198"/>
        </w:trPr>
        <w:tc>
          <w:tcPr>
            <w:tcW w:w="70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Investments with temporary impairment (43 securities in 2011) of</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169.3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195.3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unrealized losses in these investments were generally caused by changes in interest rates and market liquidity, and not by changes in credit quality.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Impairments of these investments are considered temporary.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CUSTOMER DEPOSITS.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$164.1 million at December 31, 2010, and $176.9 million at December 31,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 (in millions) includes the following:</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2009</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Investment income from debt securities</w:t>
            </w: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$ 7.0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$ 6.4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 on customer deposits</w:t>
            </w:r>
          </w:p>
        </w:tc>
        <w:tc>
          <w:tcPr>
            <w:tcW w:w="1400" w:type="dxa"/>
            <w:vAlign w:val="bottom"/>
            <w:gridSpan w:val="2"/>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40" w:type="dxa"/>
            <w:vAlign w:val="bottom"/>
            <w:gridSpan w:val="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$ 2.9</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NOTE 5 – OTHER INVESTMENTS.</w:t>
            </w: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60" w:type="dxa"/>
            <w:vAlign w:val="bottom"/>
            <w:gridSpan w:val="2"/>
          </w:tcPr>
          <w:p>
            <w:pPr>
              <w:spacing w:after="0"/>
              <w:rPr>
                <w:sz w:val="20"/>
                <w:szCs w:val="20"/>
                <w:color w:val="auto"/>
              </w:rPr>
            </w:pPr>
            <w:r>
              <w:rPr>
                <w:rFonts w:ascii="Arial" w:cs="Arial" w:eastAsia="Arial" w:hAnsi="Arial"/>
                <w:sz w:val="18"/>
                <w:szCs w:val="18"/>
                <w:color w:val="auto"/>
              </w:rPr>
              <w:t>These investments (in millions) at December 31 include:</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4"/>
                <w:szCs w:val="24"/>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Cost method investments</w:t>
            </w:r>
          </w:p>
        </w:tc>
        <w:tc>
          <w:tcPr>
            <w:tcW w:w="1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10% interest in Daiwa SB Investments Ltd.(Japan)</w:t>
            </w:r>
          </w:p>
        </w:tc>
        <w:tc>
          <w:tcPr>
            <w:tcW w:w="1740" w:type="dxa"/>
            <w:vAlign w:val="bottom"/>
            <w:gridSpan w:val="4"/>
          </w:tcPr>
          <w:p>
            <w:pPr>
              <w:jc w:val="right"/>
              <w:ind w:right="120"/>
              <w:spacing w:after="0"/>
              <w:rPr>
                <w:sz w:val="20"/>
                <w:szCs w:val="20"/>
                <w:color w:val="auto"/>
              </w:rPr>
            </w:pPr>
            <w:r>
              <w:rPr>
                <w:rFonts w:ascii="Arial" w:cs="Arial" w:eastAsia="Arial" w:hAnsi="Arial"/>
                <w:sz w:val="18"/>
                <w:szCs w:val="18"/>
                <w:color w:val="auto"/>
              </w:rPr>
              <w:t>$ 13.6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1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 interest in UTI Asset Management Company Limited (India)</w:t>
            </w:r>
          </w:p>
        </w:tc>
        <w:tc>
          <w:tcPr>
            <w:tcW w:w="1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154.1</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Other investments</w:t>
            </w:r>
          </w:p>
        </w:tc>
        <w:tc>
          <w:tcPr>
            <w:tcW w:w="1740" w:type="dxa"/>
            <w:vAlign w:val="bottom"/>
            <w:gridSpan w:val="4"/>
          </w:tcPr>
          <w:p>
            <w:pPr>
              <w:jc w:val="right"/>
              <w:ind w:right="120"/>
              <w:spacing w:after="0"/>
              <w:rPr>
                <w:sz w:val="20"/>
                <w:szCs w:val="20"/>
                <w:color w:val="auto"/>
              </w:rPr>
            </w:pPr>
            <w:r>
              <w:rPr>
                <w:rFonts w:ascii="Arial" w:cs="Arial" w:eastAsia="Arial" w:hAnsi="Arial"/>
                <w:sz w:val="18"/>
                <w:szCs w:val="18"/>
                <w:color w:val="auto"/>
              </w:rPr>
              <w:t>2.0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1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U.S. Treasury Note</w:t>
            </w:r>
          </w:p>
        </w:tc>
        <w:tc>
          <w:tcPr>
            <w:tcW w:w="11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209.7</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206.3</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20, 2010, we completed the purchase of a 26% equity interest in UTI and an affiliate from existing stockholders for 6.5 billion Indian rupees (INR) or $142.4 million, plus transaction costs of $3.2 million of which a portion was paid in 2009. The basis difference between our carrying value and our proportionate share of UTI’s book value is primarily related to consideration paid in excess of the stepped-up basis of assets and liabilities on the date of purchase.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December 31, 2011, we had outstanding commitments to make additional contributions totaling $42.5 million to various investment partnerships in which we have an existing investment.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0" w:lineRule="exact"/>
        <w:rPr>
          <w:sz w:val="20"/>
          <w:szCs w:val="20"/>
          <w:color w:val="auto"/>
        </w:rPr>
      </w:pPr>
    </w:p>
    <w:p>
      <w:pPr>
        <w:ind w:left="800" w:right="120" w:hanging="211"/>
        <w:spacing w:after="0" w:line="268"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51" w:lineRule="exact"/>
        <w:rPr>
          <w:sz w:val="20"/>
          <w:szCs w:val="20"/>
          <w:color w:val="auto"/>
        </w:rPr>
      </w:pPr>
    </w:p>
    <w:p>
      <w:pPr>
        <w:ind w:left="800" w:right="320" w:hanging="211"/>
        <w:spacing w:after="0" w:line="26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were no transfers in or out of the levels in 2010 or 2011. The following table summarizes our investments (in millions) that are recognized in our balance sheet at year end using fair value measurements determined based on the differing levels of inputs.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gridSpan w:val="5"/>
          </w:tcPr>
          <w:p>
            <w:pPr>
              <w:ind w:left="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8"/>
                <w:szCs w:val="18"/>
                <w:color w:val="auto"/>
                <w:w w:val="79"/>
              </w:rPr>
              <w:t>2010</w:t>
            </w:r>
          </w:p>
        </w:tc>
        <w:tc>
          <w:tcPr>
            <w:tcW w:w="54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200"/>
              <w:spacing w:after="0"/>
              <w:rPr>
                <w:sz w:val="20"/>
                <w:szCs w:val="20"/>
                <w:color w:val="auto"/>
              </w:rPr>
            </w:pPr>
            <w:r>
              <w:rPr>
                <w:rFonts w:ascii="Arial" w:cs="Arial" w:eastAsia="Arial" w:hAnsi="Arial"/>
                <w:sz w:val="18"/>
                <w:szCs w:val="18"/>
                <w:color w:val="auto"/>
              </w:rPr>
              <w:t>Held as available-for-sale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747.9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Debt securities held by savings bank subsidiary</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1,479.6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84"/>
              </w:rPr>
              <w:t>2011</w:t>
            </w:r>
          </w:p>
        </w:tc>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0" w:type="dxa"/>
            <w:vAlign w:val="bottom"/>
            <w:gridSpan w:val="2"/>
            <w:vMerge w:val="continue"/>
          </w:tcPr>
          <w:p>
            <w:pPr>
              <w:spacing w:after="0"/>
              <w:rPr>
                <w:sz w:val="24"/>
                <w:szCs w:val="24"/>
                <w:color w:val="auto"/>
              </w:rPr>
            </w:pPr>
          </w:p>
        </w:tc>
        <w:tc>
          <w:tcPr>
            <w:tcW w:w="5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Investments in sponsored mutual funds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as available-for-sale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200"/>
              <w:spacing w:after="0"/>
              <w:rPr>
                <w:sz w:val="20"/>
                <w:szCs w:val="20"/>
                <w:color w:val="auto"/>
              </w:rPr>
            </w:pPr>
            <w:r>
              <w:rPr>
                <w:rFonts w:ascii="Arial" w:cs="Arial" w:eastAsia="Arial" w:hAnsi="Arial"/>
                <w:sz w:val="18"/>
                <w:szCs w:val="18"/>
                <w:color w:val="auto"/>
              </w:rPr>
              <w:t>Held as trading</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1,592.1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rPr>
              <w:t>NOTE 7 – PROPERTY AND EQUIPMENT.</w:t>
            </w: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gridSpan w:val="3"/>
          </w:tcPr>
          <w:p>
            <w:pPr>
              <w:spacing w:after="0"/>
              <w:rPr>
                <w:sz w:val="20"/>
                <w:szCs w:val="20"/>
                <w:color w:val="auto"/>
              </w:rPr>
            </w:pPr>
            <w:r>
              <w:rPr>
                <w:rFonts w:ascii="Arial" w:cs="Arial" w:eastAsia="Arial" w:hAnsi="Arial"/>
                <w:sz w:val="18"/>
                <w:szCs w:val="18"/>
                <w:color w:val="auto"/>
              </w:rPr>
              <w:t>Property and equipment (in millions) at December 31 consists of:</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2010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Computer and communications software and equipment</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$317.8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394.8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Furniture and other equipment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8"/>
                <w:szCs w:val="18"/>
                <w:color w:val="auto"/>
              </w:rPr>
              <w:t>108.5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Leased land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940.8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560.3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$7.5 million in 2009, $8.1 million in 2010, and $7.5 million in 2011 have been capitalized.</w:t>
      </w:r>
    </w:p>
    <w:p>
      <w:pPr>
        <w:spacing w:after="0" w:line="13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$29.1 million in 2009, $29.6 million in 2010, and $26.5 million in 2011. Future minimum payments under these leases aggregate $31.0 million in 2012, $32.1 million in 2013, $31.3 million in 2014, $29.1 million in 2015, $27.4 million in 2016, and $33.7 million in later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8 – INTANGIBLE ASSETS.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Other assets include mutual fund customer-relationship intangible assets acquired in 2006. Our unamortized cost was $1.6 million at December 31, 2010, and $1.1 million at December 31,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NOTE 9 – INCOME TAXES.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040" w:type="dxa"/>
            <w:vAlign w:val="bottom"/>
          </w:tcPr>
          <w:p>
            <w:pPr>
              <w:spacing w:after="0"/>
              <w:rPr>
                <w:sz w:val="20"/>
                <w:szCs w:val="20"/>
                <w:color w:val="auto"/>
              </w:rPr>
            </w:pPr>
            <w:r>
              <w:rPr>
                <w:rFonts w:ascii="Arial" w:cs="Arial" w:eastAsia="Arial" w:hAnsi="Arial"/>
                <w:sz w:val="18"/>
                <w:szCs w:val="18"/>
                <w:color w:val="auto"/>
              </w:rPr>
              <w:t>The provision for income taxes (in millions) consists of:</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2009</w:t>
            </w:r>
          </w:p>
        </w:tc>
        <w:tc>
          <w:tcPr>
            <w:tcW w:w="26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04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Current income taxes</w:t>
            </w: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$232.5</w:t>
            </w:r>
          </w:p>
        </w:tc>
        <w:tc>
          <w:tcPr>
            <w:tcW w:w="2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$323.4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704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47.5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(tax benefits)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255.3</w:t>
            </w:r>
          </w:p>
        </w:tc>
        <w:tc>
          <w:tcPr>
            <w:tcW w:w="26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Deferred income taxes arise from temporary differences between taxable income for financial statement and income tax return purposes. Deferred tax benefits include $22.4 million in 2009 and $27.6 million in 2010 relating to the recognition of stock-based compensation expense. Deferred tax benefits in 2009 also include $12.4 million attributable to other than temporary impairments recognized on our sponsored mutual fund investments.</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Significant temporary differences in 2011 include deferred income taxes of $13.9 million related to property and equipment offset by deferred tax benefits of $15.1 million related to the recognition of stock-based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2009</w:t>
            </w: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2010</w:t>
            </w:r>
          </w:p>
        </w:tc>
        <w:tc>
          <w:tcPr>
            <w:tcW w:w="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2011</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Statutory U.S. federal income tax rate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35.0%</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35.0%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37.1%</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37.2%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38.2%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recognized in our balance sheet in other assets includes the following (in millions)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2010</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tcPr>
          <w:p>
            <w:pPr>
              <w:spacing w:after="0"/>
              <w:rPr>
                <w:sz w:val="19"/>
                <w:szCs w:val="19"/>
                <w:color w:val="auto"/>
              </w:rPr>
            </w:pPr>
          </w:p>
        </w:tc>
      </w:tr>
      <w:tr>
        <w:trPr>
          <w:trHeight w:val="198"/>
        </w:trPr>
        <w:tc>
          <w:tcPr>
            <w:tcW w:w="78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Deferred tax liabilities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Related to property and equipment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7"/>
        </w:trPr>
        <w:tc>
          <w:tcPr>
            <w:tcW w:w="7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(110.3)</w:t>
            </w: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to stock-based compensation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Related to other than temporary impairments of investments in mutual funds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to accrued compensation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190.9</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A deferred tax liability for unremitted earnings of our foreign subsidiaries has not been recognized, as it is our intention to indefinitely reinvest these earnings Page 51</w:t>
      </w:r>
    </w:p>
    <w:p>
      <w:pPr>
        <w:sectPr>
          <w:pgSz w:w="11900" w:h="16838" w:orient="portrait"/>
          <w:cols w:equalWidth="0" w:num="1">
            <w:col w:w="11120"/>
          </w:cols>
          <w:pgMar w:left="240" w:top="459"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outside the U.S. The unremitted earnings of these subsidiaries are estimated to be $143.2 million at December 31, 2011. If these earnings were distributed to the U.S. in the form of dividends or otherwise, or if the entity was sold or otherwise transferred, we would be subject to U.S. income taxes, less any foreign tax credits. Determination of the amount of the unrecognized deferred tax liability related to these earnings is not practicable.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 assets also include tax refund receivables of $31.9 million at December 31, 2010, and $20.1 million at December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$221.6 million in 2009, $383.0 million in 2010, and $430.1 million in 2011.</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 income tax benefits of $33.1 million in 2009, $51.9 million in 2010, and $36.3 million in 2011 arising from stock-based compensation plans activity reduced the amount of income taxes that would have otherwise been payable.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The following table reconciles our unrecognized tax benefits (in millions) during the year:</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73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2009</w:t>
            </w:r>
          </w:p>
        </w:tc>
        <w:tc>
          <w:tcPr>
            <w:tcW w:w="5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2010</w:t>
            </w:r>
          </w:p>
        </w:tc>
        <w:tc>
          <w:tcPr>
            <w:tcW w:w="3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212"/>
        </w:trPr>
        <w:tc>
          <w:tcPr>
            <w:tcW w:w="73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beginning of year</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$ 6.3</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Changes in tax positions related to</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Prior years</w:t>
            </w: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 statute of limitations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Balance at year end</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$ 4.7</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2011 and prior years will significantly change in 2012. Our United States federal tax obligations have been settled through the year 2000. Net interest recoverable recognized in our balance sheets was $5.6 million at December 31, 2010, and $5.9 million at December 31, 2011. Our accounting policy with respect to interest and penalties arising from income tax settlements is to recognize them as part of our provision for income taxes. Interest recognized as part of our provision for income taxes was not 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10 –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At December 31, 2011, 52,887,988 shares of unissued common stock were authorized for issuance under our stock-based compensation plans. Additionally, 3,360,000 shares are authorized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2011.</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860"/>
              <w:spacing w:after="0"/>
              <w:rPr>
                <w:sz w:val="20"/>
                <w:szCs w:val="20"/>
                <w:color w:val="auto"/>
              </w:rPr>
            </w:pPr>
            <w:r>
              <w:rPr>
                <w:rFonts w:ascii="Arial" w:cs="Arial" w:eastAsia="Arial" w:hAnsi="Arial"/>
                <w:sz w:val="18"/>
                <w:szCs w:val="18"/>
                <w:color w:val="auto"/>
                <w:w w:val="85"/>
              </w:rPr>
              <w:t>Weighted-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960"/>
              <w:spacing w:after="0"/>
              <w:rPr>
                <w:sz w:val="20"/>
                <w:szCs w:val="20"/>
                <w:color w:val="auto"/>
              </w:rPr>
            </w:pPr>
            <w:r>
              <w:rPr>
                <w:rFonts w:ascii="Arial" w:cs="Arial" w:eastAsia="Arial" w:hAnsi="Arial"/>
                <w:sz w:val="18"/>
                <w:szCs w:val="18"/>
                <w:color w:val="auto"/>
                <w:w w:val="82"/>
              </w:rPr>
              <w:t>average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center"/>
              <w:ind w:right="880"/>
              <w:spacing w:after="0"/>
              <w:rPr>
                <w:sz w:val="20"/>
                <w:szCs w:val="20"/>
                <w:color w:val="auto"/>
              </w:rPr>
            </w:pPr>
            <w:r>
              <w:rPr>
                <w:rFonts w:ascii="Arial" w:cs="Arial" w:eastAsia="Arial" w:hAnsi="Arial"/>
                <w:sz w:val="18"/>
                <w:szCs w:val="18"/>
                <w:color w:val="auto"/>
                <w:w w:val="86"/>
              </w:rPr>
              <w:t>exercise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term 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Options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price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37,759,580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8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Semiannual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5,793,805</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60.43</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80,080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58.73</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New hire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41,519</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57.74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60.74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w w:val="95"/>
              </w:rPr>
              <w:t>(3,814,074)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29.11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(499,410)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47.73</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(137,778)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60"/>
              <w:spacing w:after="0"/>
              <w:rPr>
                <w:sz w:val="20"/>
                <w:szCs w:val="20"/>
                <w:color w:val="auto"/>
              </w:rPr>
            </w:pPr>
            <w:r>
              <w:rPr>
                <w:rFonts w:ascii="Arial" w:cs="Arial" w:eastAsia="Arial" w:hAnsi="Arial"/>
                <w:sz w:val="18"/>
                <w:szCs w:val="18"/>
                <w:color w:val="auto"/>
              </w:rPr>
              <w:t>55.69</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39,239,722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45.27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tcPr>
          <w:p>
            <w:pPr>
              <w:jc w:val="right"/>
              <w:ind w:right="860"/>
              <w:spacing w:after="0"/>
              <w:rPr>
                <w:sz w:val="20"/>
                <w:szCs w:val="20"/>
                <w:color w:val="auto"/>
              </w:rPr>
            </w:pPr>
            <w:r>
              <w:rPr>
                <w:rFonts w:ascii="Arial" w:cs="Arial" w:eastAsia="Arial" w:hAnsi="Arial"/>
                <w:sz w:val="18"/>
                <w:szCs w:val="18"/>
                <w:color w:val="auto"/>
              </w:rPr>
              <w:t>41.01</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22,964,004</w:t>
            </w:r>
          </w:p>
        </w:tc>
        <w:tc>
          <w:tcPr>
            <w:tcW w:w="4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income includes a charge for stock option-based compensation expense of $72.1 million in 2009, $71.5 million in 2010, and $79.5 million in 2011, including $4.1 million, $3.2 million, and $.5 million, respectively, for reload option grants.</w:t>
      </w:r>
    </w:p>
    <w:p>
      <w:pPr>
        <w:spacing w:after="0" w:line="132"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total intrinsic value of options exercised was $115.7 million in 2009, $189.4 million in 2010, and $123.5 million in 2011. At December 31, 2011, the aggregate intrinsic value of in-the-money options outstanding was $499.4 million including $368.6 million related to options exercisable.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Restricted</w:t>
            </w:r>
          </w:p>
        </w:tc>
        <w:tc>
          <w:tcPr>
            <w:tcW w:w="820" w:type="dxa"/>
            <w:vAlign w:val="bottom"/>
            <w:gridSpan w:val="3"/>
          </w:tcPr>
          <w:p>
            <w:pPr>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Restricted</w:t>
            </w: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stock</w:t>
            </w:r>
          </w:p>
        </w:tc>
        <w:tc>
          <w:tcPr>
            <w:tcW w:w="80" w:type="dxa"/>
            <w:vAlign w:val="bottom"/>
          </w:tcPr>
          <w:p>
            <w:pPr>
              <w:spacing w:after="0"/>
              <w:rPr>
                <w:sz w:val="18"/>
                <w:szCs w:val="1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shares</w:t>
            </w:r>
          </w:p>
        </w:tc>
        <w:tc>
          <w:tcPr>
            <w:tcW w:w="13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units</w:t>
            </w: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Nonvested at beginning of year</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638,532</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368,201</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274,841</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152,450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 (value at vest date was $21.9 million)</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(246,988)</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(129,105)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(28,992)</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(40,529)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637,393</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351,017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compensation expense for restricted shares and restricted stock units of $17.0 million in 2009, $18.0 million in 2010, and $19.2 million in 2011.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non-employee directors hold 34,917 vested stock units that will convert to common shares upon their separation from the board.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FUTURE STOCK – BASED COMPENSATION EXPENSE.</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December 31, 2011.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2012</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Second quarter 2012</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2012</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Fourth quarter 2012</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2012</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2013 through 2016</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 CALCULATIONS.</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2010</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$433.6</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$672.2</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w w:val="97"/>
              </w:rPr>
              <w:t>Less: net income allocated to outstanding restricted stock and stock unit holders</w:t>
            </w:r>
          </w:p>
        </w:tc>
        <w:tc>
          <w:tcPr>
            <w:tcW w:w="6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432.1</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262.3</w:t>
            </w:r>
          </w:p>
        </w:tc>
        <w:tc>
          <w:tcPr>
            <w:tcW w:w="5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265.1</w:t>
            </w:r>
          </w:p>
        </w:tc>
        <w:tc>
          <w:tcPr>
            <w:tcW w:w="50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shows the weighted average outstanding stock options (in millions) and their average exercise price that are excluded from the calculation of diluted earnings per common share as the inclusion of such shares would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9"/>
              </w:rPr>
              <w:t>2009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2010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Weighted average outstanding stock options excluded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Average exercise price</w:t>
            </w: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48.20</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52.07</w:t>
            </w:r>
          </w:p>
        </w:tc>
        <w:tc>
          <w:tcPr>
            <w:tcW w:w="460" w:type="dxa"/>
            <w:vAlign w:val="bottom"/>
          </w:tcPr>
          <w:p>
            <w:pPr>
              <w:spacing w:after="0"/>
              <w:rPr>
                <w:sz w:val="18"/>
                <w:szCs w:val="18"/>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40" w:type="dxa"/>
            <w:vAlign w:val="bottom"/>
            <w:gridSpan w:val="5"/>
          </w:tcPr>
          <w:p>
            <w:pPr>
              <w:spacing w:after="0"/>
              <w:rPr>
                <w:sz w:val="20"/>
                <w:szCs w:val="20"/>
                <w:color w:val="auto"/>
              </w:rPr>
            </w:pPr>
            <w:r>
              <w:rPr>
                <w:rFonts w:ascii="Arial" w:cs="Arial" w:eastAsia="Arial" w:hAnsi="Arial"/>
                <w:sz w:val="18"/>
                <w:szCs w:val="18"/>
                <w:color w:val="auto"/>
                <w:w w:val="96"/>
              </w:rPr>
              <w:t>NOTE 12 – COMPREHENSIVE INCOME AND ACCUMULATED OTHER COMPREHENSIVE INCOME.</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holding gains (losses)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unrealized holding gains (losses)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80" w:type="dxa"/>
            <w:vAlign w:val="bottom"/>
          </w:tcPr>
          <w:p>
            <w:pPr>
              <w:ind w:left="660"/>
              <w:spacing w:after="0"/>
              <w:rPr>
                <w:sz w:val="20"/>
                <w:szCs w:val="20"/>
                <w:color w:val="auto"/>
              </w:rPr>
            </w:pPr>
            <w:r>
              <w:rPr>
                <w:rFonts w:ascii="Arial" w:cs="Arial" w:eastAsia="Arial" w:hAnsi="Arial"/>
                <w:sz w:val="18"/>
                <w:szCs w:val="18"/>
                <w:color w:val="auto"/>
              </w:rPr>
              <w:t>Capital gain distributions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6"/>
          </w:tcPr>
          <w:p>
            <w:pPr>
              <w:jc w:val="right"/>
              <w:ind w:right="140"/>
              <w:spacing w:after="0"/>
              <w:rPr>
                <w:sz w:val="20"/>
                <w:szCs w:val="20"/>
                <w:color w:val="auto"/>
              </w:rPr>
            </w:pPr>
            <w:r>
              <w:rPr>
                <w:rFonts w:ascii="Arial" w:cs="Arial" w:eastAsia="Arial" w:hAnsi="Arial"/>
                <w:sz w:val="18"/>
                <w:szCs w:val="18"/>
                <w:color w:val="auto"/>
              </w:rPr>
              <w:t>(2.0)</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than temporary impairments recognized in income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66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6"/>
          </w:tcPr>
          <w:p>
            <w:pPr>
              <w:jc w:val="right"/>
              <w:ind w:right="140"/>
              <w:spacing w:after="0"/>
              <w:rPr>
                <w:sz w:val="20"/>
                <w:szCs w:val="20"/>
                <w:color w:val="auto"/>
              </w:rPr>
            </w:pPr>
            <w:r>
              <w:rPr>
                <w:rFonts w:ascii="Arial" w:cs="Arial" w:eastAsia="Arial" w:hAnsi="Arial"/>
                <w:sz w:val="18"/>
                <w:szCs w:val="18"/>
                <w:color w:val="auto"/>
              </w:rPr>
              <w:t>(7.4)</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(7.6)</w:t>
            </w:r>
          </w:p>
        </w:tc>
        <w:tc>
          <w:tcPr>
            <w:tcW w:w="6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Net unrealized holding gains (losses) of investments in sponsored mutual funds recognized in other comprehensive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Debt securities held by savings bank subsidiary:</w:t>
            </w: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unrealized holding gains (losses)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 benefits (income taxes)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w w:val="99"/>
              </w:rPr>
              <w:t>Net unrealized holding gains (losses) of debt securities held by savings bank subsidiary recognized in other</w:t>
            </w: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UTI Asset Management Company Limited</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w w:val="97"/>
              </w:rPr>
              <w:t>Proportionate share of net unrealized holding gains (losses) of available-for-sale securities held by UTI Asset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Management Company Limited, net of deferred taxes</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Currency translation adjustment</w:t>
            </w: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UTI Asset Management Company Limited</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tax benefits (income taxes)</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currency translation adjustment</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gridSpan w:val="2"/>
            <w:vMerge w:val="continue"/>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709.4</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currency translation adjustment results from translating our proportionate share of the financial statements of UTI, our equity method investment, into U.S. dollars. Assets and liabilities are translated into U.S. dollars using year-end exchange rates, and revenues and expenses are translated using weighted-average exchange rates for the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income(in millions) at December 31 includes:</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Net unrealized holding gains on</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$217.7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w w:val="94"/>
              </w:rPr>
              <w:t>Proportionate share of investments held by UTI Asset Management Company Limited</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221.0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w w:val="94"/>
              </w:rPr>
              <w:t>Currency translation adjustment, net of deferred income taxes (benefits) of $2.0 million in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2010 and ($3.0) million in 2011</w:t>
            </w:r>
          </w:p>
        </w:tc>
        <w:tc>
          <w:tcPr>
            <w:tcW w:w="3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13 – OTHER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13,715,681 common shares as of December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per share were $1.00 in 2009, $1.08 in 2010, and $1.24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consolidated stockholders' equity at December 31, 2011, includes about $92 million that is restricted as to use by various regulations and agreements arising in the ordinary course of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for our defined contribution retirement plans was $41.2 million in 2009, $48.2 million in 2010, and $54.5 million in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14 – SUPPLEMENTARY QUARTERLY FINANCIAL DATA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right="12"/>
              <w:spacing w:after="0"/>
              <w:rPr>
                <w:sz w:val="20"/>
                <w:szCs w:val="20"/>
                <w:color w:val="auto"/>
              </w:rPr>
            </w:pPr>
            <w:r>
              <w:rPr>
                <w:rFonts w:ascii="Arial" w:cs="Arial" w:eastAsia="Arial" w:hAnsi="Arial"/>
                <w:sz w:val="18"/>
                <w:szCs w:val="18"/>
                <w:color w:val="auto"/>
                <w:w w:val="86"/>
              </w:rPr>
              <w:t>Basic</w:t>
            </w:r>
          </w:p>
        </w:tc>
        <w:tc>
          <w:tcPr>
            <w:tcW w:w="560" w:type="dxa"/>
            <w:vAlign w:val="bottom"/>
          </w:tcPr>
          <w:p>
            <w:pPr>
              <w:spacing w:after="0"/>
              <w:rPr>
                <w:sz w:val="18"/>
                <w:szCs w:val="18"/>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3"/>
              </w:rPr>
              <w:t>earnings</w:t>
            </w:r>
          </w:p>
        </w:tc>
        <w:tc>
          <w:tcPr>
            <w:tcW w:w="56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w w:val="98"/>
              </w:rPr>
              <w:t>earnings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right="12"/>
              <w:spacing w:after="0"/>
              <w:rPr>
                <w:sz w:val="20"/>
                <w:szCs w:val="20"/>
                <w:color w:val="auto"/>
              </w:rPr>
            </w:pPr>
            <w:r>
              <w:rPr>
                <w:rFonts w:ascii="Arial" w:cs="Arial" w:eastAsia="Arial" w:hAnsi="Arial"/>
                <w:sz w:val="18"/>
                <w:szCs w:val="18"/>
                <w:color w:val="auto"/>
                <w:w w:val="84"/>
              </w:rPr>
              <w:t>per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2"/>
              </w:rPr>
              <w:t>share on</w:t>
            </w:r>
          </w:p>
        </w:tc>
        <w:tc>
          <w:tcPr>
            <w:tcW w:w="56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w w:val="97"/>
              </w:rPr>
              <w:t>share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92"/>
              <w:spacing w:after="0"/>
              <w:rPr>
                <w:sz w:val="20"/>
                <w:szCs w:val="20"/>
                <w:color w:val="auto"/>
              </w:rPr>
            </w:pPr>
            <w:r>
              <w:rPr>
                <w:rFonts w:ascii="Arial" w:cs="Arial" w:eastAsia="Arial" w:hAnsi="Arial"/>
                <w:sz w:val="18"/>
                <w:szCs w:val="18"/>
                <w:color w:val="auto"/>
                <w:w w:val="99"/>
              </w:rPr>
              <w:t>Net</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Net</w:t>
            </w:r>
          </w:p>
        </w:tc>
        <w:tc>
          <w:tcPr>
            <w:tcW w:w="2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86"/>
              </w:rPr>
              <w:t>common</w:t>
            </w:r>
          </w:p>
        </w:tc>
        <w:tc>
          <w:tcPr>
            <w:tcW w:w="56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8"/>
                <w:szCs w:val="18"/>
                <w:color w:val="auto"/>
                <w:w w:val="98"/>
              </w:rPr>
              <w:t>common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6"/>
              </w:rPr>
              <w:t>income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center"/>
              <w:ind w:right="12"/>
              <w:spacing w:after="0"/>
              <w:rPr>
                <w:sz w:val="20"/>
                <w:szCs w:val="20"/>
                <w:color w:val="auto"/>
              </w:rPr>
            </w:pPr>
            <w:r>
              <w:rPr>
                <w:rFonts w:ascii="Arial" w:cs="Arial" w:eastAsia="Arial" w:hAnsi="Arial"/>
                <w:sz w:val="18"/>
                <w:szCs w:val="18"/>
                <w:color w:val="auto"/>
                <w:w w:val="90"/>
              </w:rPr>
              <w:t>stock</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stock</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 in millions )</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2010</w:t>
            </w:r>
          </w:p>
        </w:tc>
        <w:tc>
          <w:tcPr>
            <w:tcW w:w="50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1st quarter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556.2</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$ 153.0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2nd quarter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577.4</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$ 158.5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3rd quarter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586.1</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$ 169.1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4th quarter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647.5</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$ 191.6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92"/>
        </w:trPr>
        <w:tc>
          <w:tcPr>
            <w:tcW w:w="360" w:type="dxa"/>
            <w:vAlign w:val="bottom"/>
            <w:gridSpan w:val="2"/>
          </w:tcPr>
          <w:p>
            <w:pPr>
              <w:spacing w:after="0"/>
              <w:rPr>
                <w:sz w:val="20"/>
                <w:szCs w:val="20"/>
                <w:color w:val="auto"/>
              </w:rPr>
            </w:pPr>
            <w:r>
              <w:rPr>
                <w:rFonts w:ascii="Arial" w:cs="Arial" w:eastAsia="Arial" w:hAnsi="Arial"/>
                <w:sz w:val="18"/>
                <w:szCs w:val="18"/>
                <w:color w:val="auto"/>
                <w:w w:val="84"/>
              </w:rPr>
              <w:t>2011</w:t>
            </w:r>
          </w:p>
        </w:tc>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682.4</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$ 194.6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2nd quarter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713.7</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$ 204.7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679.4</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$ 185.5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4th quarter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671.6</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$ 188.4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2011 and 2010, and the related consolidated statements of income, stockholders’ equity, and cash flows for each of the years in the three-year period ended December 31, 2011.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2011 and 2010, and the results of their operations and their cash flows for each of the years in the three-year period ended December 31, 2011, in conformity with U.S. generally accepted accounting principles.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3, 2012, expressed an unqualified opinion on the effectiveness of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2011. Based on that evaluation, our principal executive and principal financial officers have concluded that our disclosure controls and procedures as of December 31, 2011,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2011, and has concluded that there was no change during the fourth quarter of 2011 that has materially affected, or is reasonably likely to materially affect, our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80"/>
        <w:spacing w:after="0" w:line="441" w:lineRule="auto"/>
        <w:rPr>
          <w:sz w:val="20"/>
          <w:szCs w:val="20"/>
          <w:color w:val="auto"/>
        </w:rPr>
      </w:pPr>
      <w:r>
        <w:rPr>
          <w:rFonts w:ascii="Arial" w:cs="Arial" w:eastAsia="Arial" w:hAnsi="Arial"/>
          <w:sz w:val="18"/>
          <w:szCs w:val="18"/>
          <w:b w:val="1"/>
          <w:bCs w:val="1"/>
          <w:color w:val="auto"/>
        </w:rPr>
        <w:t xml:space="preserve">REPORT OF MANAGEMENT ON INTERNAL CONTROL OVER FINANCIAL REPORTING </w:t>
      </w:r>
      <w:r>
        <w:rPr>
          <w:rFonts w:ascii="Arial" w:cs="Arial" w:eastAsia="Arial" w:hAnsi="Arial"/>
          <w:sz w:val="18"/>
          <w:szCs w:val="18"/>
          <w:color w:val="auto"/>
        </w:rPr>
        <w:t>To the Stockholders of T. Rowe Price Group, Inc.:</w:t>
      </w:r>
    </w:p>
    <w:p>
      <w:pPr>
        <w:spacing w:after="0" w:line="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4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 xml:space="preserve">Management has evaluated the effectiveness of internal control over financial reporting as of December 31, 2011, in relation to criteria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Based on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we believe that the company’s internal control over financial reporting was effective as of December 31, 2011.</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We have audited T. Rowe Price Group, Inc. and subsidiaries’ (“the Company”) internal control over financial reporting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2011,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2011 and 2010, and the related consolidated statements of income, stockholders’ equity, and cash flows for each of the years in the three-year period ended December 31, 2011, and our report dated February 3, 2012, expressed an unqualified opinion on those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2012 Annual Meeting of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2012 Annual Meeting of our stockholders.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10.17.</w:t>
      </w:r>
    </w:p>
    <w:p>
      <w:pPr>
        <w:spacing w:after="0" w:line="5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3(i)</w:t>
            </w:r>
          </w:p>
        </w:tc>
        <w:tc>
          <w:tcPr>
            <w:tcW w:w="10080" w:type="dxa"/>
            <w:vAlign w:val="bottom"/>
          </w:tcPr>
          <w:p>
            <w:pPr>
              <w:ind w:left="300"/>
              <w:spacing w:after="0"/>
              <w:rPr>
                <w:sz w:val="20"/>
                <w:szCs w:val="20"/>
                <w:color w:val="auto"/>
              </w:rPr>
            </w:pPr>
            <w:r>
              <w:rPr>
                <w:rFonts w:ascii="Arial" w:cs="Arial" w:eastAsia="Arial" w:hAnsi="Arial"/>
                <w:sz w:val="18"/>
                <w:szCs w:val="18"/>
                <w:color w:val="auto"/>
                <w:w w:val="89"/>
              </w:rPr>
              <w:t>Charter of T. Rowe Price Group, Inc., as Amended by Articles of Amendment dated April 10, 2008. (Incorporated by reference from Form</w:t>
            </w:r>
          </w:p>
        </w:tc>
      </w:tr>
      <w:tr>
        <w:trPr>
          <w:trHeight w:val="222"/>
        </w:trPr>
        <w:tc>
          <w:tcPr>
            <w:tcW w:w="820" w:type="dxa"/>
            <w:vAlign w:val="bottom"/>
          </w:tcPr>
          <w:p>
            <w:pPr>
              <w:spacing w:after="0"/>
              <w:rPr>
                <w:sz w:val="19"/>
                <w:szCs w:val="19"/>
                <w:color w:val="auto"/>
              </w:rPr>
            </w:pPr>
          </w:p>
        </w:tc>
        <w:tc>
          <w:tcPr>
            <w:tcW w:w="10080" w:type="dxa"/>
            <w:vAlign w:val="bottom"/>
          </w:tcPr>
          <w:p>
            <w:pPr>
              <w:ind w:left="300"/>
              <w:spacing w:after="0"/>
              <w:rPr>
                <w:sz w:val="20"/>
                <w:szCs w:val="20"/>
                <w:color w:val="auto"/>
              </w:rPr>
            </w:pPr>
            <w:r>
              <w:rPr>
                <w:rFonts w:ascii="Arial" w:cs="Arial" w:eastAsia="Arial" w:hAnsi="Arial"/>
                <w:sz w:val="18"/>
                <w:szCs w:val="18"/>
                <w:color w:val="auto"/>
              </w:rPr>
              <w:t>10-Q Report for the quarterly period ended March 31, 2008 filed on April 24, 2008;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3(ii)</w:t>
            </w:r>
          </w:p>
        </w:tc>
        <w:tc>
          <w:tcPr>
            <w:tcW w:w="10080" w:type="dxa"/>
            <w:vAlign w:val="bottom"/>
          </w:tcPr>
          <w:p>
            <w:pPr>
              <w:ind w:left="300"/>
              <w:spacing w:after="0"/>
              <w:rPr>
                <w:sz w:val="20"/>
                <w:szCs w:val="20"/>
                <w:color w:val="auto"/>
              </w:rPr>
            </w:pPr>
            <w:r>
              <w:rPr>
                <w:rFonts w:ascii="Arial" w:cs="Arial" w:eastAsia="Arial" w:hAnsi="Arial"/>
                <w:sz w:val="18"/>
                <w:szCs w:val="18"/>
                <w:color w:val="auto"/>
                <w:w w:val="88"/>
              </w:rPr>
              <w:t>Amended and Restated By-Laws of T. Rowe Price Group, Inc. as of February 12, 2009. (Incorporated by reference from Form 8-K Current</w:t>
            </w:r>
          </w:p>
        </w:tc>
      </w:tr>
      <w:tr>
        <w:trPr>
          <w:trHeight w:val="222"/>
        </w:trPr>
        <w:tc>
          <w:tcPr>
            <w:tcW w:w="820" w:type="dxa"/>
            <w:vAlign w:val="bottom"/>
          </w:tcPr>
          <w:p>
            <w:pPr>
              <w:spacing w:after="0"/>
              <w:rPr>
                <w:sz w:val="19"/>
                <w:szCs w:val="19"/>
                <w:color w:val="auto"/>
              </w:rPr>
            </w:pPr>
          </w:p>
        </w:tc>
        <w:tc>
          <w:tcPr>
            <w:tcW w:w="10080" w:type="dxa"/>
            <w:vAlign w:val="bottom"/>
          </w:tcPr>
          <w:p>
            <w:pPr>
              <w:ind w:left="300"/>
              <w:spacing w:after="0"/>
              <w:rPr>
                <w:sz w:val="20"/>
                <w:szCs w:val="20"/>
                <w:color w:val="auto"/>
              </w:rPr>
            </w:pPr>
            <w:r>
              <w:rPr>
                <w:rFonts w:ascii="Arial" w:cs="Arial" w:eastAsia="Arial" w:hAnsi="Arial"/>
                <w:sz w:val="18"/>
                <w:szCs w:val="18"/>
                <w:color w:val="auto"/>
              </w:rPr>
              <w:t>Report as of February 17, 2009;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10.01.1</w:t>
            </w:r>
          </w:p>
        </w:tc>
        <w:tc>
          <w:tcPr>
            <w:tcW w:w="10080" w:type="dxa"/>
            <w:vAlign w:val="bottom"/>
          </w:tcPr>
          <w:p>
            <w:pPr>
              <w:ind w:left="300"/>
              <w:spacing w:after="0"/>
              <w:rPr>
                <w:sz w:val="20"/>
                <w:szCs w:val="20"/>
                <w:color w:val="auto"/>
              </w:rPr>
            </w:pPr>
            <w:r>
              <w:rPr>
                <w:rFonts w:ascii="Arial" w:cs="Arial" w:eastAsia="Arial" w:hAnsi="Arial"/>
                <w:sz w:val="18"/>
                <w:szCs w:val="18"/>
                <w:color w:val="auto"/>
                <w:w w:val="91"/>
              </w:rPr>
              <w:t>Representative Investment Management Agreement for the T. Rowe Price mutual funds that pay a management fee consisting of two</w:t>
            </w:r>
          </w:p>
        </w:tc>
      </w:tr>
      <w:tr>
        <w:trPr>
          <w:trHeight w:val="216"/>
        </w:trPr>
        <w:tc>
          <w:tcPr>
            <w:tcW w:w="820" w:type="dxa"/>
            <w:vAlign w:val="bottom"/>
          </w:tcPr>
          <w:p>
            <w:pPr>
              <w:spacing w:after="0"/>
              <w:rPr>
                <w:sz w:val="18"/>
                <w:szCs w:val="18"/>
                <w:color w:val="auto"/>
              </w:rPr>
            </w:pPr>
          </w:p>
        </w:tc>
        <w:tc>
          <w:tcPr>
            <w:tcW w:w="10080" w:type="dxa"/>
            <w:vAlign w:val="bottom"/>
          </w:tcPr>
          <w:p>
            <w:pPr>
              <w:ind w:left="300"/>
              <w:spacing w:after="0"/>
              <w:rPr>
                <w:sz w:val="20"/>
                <w:szCs w:val="20"/>
                <w:color w:val="auto"/>
              </w:rPr>
            </w:pPr>
            <w:r>
              <w:rPr>
                <w:rFonts w:ascii="Arial" w:cs="Arial" w:eastAsia="Arial" w:hAnsi="Arial"/>
                <w:sz w:val="18"/>
                <w:szCs w:val="18"/>
                <w:color w:val="auto"/>
                <w:w w:val="90"/>
              </w:rPr>
              <w:t>components - a group management fee and individual management fee. (Incorporated by reference from Form N-1A filed on August 22,</w:t>
            </w:r>
          </w:p>
        </w:tc>
      </w:tr>
      <w:tr>
        <w:trPr>
          <w:trHeight w:val="222"/>
        </w:trPr>
        <w:tc>
          <w:tcPr>
            <w:tcW w:w="820" w:type="dxa"/>
            <w:vAlign w:val="bottom"/>
          </w:tcPr>
          <w:p>
            <w:pPr>
              <w:spacing w:after="0"/>
              <w:rPr>
                <w:sz w:val="19"/>
                <w:szCs w:val="19"/>
                <w:color w:val="auto"/>
              </w:rPr>
            </w:pPr>
          </w:p>
        </w:tc>
        <w:tc>
          <w:tcPr>
            <w:tcW w:w="10080" w:type="dxa"/>
            <w:vAlign w:val="bottom"/>
          </w:tcPr>
          <w:p>
            <w:pPr>
              <w:ind w:left="300"/>
              <w:spacing w:after="0"/>
              <w:rPr>
                <w:sz w:val="20"/>
                <w:szCs w:val="20"/>
                <w:color w:val="auto"/>
              </w:rPr>
            </w:pPr>
            <w:r>
              <w:rPr>
                <w:rFonts w:ascii="Arial" w:cs="Arial" w:eastAsia="Arial" w:hAnsi="Arial"/>
                <w:sz w:val="18"/>
                <w:szCs w:val="18"/>
                <w:color w:val="auto"/>
              </w:rPr>
              <w:t>2008; File No. 333-153130.)</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10.01.2</w:t>
            </w:r>
          </w:p>
        </w:tc>
        <w:tc>
          <w:tcPr>
            <w:tcW w:w="10060" w:type="dxa"/>
            <w:vAlign w:val="bottom"/>
          </w:tcPr>
          <w:p>
            <w:pPr>
              <w:ind w:left="300"/>
              <w:spacing w:after="0"/>
              <w:rPr>
                <w:sz w:val="20"/>
                <w:szCs w:val="20"/>
                <w:color w:val="auto"/>
              </w:rPr>
            </w:pPr>
            <w:r>
              <w:rPr>
                <w:rFonts w:ascii="Arial" w:cs="Arial" w:eastAsia="Arial" w:hAnsi="Arial"/>
                <w:sz w:val="18"/>
                <w:szCs w:val="18"/>
                <w:color w:val="auto"/>
                <w:w w:val="95"/>
              </w:rPr>
              <w:t>Representative Investment Management Agreement for the T. Rowe Price mutual funds that pay an individual management fee.</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(Incorporated by reference from Form 485APOS filed on August 11, 2010; File No. 033-29697)</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10.01.3</w:t>
            </w:r>
          </w:p>
        </w:tc>
        <w:tc>
          <w:tcPr>
            <w:tcW w:w="10060" w:type="dxa"/>
            <w:vAlign w:val="bottom"/>
          </w:tcPr>
          <w:p>
            <w:pPr>
              <w:ind w:left="300"/>
              <w:spacing w:after="0"/>
              <w:rPr>
                <w:sz w:val="20"/>
                <w:szCs w:val="20"/>
                <w:color w:val="auto"/>
              </w:rPr>
            </w:pPr>
            <w:r>
              <w:rPr>
                <w:rFonts w:ascii="Arial" w:cs="Arial" w:eastAsia="Arial" w:hAnsi="Arial"/>
                <w:sz w:val="18"/>
                <w:szCs w:val="18"/>
                <w:color w:val="auto"/>
                <w:w w:val="89"/>
              </w:rPr>
              <w:t>Representative Investment Management Agreement for the T. Rowe Price mutual funds that pay an all-inclusive fee (i.e., a single fee that</w:t>
            </w:r>
          </w:p>
        </w:tc>
      </w:tr>
      <w:tr>
        <w:trPr>
          <w:trHeight w:val="216"/>
        </w:trPr>
        <w:tc>
          <w:tcPr>
            <w:tcW w:w="820" w:type="dxa"/>
            <w:vAlign w:val="bottom"/>
          </w:tcPr>
          <w:p>
            <w:pPr>
              <w:spacing w:after="0"/>
              <w:rPr>
                <w:sz w:val="18"/>
                <w:szCs w:val="18"/>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w w:val="91"/>
              </w:rPr>
              <w:t>covers investment management and ordinary recurring operating expenses). (Incorporated by reference from Form 485APOS filed on</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March 15, 2007; File No. 033-29697)</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10.02</w:t>
            </w:r>
          </w:p>
        </w:tc>
        <w:tc>
          <w:tcPr>
            <w:tcW w:w="10060" w:type="dxa"/>
            <w:vAlign w:val="bottom"/>
          </w:tcPr>
          <w:p>
            <w:pPr>
              <w:ind w:left="300"/>
              <w:spacing w:after="0"/>
              <w:rPr>
                <w:sz w:val="20"/>
                <w:szCs w:val="20"/>
                <w:color w:val="auto"/>
              </w:rPr>
            </w:pPr>
            <w:r>
              <w:rPr>
                <w:rFonts w:ascii="Arial" w:cs="Arial" w:eastAsia="Arial" w:hAnsi="Arial"/>
                <w:sz w:val="18"/>
                <w:szCs w:val="18"/>
                <w:color w:val="auto"/>
                <w:w w:val="88"/>
              </w:rPr>
              <w:t>Representative Underwriting Agreement between a T. Rowe Price mutual fund and T. Rowe Price Investment Services, Inc. (Incorporated</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by reference from Form N-1A/A filed on August 29, 2006; File No. 333-136805.)</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10.03</w:t>
            </w:r>
          </w:p>
        </w:tc>
        <w:tc>
          <w:tcPr>
            <w:tcW w:w="10060" w:type="dxa"/>
            <w:vAlign w:val="bottom"/>
          </w:tcPr>
          <w:p>
            <w:pPr>
              <w:ind w:left="300"/>
              <w:spacing w:after="0"/>
              <w:rPr>
                <w:sz w:val="20"/>
                <w:szCs w:val="20"/>
                <w:color w:val="auto"/>
              </w:rPr>
            </w:pPr>
            <w:r>
              <w:rPr>
                <w:rFonts w:ascii="Arial" w:cs="Arial" w:eastAsia="Arial" w:hAnsi="Arial"/>
                <w:sz w:val="18"/>
                <w:szCs w:val="18"/>
                <w:color w:val="auto"/>
                <w:w w:val="92"/>
              </w:rPr>
              <w:t>Transfer Agency and Service Agreement as of January 1, 2011, between T. Rowe Price Services, Inc. and the T. Rowe Price Funds.</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(Incorporated by reference from Form 485BPOS filed on April 29, 2011; File No. 033-38791.)</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10.04</w:t>
            </w:r>
          </w:p>
        </w:tc>
        <w:tc>
          <w:tcPr>
            <w:tcW w:w="10060" w:type="dxa"/>
            <w:vAlign w:val="bottom"/>
          </w:tcPr>
          <w:p>
            <w:pPr>
              <w:ind w:left="300"/>
              <w:spacing w:after="0"/>
              <w:rPr>
                <w:sz w:val="20"/>
                <w:szCs w:val="20"/>
                <w:color w:val="auto"/>
              </w:rPr>
            </w:pPr>
            <w:r>
              <w:rPr>
                <w:rFonts w:ascii="Arial" w:cs="Arial" w:eastAsia="Arial" w:hAnsi="Arial"/>
                <w:sz w:val="18"/>
                <w:szCs w:val="18"/>
                <w:color w:val="auto"/>
                <w:w w:val="94"/>
              </w:rPr>
              <w:t>Agreement as of January 1, 2011, between T. Rowe Price Retirement Plan Services, Inc. and certain of the T. Rowe Price Funds.</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(Incorporated by reference from Form 485BPOS filed on April 29, 2011; File No. 033-38791.)</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10.05</w:t>
            </w:r>
          </w:p>
        </w:tc>
        <w:tc>
          <w:tcPr>
            <w:tcW w:w="10060" w:type="dxa"/>
            <w:vAlign w:val="bottom"/>
          </w:tcPr>
          <w:p>
            <w:pPr>
              <w:ind w:left="300"/>
              <w:spacing w:after="0"/>
              <w:rPr>
                <w:sz w:val="20"/>
                <w:szCs w:val="20"/>
                <w:color w:val="auto"/>
              </w:rPr>
            </w:pPr>
            <w:r>
              <w:rPr>
                <w:rFonts w:ascii="Arial" w:cs="Arial" w:eastAsia="Arial" w:hAnsi="Arial"/>
                <w:sz w:val="18"/>
                <w:szCs w:val="18"/>
                <w:color w:val="auto"/>
                <w:w w:val="89"/>
              </w:rPr>
              <w:t>Second Amended, Restated and Consolidated Lease Agreement dated November 9, 2004, between East Pratt Street Associates Limited</w:t>
            </w:r>
          </w:p>
        </w:tc>
      </w:tr>
      <w:tr>
        <w:trPr>
          <w:trHeight w:val="216"/>
        </w:trPr>
        <w:tc>
          <w:tcPr>
            <w:tcW w:w="820" w:type="dxa"/>
            <w:vAlign w:val="bottom"/>
          </w:tcPr>
          <w:p>
            <w:pPr>
              <w:spacing w:after="0"/>
              <w:rPr>
                <w:sz w:val="18"/>
                <w:szCs w:val="18"/>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w w:val="89"/>
              </w:rPr>
              <w:t>Partnership and T. Rowe Price Associates, Inc. (Incorporated by reference from Form 10-K for 2004 filed on March 1, 2005; File No. 033-</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10.07</w:t>
            </w:r>
          </w:p>
        </w:tc>
        <w:tc>
          <w:tcPr>
            <w:tcW w:w="10060" w:type="dxa"/>
            <w:vAlign w:val="bottom"/>
          </w:tcPr>
          <w:p>
            <w:pPr>
              <w:ind w:left="300"/>
              <w:spacing w:after="0"/>
              <w:rPr>
                <w:sz w:val="20"/>
                <w:szCs w:val="20"/>
                <w:color w:val="auto"/>
              </w:rPr>
            </w:pPr>
            <w:r>
              <w:rPr>
                <w:rFonts w:ascii="Arial" w:cs="Arial" w:eastAsia="Arial" w:hAnsi="Arial"/>
                <w:sz w:val="18"/>
                <w:szCs w:val="18"/>
                <w:color w:val="auto"/>
                <w:w w:val="94"/>
              </w:rPr>
              <w:t>1998 Director Stock Option Plan, as Amended and Restated effective December 16, 2004, including forms of option agreements.</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(Incorporated by reference from Form 10-K for 2004 filed on March 1, 2005;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10.08</w:t>
            </w:r>
          </w:p>
        </w:tc>
        <w:tc>
          <w:tcPr>
            <w:tcW w:w="10060" w:type="dxa"/>
            <w:vAlign w:val="bottom"/>
          </w:tcPr>
          <w:p>
            <w:pPr>
              <w:ind w:left="300"/>
              <w:spacing w:after="0"/>
              <w:rPr>
                <w:sz w:val="20"/>
                <w:szCs w:val="20"/>
                <w:color w:val="auto"/>
              </w:rPr>
            </w:pPr>
            <w:r>
              <w:rPr>
                <w:rFonts w:ascii="Arial" w:cs="Arial" w:eastAsia="Arial" w:hAnsi="Arial"/>
                <w:sz w:val="18"/>
                <w:szCs w:val="18"/>
                <w:color w:val="auto"/>
                <w:w w:val="90"/>
              </w:rPr>
              <w:t>Amended and Restated 2007 Non-Employee Director Equity Plan as of February 12, 2009, including statements of additional terms and</w:t>
            </w:r>
          </w:p>
        </w:tc>
      </w:tr>
      <w:tr>
        <w:trPr>
          <w:trHeight w:val="216"/>
        </w:trPr>
        <w:tc>
          <w:tcPr>
            <w:tcW w:w="820" w:type="dxa"/>
            <w:vAlign w:val="bottom"/>
          </w:tcPr>
          <w:p>
            <w:pPr>
              <w:spacing w:after="0"/>
              <w:rPr>
                <w:sz w:val="18"/>
                <w:szCs w:val="18"/>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w w:val="90"/>
              </w:rPr>
              <w:t>conditions for awards granted after that date. (Incorporated by reference from Form 10-Q for the quarterly period ended March 31, 2009</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filed on April 22, 2009;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060" w:type="dxa"/>
            <w:vAlign w:val="bottom"/>
          </w:tcPr>
          <w:p>
            <w:pPr>
              <w:ind w:left="300"/>
              <w:spacing w:after="0"/>
              <w:rPr>
                <w:sz w:val="20"/>
                <w:szCs w:val="20"/>
                <w:color w:val="auto"/>
              </w:rPr>
            </w:pPr>
            <w:r>
              <w:rPr>
                <w:rFonts w:ascii="Arial" w:cs="Arial" w:eastAsia="Arial" w:hAnsi="Arial"/>
                <w:sz w:val="18"/>
                <w:szCs w:val="18"/>
                <w:color w:val="auto"/>
                <w:w w:val="90"/>
              </w:rPr>
              <w:t>T. Rowe Price Group, Inc. Outside Directors Deferred Compensation Plan. (Incorporated by reference from Form 10-K for 2004 filed on</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March 1, 2005; File No. 033-07012-99.)</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10.13.1</w:t>
            </w:r>
          </w:p>
        </w:tc>
        <w:tc>
          <w:tcPr>
            <w:tcW w:w="10060" w:type="dxa"/>
            <w:vAlign w:val="bottom"/>
          </w:tcPr>
          <w:p>
            <w:pPr>
              <w:ind w:left="300"/>
              <w:spacing w:after="0"/>
              <w:rPr>
                <w:sz w:val="20"/>
                <w:szCs w:val="20"/>
                <w:color w:val="auto"/>
              </w:rPr>
            </w:pPr>
            <w:r>
              <w:rPr>
                <w:rFonts w:ascii="Arial" w:cs="Arial" w:eastAsia="Arial" w:hAnsi="Arial"/>
                <w:sz w:val="18"/>
                <w:szCs w:val="18"/>
                <w:color w:val="auto"/>
                <w:w w:val="95"/>
              </w:rPr>
              <w:t>2001 Stock Incentive Plan. (Incorporated by reference from Form DEFR 14A filed on February 26, 2001;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10.13.2</w:t>
            </w:r>
          </w:p>
        </w:tc>
        <w:tc>
          <w:tcPr>
            <w:tcW w:w="10060" w:type="dxa"/>
            <w:vAlign w:val="bottom"/>
          </w:tcPr>
          <w:p>
            <w:pPr>
              <w:ind w:left="300"/>
              <w:spacing w:after="0"/>
              <w:rPr>
                <w:sz w:val="20"/>
                <w:szCs w:val="20"/>
                <w:color w:val="auto"/>
              </w:rPr>
            </w:pPr>
            <w:r>
              <w:rPr>
                <w:rFonts w:ascii="Arial" w:cs="Arial" w:eastAsia="Arial" w:hAnsi="Arial"/>
                <w:sz w:val="18"/>
                <w:szCs w:val="18"/>
                <w:color w:val="auto"/>
                <w:w w:val="89"/>
              </w:rPr>
              <w:t>First Amendment to 2001 Stock Incentive Plan dated April 8, 2004. (Incorporated by reference from Form DEF 14A filed on February 27,</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2004;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10.13.3</w:t>
            </w:r>
          </w:p>
        </w:tc>
        <w:tc>
          <w:tcPr>
            <w:tcW w:w="10060" w:type="dxa"/>
            <w:vAlign w:val="bottom"/>
          </w:tcPr>
          <w:p>
            <w:pPr>
              <w:ind w:left="300"/>
              <w:spacing w:after="0"/>
              <w:rPr>
                <w:sz w:val="20"/>
                <w:szCs w:val="20"/>
                <w:color w:val="auto"/>
              </w:rPr>
            </w:pPr>
            <w:r>
              <w:rPr>
                <w:rFonts w:ascii="Arial" w:cs="Arial" w:eastAsia="Arial" w:hAnsi="Arial"/>
                <w:sz w:val="18"/>
                <w:szCs w:val="18"/>
                <w:color w:val="auto"/>
                <w:w w:val="88"/>
              </w:rPr>
              <w:t>Second Amendment to 2001 Stock Incentive Plan dated December 12, 2008. (Incorporated by reference from Form 10-Q for the quarterly</w:t>
            </w:r>
          </w:p>
        </w:tc>
      </w:tr>
      <w:tr>
        <w:trPr>
          <w:trHeight w:val="222"/>
        </w:trPr>
        <w:tc>
          <w:tcPr>
            <w:tcW w:w="82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period ended March 31, 2009 filed on April 22, 2009; File No. 033-07012-99.)</w:t>
            </w: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10.14.1</w:t>
            </w: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2004 Stock Incentive Plan. (Incorporated by reference from Form 10-K for 2007 filed on February 7, 2008;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10.14.2</w:t>
            </w: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HM Revenue and Customs Approved Sub-Plan for UK Employees under the 2004 Stock Incentive Plan. (Incorporated by reference from</w:t>
            </w:r>
          </w:p>
        </w:tc>
      </w:tr>
      <w:tr>
        <w:trPr>
          <w:trHeight w:val="222"/>
        </w:trPr>
        <w:tc>
          <w:tcPr>
            <w:tcW w:w="820" w:type="dxa"/>
            <w:vAlign w:val="bottom"/>
          </w:tcPr>
          <w:p>
            <w:pPr>
              <w:spacing w:after="0"/>
              <w:rPr>
                <w:sz w:val="19"/>
                <w:szCs w:val="19"/>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Form 10-Q for the quarterly period ended June 30, 2010 filed on July 23, 2010;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10.14.3</w:t>
            </w: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First Amendment to 2004 Stock Incentive Plan dated December 12, 2008. (Incorporated by reference from Form 10-Q for the quarterly</w:t>
            </w:r>
          </w:p>
        </w:tc>
      </w:tr>
      <w:tr>
        <w:trPr>
          <w:trHeight w:val="222"/>
        </w:trPr>
        <w:tc>
          <w:tcPr>
            <w:tcW w:w="820" w:type="dxa"/>
            <w:vAlign w:val="bottom"/>
          </w:tcPr>
          <w:p>
            <w:pPr>
              <w:spacing w:after="0"/>
              <w:rPr>
                <w:sz w:val="19"/>
                <w:szCs w:val="19"/>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period ended March 31, 2009 filed on April 22, 2009;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100" w:type="dxa"/>
            <w:vAlign w:val="bottom"/>
          </w:tcPr>
          <w:p>
            <w:pPr>
              <w:ind w:left="300"/>
              <w:spacing w:after="0"/>
              <w:rPr>
                <w:sz w:val="20"/>
                <w:szCs w:val="20"/>
                <w:color w:val="auto"/>
              </w:rPr>
            </w:pPr>
            <w:r>
              <w:rPr>
                <w:rFonts w:ascii="Arial" w:cs="Arial" w:eastAsia="Arial" w:hAnsi="Arial"/>
                <w:sz w:val="18"/>
                <w:szCs w:val="18"/>
                <w:color w:val="auto"/>
                <w:w w:val="88"/>
              </w:rPr>
              <w:t>Forms of agreements available for stock-based awards issued under the 2001 and 2004 Stock Incentive Plans. (Incorporated by reference</w:t>
            </w:r>
          </w:p>
        </w:tc>
      </w:tr>
      <w:tr>
        <w:trPr>
          <w:trHeight w:val="222"/>
        </w:trPr>
        <w:tc>
          <w:tcPr>
            <w:tcW w:w="820" w:type="dxa"/>
            <w:vAlign w:val="bottom"/>
          </w:tcPr>
          <w:p>
            <w:pPr>
              <w:spacing w:after="0"/>
              <w:rPr>
                <w:sz w:val="19"/>
                <w:szCs w:val="19"/>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from Form 10-Q for the quarterly period ended June 30, 2010 filed on July 23, 2010;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10.15.1</w:t>
            </w:r>
          </w:p>
        </w:tc>
        <w:tc>
          <w:tcPr>
            <w:tcW w:w="10100" w:type="dxa"/>
            <w:vAlign w:val="bottom"/>
          </w:tcPr>
          <w:p>
            <w:pPr>
              <w:ind w:left="300"/>
              <w:spacing w:after="0"/>
              <w:rPr>
                <w:sz w:val="20"/>
                <w:szCs w:val="20"/>
                <w:color w:val="auto"/>
              </w:rPr>
            </w:pPr>
            <w:r>
              <w:rPr>
                <w:rFonts w:ascii="Arial" w:cs="Arial" w:eastAsia="Arial" w:hAnsi="Arial"/>
                <w:sz w:val="18"/>
                <w:szCs w:val="18"/>
                <w:color w:val="auto"/>
                <w:w w:val="89"/>
              </w:rPr>
              <w:t>Forms of agreement for stock options issued under the HM Revenue and Customs Approved Sub-Plan for UK Employees under the 2004</w:t>
            </w:r>
          </w:p>
        </w:tc>
      </w:tr>
      <w:tr>
        <w:trPr>
          <w:trHeight w:val="216"/>
        </w:trPr>
        <w:tc>
          <w:tcPr>
            <w:tcW w:w="820" w:type="dxa"/>
            <w:vAlign w:val="bottom"/>
          </w:tcPr>
          <w:p>
            <w:pPr>
              <w:spacing w:after="0"/>
              <w:rPr>
                <w:sz w:val="18"/>
                <w:szCs w:val="18"/>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89"/>
              </w:rPr>
              <w:t>Stock Incentive Plan. (Incorporated by reference from Form 10-Q for the quarterly period ended June 30, 2010 filed on July 23, 2010; File</w:t>
            </w:r>
          </w:p>
        </w:tc>
      </w:tr>
      <w:tr>
        <w:trPr>
          <w:trHeight w:val="222"/>
        </w:trPr>
        <w:tc>
          <w:tcPr>
            <w:tcW w:w="820" w:type="dxa"/>
            <w:vAlign w:val="bottom"/>
          </w:tcPr>
          <w:p>
            <w:pPr>
              <w:spacing w:after="0"/>
              <w:rPr>
                <w:sz w:val="19"/>
                <w:szCs w:val="19"/>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No. 033-07012-99.)</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10.15.2</w:t>
            </w:r>
          </w:p>
        </w:tc>
        <w:tc>
          <w:tcPr>
            <w:tcW w:w="10100" w:type="dxa"/>
            <w:vAlign w:val="bottom"/>
          </w:tcPr>
          <w:p>
            <w:pPr>
              <w:ind w:left="300"/>
              <w:spacing w:after="0"/>
              <w:rPr>
                <w:sz w:val="20"/>
                <w:szCs w:val="20"/>
                <w:color w:val="auto"/>
              </w:rPr>
            </w:pPr>
            <w:r>
              <w:rPr>
                <w:rFonts w:ascii="Arial" w:cs="Arial" w:eastAsia="Arial" w:hAnsi="Arial"/>
                <w:sz w:val="18"/>
                <w:szCs w:val="18"/>
                <w:color w:val="auto"/>
              </w:rPr>
              <w:t>Forms of agreement for stock options issued after February 2, 2012 under the 2004 Stock Incentive Plan.</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10.15.3</w:t>
            </w:r>
          </w:p>
        </w:tc>
        <w:tc>
          <w:tcPr>
            <w:tcW w:w="10100" w:type="dxa"/>
            <w:vAlign w:val="bottom"/>
          </w:tcPr>
          <w:p>
            <w:pPr>
              <w:ind w:left="300"/>
              <w:spacing w:after="0"/>
              <w:rPr>
                <w:sz w:val="20"/>
                <w:szCs w:val="20"/>
                <w:color w:val="auto"/>
              </w:rPr>
            </w:pPr>
            <w:r>
              <w:rPr>
                <w:rFonts w:ascii="Arial" w:cs="Arial" w:eastAsia="Arial" w:hAnsi="Arial"/>
                <w:sz w:val="18"/>
                <w:szCs w:val="18"/>
                <w:color w:val="auto"/>
              </w:rPr>
              <w:t>Forms of agreement for restricted stock units issued after February 2, 2012 under the 2004 Stock Incentive Plan.</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10.15.4</w:t>
            </w:r>
          </w:p>
        </w:tc>
        <w:tc>
          <w:tcPr>
            <w:tcW w:w="10100" w:type="dxa"/>
            <w:vAlign w:val="bottom"/>
          </w:tcPr>
          <w:p>
            <w:pPr>
              <w:ind w:left="300"/>
              <w:spacing w:after="0"/>
              <w:rPr>
                <w:sz w:val="20"/>
                <w:szCs w:val="20"/>
                <w:color w:val="auto"/>
              </w:rPr>
            </w:pPr>
            <w:r>
              <w:rPr>
                <w:rFonts w:ascii="Arial" w:cs="Arial" w:eastAsia="Arial" w:hAnsi="Arial"/>
                <w:sz w:val="18"/>
                <w:szCs w:val="18"/>
                <w:color w:val="auto"/>
              </w:rPr>
              <w:t>Forms of agreement for restricted stock awards issued after February 2, 2012 under the 2004 Stock Incentive Plan.</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Annual Incentive Compensation Pool. (Incorporated by reference from Form DEF 14A filed on March 3, 2003; File No. 033-07012-99.)</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100" w:type="dxa"/>
            <w:vAlign w:val="bottom"/>
          </w:tcPr>
          <w:p>
            <w:pPr>
              <w:ind w:left="300"/>
              <w:spacing w:after="0"/>
              <w:rPr>
                <w:sz w:val="20"/>
                <w:szCs w:val="20"/>
                <w:color w:val="auto"/>
              </w:rPr>
            </w:pPr>
            <w:r>
              <w:rPr>
                <w:rFonts w:ascii="Arial" w:cs="Arial" w:eastAsia="Arial" w:hAnsi="Arial"/>
                <w:sz w:val="18"/>
                <w:szCs w:val="18"/>
                <w:color w:val="auto"/>
                <w:w w:val="89"/>
              </w:rPr>
              <w:t>Policy for Recoupment of Incentive Compensation. (Incorporated by reference from Form 8-K Current Report as of April 14, 2010 filed on</w:t>
            </w:r>
          </w:p>
        </w:tc>
      </w:tr>
      <w:tr>
        <w:trPr>
          <w:trHeight w:val="222"/>
        </w:trPr>
        <w:tc>
          <w:tcPr>
            <w:tcW w:w="820" w:type="dxa"/>
            <w:vAlign w:val="bottom"/>
          </w:tcPr>
          <w:p>
            <w:pPr>
              <w:spacing w:after="0"/>
              <w:rPr>
                <w:sz w:val="19"/>
                <w:szCs w:val="19"/>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April 16, 2010; File No. 033-07012-99.)</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10100" w:type="dxa"/>
            <w:vAlign w:val="bottom"/>
          </w:tcPr>
          <w:p>
            <w:pPr>
              <w:ind w:left="300"/>
              <w:spacing w:after="0"/>
              <w:rPr>
                <w:sz w:val="20"/>
                <w:szCs w:val="20"/>
                <w:color w:val="auto"/>
              </w:rPr>
            </w:pPr>
            <w:r>
              <w:rPr>
                <w:rFonts w:ascii="Arial" w:cs="Arial" w:eastAsia="Arial" w:hAnsi="Arial"/>
                <w:sz w:val="18"/>
                <w:szCs w:val="18"/>
                <w:color w:val="auto"/>
              </w:rPr>
              <w:t>Subsidiaries of T. Rowe Price Group, Inc.</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23</w:t>
            </w:r>
          </w:p>
        </w:tc>
        <w:tc>
          <w:tcPr>
            <w:tcW w:w="1010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31(i).1</w:t>
            </w:r>
          </w:p>
        </w:tc>
        <w:tc>
          <w:tcPr>
            <w:tcW w:w="10100" w:type="dxa"/>
            <w:vAlign w:val="bottom"/>
          </w:tcPr>
          <w:p>
            <w:pPr>
              <w:ind w:left="30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31(i).2</w:t>
            </w:r>
          </w:p>
        </w:tc>
        <w:tc>
          <w:tcPr>
            <w:tcW w:w="10100" w:type="dxa"/>
            <w:vAlign w:val="bottom"/>
          </w:tcPr>
          <w:p>
            <w:pPr>
              <w:ind w:left="30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tcPr>
          <w:p>
            <w:pPr>
              <w:ind w:left="300"/>
              <w:spacing w:after="0"/>
              <w:rPr>
                <w:sz w:val="20"/>
                <w:szCs w:val="20"/>
                <w:color w:val="auto"/>
              </w:rPr>
            </w:pPr>
            <w:r>
              <w:rPr>
                <w:rFonts w:ascii="Arial" w:cs="Arial" w:eastAsia="Arial" w:hAnsi="Arial"/>
                <w:sz w:val="18"/>
                <w:szCs w:val="18"/>
                <w:color w:val="auto"/>
              </w:rPr>
              <w:t>Section 1350 Certifications.</w:t>
            </w:r>
          </w:p>
        </w:tc>
      </w:tr>
    </w:tbl>
    <w:p>
      <w:pPr>
        <w:spacing w:after="0" w:line="75" w:lineRule="exact"/>
        <w:rPr>
          <w:sz w:val="20"/>
          <w:szCs w:val="20"/>
          <w:color w:val="auto"/>
        </w:rPr>
      </w:pPr>
    </w:p>
    <w:p>
      <w:pPr>
        <w:ind w:left="1580" w:hanging="1126"/>
        <w:spacing w:after="0" w:line="332"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101.INS XBRL Instance Document(File name: trow-20111231.xml)</w:t>
      </w:r>
    </w:p>
    <w:p>
      <w:pPr>
        <w:spacing w:after="0" w:line="9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101.SCH XBRL Taxonomy Extension Schema Document (File name: trow-20111231.xsd)</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101.CAL XBRL Taxonomy Calculation Linkbase Document (File name: trow-20111231_cal.xml)</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101.LAB XBRL Taxonomy Label Linkbase Document (File name: trow-20111231_lab.xml)</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101.PRE XBRL Taxonomy Presentation Linkbase Document (File name: trow-20111231_pre.xml)</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101.DEF XBRL Taxonomy Definition Linkbase Document (File name: trow-20111231_def.xml)</w:t>
      </w: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3,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3,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Chief Financial Officer and Treasurer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Jessica M. Hiebler, Vice President and Principal Accounting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380"/>
          </w:cols>
          <w:pgMar w:left="240" w:top="459"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Notice of Grant of</w:t>
            </w:r>
          </w:p>
        </w:tc>
        <w:tc>
          <w:tcPr>
            <w:tcW w:w="4040" w:type="dxa"/>
            <w:vAlign w:val="bottom"/>
          </w:tcPr>
          <w:p>
            <w:pPr>
              <w:spacing w:after="0"/>
              <w:rPr>
                <w:sz w:val="18"/>
                <w:szCs w:val="18"/>
                <w:color w:val="auto"/>
              </w:rPr>
            </w:pPr>
          </w:p>
        </w:tc>
        <w:tc>
          <w:tcPr>
            <w:tcW w:w="3400" w:type="dxa"/>
            <w:vAlign w:val="bottom"/>
          </w:tcPr>
          <w:p>
            <w:pPr>
              <w:ind w:left="1240"/>
              <w:spacing w:after="0"/>
              <w:rPr>
                <w:sz w:val="20"/>
                <w:szCs w:val="20"/>
                <w:color w:val="auto"/>
              </w:rPr>
            </w:pPr>
            <w:r>
              <w:rPr>
                <w:rFonts w:ascii="Arial" w:cs="Arial" w:eastAsia="Arial" w:hAnsi="Arial"/>
                <w:sz w:val="18"/>
                <w:szCs w:val="18"/>
                <w:b w:val="1"/>
                <w:bCs w:val="1"/>
                <w:color w:val="auto"/>
                <w:w w:val="98"/>
              </w:rPr>
              <w:t>T. Rowe Price Group, Inc.</w:t>
            </w:r>
          </w:p>
        </w:tc>
        <w:tc>
          <w:tcPr>
            <w:tcW w:w="2400" w:type="dxa"/>
            <w:vAlign w:val="bottom"/>
          </w:tcPr>
          <w:p>
            <w:pPr>
              <w:spacing w:after="0"/>
              <w:rPr>
                <w:sz w:val="18"/>
                <w:szCs w:val="18"/>
                <w:color w:val="auto"/>
              </w:rPr>
            </w:pPr>
          </w:p>
        </w:tc>
      </w:tr>
      <w:tr>
        <w:trPr>
          <w:trHeight w:val="222"/>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0"/>
              </w:rPr>
              <w:t>Stock Option Award</w:t>
            </w:r>
          </w:p>
        </w:tc>
        <w:tc>
          <w:tcPr>
            <w:tcW w:w="4040" w:type="dxa"/>
            <w:vAlign w:val="bottom"/>
          </w:tcPr>
          <w:p>
            <w:pPr>
              <w:spacing w:after="0"/>
              <w:rPr>
                <w:sz w:val="19"/>
                <w:szCs w:val="19"/>
                <w:color w:val="auto"/>
              </w:rPr>
            </w:pPr>
          </w:p>
        </w:tc>
        <w:tc>
          <w:tcPr>
            <w:tcW w:w="3400" w:type="dxa"/>
            <w:vAlign w:val="bottom"/>
          </w:tcPr>
          <w:p>
            <w:pPr>
              <w:ind w:left="1240"/>
              <w:spacing w:after="0"/>
              <w:rPr>
                <w:sz w:val="20"/>
                <w:szCs w:val="20"/>
                <w:color w:val="auto"/>
              </w:rPr>
            </w:pPr>
            <w:r>
              <w:rPr>
                <w:rFonts w:ascii="Arial" w:cs="Arial" w:eastAsia="Arial" w:hAnsi="Arial"/>
                <w:sz w:val="18"/>
                <w:szCs w:val="18"/>
                <w:color w:val="auto"/>
              </w:rPr>
              <w:t>ID: 52-2264646</w:t>
            </w:r>
          </w:p>
        </w:tc>
        <w:tc>
          <w:tcPr>
            <w:tcW w:w="24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400" w:type="dxa"/>
            <w:vAlign w:val="bottom"/>
          </w:tcPr>
          <w:p>
            <w:pPr>
              <w:ind w:left="1240"/>
              <w:spacing w:after="0"/>
              <w:rPr>
                <w:sz w:val="20"/>
                <w:szCs w:val="20"/>
                <w:color w:val="auto"/>
              </w:rPr>
            </w:pPr>
            <w:r>
              <w:rPr>
                <w:rFonts w:ascii="Arial" w:cs="Arial" w:eastAsia="Arial" w:hAnsi="Arial"/>
                <w:sz w:val="18"/>
                <w:szCs w:val="18"/>
                <w:color w:val="auto"/>
              </w:rPr>
              <w:t>100 E. Pratt Street</w:t>
            </w:r>
          </w:p>
        </w:tc>
        <w:tc>
          <w:tcPr>
            <w:tcW w:w="2400" w:type="dxa"/>
            <w:vAlign w:val="bottom"/>
          </w:tcPr>
          <w:p>
            <w:pPr>
              <w:spacing w:after="0"/>
              <w:rPr>
                <w:sz w:val="18"/>
                <w:szCs w:val="18"/>
                <w:color w:val="auto"/>
              </w:rPr>
            </w:pPr>
          </w:p>
        </w:tc>
      </w:tr>
      <w:tr>
        <w:trPr>
          <w:trHeight w:val="222"/>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400" w:type="dxa"/>
            <w:vAlign w:val="bottom"/>
          </w:tcPr>
          <w:p>
            <w:pPr>
              <w:ind w:left="1240"/>
              <w:spacing w:after="0"/>
              <w:rPr>
                <w:sz w:val="20"/>
                <w:szCs w:val="20"/>
                <w:color w:val="auto"/>
              </w:rPr>
            </w:pPr>
            <w:r>
              <w:rPr>
                <w:rFonts w:ascii="Arial" w:cs="Arial" w:eastAsia="Arial" w:hAnsi="Arial"/>
                <w:sz w:val="18"/>
                <w:szCs w:val="18"/>
                <w:color w:val="auto"/>
              </w:rPr>
              <w:t>Baltimore, MD 21202 USA</w:t>
            </w:r>
          </w:p>
        </w:tc>
        <w:tc>
          <w:tcPr>
            <w:tcW w:w="2400" w:type="dxa"/>
            <w:vAlign w:val="bottom"/>
          </w:tcPr>
          <w:p>
            <w:pPr>
              <w:spacing w:after="0"/>
              <w:rPr>
                <w:sz w:val="19"/>
                <w:szCs w:val="19"/>
                <w:color w:val="auto"/>
              </w:rPr>
            </w:pPr>
          </w:p>
        </w:tc>
      </w:tr>
      <w:tr>
        <w:trPr>
          <w:trHeight w:val="117"/>
        </w:trPr>
        <w:tc>
          <w:tcPr>
            <w:tcW w:w="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440" w:type="dxa"/>
            <w:vAlign w:val="bottom"/>
            <w:tcBorders>
              <w:bottom w:val="single" w:sz="8" w:color="auto"/>
            </w:tcBorders>
            <w:gridSpan w:val="2"/>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tcPr>
          <w:p>
            <w:pPr>
              <w:spacing w:after="0"/>
              <w:rPr>
                <w:sz w:val="24"/>
                <w:szCs w:val="24"/>
                <w:color w:val="auto"/>
              </w:rPr>
            </w:pPr>
          </w:p>
        </w:tc>
        <w:tc>
          <w:tcPr>
            <w:tcW w:w="7440" w:type="dxa"/>
            <w:vAlign w:val="bottom"/>
            <w:gridSpan w:val="2"/>
          </w:tcPr>
          <w:p>
            <w:pPr>
              <w:ind w:left="3340"/>
              <w:spacing w:after="0"/>
              <w:rPr>
                <w:sz w:val="20"/>
                <w:szCs w:val="20"/>
                <w:color w:val="auto"/>
              </w:rPr>
            </w:pPr>
            <w:r>
              <w:rPr>
                <w:rFonts w:ascii="Arial" w:cs="Arial" w:eastAsia="Arial" w:hAnsi="Arial"/>
                <w:sz w:val="18"/>
                <w:szCs w:val="18"/>
                <w:b w:val="1"/>
                <w:bCs w:val="1"/>
                <w:color w:val="auto"/>
              </w:rPr>
              <w:t>Award Number:</w:t>
            </w:r>
          </w:p>
        </w:tc>
        <w:tc>
          <w:tcPr>
            <w:tcW w:w="240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600" w:type="dxa"/>
            <w:vAlign w:val="bottom"/>
          </w:tcPr>
          <w:p>
            <w:pPr>
              <w:spacing w:after="0"/>
              <w:rPr>
                <w:sz w:val="18"/>
                <w:szCs w:val="18"/>
                <w:color w:val="auto"/>
              </w:rPr>
            </w:pPr>
          </w:p>
        </w:tc>
        <w:tc>
          <w:tcPr>
            <w:tcW w:w="4040" w:type="dxa"/>
            <w:vAlign w:val="bottom"/>
          </w:tcPr>
          <w:p>
            <w:pPr>
              <w:ind w:left="3340"/>
              <w:spacing w:after="0"/>
              <w:rPr>
                <w:sz w:val="20"/>
                <w:szCs w:val="20"/>
                <w:color w:val="auto"/>
              </w:rPr>
            </w:pPr>
            <w:r>
              <w:rPr>
                <w:rFonts w:ascii="Arial" w:cs="Arial" w:eastAsia="Arial" w:hAnsi="Arial"/>
                <w:sz w:val="18"/>
                <w:szCs w:val="18"/>
                <w:b w:val="1"/>
                <w:bCs w:val="1"/>
                <w:color w:val="auto"/>
              </w:rPr>
              <w:t>ID:</w:t>
            </w:r>
          </w:p>
        </w:tc>
        <w:tc>
          <w:tcPr>
            <w:tcW w:w="34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8"/>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40" w:type="dxa"/>
            <w:vAlign w:val="bottom"/>
          </w:tcPr>
          <w:p>
            <w:pPr>
              <w:ind w:left="3340"/>
              <w:spacing w:after="0"/>
              <w:rPr>
                <w:sz w:val="20"/>
                <w:szCs w:val="20"/>
                <w:color w:val="auto"/>
              </w:rPr>
            </w:pPr>
            <w:r>
              <w:rPr>
                <w:rFonts w:ascii="Arial" w:cs="Arial" w:eastAsia="Arial" w:hAnsi="Arial"/>
                <w:sz w:val="18"/>
                <w:szCs w:val="18"/>
                <w:b w:val="1"/>
                <w:bCs w:val="1"/>
                <w:color w:val="auto"/>
              </w:rPr>
              <w:t>Plan:</w:t>
            </w:r>
          </w:p>
        </w:tc>
        <w:tc>
          <w:tcPr>
            <w:tcW w:w="34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31"/>
        </w:trPr>
        <w:tc>
          <w:tcPr>
            <w:tcW w:w="9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840" w:type="dxa"/>
            <w:vAlign w:val="bottom"/>
            <w:tcBorders>
              <w:bottom w:val="single" w:sz="8" w:color="auto"/>
            </w:tcBorders>
            <w:gridSpan w:val="3"/>
          </w:tcPr>
          <w:p>
            <w:pPr>
              <w:spacing w:after="0"/>
              <w:rPr>
                <w:sz w:val="11"/>
                <w:szCs w:val="11"/>
                <w:color w:val="auto"/>
              </w:rPr>
            </w:pPr>
          </w:p>
        </w:tc>
      </w:tr>
      <w:tr>
        <w:trPr>
          <w:trHeight w:val="370"/>
        </w:trPr>
        <w:tc>
          <w:tcPr>
            <w:tcW w:w="980" w:type="dxa"/>
            <w:vAlign w:val="bottom"/>
          </w:tcPr>
          <w:p>
            <w:pPr>
              <w:spacing w:after="0"/>
              <w:rPr>
                <w:sz w:val="20"/>
                <w:szCs w:val="20"/>
                <w:color w:val="auto"/>
              </w:rPr>
            </w:pPr>
            <w:r>
              <w:rPr>
                <w:rFonts w:ascii="Arial" w:cs="Arial" w:eastAsia="Arial" w:hAnsi="Arial"/>
                <w:sz w:val="18"/>
                <w:szCs w:val="18"/>
                <w:color w:val="auto"/>
              </w:rPr>
              <w:t>On</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 20</w:t>
            </w:r>
          </w:p>
        </w:tc>
        <w:tc>
          <w:tcPr>
            <w:tcW w:w="9840" w:type="dxa"/>
            <w:vAlign w:val="bottom"/>
            <w:gridSpan w:val="3"/>
          </w:tcPr>
          <w:p>
            <w:pPr>
              <w:ind w:left="40"/>
              <w:spacing w:after="0"/>
              <w:rPr>
                <w:sz w:val="20"/>
                <w:szCs w:val="20"/>
                <w:color w:val="auto"/>
              </w:rPr>
            </w:pPr>
            <w:r>
              <w:rPr>
                <w:rFonts w:ascii="Arial" w:cs="Arial" w:eastAsia="Arial" w:hAnsi="Arial"/>
                <w:sz w:val="18"/>
                <w:szCs w:val="18"/>
                <w:color w:val="auto"/>
                <w:w w:val="89"/>
              </w:rPr>
              <w:t>(the Grant Date), T. Rowe Price Group, Inc. (Price Group) granted you an award of stock options (the Options) under Price Group’s [2004</w:t>
            </w:r>
          </w:p>
        </w:tc>
      </w:tr>
      <w:tr>
        <w:trPr>
          <w:trHeight w:val="222"/>
        </w:trPr>
        <w:tc>
          <w:tcPr>
            <w:tcW w:w="5620" w:type="dxa"/>
            <w:vAlign w:val="bottom"/>
            <w:gridSpan w:val="3"/>
          </w:tcPr>
          <w:p>
            <w:pPr>
              <w:spacing w:after="0"/>
              <w:rPr>
                <w:sz w:val="20"/>
                <w:szCs w:val="20"/>
                <w:color w:val="auto"/>
              </w:rPr>
            </w:pPr>
            <w:r>
              <w:rPr>
                <w:rFonts w:ascii="Arial" w:cs="Arial" w:eastAsia="Arial" w:hAnsi="Arial"/>
                <w:sz w:val="18"/>
                <w:szCs w:val="18"/>
                <w:color w:val="auto"/>
              </w:rPr>
              <w:t>Stock][2012 Long-Term] Incentive Plan to purchase from Price Group</w:t>
            </w:r>
          </w:p>
        </w:tc>
        <w:tc>
          <w:tcPr>
            <w:tcW w:w="3400" w:type="dxa"/>
            <w:vAlign w:val="bottom"/>
          </w:tcPr>
          <w:p>
            <w:pPr>
              <w:ind w:left="300"/>
              <w:spacing w:after="0"/>
              <w:rPr>
                <w:sz w:val="20"/>
                <w:szCs w:val="20"/>
                <w:color w:val="auto"/>
              </w:rPr>
            </w:pPr>
            <w:r>
              <w:rPr>
                <w:rFonts w:ascii="Arial" w:cs="Arial" w:eastAsia="Arial" w:hAnsi="Arial"/>
                <w:sz w:val="18"/>
                <w:szCs w:val="18"/>
                <w:color w:val="auto"/>
                <w:w w:val="93"/>
              </w:rPr>
              <w:t>shares of Price Group common stock at $</w:t>
            </w:r>
          </w:p>
        </w:tc>
        <w:tc>
          <w:tcPr>
            <w:tcW w:w="2400" w:type="dxa"/>
            <w:vAlign w:val="bottom"/>
          </w:tcPr>
          <w:p>
            <w:pPr>
              <w:ind w:left="200"/>
              <w:spacing w:after="0"/>
              <w:rPr>
                <w:sz w:val="20"/>
                <w:szCs w:val="20"/>
                <w:color w:val="auto"/>
              </w:rPr>
            </w:pPr>
            <w:r>
              <w:rPr>
                <w:rFonts w:ascii="Arial" w:cs="Arial" w:eastAsia="Arial" w:hAnsi="Arial"/>
                <w:sz w:val="18"/>
                <w:szCs w:val="18"/>
                <w:color w:val="auto"/>
                <w:w w:val="92"/>
              </w:rPr>
              <w:t>per share, the closing price of</w:t>
            </w:r>
          </w:p>
        </w:tc>
      </w:tr>
    </w:tbl>
    <w:p>
      <w:pPr>
        <w:jc w:val="both"/>
        <w:ind w:right="160"/>
        <w:spacing w:after="0" w:line="196" w:lineRule="auto"/>
        <w:rPr>
          <w:sz w:val="20"/>
          <w:szCs w:val="20"/>
          <w:color w:val="auto"/>
        </w:rPr>
      </w:pPr>
      <w:r>
        <w:rPr>
          <w:rFonts w:ascii="Arial" w:cs="Arial" w:eastAsia="Arial" w:hAnsi="Arial"/>
          <w:sz w:val="15"/>
          <w:szCs w:val="15"/>
          <w:color w:val="auto"/>
        </w:rPr>
        <w:t>Price Group common stock on the Grant Date. The Options are [nonqualified stock options which do not qualify as incentive stock options for purposes of U.S. federal tax law.][intended to be incentive stock options to the fullest extent permitted by U.S. federal tax law.] The Options become exercisable as shown below, subject to the provisions of the Statement of Additional Terms Regarding Awards of Stock Options [(</w:t>
      </w:r>
      <w:r>
        <w:rPr>
          <w:rFonts w:ascii="Arial" w:cs="Arial" w:eastAsia="Arial" w:hAnsi="Arial"/>
          <w:sz w:val="15"/>
          <w:szCs w:val="15"/>
          <w:i w:val="1"/>
          <w:iCs w:val="1"/>
          <w:color w:val="auto"/>
        </w:rPr>
        <w:t>version 1A</w:t>
      </w:r>
      <w:r>
        <w:rPr>
          <w:rFonts w:ascii="Arial" w:cs="Arial" w:eastAsia="Arial" w:hAnsi="Arial"/>
          <w:sz w:val="15"/>
          <w:szCs w:val="15"/>
          <w:color w:val="auto"/>
        </w:rPr>
        <w:t>)] [(</w:t>
      </w:r>
      <w:r>
        <w:rPr>
          <w:rFonts w:ascii="Arial" w:cs="Arial" w:eastAsia="Arial" w:hAnsi="Arial"/>
          <w:sz w:val="15"/>
          <w:szCs w:val="15"/>
          <w:i w:val="1"/>
          <w:iCs w:val="1"/>
          <w:color w:val="auto"/>
        </w:rPr>
        <w:t>version 1B</w:t>
      </w:r>
      <w:r>
        <w:rPr>
          <w:rFonts w:ascii="Arial" w:cs="Arial" w:eastAsia="Arial" w:hAnsi="Arial"/>
          <w:sz w:val="15"/>
          <w:szCs w:val="15"/>
          <w:color w:val="auto"/>
        </w:rPr>
        <w:t>)] (the Statement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Terms) which sets forth the terms and conditions of this grant. The Options, if not sooner exercised, forfeited or otherwise terminated, expire on , 20 (the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Options will become vested and exercisable for shares of Price Group common stock in installments on the vesting dates set forth in the vesting schedule below.</w:t>
      </w:r>
    </w:p>
    <w:p>
      <w:pPr>
        <w:spacing w:after="0" w:line="178" w:lineRule="exact"/>
        <w:rPr>
          <w:sz w:val="20"/>
          <w:szCs w:val="20"/>
          <w:color w:val="auto"/>
        </w:rPr>
      </w:pPr>
    </w:p>
    <w:p>
      <w:pPr>
        <w:ind w:left="2860"/>
        <w:spacing w:after="0"/>
        <w:tabs>
          <w:tab w:leader="none" w:pos="7800" w:val="left"/>
        </w:tabs>
        <w:rPr>
          <w:sz w:val="20"/>
          <w:szCs w:val="20"/>
          <w:color w:val="auto"/>
        </w:rPr>
      </w:pPr>
      <w:r>
        <w:rPr>
          <w:rFonts w:ascii="Arial" w:cs="Arial" w:eastAsia="Arial" w:hAnsi="Arial"/>
          <w:sz w:val="14"/>
          <w:szCs w:val="14"/>
          <w:u w:val="single" w:color="auto"/>
          <w:color w:val="auto"/>
        </w:rPr>
        <w:t># of Options</w:t>
      </w:r>
      <w:r>
        <w:rPr>
          <w:sz w:val="20"/>
          <w:szCs w:val="20"/>
          <w:color w:val="auto"/>
        </w:rPr>
        <w:tab/>
      </w:r>
      <w:r>
        <w:rPr>
          <w:rFonts w:ascii="Arial" w:cs="Arial" w:eastAsia="Arial" w:hAnsi="Arial"/>
          <w:sz w:val="11"/>
          <w:szCs w:val="1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7620</wp:posOffset>
            </wp:positionV>
            <wp:extent cx="361886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8"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9"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-129540</wp:posOffset>
            </wp:positionV>
            <wp:extent cx="361886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9"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-129540</wp:posOffset>
            </wp:positionV>
            <wp:extent cx="361886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the Options may become vested and exercisable.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19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52"/>
        </w:trPr>
        <w:tc>
          <w:tcPr>
            <w:tcW w:w="342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gridSpan w:val="3"/>
          </w:tcPr>
          <w:p>
            <w:pPr>
              <w:spacing w:after="0"/>
              <w:rPr>
                <w:sz w:val="21"/>
                <w:szCs w:val="21"/>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STOCK OPTIONS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(version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Statement of Additional Terms Regarding Awards of Stock Options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Grant of Stock Option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256" w:lineRule="auto"/>
        <w:tabs>
          <w:tab w:leader="none" w:pos="115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nonvested and forfeitable as of the Grant Date. For clarity, as used in this Agreement, the term “vest” means that the Options become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right="380" w:firstLine="921"/>
        <w:spacing w:after="0" w:line="268" w:lineRule="auto"/>
        <w:tabs>
          <w:tab w:leader="none" w:pos="1161"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So long as your Service is continuous from the Grant Date through the applicable date upon which vesting is scheduled to occur, the Options will vest and become exercisable on the vesting dates as set forth in the correlating Notice.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40" w:firstLine="421"/>
        <w:spacing w:after="0" w:line="294" w:lineRule="auto"/>
        <w:tabs>
          <w:tab w:leader="none" w:pos="1549" w:val="left"/>
        </w:tabs>
        <w:numPr>
          <w:ilvl w:val="2"/>
          <w:numId w:val="18"/>
        </w:numPr>
        <w:rPr>
          <w:rFonts w:ascii="Arial" w:cs="Arial" w:eastAsia="Arial" w:hAnsi="Arial"/>
          <w:sz w:val="16"/>
          <w:szCs w:val="16"/>
          <w:color w:val="auto"/>
        </w:rPr>
      </w:pPr>
      <w:r>
        <w:rPr>
          <w:rFonts w:ascii="Arial" w:cs="Arial" w:eastAsia="Arial" w:hAnsi="Arial"/>
          <w:sz w:val="16"/>
          <w:szCs w:val="16"/>
          <w:color w:val="auto"/>
        </w:rPr>
        <w:t>If, as of the date on which your Termination of Service occurs, you have attained age 60 and have at least ten years of Service credit with the Company (as determined by the Committee), including Service with any successor to the Company, then, except as otherwise provided in this Agreement, the then-unvested Options that have not been previously forfeited and which are scheduled to vest within the 36-month period immediately following your Termination of Service will vest and become exercisable on their scheduled vesting dates set forth in the correlating Notice notwithstanding the fact that your Service has terminated.</w:t>
      </w:r>
    </w:p>
    <w:p>
      <w:pPr>
        <w:spacing w:after="0" w:line="34" w:lineRule="exact"/>
        <w:rPr>
          <w:rFonts w:ascii="Arial" w:cs="Arial" w:eastAsia="Arial" w:hAnsi="Arial"/>
          <w:sz w:val="16"/>
          <w:szCs w:val="16"/>
          <w:color w:val="auto"/>
        </w:rPr>
      </w:pPr>
    </w:p>
    <w:p>
      <w:pPr>
        <w:jc w:val="both"/>
        <w:ind w:left="920" w:right="140" w:firstLine="421"/>
        <w:spacing w:after="0" w:line="259" w:lineRule="auto"/>
        <w:tabs>
          <w:tab w:leader="none" w:pos="1598" w:val="left"/>
        </w:tabs>
        <w:numPr>
          <w:ilvl w:val="2"/>
          <w:numId w:val="18"/>
        </w:numPr>
        <w:rPr>
          <w:rFonts w:ascii="Arial" w:cs="Arial" w:eastAsia="Arial" w:hAnsi="Arial"/>
          <w:sz w:val="18"/>
          <w:szCs w:val="18"/>
          <w:color w:val="auto"/>
        </w:rPr>
      </w:pPr>
      <w:r>
        <w:rPr>
          <w:rFonts w:ascii="Arial" w:cs="Arial" w:eastAsia="Arial" w:hAnsi="Arial"/>
          <w:sz w:val="18"/>
          <w:szCs w:val="18"/>
          <w:color w:val="auto"/>
        </w:rPr>
        <w:t>Notwithstanding the provisions of Section 2(c)(i) to the contrary, unless the Committee determines otherwise, your unvested Options will be immediately forfeited for no consideration, no further vesting will accrue and no shares of Common Stock will be delivered in respect thereof, if you breach any of the restrictive covenants set forth in Section 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69" w:name="page70"/>
    <w:bookmarkEnd w:id="69"/>
    <w:p>
      <w:pPr>
        <w:ind w:left="-60" w:right="180" w:firstLine="921"/>
        <w:spacing w:after="0" w:line="268" w:lineRule="auto"/>
        <w:tabs>
          <w:tab w:leader="none" w:pos="110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upon Death or Disability</w:t>
      </w:r>
      <w:r>
        <w:rPr>
          <w:rFonts w:ascii="Arial" w:cs="Arial" w:eastAsia="Arial" w:hAnsi="Arial"/>
          <w:sz w:val="18"/>
          <w:szCs w:val="18"/>
          <w:color w:val="auto"/>
        </w:rPr>
        <w:t>. All of the Options that have not already vested or been previously forfeited will vest and become exercisable upon your death or Termination of Service due to your Total and Permanent Disability.</w:t>
      </w:r>
    </w:p>
    <w:p>
      <w:pPr>
        <w:spacing w:after="0" w:line="131" w:lineRule="exact"/>
        <w:rPr>
          <w:rFonts w:ascii="Arial" w:cs="Arial" w:eastAsia="Arial" w:hAnsi="Arial"/>
          <w:sz w:val="18"/>
          <w:szCs w:val="18"/>
          <w:color w:val="auto"/>
        </w:rPr>
      </w:pPr>
    </w:p>
    <w:p>
      <w:pPr>
        <w:ind w:left="-60" w:right="160" w:firstLine="921"/>
        <w:spacing w:after="0" w:line="290" w:lineRule="auto"/>
        <w:tabs>
          <w:tab w:leader="none" w:pos="10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xml:space="preserve">.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of the Options that have not already vested or been previously forfeited or terminated in connection with the Change in Control will vest and become exercisable upon such Termination of Service. </w:t>
      </w:r>
      <w:r>
        <w:rPr>
          <w:rFonts w:ascii="Arial" w:cs="Arial" w:eastAsia="Arial" w:hAnsi="Arial"/>
          <w:sz w:val="16"/>
          <w:szCs w:val="16"/>
          <w:b w:val="1"/>
          <w:bCs w:val="1"/>
          <w:i w:val="1"/>
          <w:iCs w:val="1"/>
          <w:color w:val="auto"/>
        </w:rPr>
        <w:t>[Include the following for Options granted under the 2004 Stock Incentive Plan:</w:t>
      </w:r>
      <w:r>
        <w:rPr>
          <w:rFonts w:ascii="Arial" w:cs="Arial" w:eastAsia="Arial" w:hAnsi="Arial"/>
          <w:sz w:val="16"/>
          <w:szCs w:val="16"/>
          <w:color w:val="auto"/>
        </w:rPr>
        <w:t xml:space="preserve"> The double-trigger vesting provisions set forth in this paragraph reflect the Committee’s exercise of its discretion to limit accelerated vesting that may otherwise have been contemplated under the provisions of Section 7(c)(ii) of the Plan and the provisions of this paragraph, as modified by Section 9(d), shall apply to the Options in lieu of the provisions of Section 7(c)(ii) of the Plan unless the Committee determines otherwise.</w:t>
      </w:r>
      <w:r>
        <w:rPr>
          <w:rFonts w:ascii="Arial" w:cs="Arial" w:eastAsia="Arial" w:hAnsi="Arial"/>
          <w:sz w:val="16"/>
          <w:szCs w:val="16"/>
          <w:b w:val="1"/>
          <w:bCs w:val="1"/>
          <w:i w:val="1"/>
          <w:iCs w:val="1"/>
          <w:color w:val="auto"/>
        </w:rPr>
        <w:t>]</w:t>
      </w:r>
    </w:p>
    <w:p>
      <w:pPr>
        <w:spacing w:after="0" w:line="118" w:lineRule="exact"/>
        <w:rPr>
          <w:rFonts w:ascii="Arial" w:cs="Arial" w:eastAsia="Arial" w:hAnsi="Arial"/>
          <w:sz w:val="16"/>
          <w:szCs w:val="16"/>
          <w:color w:val="auto"/>
        </w:rPr>
      </w:pPr>
    </w:p>
    <w:p>
      <w:pPr>
        <w:ind w:left="580" w:hanging="176"/>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0" w:right="40" w:firstLine="921"/>
        <w:spacing w:after="0" w:line="259" w:lineRule="auto"/>
        <w:tabs>
          <w:tab w:leader="none" w:pos="109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None of the Options are exercisable as of the Grant Date. The Options will become exercisable in installments in accordance with the Vesting Schedule set forth in the correlating Notice, so long as you are in the continuous Service of the Company from the Grant Date through the applicable vesting dates or as otherwise provided in Section 2 above.</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firstLine="421"/>
        <w:spacing w:after="0" w:line="294" w:lineRule="auto"/>
        <w:tabs>
          <w:tab w:leader="none" w:pos="1489" w:val="left"/>
        </w:tabs>
        <w:numPr>
          <w:ilvl w:val="2"/>
          <w:numId w:val="20"/>
        </w:numPr>
        <w:rPr>
          <w:rFonts w:ascii="Arial" w:cs="Arial" w:eastAsia="Arial" w:hAnsi="Arial"/>
          <w:sz w:val="16"/>
          <w:szCs w:val="16"/>
          <w:color w:val="auto"/>
        </w:rPr>
      </w:pPr>
      <w:r>
        <w:rPr>
          <w:rFonts w:ascii="Arial" w:cs="Arial" w:eastAsia="Arial" w:hAnsi="Arial"/>
          <w:sz w:val="16"/>
          <w:szCs w:val="16"/>
          <w:color w:val="auto"/>
        </w:rPr>
        <w:t>You may exercise the Options, to the extent they have become exercisable,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 You are not required to exercise your Options when they vest. Vested Options will accumulate and be exercisable by you, in whole or in part, at any time before the Options expire or are otherwise forfeited or terminated.</w:t>
      </w:r>
    </w:p>
    <w:p>
      <w:pPr>
        <w:spacing w:after="0" w:line="34" w:lineRule="exact"/>
        <w:rPr>
          <w:rFonts w:ascii="Arial" w:cs="Arial" w:eastAsia="Arial" w:hAnsi="Arial"/>
          <w:sz w:val="16"/>
          <w:szCs w:val="16"/>
          <w:color w:val="auto"/>
        </w:rPr>
      </w:pPr>
    </w:p>
    <w:p>
      <w:pPr>
        <w:ind w:left="860" w:firstLine="421"/>
        <w:spacing w:after="0" w:line="289" w:lineRule="auto"/>
        <w:tabs>
          <w:tab w:leader="none" w:pos="1538" w:val="left"/>
        </w:tabs>
        <w:numPr>
          <w:ilvl w:val="2"/>
          <w:numId w:val="20"/>
        </w:numPr>
        <w:rPr>
          <w:rFonts w:ascii="Arial" w:cs="Arial" w:eastAsia="Arial" w:hAnsi="Arial"/>
          <w:sz w:val="16"/>
          <w:szCs w:val="16"/>
          <w:color w:val="auto"/>
        </w:rPr>
      </w:pPr>
      <w:r>
        <w:rPr>
          <w:rFonts w:ascii="Arial" w:cs="Arial" w:eastAsia="Arial" w:hAnsi="Arial"/>
          <w:sz w:val="16"/>
          <w:szCs w:val="16"/>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 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70" w:name="page71"/>
    <w:bookmarkEnd w:id="70"/>
    <w:p>
      <w:pPr>
        <w:ind w:left="900" w:right="600" w:firstLine="421"/>
        <w:spacing w:after="0" w:line="357" w:lineRule="auto"/>
        <w:tabs>
          <w:tab w:leader="none" w:pos="1627" w:val="left"/>
        </w:tabs>
        <w:numPr>
          <w:ilvl w:val="1"/>
          <w:numId w:val="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ind w:left="1620" w:hanging="299"/>
        <w:spacing w:after="0"/>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You may exercise the Options only in multiples of whole shares. No fractional shares of Common Stock will be issued under the Options.</w:t>
      </w:r>
    </w:p>
    <w:p>
      <w:pPr>
        <w:spacing w:after="0" w:line="194" w:lineRule="exact"/>
        <w:rPr>
          <w:rFonts w:ascii="Arial" w:cs="Arial" w:eastAsia="Arial" w:hAnsi="Arial"/>
          <w:sz w:val="16"/>
          <w:szCs w:val="16"/>
          <w:color w:val="auto"/>
        </w:rPr>
      </w:pPr>
    </w:p>
    <w:p>
      <w:pPr>
        <w:ind w:left="-20" w:right="280" w:firstLine="921"/>
        <w:spacing w:after="0" w:line="268" w:lineRule="auto"/>
        <w:tabs>
          <w:tab w:leader="none" w:pos="113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22"/>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22"/>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22"/>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50" w:lineRule="exact"/>
        <w:rPr>
          <w:rFonts w:ascii="Arial" w:cs="Arial" w:eastAsia="Arial" w:hAnsi="Arial"/>
          <w:sz w:val="18"/>
          <w:szCs w:val="18"/>
          <w:color w:val="auto"/>
        </w:rPr>
      </w:pPr>
    </w:p>
    <w:p>
      <w:pPr>
        <w:ind w:left="900" w:right="300" w:firstLine="421"/>
        <w:spacing w:after="0" w:line="259" w:lineRule="auto"/>
        <w:tabs>
          <w:tab w:leader="none" w:pos="15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71" w:name="page72"/>
    <w:bookmarkEnd w:id="7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 cashless exercise instruction results in the sale of shares over a number of days, each day on which a sale occurs will constitute the Exercise Date of the Option with respect to the shares sold on such day.</w:t>
      </w:r>
    </w:p>
    <w:p>
      <w:pPr>
        <w:spacing w:after="0" w:line="143" w:lineRule="exact"/>
        <w:rPr>
          <w:sz w:val="20"/>
          <w:szCs w:val="20"/>
          <w:color w:val="auto"/>
        </w:rPr>
      </w:pPr>
    </w:p>
    <w:p>
      <w:pPr>
        <w:ind w:left="240" w:hanging="239"/>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40" w:hanging="219"/>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80" w:right="280" w:firstLine="389"/>
        <w:spacing w:after="0" w:line="332" w:lineRule="auto"/>
        <w:tabs>
          <w:tab w:leader="none" w:pos="1265" w:val="left"/>
        </w:tabs>
        <w:numPr>
          <w:ilvl w:val="2"/>
          <w:numId w:val="23"/>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80" w:firstLine="389"/>
        <w:spacing w:after="0" w:line="294" w:lineRule="auto"/>
        <w:tabs>
          <w:tab w:leader="none" w:pos="1255" w:val="left"/>
        </w:tabs>
        <w:numPr>
          <w:ilvl w:val="2"/>
          <w:numId w:val="23"/>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80" w:right="20" w:firstLine="389"/>
        <w:spacing w:after="0" w:line="291" w:lineRule="auto"/>
        <w:tabs>
          <w:tab w:leader="none" w:pos="1255" w:val="left"/>
        </w:tabs>
        <w:numPr>
          <w:ilvl w:val="2"/>
          <w:numId w:val="23"/>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80" w:right="280" w:firstLine="389"/>
        <w:spacing w:after="0" w:line="268" w:lineRule="auto"/>
        <w:tabs>
          <w:tab w:leader="none" w:pos="1265" w:val="left"/>
        </w:tabs>
        <w:numPr>
          <w:ilvl w:val="2"/>
          <w:numId w:val="23"/>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50" w:lineRule="exact"/>
        <w:rPr>
          <w:rFonts w:ascii="Arial" w:cs="Arial" w:eastAsia="Arial" w:hAnsi="Arial"/>
          <w:sz w:val="18"/>
          <w:szCs w:val="18"/>
          <w:color w:val="auto"/>
        </w:rPr>
      </w:pPr>
    </w:p>
    <w:p>
      <w:pPr>
        <w:ind w:left="580" w:right="400" w:firstLine="389"/>
        <w:spacing w:after="0" w:line="268" w:lineRule="auto"/>
        <w:tabs>
          <w:tab w:leader="none" w:pos="1245"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1220" w:hanging="251"/>
        <w:spacing w:after="0"/>
        <w:tabs>
          <w:tab w:leader="none" w:pos="12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72" w:name="page73"/>
    <w:bookmarkEnd w:id="72"/>
    <w:p>
      <w:pPr>
        <w:ind w:left="900" w:right="100" w:firstLine="421"/>
        <w:spacing w:after="0" w:line="291" w:lineRule="auto"/>
        <w:tabs>
          <w:tab w:leader="none" w:pos="1578"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Committee in its discretion may place limitations on the extent, if any, to which you may pay the aggregate purchase price by tendering shares of Common Stock or electing net share settlement, and in no event may you pay the purchase price through either of those two methods if you are a resident of Canada. If the shares of Common Stock tendered or withheld are insufficient in value to pay the aggregate purchase price, you must deliver the net unpaid amount to the Company’s Payroll and Stock Transaction Group on the Exercise Date in cash or in one of the specified forms of acceptable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net unpaid amount is less than the value of one share of Common Stock, the Company may allow you to pay such amount by having it withheld from your next paycheck.</w:t>
      </w:r>
    </w:p>
    <w:p>
      <w:pPr>
        <w:spacing w:after="0" w:line="120" w:lineRule="exact"/>
        <w:rPr>
          <w:rFonts w:ascii="Arial" w:cs="Arial" w:eastAsia="Arial" w:hAnsi="Arial"/>
          <w:sz w:val="16"/>
          <w:szCs w:val="16"/>
          <w:color w:val="auto"/>
        </w:rPr>
      </w:pPr>
    </w:p>
    <w:p>
      <w:pPr>
        <w:ind w:left="-20" w:firstLine="921"/>
        <w:spacing w:after="0" w:line="286" w:lineRule="auto"/>
        <w:tabs>
          <w:tab w:leader="none" w:pos="111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40" w:firstLine="921"/>
        <w:spacing w:after="0" w:line="288" w:lineRule="auto"/>
        <w:tabs>
          <w:tab w:leader="none" w:pos="114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 If you purchase shares of Common Stock under Options that qualify as incentive stock options within the meaning of Section 422 of the Code, the Company may take reasonable measures, which you agree to abide by when accepting the correlating Notice, to track the ownership of such shares until the date on which a sale or disposition of the shares by you would no longer constitute a disqualifying disposition within the meaning of Section 422 of the Code.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73" w:name="page74"/>
    <w:bookmarkEnd w:id="73"/>
    <w:p>
      <w:pPr>
        <w:ind w:left="600" w:hanging="17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 of Unvested Options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20" w:firstLine="921"/>
        <w:spacing w:after="0" w:line="256" w:lineRule="auto"/>
        <w:tabs>
          <w:tab w:leader="none" w:pos="111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before Attaining Age 60 with 10 Years of Service</w:t>
      </w:r>
      <w:r>
        <w:rPr>
          <w:rFonts w:ascii="Arial" w:cs="Arial" w:eastAsia="Arial" w:hAnsi="Arial"/>
          <w:sz w:val="18"/>
          <w:szCs w:val="18"/>
          <w:color w:val="auto"/>
        </w:rPr>
        <w:t xml:space="preserve">. If your Service ceases for any reason before you have attained age 60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have at least ten years of Service credit with the Company (as determined by the Committee), including Service with any successor to the Company, all Options that are not then vested or eligible for future vesting, after giving effect to the applicable provisions of Section 2 above, will be immediately forfeited upon such cessation for no consideration.</w:t>
      </w:r>
    </w:p>
    <w:p>
      <w:pPr>
        <w:spacing w:after="0" w:line="143" w:lineRule="exact"/>
        <w:rPr>
          <w:rFonts w:ascii="Arial" w:cs="Arial" w:eastAsia="Arial" w:hAnsi="Arial"/>
          <w:sz w:val="18"/>
          <w:szCs w:val="18"/>
          <w:color w:val="auto"/>
        </w:rPr>
      </w:pPr>
    </w:p>
    <w:p>
      <w:pPr>
        <w:ind w:left="-40" w:firstLine="921"/>
        <w:spacing w:after="0" w:line="254" w:lineRule="auto"/>
        <w:tabs>
          <w:tab w:leader="none" w:pos="112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after Attaining Age 60 with 10 Years of Service</w:t>
      </w:r>
      <w:r>
        <w:rPr>
          <w:rFonts w:ascii="Arial" w:cs="Arial" w:eastAsia="Arial" w:hAnsi="Arial"/>
          <w:sz w:val="18"/>
          <w:szCs w:val="18"/>
          <w:color w:val="auto"/>
        </w:rPr>
        <w:t xml:space="preserve">. If, as of the date on which your Termination of Service occurs, you have attained age 60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have at least ten years of Service credit with the Company (as determined by the Committee), including Service with any successor to the Company, then Options that are not then vested, after giving effect to the applicable provisions of Section 2 above, and which are scheduled to vest on vesting dates set forth in the correlating Notice that fall beyond the 36-month period immediately following your Termination of Service, will be immediately forfeited upon such cessation for no consideration and Section 2(c) will apply to the then-unvested Options which are scheduled to vest within the 36-month period immediately following your Termination of Service.</w:t>
      </w:r>
    </w:p>
    <w:p>
      <w:pPr>
        <w:spacing w:after="0" w:line="144" w:lineRule="exact"/>
        <w:rPr>
          <w:rFonts w:ascii="Arial" w:cs="Arial" w:eastAsia="Arial" w:hAnsi="Arial"/>
          <w:sz w:val="18"/>
          <w:szCs w:val="18"/>
          <w:color w:val="auto"/>
        </w:rPr>
      </w:pPr>
    </w:p>
    <w:p>
      <w:pPr>
        <w:ind w:left="-40" w:right="60" w:firstLine="464"/>
        <w:spacing w:after="0" w:line="259" w:lineRule="auto"/>
        <w:tabs>
          <w:tab w:leader="none" w:pos="5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Exercise Periods upon Termination of Service</w:t>
      </w:r>
      <w:r>
        <w:rPr>
          <w:rFonts w:ascii="Arial" w:cs="Arial" w:eastAsia="Arial" w:hAnsi="Arial"/>
          <w:sz w:val="18"/>
          <w:szCs w:val="18"/>
          <w:color w:val="auto"/>
        </w:rPr>
        <w:t>. The period during which you may exercise Options after your Service with the Company terminates is dependent upon your attained age and cumulative years of Service credit with the Company, including Service with any successor to the Company, as of the date on which your Service terminates, as follows:</w:t>
      </w:r>
    </w:p>
    <w:p>
      <w:pPr>
        <w:spacing w:after="0" w:line="140" w:lineRule="exact"/>
        <w:rPr>
          <w:rFonts w:ascii="Arial" w:cs="Arial" w:eastAsia="Arial" w:hAnsi="Arial"/>
          <w:sz w:val="18"/>
          <w:szCs w:val="18"/>
          <w:color w:val="auto"/>
        </w:rPr>
      </w:pPr>
    </w:p>
    <w:p>
      <w:pPr>
        <w:jc w:val="both"/>
        <w:ind w:left="-40" w:right="100" w:firstLine="921"/>
        <w:spacing w:after="0" w:line="306" w:lineRule="auto"/>
        <w:tabs>
          <w:tab w:leader="none" w:pos="111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before Attaining Age 55 with 10 Years of Service</w:t>
      </w:r>
      <w:r>
        <w:rPr>
          <w:rFonts w:ascii="Arial" w:cs="Arial" w:eastAsia="Arial" w:hAnsi="Arial"/>
          <w:sz w:val="16"/>
          <w:szCs w:val="16"/>
          <w:color w:val="auto"/>
        </w:rPr>
        <w:t>. If, as of the date of your Termination of Service, you have not attained age 55 or do not have at least ten years of Service credit with the Company (as determined by the Committee), including Service with any successor to the Company, your vested Options will terminate 90 days after the date on which your Service terminates, but in no event later than the Expiration Date.</w:t>
      </w:r>
    </w:p>
    <w:p>
      <w:pPr>
        <w:spacing w:after="0" w:line="106" w:lineRule="exact"/>
        <w:rPr>
          <w:rFonts w:ascii="Arial" w:cs="Arial" w:eastAsia="Arial" w:hAnsi="Arial"/>
          <w:sz w:val="16"/>
          <w:szCs w:val="16"/>
          <w:color w:val="auto"/>
        </w:rPr>
      </w:pPr>
    </w:p>
    <w:p>
      <w:pPr>
        <w:jc w:val="both"/>
        <w:ind w:left="-40" w:right="100" w:firstLine="921"/>
        <w:spacing w:after="0" w:line="335" w:lineRule="auto"/>
        <w:tabs>
          <w:tab w:leader="none" w:pos="1121"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Termination after Attaining Age 55 with 10 Years of Service</w:t>
      </w:r>
      <w:r>
        <w:rPr>
          <w:rFonts w:ascii="Arial" w:cs="Arial" w:eastAsia="Arial" w:hAnsi="Arial"/>
          <w:sz w:val="15"/>
          <w:szCs w:val="15"/>
          <w:color w:val="auto"/>
        </w:rPr>
        <w:t xml:space="preserve">. If, as of the date of your Termination of Service, you have attained age 55, but not yet attained age 58,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you have at least ten years of Service credit with the Company (as determined by the Committee), including Service with any successor to the Company, your vested Options will terminate 13 months after the date on which your Service terminates, but in no event later than the Expiration Date.</w:t>
      </w:r>
    </w:p>
    <w:p>
      <w:pPr>
        <w:spacing w:after="0" w:line="88" w:lineRule="exact"/>
        <w:rPr>
          <w:rFonts w:ascii="Arial" w:cs="Arial" w:eastAsia="Arial" w:hAnsi="Arial"/>
          <w:sz w:val="15"/>
          <w:szCs w:val="15"/>
          <w:color w:val="auto"/>
        </w:rPr>
      </w:pPr>
    </w:p>
    <w:p>
      <w:pPr>
        <w:ind w:left="-40" w:firstLine="921"/>
        <w:spacing w:after="0" w:line="306" w:lineRule="auto"/>
        <w:tabs>
          <w:tab w:leader="none" w:pos="111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after Attaining Age 58 with 10 Years of Service</w:t>
      </w:r>
      <w:r>
        <w:rPr>
          <w:rFonts w:ascii="Arial" w:cs="Arial" w:eastAsia="Arial" w:hAnsi="Arial"/>
          <w:sz w:val="16"/>
          <w:szCs w:val="16"/>
          <w:color w:val="auto"/>
        </w:rPr>
        <w:t xml:space="preserve">. If, as of the date of your Termination of Service, you have attained age 58, but not yet attained age 60,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have at least ten years of Service credit with the Company (as determined by the Committee), including Service with any successor to the Company, your vested Options will terminate 36 months after the date on which your Service terminates, but in no event later than the Expiration Date.</w:t>
      </w:r>
    </w:p>
    <w:p>
      <w:pPr>
        <w:spacing w:after="0" w:line="106" w:lineRule="exact"/>
        <w:rPr>
          <w:rFonts w:ascii="Arial" w:cs="Arial" w:eastAsia="Arial" w:hAnsi="Arial"/>
          <w:sz w:val="16"/>
          <w:szCs w:val="16"/>
          <w:color w:val="auto"/>
        </w:rPr>
      </w:pPr>
    </w:p>
    <w:p>
      <w:pPr>
        <w:jc w:val="both"/>
        <w:ind w:left="-40" w:right="80" w:firstLine="921"/>
        <w:spacing w:after="0" w:line="256" w:lineRule="auto"/>
        <w:tabs>
          <w:tab w:leader="none" w:pos="112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after Attaining Age 60 with 10 Years of Service</w:t>
      </w:r>
      <w:r>
        <w:rPr>
          <w:rFonts w:ascii="Arial" w:cs="Arial" w:eastAsia="Arial" w:hAnsi="Arial"/>
          <w:sz w:val="18"/>
          <w:szCs w:val="18"/>
          <w:color w:val="auto"/>
        </w:rPr>
        <w:t xml:space="preserve">. If, as of the date of your Termination of Service, you have attained age 60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you have at least ten years of Service credit with the Company (as determined by the Committee), including Service with any successor to the Company, your vested Options determined as of the date of your Termination of Service will terminate 36 months after the date on which your Service terminates, but in no event later than the Expiration Date. Furthermore, any Options which become vested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74" w:name="page75"/>
    <w:bookmarkEnd w:id="74"/>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Section 2(c) above within the 36-month period following the date on which your Service terminates will terminate 39 months after the date on which your Service terminates (i.e., the standard 36-month period plus three additional months), but in no event later than the Expiration Date.</w:t>
      </w:r>
    </w:p>
    <w:p>
      <w:pPr>
        <w:spacing w:after="0" w:line="85" w:lineRule="exact"/>
        <w:rPr>
          <w:sz w:val="20"/>
          <w:szCs w:val="20"/>
          <w:color w:val="auto"/>
        </w:rPr>
      </w:pPr>
    </w:p>
    <w:p>
      <w:pPr>
        <w:ind w:right="20" w:firstLine="921"/>
        <w:spacing w:after="0" w:line="306" w:lineRule="auto"/>
        <w:tabs>
          <w:tab w:leader="none" w:pos="1152" w:val="left"/>
        </w:tabs>
        <w:numPr>
          <w:ilvl w:val="2"/>
          <w:numId w:val="2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Termination of Service is due to your Total and Permanent Disability, your vested Options will terminate (i) 13 months after the date on which your Service terminates or, if later, (ii) upon the date specified in Section 5(c) or 5(d), whichever subsection is applicable (if any) based on your attained age and Service credit when your Termination of Service occurs, but in no event later than the Expiration Date.</w:t>
      </w:r>
    </w:p>
    <w:p>
      <w:pPr>
        <w:spacing w:after="0" w:line="106" w:lineRule="exact"/>
        <w:rPr>
          <w:rFonts w:ascii="Arial" w:cs="Arial" w:eastAsia="Arial" w:hAnsi="Arial"/>
          <w:sz w:val="16"/>
          <w:szCs w:val="16"/>
          <w:color w:val="auto"/>
        </w:rPr>
      </w:pPr>
    </w:p>
    <w:p>
      <w:pPr>
        <w:ind w:firstLine="921"/>
        <w:spacing w:after="0" w:line="312" w:lineRule="auto"/>
        <w:tabs>
          <w:tab w:leader="none" w:pos="1132" w:val="left"/>
        </w:tabs>
        <w:numPr>
          <w:ilvl w:val="2"/>
          <w:numId w:val="27"/>
        </w:numPr>
        <w:rPr>
          <w:rFonts w:ascii="Arial" w:cs="Arial" w:eastAsia="Arial" w:hAnsi="Arial"/>
          <w:sz w:val="15"/>
          <w:szCs w:val="15"/>
          <w:color w:val="auto"/>
        </w:rPr>
      </w:pPr>
      <w:r>
        <w:rPr>
          <w:rFonts w:ascii="Arial" w:cs="Arial" w:eastAsia="Arial" w:hAnsi="Arial"/>
          <w:sz w:val="15"/>
          <w:szCs w:val="15"/>
          <w:u w:val="single" w:color="auto"/>
          <w:color w:val="auto"/>
        </w:rPr>
        <w:t>Death</w:t>
      </w:r>
      <w:r>
        <w:rPr>
          <w:rFonts w:ascii="Arial" w:cs="Arial" w:eastAsia="Arial" w:hAnsi="Arial"/>
          <w:sz w:val="15"/>
          <w:szCs w:val="15"/>
          <w:color w:val="auto"/>
        </w:rPr>
        <w:t>. If your death occurs prior to your Termination of Service or during any of the periods described in Sections 5(a), 5(b), 5(c), 5(d) or 5(e) above during which your vested Options remained exercisable by you, then your estate, personal representative or any beneficiary, heir or legatee to whom the Options have been transferred will be permitted to exercise such vested Options during the (i) 13-month period immediately following your date of death or, if longer, (ii) through the date specified in Section 5(c), 5(d), or 5(e), whichever subsection is applicable (if any) based on your attained age and Service credit when your Termination of Service occurred, but in no event later than the Expiration Date. To the extent unexercised, the vested Options will terminate upon the expiration of the applicable period specified in the immediately preceding sentence. Any person seeking to exercise your Options following your death must provide to the Company appropriate documentation as may be requested by the Committee to establish your death and such person’s right to exercise the Options.</w:t>
      </w:r>
    </w:p>
    <w:p>
      <w:pPr>
        <w:spacing w:after="0" w:line="105" w:lineRule="exact"/>
        <w:rPr>
          <w:rFonts w:ascii="Arial" w:cs="Arial" w:eastAsia="Arial" w:hAnsi="Arial"/>
          <w:sz w:val="15"/>
          <w:szCs w:val="15"/>
          <w:color w:val="auto"/>
        </w:rPr>
      </w:pPr>
    </w:p>
    <w:p>
      <w:pPr>
        <w:ind w:right="60" w:firstLine="921"/>
        <w:spacing w:after="0" w:line="259" w:lineRule="auto"/>
        <w:tabs>
          <w:tab w:leader="none" w:pos="1161" w:val="left"/>
        </w:tabs>
        <w:numPr>
          <w:ilvl w:val="2"/>
          <w:numId w:val="27"/>
        </w:numPr>
        <w:rPr>
          <w:rFonts w:ascii="Arial" w:cs="Arial" w:eastAsia="Arial" w:hAnsi="Arial"/>
          <w:sz w:val="18"/>
          <w:szCs w:val="18"/>
          <w:color w:val="auto"/>
        </w:rPr>
      </w:pPr>
      <w:r>
        <w:rPr>
          <w:rFonts w:ascii="Arial" w:cs="Arial" w:eastAsia="Arial" w:hAnsi="Arial"/>
          <w:sz w:val="18"/>
          <w:szCs w:val="18"/>
          <w:u w:val="single" w:color="auto"/>
          <w:color w:val="auto"/>
        </w:rPr>
        <w:t>Extraordinary Corporate Events</w:t>
      </w:r>
      <w:r>
        <w:rPr>
          <w:rFonts w:ascii="Arial" w:cs="Arial" w:eastAsia="Arial" w:hAnsi="Arial"/>
          <w:sz w:val="18"/>
          <w:szCs w:val="18"/>
          <w:color w:val="auto"/>
        </w:rPr>
        <w:t>. Each of the periods in which vested Options may be exercised following your Termination of Service described in this Section 5 is subject to being superseded by the provisions of the Plan with respect to a Change in Control, merger, consolidation, stock rights offering, liquidation or dissolution, statutory share exchange or similar event affecting Price Group.</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286" w:lineRule="auto"/>
        <w:tabs>
          <w:tab w:leader="none" w:pos="1152"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of Vesting/No Extension of Exercise Period</w:t>
      </w:r>
      <w:r>
        <w:rPr>
          <w:rFonts w:ascii="Arial" w:cs="Arial" w:eastAsia="Arial" w:hAnsi="Arial"/>
          <w:sz w:val="16"/>
          <w:szCs w:val="16"/>
          <w:color w:val="auto"/>
        </w:rPr>
        <w:t>. Notwithstanding anything in Section 2 or Section 5 to the contrary, unless the Committee determines otherwise, upon the occurrence of any Prohibited Action set forth in Section 6(b), the following shall occur with respect to your Options:</w:t>
      </w:r>
    </w:p>
    <w:p>
      <w:pPr>
        <w:ind w:firstLine="8"/>
        <w:spacing w:after="0" w:line="292" w:lineRule="auto"/>
        <w:tabs>
          <w:tab w:leader="none" w:pos="2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further Options will become vested and any then-unvested Options will terminate immediately, and (ii) all Options that were vested as of the date on which your Termination of Service occurred and any Options which became vested pursuant to Section 2(c) after your Termination of Service occurred shall terminate 90 days after the date on which your Termination of Service occurred or on the date on which the Prohibited Action occurred if later, but in no event later than the Expiration Date. For clarity, unless the Committee determines otherwise, the Options described in clause (ii) of the immediately preceding sentence will terminate immediately if a Prohibited Action occurs later than the 90th day after the date on which your Termination of Service occurred.</w:t>
      </w:r>
    </w:p>
    <w:p>
      <w:pPr>
        <w:spacing w:after="0" w:line="116" w:lineRule="exact"/>
        <w:rPr>
          <w:rFonts w:ascii="Arial" w:cs="Arial" w:eastAsia="Arial" w:hAnsi="Arial"/>
          <w:sz w:val="16"/>
          <w:szCs w:val="16"/>
          <w:color w:val="auto"/>
        </w:rPr>
      </w:pPr>
    </w:p>
    <w:p>
      <w:pPr>
        <w:ind w:right="320" w:firstLine="921"/>
        <w:spacing w:after="0" w:line="268" w:lineRule="auto"/>
        <w:tabs>
          <w:tab w:leader="none" w:pos="1161"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6(a)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920" w:right="80" w:firstLine="421"/>
        <w:spacing w:after="0" w:line="259" w:lineRule="auto"/>
        <w:tabs>
          <w:tab w:leader="none" w:pos="1549" w:val="left"/>
        </w:tabs>
        <w:numPr>
          <w:ilvl w:val="3"/>
          <w:numId w:val="29"/>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5" w:name="page76"/>
    <w:bookmarkEnd w:id="75"/>
    <w:p>
      <w:pPr>
        <w:ind w:left="880" w:right="80" w:firstLine="421"/>
        <w:spacing w:after="0" w:line="254" w:lineRule="auto"/>
        <w:tabs>
          <w:tab w:leader="none" w:pos="1558"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left="880" w:right="240" w:firstLine="1"/>
        <w:spacing w:after="0" w:line="261"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38" w:lineRule="exact"/>
        <w:rPr>
          <w:sz w:val="20"/>
          <w:szCs w:val="20"/>
          <w:color w:val="auto"/>
        </w:rPr>
      </w:pPr>
    </w:p>
    <w:p>
      <w:pPr>
        <w:ind w:left="-40" w:right="100" w:firstLine="921"/>
        <w:spacing w:after="0" w:line="268" w:lineRule="auto"/>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Blue Pencil</w:t>
      </w:r>
      <w:r>
        <w:rPr>
          <w:rFonts w:ascii="Arial" w:cs="Arial" w:eastAsia="Arial" w:hAnsi="Arial"/>
          <w:sz w:val="18"/>
          <w:szCs w:val="18"/>
          <w:color w:val="auto"/>
        </w:rPr>
        <w:t>. If any of the provisions or terms of this Section 6 is construed by a court of competent jurisdiction to be invalid or unenforceable, it shall not affect the remainder of this Agreement, which shall be given full force and effect without regard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76" w:name="page77"/>
    <w:bookmarkEnd w:id="76"/>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 provision. Any invalid or unenforceable provision shall be reformed to the maximum time, geographic and/or customer limitations permitted by the applicable laws, so as to be valid and enforceable.</w:t>
      </w:r>
    </w:p>
    <w:p>
      <w:pPr>
        <w:spacing w:after="0" w:line="132" w:lineRule="exact"/>
        <w:rPr>
          <w:sz w:val="20"/>
          <w:szCs w:val="20"/>
          <w:color w:val="auto"/>
        </w:rPr>
      </w:pPr>
    </w:p>
    <w:p>
      <w:pPr>
        <w:ind w:right="100" w:firstLine="921"/>
        <w:spacing w:after="0" w:line="306" w:lineRule="auto"/>
        <w:tabs>
          <w:tab w:leader="none" w:pos="1161"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Notification To Company</w:t>
      </w:r>
      <w:r>
        <w:rPr>
          <w:rFonts w:ascii="Arial" w:cs="Arial" w:eastAsia="Arial" w:hAnsi="Arial"/>
          <w:sz w:val="16"/>
          <w:szCs w:val="16"/>
          <w:color w:val="auto"/>
        </w:rPr>
        <w:t>. For as long as you have vested Options that have not been exercised, you covenant and agree that you will disclose to the Company the identity of any new employer within two business days of being employed or engaged by such new employer, and at the time that you seek to exercise any Options you will provide to the Company information sufficient to confirm that you have not engaged in any Prohibited Actions.</w:t>
      </w:r>
    </w:p>
    <w:p>
      <w:pPr>
        <w:spacing w:after="0" w:line="106" w:lineRule="exact"/>
        <w:rPr>
          <w:rFonts w:ascii="Arial" w:cs="Arial" w:eastAsia="Arial" w:hAnsi="Arial"/>
          <w:sz w:val="16"/>
          <w:szCs w:val="16"/>
          <w:color w:val="auto"/>
        </w:rPr>
      </w:pPr>
    </w:p>
    <w:p>
      <w:pPr>
        <w:ind w:right="20" w:firstLine="464"/>
        <w:spacing w:after="0" w:line="289"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the advance consent of the Committee, vested Options that are not incentive stock options within the meaning of Section 422 of the Code may be transferred to one or more of your family members or a trust, partnership or the like for the benefit of you and/or one or more of your family members. Except as provided above, the Options and, before exercise, the shares of Common Stock 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Status for U.S. Federal Tax Purposes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40" w:firstLine="921"/>
        <w:spacing w:after="0" w:line="291"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xml:space="preserve">. If the correlating Notice provides that the Options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intended to qualify as incentive stock options within the meaning of Section 422 of the Code, this Agreement shall be so construed. In such case, by accepting the Options you acknowledge that, if you are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 You must comply with the provisions of Section 3(e) of this Agreement with respect to any Withholding Tax obligations that arise as a result of such exercise.</w:t>
      </w:r>
    </w:p>
    <w:p>
      <w:pPr>
        <w:spacing w:after="0" w:line="120" w:lineRule="exact"/>
        <w:rPr>
          <w:rFonts w:ascii="Arial" w:cs="Arial" w:eastAsia="Arial" w:hAnsi="Arial"/>
          <w:sz w:val="16"/>
          <w:szCs w:val="16"/>
          <w:color w:val="auto"/>
        </w:rPr>
      </w:pPr>
    </w:p>
    <w:p>
      <w:pPr>
        <w:ind w:firstLine="921"/>
        <w:spacing w:after="0" w:line="318" w:lineRule="auto"/>
        <w:tabs>
          <w:tab w:leader="none" w:pos="1161"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xml:space="preserve">. If the correlating Notice provides that the Options </w:t>
      </w:r>
      <w:r>
        <w:rPr>
          <w:rFonts w:ascii="Arial" w:cs="Arial" w:eastAsia="Arial" w:hAnsi="Arial"/>
          <w:sz w:val="15"/>
          <w:szCs w:val="15"/>
          <w:u w:val="single" w:color="auto"/>
          <w:color w:val="auto"/>
        </w:rPr>
        <w:t>are</w:t>
      </w:r>
      <w:r>
        <w:rPr>
          <w:rFonts w:ascii="Arial" w:cs="Arial" w:eastAsia="Arial" w:hAnsi="Arial"/>
          <w:sz w:val="15"/>
          <w:szCs w:val="15"/>
          <w:color w:val="auto"/>
        </w:rPr>
        <w:t xml:space="preserve"> intended to qualify as incentive stock options within the meaning of Section 422 of the Code, this Agreement shall be so construed to the fullest extent permitted by Section 422 of the Code, including the application of the limit provided by Section 422(d) of the Code. The Company, however, does not warrant any particular tax consequences of the Options. Section 422 of the Code provides limitations and other requirements, not set forth in this Agreement, respecting the treatment of the Options as incentive stock options. You should consult with your personal tax advisors in this regard. The quantity limitation and employment requirement pertaining to incentive stock options are outlined below.</w:t>
      </w:r>
    </w:p>
    <w:p>
      <w:pPr>
        <w:spacing w:after="0" w:line="18" w:lineRule="exact"/>
        <w:rPr>
          <w:rFonts w:ascii="Arial" w:cs="Arial" w:eastAsia="Arial" w:hAnsi="Arial"/>
          <w:sz w:val="15"/>
          <w:szCs w:val="15"/>
          <w:color w:val="auto"/>
        </w:rPr>
      </w:pPr>
    </w:p>
    <w:p>
      <w:pPr>
        <w:ind w:left="920" w:right="100" w:firstLine="421"/>
        <w:spacing w:after="0" w:line="268" w:lineRule="auto"/>
        <w:tabs>
          <w:tab w:leader="none" w:pos="1549"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Quantity Limitation</w:t>
      </w:r>
      <w:r>
        <w:rPr>
          <w:rFonts w:ascii="Arial" w:cs="Arial" w:eastAsia="Arial" w:hAnsi="Arial"/>
          <w:sz w:val="18"/>
          <w:szCs w:val="18"/>
          <w:color w:val="auto"/>
        </w:rPr>
        <w:t>. Pursuant to Section 422(d) of the Code, the aggregate fair market value (determined as of the Grant Date) of shares of Common Stock with respect to which all incentive stock options first become exercisable by you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77" w:name="page78"/>
    <w:bookmarkEnd w:id="77"/>
    <w:p>
      <w:pPr>
        <w:ind w:left="900"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calendar year under the Plan or any other plan of the Company (and its parent and subsidiary corporations, within the meaning of Section 424(e) and 424(f) of the Code, as may exist from time to time) may not exceed $100,000 or such other amount as may be permitted from time to time under Section 422 of the Code. To the extent that such aggregate fair market value exceeds $100,000 or such other applicable amount in any calendar year, such stock options will be treated as nonqualified stock options with respect to the amount of aggregate fair market value thereof that exceeds the Code Section 422(d) limit. For this purpose, the incentive stock options will be taken into account in the order in which they were granted. The Company may designate the shares of Common Stock that are to be treated as stock acquired pursuant to the exercise of incentive stock options and the shares of Common Stock that are to be treated as stock acquired pursuant to nonqualified stock options by issuing separate certificates for such shares and identifying the certificates as such in the stock transfer records of the Company or by any other appropriate notation in the records of the Company.</w:t>
      </w:r>
    </w:p>
    <w:p>
      <w:pPr>
        <w:spacing w:after="0" w:line="39" w:lineRule="exact"/>
        <w:rPr>
          <w:sz w:val="20"/>
          <w:szCs w:val="20"/>
          <w:color w:val="auto"/>
        </w:rPr>
      </w:pPr>
    </w:p>
    <w:p>
      <w:pPr>
        <w:ind w:left="900" w:firstLine="421"/>
        <w:spacing w:after="0" w:line="289" w:lineRule="auto"/>
        <w:tabs>
          <w:tab w:leader="none" w:pos="1578"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Employment Requirement</w:t>
      </w:r>
      <w:r>
        <w:rPr>
          <w:rFonts w:ascii="Arial" w:cs="Arial" w:eastAsia="Arial" w:hAnsi="Arial"/>
          <w:sz w:val="16"/>
          <w:szCs w:val="16"/>
          <w:color w:val="auto"/>
        </w:rPr>
        <w:t>. Except with respect to exercise after your death or Termination of Service due to Total and Permanent Disability, at all times during the period beginning with the Grant Date of an incentive stock option and ending on the day three months before the date of exercise, you must be an employee of Price Group or a subsidiary, as that term is defined in Section 424(f) of the Code, in order for the Option to be treated as an incentive stock option for U.S. federal tax purposes. Therefore, any part of the Options designated as intended to be incentive stock options which is not exercised either during your Service with Price Group or a subsidiary or within three months after your Termination of Service with Price Group or a subsidiary will not be treated as an incentive stock option for U.S. federal tax purposes when exercised. Similarly, if the entity with which you are employed ceases to be a subsidiary of Price Group, as that term is defined in Section 424(f) of the Code, then the Options will be treated as nonqualified stock options unless exercised within three months of such cessation.</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20" w:firstLine="921"/>
        <w:spacing w:after="0" w:line="290" w:lineRule="auto"/>
        <w:tabs>
          <w:tab w:leader="none" w:pos="113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Mandatory Adjustments</w:t>
      </w:r>
      <w:r>
        <w:rPr>
          <w:rFonts w:ascii="Arial" w:cs="Arial" w:eastAsia="Arial" w:hAnsi="Arial"/>
          <w:sz w:val="16"/>
          <w:szCs w:val="16"/>
          <w:color w:val="auto"/>
        </w:rPr>
        <w:t>. In the event of a merger, consolidation, stock rights offering, liquidation, statutory share exchange or similar event affecting Price Group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Change</w:t>
      </w:r>
      <w:r>
        <w:rPr>
          <w:rFonts w:ascii="Arial" w:cs="Arial" w:eastAsia="Arial" w:hAnsi="Arial"/>
          <w:sz w:val="16"/>
          <w:szCs w:val="16"/>
          <w:color w:val="auto"/>
        </w:rPr>
        <w:t>”), the Committee shall make equitable and appropriate substitutions or proportionate adjustments to the number of outstanding Options,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price per share, and the number of Options eligible to vest on each subsequent vesting date under the vesting schedule set forth on the Notice to reflect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18" w:lineRule="exact"/>
        <w:rPr>
          <w:rFonts w:ascii="Arial" w:cs="Arial" w:eastAsia="Arial" w:hAnsi="Arial"/>
          <w:sz w:val="16"/>
          <w:szCs w:val="16"/>
          <w:color w:val="auto"/>
        </w:rPr>
      </w:pPr>
    </w:p>
    <w:p>
      <w:pPr>
        <w:jc w:val="both"/>
        <w:ind w:left="-20" w:right="540" w:firstLine="921"/>
        <w:spacing w:after="0" w:line="259" w:lineRule="auto"/>
        <w:tabs>
          <w:tab w:leader="none" w:pos="114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Discretionary Adjustments</w:t>
      </w:r>
      <w:r>
        <w:rPr>
          <w:rFonts w:ascii="Arial" w:cs="Arial" w:eastAsia="Arial" w:hAnsi="Arial"/>
          <w:sz w:val="18"/>
          <w:szCs w:val="18"/>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78" w:name="page79"/>
    <w:bookmarkEnd w:id="7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 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 Group.</w:t>
      </w:r>
    </w:p>
    <w:p>
      <w:pPr>
        <w:spacing w:after="0" w:line="165" w:lineRule="exact"/>
        <w:rPr>
          <w:sz w:val="20"/>
          <w:szCs w:val="20"/>
          <w:color w:val="auto"/>
        </w:rPr>
      </w:pPr>
    </w:p>
    <w:p>
      <w:pPr>
        <w:ind w:right="40" w:firstLine="921"/>
        <w:spacing w:after="0" w:line="290" w:lineRule="auto"/>
        <w:tabs>
          <w:tab w:leader="none" w:pos="116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the outstanding Options that will terminate upon the effective time of the Change in Control shall, immediately before the effective time of the Change in Control, become fully exercisable, (ii) you will be permitted, immediately before the Change in Control, to exercise the Options, and (iii) the Committee may take any of the actions set forth in Section 9(a) and 9(b) with respect to any or all of the Options. Implementation of the provisions of the immediately foregoing sentence shall be conditioned upon consummation of the Change in Control.</w:t>
      </w:r>
    </w:p>
    <w:p>
      <w:pPr>
        <w:spacing w:after="0" w:line="118" w:lineRule="exact"/>
        <w:rPr>
          <w:rFonts w:ascii="Arial" w:cs="Arial" w:eastAsia="Arial" w:hAnsi="Arial"/>
          <w:sz w:val="16"/>
          <w:szCs w:val="16"/>
          <w:color w:val="auto"/>
        </w:rPr>
      </w:pPr>
    </w:p>
    <w:p>
      <w:pPr>
        <w:ind w:right="100" w:firstLine="464"/>
        <w:spacing w:after="0" w:line="25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43" w:lineRule="exact"/>
        <w:rPr>
          <w:rFonts w:ascii="Arial" w:cs="Arial" w:eastAsia="Arial" w:hAnsi="Arial"/>
          <w:sz w:val="18"/>
          <w:szCs w:val="18"/>
          <w:color w:val="auto"/>
        </w:rPr>
      </w:pPr>
    </w:p>
    <w:p>
      <w:pPr>
        <w:jc w:val="both"/>
        <w:ind w:right="80" w:firstLine="464"/>
        <w:spacing w:after="0" w:line="306" w:lineRule="auto"/>
        <w:tabs>
          <w:tab w:leader="none" w:pos="71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106" w:lineRule="exact"/>
        <w:rPr>
          <w:rFonts w:ascii="Arial" w:cs="Arial" w:eastAsia="Arial" w:hAnsi="Arial"/>
          <w:sz w:val="16"/>
          <w:szCs w:val="16"/>
          <w:color w:val="auto"/>
        </w:rPr>
      </w:pPr>
    </w:p>
    <w:p>
      <w:pPr>
        <w:ind w:right="580" w:firstLine="464"/>
        <w:spacing w:after="0" w:line="332"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79" w:name="page80"/>
    <w:bookmarkEnd w:id="79"/>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07" w:lineRule="exact"/>
        <w:rPr>
          <w:sz w:val="20"/>
          <w:szCs w:val="20"/>
          <w:color w:val="auto"/>
        </w:rPr>
      </w:pPr>
    </w:p>
    <w:p>
      <w:pPr>
        <w:ind w:right="20" w:firstLine="464"/>
        <w:spacing w:after="0" w:line="323" w:lineRule="auto"/>
        <w:tabs>
          <w:tab w:leader="none" w:pos="720"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98" w:lineRule="auto"/>
        <w:tabs>
          <w:tab w:leader="none" w:pos="1152"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620" w:firstLine="921"/>
        <w:spacing w:after="0" w:line="286" w:lineRule="auto"/>
        <w:tabs>
          <w:tab w:leader="none" w:pos="1161"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firstLine="8"/>
        <w:spacing w:after="0" w:line="254" w:lineRule="auto"/>
        <w:tabs>
          <w:tab w:leader="none" w:pos="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right="80" w:firstLine="464"/>
        <w:spacing w:after="0" w:line="256" w:lineRule="auto"/>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right="40" w:firstLine="464"/>
        <w:spacing w:after="0" w:line="335" w:lineRule="auto"/>
        <w:tabs>
          <w:tab w:leader="none" w:pos="720"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88" w:lineRule="exact"/>
        <w:rPr>
          <w:rFonts w:ascii="Arial" w:cs="Arial" w:eastAsia="Arial" w:hAnsi="Arial"/>
          <w:sz w:val="15"/>
          <w:szCs w:val="15"/>
          <w:color w:val="auto"/>
        </w:rPr>
      </w:pPr>
    </w:p>
    <w:p>
      <w:pPr>
        <w:ind w:right="260" w:firstLine="464"/>
        <w:spacing w:after="0" w:line="268" w:lineRule="auto"/>
        <w:tabs>
          <w:tab w:leader="none" w:pos="72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Except as otherwise provided in the Plan, the Committee may unilaterally amend the terms of this Agreement, but no such amendment shall materially impair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80" w:name="page81"/>
    <w:bookmarkEnd w:id="80"/>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16" w:lineRule="exact"/>
        <w:rPr>
          <w:sz w:val="20"/>
          <w:szCs w:val="20"/>
          <w:color w:val="auto"/>
        </w:rPr>
      </w:pPr>
    </w:p>
    <w:p>
      <w:pPr>
        <w:ind w:firstLine="464"/>
        <w:spacing w:after="0" w:line="25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right="20" w:firstLine="464"/>
        <w:spacing w:after="0" w:line="290"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40" w:firstLine="464"/>
        <w:spacing w:after="0" w:line="306"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right="40" w:firstLine="464"/>
        <w:spacing w:after="0" w:line="26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Options awarded hereunder are intended to comply with, or otherwise be exempt from, Section 409A of the Code.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1" w:name="page82"/>
    <w:bookmarkEnd w:id="8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120" w:lineRule="exact"/>
        <w:rPr>
          <w:sz w:val="20"/>
          <w:szCs w:val="20"/>
          <w:color w:val="auto"/>
        </w:rPr>
      </w:pPr>
    </w:p>
    <w:p>
      <w:pPr>
        <w:ind w:firstLine="464"/>
        <w:spacing w:after="0" w:line="284"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 (ix) 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32" w:lineRule="exact"/>
        <w:rPr>
          <w:rFonts w:ascii="Arial" w:cs="Arial" w:eastAsia="Arial" w:hAnsi="Arial"/>
          <w:sz w:val="16"/>
          <w:szCs w:val="16"/>
          <w:color w:val="auto"/>
        </w:rPr>
      </w:pPr>
    </w:p>
    <w:p>
      <w:pPr>
        <w:ind w:firstLine="464"/>
        <w:spacing w:after="0" w:line="294"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For purposes of the implementation, administration and management of the Options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82" w:name="page83"/>
    <w:bookmarkEnd w:id="82"/>
    <w:p>
      <w:pPr>
        <w:spacing w:after="0" w:line="301"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w:t>
      </w:r>
    </w:p>
    <w:p>
      <w:pPr>
        <w:spacing w:after="0" w:line="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 Pratt Street office. You understand, however, that refusing or withdrawing your consent may affect your ability to accept an award of Options or otherwise participate in the Plan.</w:t>
      </w:r>
    </w:p>
    <w:p>
      <w:pPr>
        <w:spacing w:after="0" w:line="138"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84" w:name="page85"/>
    <w:bookmarkEnd w:id="84"/>
    <w:p>
      <w:pPr>
        <w:ind w:right="200" w:firstLine="921"/>
        <w:spacing w:after="0" w:line="259" w:lineRule="auto"/>
        <w:tabs>
          <w:tab w:leader="none" w:pos="112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firstLine="921"/>
        <w:spacing w:after="0" w:line="306" w:lineRule="auto"/>
        <w:tabs>
          <w:tab w:leader="none" w:pos="11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106" w:lineRule="exact"/>
        <w:rPr>
          <w:rFonts w:ascii="Arial" w:cs="Arial" w:eastAsia="Arial" w:hAnsi="Arial"/>
          <w:sz w:val="16"/>
          <w:szCs w:val="16"/>
          <w:color w:val="auto"/>
        </w:rPr>
      </w:pPr>
    </w:p>
    <w:p>
      <w:pPr>
        <w:ind w:right="60" w:firstLine="921"/>
        <w:spacing w:after="0" w:line="357" w:lineRule="auto"/>
        <w:tabs>
          <w:tab w:leader="none" w:pos="1210" w:val="left"/>
        </w:tabs>
        <w:numPr>
          <w:ilvl w:val="0"/>
          <w:numId w:val="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85" w:name="page86"/>
    <w:bookmarkEnd w:id="85"/>
    <w:p>
      <w:pPr>
        <w:ind w:left="1160" w:hanging="239"/>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the Notice of Grant of Stock Option Award which correlates with these Terms and sets forth the specifics of the applicable award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Options.</w:t>
      </w:r>
    </w:p>
    <w:p>
      <w:pPr>
        <w:spacing w:after="0" w:line="165" w:lineRule="exact"/>
        <w:rPr>
          <w:sz w:val="20"/>
          <w:szCs w:val="20"/>
          <w:color w:val="auto"/>
        </w:rPr>
      </w:pPr>
    </w:p>
    <w:p>
      <w:pPr>
        <w:ind w:right="120" w:firstLine="921"/>
        <w:spacing w:after="0" w:line="259" w:lineRule="auto"/>
        <w:tabs>
          <w:tab w:leader="none" w:pos="11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65" w:lineRule="exact"/>
        <w:rPr>
          <w:rFonts w:ascii="Arial" w:cs="Arial" w:eastAsia="Arial" w:hAnsi="Arial"/>
          <w:sz w:val="18"/>
          <w:szCs w:val="18"/>
          <w:color w:val="auto"/>
        </w:rPr>
      </w:pPr>
    </w:p>
    <w:p>
      <w:pPr>
        <w:ind w:firstLine="921"/>
        <w:spacing w:after="0" w:line="258" w:lineRule="auto"/>
        <w:tabs>
          <w:tab w:leader="none" w:pos="11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2" w:lineRule="exact"/>
        <w:rPr>
          <w:rFonts w:ascii="Arial" w:cs="Arial" w:eastAsia="Arial" w:hAnsi="Arial"/>
          <w:sz w:val="18"/>
          <w:szCs w:val="18"/>
          <w:color w:val="auto"/>
        </w:rPr>
      </w:pPr>
    </w:p>
    <w:p>
      <w:pPr>
        <w:ind w:right="180" w:firstLine="921"/>
        <w:spacing w:after="0" w:line="294" w:lineRule="auto"/>
        <w:tabs>
          <w:tab w:leader="none" w:pos="11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right="100" w:firstLine="921"/>
        <w:spacing w:after="0" w:line="268" w:lineRule="auto"/>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86" w:name="page87"/>
    <w:bookmarkEnd w:id="86"/>
    <w:p>
      <w:pPr>
        <w:ind w:left="-60" w:firstLine="921"/>
        <w:spacing w:after="0" w:line="256" w:lineRule="auto"/>
        <w:tabs>
          <w:tab w:leader="none" w:pos="1102"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80" w:right="29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STOCK OPTIONS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(version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Statement of Additional Terms Regarding Awards of Stock Options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Grant of Stock Option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256"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nonvested and forfeitable as of the Grant Date. For clarity, as used in this Agreement, the term “vest” means that the Options become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right="380" w:firstLine="921"/>
        <w:spacing w:after="0" w:line="268" w:lineRule="auto"/>
        <w:tabs>
          <w:tab w:leader="none" w:pos="1161"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So long as your Service is continuous from the Grant Date through the applicable date upon which vesting is scheduled to occur, the Options will vest and become exercisable on the vesting dates as set forth in the correlating Notice.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00" w:firstLine="421"/>
        <w:spacing w:after="0" w:line="294" w:lineRule="auto"/>
        <w:tabs>
          <w:tab w:leader="none" w:pos="1549" w:val="left"/>
        </w:tabs>
        <w:numPr>
          <w:ilvl w:val="2"/>
          <w:numId w:val="50"/>
        </w:numPr>
        <w:rPr>
          <w:rFonts w:ascii="Arial" w:cs="Arial" w:eastAsia="Arial" w:hAnsi="Arial"/>
          <w:sz w:val="16"/>
          <w:szCs w:val="16"/>
          <w:color w:val="auto"/>
        </w:rPr>
      </w:pPr>
      <w:r>
        <w:rPr>
          <w:rFonts w:ascii="Arial" w:cs="Arial" w:eastAsia="Arial" w:hAnsi="Arial"/>
          <w:sz w:val="16"/>
          <w:szCs w:val="16"/>
          <w:color w:val="auto"/>
        </w:rPr>
        <w:t>If, as of the date on which your Termination of Service occurs, you have at least 30 years of Credited Service and at least ten years of that Credited Service is attributable to Service with the Company (as determined by the Committee), including Service with any successor to the Company, then, except as otherwise provided in this Agreement, the then-unvested Options that have not been previously forfeited and which are scheduled to vest within the 36-month period immediately following your Termination of Service will vest and become exercisable on their scheduled vesting dates set forth in the correlating Notice notwithstanding the fact that your Service has terminated.</w:t>
      </w:r>
    </w:p>
    <w:p>
      <w:pPr>
        <w:spacing w:after="0" w:line="34" w:lineRule="exact"/>
        <w:rPr>
          <w:rFonts w:ascii="Arial" w:cs="Arial" w:eastAsia="Arial" w:hAnsi="Arial"/>
          <w:sz w:val="16"/>
          <w:szCs w:val="16"/>
          <w:color w:val="auto"/>
        </w:rPr>
      </w:pPr>
    </w:p>
    <w:p>
      <w:pPr>
        <w:jc w:val="both"/>
        <w:ind w:left="920" w:right="140" w:firstLine="421"/>
        <w:spacing w:after="0" w:line="259" w:lineRule="auto"/>
        <w:tabs>
          <w:tab w:leader="none" w:pos="1598" w:val="left"/>
        </w:tabs>
        <w:numPr>
          <w:ilvl w:val="2"/>
          <w:numId w:val="50"/>
        </w:numPr>
        <w:rPr>
          <w:rFonts w:ascii="Arial" w:cs="Arial" w:eastAsia="Arial" w:hAnsi="Arial"/>
          <w:sz w:val="18"/>
          <w:szCs w:val="18"/>
          <w:color w:val="auto"/>
        </w:rPr>
      </w:pPr>
      <w:r>
        <w:rPr>
          <w:rFonts w:ascii="Arial" w:cs="Arial" w:eastAsia="Arial" w:hAnsi="Arial"/>
          <w:sz w:val="18"/>
          <w:szCs w:val="18"/>
          <w:color w:val="auto"/>
        </w:rPr>
        <w:t>Notwithstanding the provisions of Section 2(c)(i) to the contrary, unless the Committee determines otherwise, your unvested Options will be immediately forfeited for no consideration, no further vesting will accrue and no shares of Common Stock will be delivered in respect thereof, if you breach any of the restrictive covenants set forth in Section 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88" w:name="page89"/>
    <w:bookmarkEnd w:id="88"/>
    <w:p>
      <w:pPr>
        <w:ind w:left="-60" w:right="180" w:firstLine="921"/>
        <w:spacing w:after="0" w:line="268" w:lineRule="auto"/>
        <w:tabs>
          <w:tab w:leader="none" w:pos="1101"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upon Death or Disability</w:t>
      </w:r>
      <w:r>
        <w:rPr>
          <w:rFonts w:ascii="Arial" w:cs="Arial" w:eastAsia="Arial" w:hAnsi="Arial"/>
          <w:sz w:val="18"/>
          <w:szCs w:val="18"/>
          <w:color w:val="auto"/>
        </w:rPr>
        <w:t>. All of the Options that have not already vested or been previously forfeited will vest and become exercisable upon your death or Termination of Service due to your Total and Permanent Disability.</w:t>
      </w:r>
    </w:p>
    <w:p>
      <w:pPr>
        <w:spacing w:after="0" w:line="131" w:lineRule="exact"/>
        <w:rPr>
          <w:rFonts w:ascii="Arial" w:cs="Arial" w:eastAsia="Arial" w:hAnsi="Arial"/>
          <w:sz w:val="18"/>
          <w:szCs w:val="18"/>
          <w:color w:val="auto"/>
        </w:rPr>
      </w:pPr>
    </w:p>
    <w:p>
      <w:pPr>
        <w:ind w:left="-60" w:right="160" w:firstLine="921"/>
        <w:spacing w:after="0" w:line="290" w:lineRule="auto"/>
        <w:tabs>
          <w:tab w:leader="none" w:pos="1092"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xml:space="preserve">.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of the Options that have not already vested or been previously forfeited or terminated in connection with the Change in Control will vest and become exercisable upon such Termination of Service. </w:t>
      </w:r>
      <w:r>
        <w:rPr>
          <w:rFonts w:ascii="Arial" w:cs="Arial" w:eastAsia="Arial" w:hAnsi="Arial"/>
          <w:sz w:val="16"/>
          <w:szCs w:val="16"/>
          <w:b w:val="1"/>
          <w:bCs w:val="1"/>
          <w:i w:val="1"/>
          <w:iCs w:val="1"/>
          <w:color w:val="auto"/>
        </w:rPr>
        <w:t>[Include the following for Options granted under the 2004 Stock Incentive Plan:</w:t>
      </w:r>
      <w:r>
        <w:rPr>
          <w:rFonts w:ascii="Arial" w:cs="Arial" w:eastAsia="Arial" w:hAnsi="Arial"/>
          <w:sz w:val="16"/>
          <w:szCs w:val="16"/>
          <w:color w:val="auto"/>
        </w:rPr>
        <w:t xml:space="preserve"> The double-trigger vesting provisions set forth in this paragraph reflect the Committee’s exercise of its discretion to limit accelerated vesting that may otherwise have been contemplated under the provisions of Section 7(c)(ii) of the Plan and the provisions of this paragraph, as modified by Section 9(d), shall apply to the Options in lieu of the provisions of Section 7(c)(ii) of the Plan unless the Committee determines otherwise.</w:t>
      </w:r>
      <w:r>
        <w:rPr>
          <w:rFonts w:ascii="Arial" w:cs="Arial" w:eastAsia="Arial" w:hAnsi="Arial"/>
          <w:sz w:val="16"/>
          <w:szCs w:val="16"/>
          <w:b w:val="1"/>
          <w:bCs w:val="1"/>
          <w:i w:val="1"/>
          <w:iCs w:val="1"/>
          <w:color w:val="auto"/>
        </w:rPr>
        <w:t>]</w:t>
      </w:r>
    </w:p>
    <w:p>
      <w:pPr>
        <w:spacing w:after="0" w:line="118" w:lineRule="exact"/>
        <w:rPr>
          <w:rFonts w:ascii="Arial" w:cs="Arial" w:eastAsia="Arial" w:hAnsi="Arial"/>
          <w:sz w:val="16"/>
          <w:szCs w:val="16"/>
          <w:color w:val="auto"/>
        </w:rPr>
      </w:pPr>
    </w:p>
    <w:p>
      <w:pPr>
        <w:ind w:left="580" w:hanging="176"/>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0" w:right="40" w:firstLine="921"/>
        <w:spacing w:after="0" w:line="259" w:lineRule="auto"/>
        <w:tabs>
          <w:tab w:leader="none" w:pos="1092"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None of the Options are exercisable as of the Grant Date. The Options will become exercisable in installments in accordance with the Vesting Schedule set forth in the correlating Notice, so long as you are in the continuous Service of the Company from the Grant Date through the applicable vesting dates or as otherwise provided in Section 2 above.</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firstLine="421"/>
        <w:spacing w:after="0" w:line="294" w:lineRule="auto"/>
        <w:tabs>
          <w:tab w:leader="none" w:pos="1489" w:val="left"/>
        </w:tabs>
        <w:numPr>
          <w:ilvl w:val="2"/>
          <w:numId w:val="52"/>
        </w:numPr>
        <w:rPr>
          <w:rFonts w:ascii="Arial" w:cs="Arial" w:eastAsia="Arial" w:hAnsi="Arial"/>
          <w:sz w:val="16"/>
          <w:szCs w:val="16"/>
          <w:color w:val="auto"/>
        </w:rPr>
      </w:pPr>
      <w:r>
        <w:rPr>
          <w:rFonts w:ascii="Arial" w:cs="Arial" w:eastAsia="Arial" w:hAnsi="Arial"/>
          <w:sz w:val="16"/>
          <w:szCs w:val="16"/>
          <w:color w:val="auto"/>
        </w:rPr>
        <w:t>You may exercise the Options, to the extent they have become exercisable,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 You are not required to exercise your Options when they vest. Vested Options will accumulate and be exercisable by you, in whole or in part, at any time before the Options expire or are otherwise forfeited or terminated.</w:t>
      </w:r>
    </w:p>
    <w:p>
      <w:pPr>
        <w:spacing w:after="0" w:line="34" w:lineRule="exact"/>
        <w:rPr>
          <w:rFonts w:ascii="Arial" w:cs="Arial" w:eastAsia="Arial" w:hAnsi="Arial"/>
          <w:sz w:val="16"/>
          <w:szCs w:val="16"/>
          <w:color w:val="auto"/>
        </w:rPr>
      </w:pPr>
    </w:p>
    <w:p>
      <w:pPr>
        <w:ind w:left="860" w:firstLine="421"/>
        <w:spacing w:after="0" w:line="289" w:lineRule="auto"/>
        <w:tabs>
          <w:tab w:leader="none" w:pos="1538" w:val="left"/>
        </w:tabs>
        <w:numPr>
          <w:ilvl w:val="2"/>
          <w:numId w:val="52"/>
        </w:numPr>
        <w:rPr>
          <w:rFonts w:ascii="Arial" w:cs="Arial" w:eastAsia="Arial" w:hAnsi="Arial"/>
          <w:sz w:val="16"/>
          <w:szCs w:val="16"/>
          <w:color w:val="auto"/>
        </w:rPr>
      </w:pPr>
      <w:r>
        <w:rPr>
          <w:rFonts w:ascii="Arial" w:cs="Arial" w:eastAsia="Arial" w:hAnsi="Arial"/>
          <w:sz w:val="16"/>
          <w:szCs w:val="16"/>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 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89" w:name="page90"/>
    <w:bookmarkEnd w:id="89"/>
    <w:p>
      <w:pPr>
        <w:ind w:left="900" w:right="600" w:firstLine="421"/>
        <w:spacing w:after="0" w:line="357" w:lineRule="auto"/>
        <w:tabs>
          <w:tab w:leader="none" w:pos="1627" w:val="left"/>
        </w:tabs>
        <w:numPr>
          <w:ilvl w:val="1"/>
          <w:numId w:val="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ind w:left="1620" w:hanging="299"/>
        <w:spacing w:after="0"/>
        <w:tabs>
          <w:tab w:leader="none" w:pos="16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You may exercise the Options only in multiples of whole shares. No fractional shares of Common Stock will be issued under the Options.</w:t>
      </w:r>
    </w:p>
    <w:p>
      <w:pPr>
        <w:spacing w:after="0" w:line="194" w:lineRule="exact"/>
        <w:rPr>
          <w:rFonts w:ascii="Arial" w:cs="Arial" w:eastAsia="Arial" w:hAnsi="Arial"/>
          <w:sz w:val="16"/>
          <w:szCs w:val="16"/>
          <w:color w:val="auto"/>
        </w:rPr>
      </w:pPr>
    </w:p>
    <w:p>
      <w:pPr>
        <w:ind w:left="-20" w:right="280" w:firstLine="921"/>
        <w:spacing w:after="0" w:line="268" w:lineRule="auto"/>
        <w:tabs>
          <w:tab w:leader="none" w:pos="11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54"/>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54"/>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54"/>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50" w:lineRule="exact"/>
        <w:rPr>
          <w:rFonts w:ascii="Arial" w:cs="Arial" w:eastAsia="Arial" w:hAnsi="Arial"/>
          <w:sz w:val="18"/>
          <w:szCs w:val="18"/>
          <w:color w:val="auto"/>
        </w:rPr>
      </w:pPr>
    </w:p>
    <w:p>
      <w:pPr>
        <w:ind w:left="900" w:right="300" w:firstLine="421"/>
        <w:spacing w:after="0" w:line="259" w:lineRule="auto"/>
        <w:tabs>
          <w:tab w:leader="none" w:pos="15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90" w:name="page91"/>
    <w:bookmarkEnd w:id="9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 cashless exercise instruction results in the sale of shares over a number of days, each day on which a sale occurs will constitute the Exercise Date of the Option with respect to the shares sold on such day.</w:t>
      </w:r>
    </w:p>
    <w:p>
      <w:pPr>
        <w:spacing w:after="0" w:line="143" w:lineRule="exact"/>
        <w:rPr>
          <w:sz w:val="20"/>
          <w:szCs w:val="20"/>
          <w:color w:val="auto"/>
        </w:rPr>
      </w:pPr>
    </w:p>
    <w:p>
      <w:pPr>
        <w:ind w:left="240" w:hanging="239"/>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40" w:hanging="219"/>
        <w:spacing w:after="0"/>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80" w:right="280" w:firstLine="389"/>
        <w:spacing w:after="0" w:line="332" w:lineRule="auto"/>
        <w:tabs>
          <w:tab w:leader="none" w:pos="1265" w:val="left"/>
        </w:tabs>
        <w:numPr>
          <w:ilvl w:val="2"/>
          <w:numId w:val="55"/>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80" w:firstLine="389"/>
        <w:spacing w:after="0" w:line="294" w:lineRule="auto"/>
        <w:tabs>
          <w:tab w:leader="none" w:pos="1255" w:val="left"/>
        </w:tabs>
        <w:numPr>
          <w:ilvl w:val="2"/>
          <w:numId w:val="55"/>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80" w:right="20" w:firstLine="389"/>
        <w:spacing w:after="0" w:line="291" w:lineRule="auto"/>
        <w:tabs>
          <w:tab w:leader="none" w:pos="1255" w:val="left"/>
        </w:tabs>
        <w:numPr>
          <w:ilvl w:val="2"/>
          <w:numId w:val="55"/>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80" w:right="280" w:firstLine="389"/>
        <w:spacing w:after="0" w:line="268" w:lineRule="auto"/>
        <w:tabs>
          <w:tab w:leader="none" w:pos="1265" w:val="left"/>
        </w:tabs>
        <w:numPr>
          <w:ilvl w:val="2"/>
          <w:numId w:val="55"/>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50" w:lineRule="exact"/>
        <w:rPr>
          <w:rFonts w:ascii="Arial" w:cs="Arial" w:eastAsia="Arial" w:hAnsi="Arial"/>
          <w:sz w:val="18"/>
          <w:szCs w:val="18"/>
          <w:color w:val="auto"/>
        </w:rPr>
      </w:pPr>
    </w:p>
    <w:p>
      <w:pPr>
        <w:ind w:left="580" w:right="400" w:firstLine="389"/>
        <w:spacing w:after="0" w:line="268" w:lineRule="auto"/>
        <w:tabs>
          <w:tab w:leader="none" w:pos="1245"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1220" w:hanging="251"/>
        <w:spacing w:after="0"/>
        <w:tabs>
          <w:tab w:leader="none" w:pos="12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91" w:name="page92"/>
    <w:bookmarkEnd w:id="91"/>
    <w:p>
      <w:pPr>
        <w:ind w:left="900" w:right="100" w:firstLine="421"/>
        <w:spacing w:after="0" w:line="291" w:lineRule="auto"/>
        <w:tabs>
          <w:tab w:leader="none" w:pos="1578"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Committee in its discretion may place limitations on the extent, if any, to which you may pay the aggregate purchase price by tendering shares of Common Stock or electing net share settlement, and in no event may you pay the purchase price through either of those two methods if you are a resident of Canada. If the shares of Common Stock tendered or withheld are insufficient in value to pay the aggregate purchase price, you must deliver the net unpaid amount to the Company’s Payroll and Stock Transaction Group on the Exercise Date in cash or in one of the specified forms of acceptable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net unpaid amount is less than the value of one share of Common Stock, the Company may allow you to pay such amount by having it withheld from your next paycheck.</w:t>
      </w:r>
    </w:p>
    <w:p>
      <w:pPr>
        <w:spacing w:after="0" w:line="120" w:lineRule="exact"/>
        <w:rPr>
          <w:rFonts w:ascii="Arial" w:cs="Arial" w:eastAsia="Arial" w:hAnsi="Arial"/>
          <w:sz w:val="16"/>
          <w:szCs w:val="16"/>
          <w:color w:val="auto"/>
        </w:rPr>
      </w:pPr>
    </w:p>
    <w:p>
      <w:pPr>
        <w:ind w:left="-20" w:firstLine="921"/>
        <w:spacing w:after="0" w:line="286" w:lineRule="auto"/>
        <w:tabs>
          <w:tab w:leader="none" w:pos="111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40" w:firstLine="921"/>
        <w:spacing w:after="0" w:line="288" w:lineRule="auto"/>
        <w:tabs>
          <w:tab w:leader="none" w:pos="114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 If you purchase shares of Common Stock under Options that qualify as incentive stock options within the meaning of Section 422 of the Code, the Company may take reasonable measures, which you agree to abide by when accepting the correlating Notice, to track the ownership of such shares until the date on which a sale or disposition of the shares by you would no longer constitute a disqualifying disposition within the meaning of Section 422 of the Code.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92" w:name="page93"/>
    <w:bookmarkEnd w:id="92"/>
    <w:p>
      <w:pPr>
        <w:ind w:left="620" w:hanging="176"/>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of Unvested Options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firstLine="921"/>
        <w:spacing w:after="0" w:line="298" w:lineRule="auto"/>
        <w:tabs>
          <w:tab w:leader="none" w:pos="1132"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Termination before Accruing 30 Years of Credited Service with 10 Years of Service with the Company</w:t>
      </w:r>
      <w:r>
        <w:rPr>
          <w:rFonts w:ascii="Arial" w:cs="Arial" w:eastAsia="Arial" w:hAnsi="Arial"/>
          <w:sz w:val="16"/>
          <w:szCs w:val="16"/>
          <w:color w:val="auto"/>
        </w:rPr>
        <w:t>. If your Service ceases for any reason before you have at least 30 years of Credited Service with at least ten years of Credited Service that is attributable to Service with the Company (as determined by the Committee), including Service with any successor to the Company, all Options that are not then vested or eligible for future vesting, after giving effect to the applicable provisions of Section 2 above, will be immediately forfeited upon such cessation for no consideration.</w:t>
      </w:r>
    </w:p>
    <w:p>
      <w:pPr>
        <w:spacing w:after="0" w:line="112" w:lineRule="exact"/>
        <w:rPr>
          <w:rFonts w:ascii="Arial" w:cs="Arial" w:eastAsia="Arial" w:hAnsi="Arial"/>
          <w:sz w:val="16"/>
          <w:szCs w:val="16"/>
          <w:color w:val="auto"/>
        </w:rPr>
      </w:pPr>
    </w:p>
    <w:p>
      <w:pPr>
        <w:ind w:left="-20" w:right="100" w:firstLine="921"/>
        <w:spacing w:after="0" w:line="291" w:lineRule="auto"/>
        <w:tabs>
          <w:tab w:leader="none" w:pos="114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Termination after Accruing 30 Years of Credited Service with 10 Years of Service with the Company</w:t>
      </w:r>
      <w:r>
        <w:rPr>
          <w:rFonts w:ascii="Arial" w:cs="Arial" w:eastAsia="Arial" w:hAnsi="Arial"/>
          <w:sz w:val="16"/>
          <w:szCs w:val="16"/>
          <w:color w:val="auto"/>
        </w:rPr>
        <w:t>. If, as of the date on which your Termination of Service occurs, you have at least 30 years of Credited Service and at least ten years of that Credited Service is attributable to Service with the Company (as determined by the Committee), including Service with any successor to the Company, then Options that are not then vested, after giving effect to the applicable provisions of Section 2 above, and which are scheduled to vest on vesting dates set forth in the correlating Notice that fall beyond the 36-month period immediately following your Termination of Service, will be immediately forfeited upon such cessation for no consideration and Section 2(c) will apply to the then-unvested Options which are scheduled to vest within the 36-month period immediately following your Termination of Service.</w:t>
      </w:r>
    </w:p>
    <w:p>
      <w:pPr>
        <w:spacing w:after="0" w:line="120" w:lineRule="exact"/>
        <w:rPr>
          <w:rFonts w:ascii="Arial" w:cs="Arial" w:eastAsia="Arial" w:hAnsi="Arial"/>
          <w:sz w:val="16"/>
          <w:szCs w:val="16"/>
          <w:color w:val="auto"/>
        </w:rPr>
      </w:pPr>
    </w:p>
    <w:p>
      <w:pPr>
        <w:ind w:left="-20" w:right="80" w:firstLine="464"/>
        <w:spacing w:after="0" w:line="259"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Exercise Periods upon Termination of Service</w:t>
      </w:r>
      <w:r>
        <w:rPr>
          <w:rFonts w:ascii="Arial" w:cs="Arial" w:eastAsia="Arial" w:hAnsi="Arial"/>
          <w:sz w:val="18"/>
          <w:szCs w:val="18"/>
          <w:color w:val="auto"/>
        </w:rPr>
        <w:t>. The period during which you may exercise Options after your Service with the Company terminates is dependent upon your attained age and cumulative years of Service credit with the Company, including Service with any successor to the Company, as of the date on which your Service terminates, as follows:</w:t>
      </w:r>
    </w:p>
    <w:p>
      <w:pPr>
        <w:spacing w:after="0" w:line="140" w:lineRule="exact"/>
        <w:rPr>
          <w:rFonts w:ascii="Arial" w:cs="Arial" w:eastAsia="Arial" w:hAnsi="Arial"/>
          <w:sz w:val="18"/>
          <w:szCs w:val="18"/>
          <w:color w:val="auto"/>
        </w:rPr>
      </w:pPr>
    </w:p>
    <w:p>
      <w:pPr>
        <w:jc w:val="both"/>
        <w:ind w:left="-20" w:right="120" w:firstLine="921"/>
        <w:spacing w:after="0" w:line="256"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before Accruing 25 Years of Credited Service with 10 Years of Service with the Company</w:t>
      </w:r>
      <w:r>
        <w:rPr>
          <w:rFonts w:ascii="Arial" w:cs="Arial" w:eastAsia="Arial" w:hAnsi="Arial"/>
          <w:sz w:val="18"/>
          <w:szCs w:val="18"/>
          <w:color w:val="auto"/>
        </w:rPr>
        <w:t>. If, as of the date of your Termination of Service, you do not have at least 25 years of Credited Service with at least ten years of your Credited Service being attributable to Service with the Company (as determined by the Committee), including Service with any successor to the Company, your vested Options will terminate 90 days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20" w:right="80" w:firstLine="921"/>
        <w:spacing w:after="0" w:line="256" w:lineRule="auto"/>
        <w:tabs>
          <w:tab w:leader="none" w:pos="114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25 Years of Credited Service with 10 Years of Service with the Company</w:t>
      </w:r>
      <w:r>
        <w:rPr>
          <w:rFonts w:ascii="Arial" w:cs="Arial" w:eastAsia="Arial" w:hAnsi="Arial"/>
          <w:sz w:val="18"/>
          <w:szCs w:val="18"/>
          <w:color w:val="auto"/>
        </w:rPr>
        <w:t>. If, as of the date of your Termination of Service, you have at least 25, but not 28, years of Credited Service and at least ten years of that Credited Service is attributable to Service with the Company (as determined by the Committee), including Service with any successor to the Company, your vested Options will terminate 13 months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20" w:right="80" w:firstLine="921"/>
        <w:spacing w:after="0" w:line="256"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28 Years of Credited Service with 10 Years of Service with the Company</w:t>
      </w:r>
      <w:r>
        <w:rPr>
          <w:rFonts w:ascii="Arial" w:cs="Arial" w:eastAsia="Arial" w:hAnsi="Arial"/>
          <w:sz w:val="18"/>
          <w:szCs w:val="18"/>
          <w:color w:val="auto"/>
        </w:rPr>
        <w:t>. If, as of the date of your Termination of Service, you have at least 28, but not 30, years of Credited Service and at least ten years of that Credited Service is attributable to Service with the Company (as determined by the Committee), including Service with any successor to the Company, your vested Options will terminate 36 months after the date on which your Service terminates, but in no event later than the Expiration Date.</w:t>
      </w:r>
    </w:p>
    <w:p>
      <w:pPr>
        <w:spacing w:after="0" w:line="143" w:lineRule="exact"/>
        <w:rPr>
          <w:rFonts w:ascii="Arial" w:cs="Arial" w:eastAsia="Arial" w:hAnsi="Arial"/>
          <w:sz w:val="18"/>
          <w:szCs w:val="18"/>
          <w:color w:val="auto"/>
        </w:rPr>
      </w:pPr>
    </w:p>
    <w:p>
      <w:pPr>
        <w:ind w:left="-20" w:right="260" w:firstLine="921"/>
        <w:spacing w:after="0" w:line="268" w:lineRule="auto"/>
        <w:tabs>
          <w:tab w:leader="none" w:pos="114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30 Years of Credited Service with 10 Years of Service with the Company</w:t>
      </w:r>
      <w:r>
        <w:rPr>
          <w:rFonts w:ascii="Arial" w:cs="Arial" w:eastAsia="Arial" w:hAnsi="Arial"/>
          <w:sz w:val="18"/>
          <w:szCs w:val="18"/>
          <w:color w:val="auto"/>
        </w:rPr>
        <w:t>. If, as of the date of your Termination of Service, you have at least 30 years of Credited Service and at least ten years of that Credited Service is attributable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93" w:name="page94"/>
    <w:bookmarkEnd w:id="9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with the Company (as determined by the Committee), including Service with any successor to the Company, your vested Options determined as of the date of your Termination of Service will terminate 36 months after the date on which your Service terminates, but in no event later than the Expiration Date. Furthermore, any Options which become vested pursuant to Section 2(c) above within the 36-month period following the date on which your Service terminates will terminate 39 months after the date on which your Service terminates (i.e., the standard 36-month period plus three additional months), but in no event later than the Expiration Date.</w:t>
      </w:r>
    </w:p>
    <w:p>
      <w:pPr>
        <w:spacing w:after="0" w:line="143" w:lineRule="exact"/>
        <w:rPr>
          <w:sz w:val="20"/>
          <w:szCs w:val="20"/>
          <w:color w:val="auto"/>
        </w:rPr>
      </w:pPr>
    </w:p>
    <w:p>
      <w:pPr>
        <w:ind w:right="20" w:firstLine="921"/>
        <w:spacing w:after="0" w:line="306" w:lineRule="auto"/>
        <w:tabs>
          <w:tab w:leader="none" w:pos="1152"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your Termination of Service is due to your Total and Permanent Disability, your vested Options will terminate (i) 13 months after the date on which your Service terminates or, if later, (ii) upon the date specified in Section 5(c) or 5(d), whichever subsection is applicable (if any) based on your accrued Credited Service when your Termination of Service occurs, but in no event later than the Expiration Date.</w:t>
      </w:r>
    </w:p>
    <w:p>
      <w:pPr>
        <w:spacing w:after="0" w:line="106" w:lineRule="exact"/>
        <w:rPr>
          <w:rFonts w:ascii="Arial" w:cs="Arial" w:eastAsia="Arial" w:hAnsi="Arial"/>
          <w:sz w:val="16"/>
          <w:szCs w:val="16"/>
          <w:color w:val="auto"/>
        </w:rPr>
      </w:pPr>
    </w:p>
    <w:p>
      <w:pPr>
        <w:ind w:right="40" w:firstLine="921"/>
        <w:spacing w:after="0" w:line="290" w:lineRule="auto"/>
        <w:tabs>
          <w:tab w:leader="none" w:pos="1132"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your death occurs prior to your Termination of Service or during any of the periods described in Sections 5(a), 5(b), 5(c), 5(d) or 5(e) above during which your vested Options remained exercisable by you, then your estate, personal representative or any beneficiary, heir or legatee to whom the Options have been transferred will be permitted to exercise such vested Options during the (i) 13-month period immediately following your date of death or, if longer, (ii) through the date specified in Section 5(c), 5(d), or 5(e), whichever subsection is applicable (if any) based on your accrued Credited Service when your Termination of Service occurred, but in no event later than the Expiration Date. To the extent unexercised, the vested Options will terminate upon the expiration of the applicable period specified in the immediately preceding sentence. Any person seeking to exercise your Options following your death must provide to the Company appropriate documentation as may be requested by the Committee to establish your death and such person’s right to exercise the Options.</w:t>
      </w:r>
    </w:p>
    <w:p>
      <w:pPr>
        <w:spacing w:after="0" w:line="118" w:lineRule="exact"/>
        <w:rPr>
          <w:rFonts w:ascii="Arial" w:cs="Arial" w:eastAsia="Arial" w:hAnsi="Arial"/>
          <w:sz w:val="16"/>
          <w:szCs w:val="16"/>
          <w:color w:val="auto"/>
        </w:rPr>
      </w:pPr>
    </w:p>
    <w:p>
      <w:pPr>
        <w:ind w:right="60" w:firstLine="921"/>
        <w:spacing w:after="0" w:line="259" w:lineRule="auto"/>
        <w:tabs>
          <w:tab w:leader="none" w:pos="1161"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Extraordinary Corporate Events</w:t>
      </w:r>
      <w:r>
        <w:rPr>
          <w:rFonts w:ascii="Arial" w:cs="Arial" w:eastAsia="Arial" w:hAnsi="Arial"/>
          <w:sz w:val="18"/>
          <w:szCs w:val="18"/>
          <w:color w:val="auto"/>
        </w:rPr>
        <w:t>. Each of the periods in which vested Options may be exercised following your Termination of Service described in this Section 5 is subject to being superseded by the provisions of the Plan with respect to a Change in Control, merger, consolidation, stock rights offering, liquidation or dissolution, statutory share exchange or similar event affecting Price Group.</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286" w:lineRule="auto"/>
        <w:tabs>
          <w:tab w:leader="none" w:pos="1152" w:val="left"/>
        </w:tabs>
        <w:numPr>
          <w:ilvl w:val="2"/>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 of Vesting/No Extension of Exercise Period</w:t>
      </w:r>
      <w:r>
        <w:rPr>
          <w:rFonts w:ascii="Arial" w:cs="Arial" w:eastAsia="Arial" w:hAnsi="Arial"/>
          <w:sz w:val="16"/>
          <w:szCs w:val="16"/>
          <w:color w:val="auto"/>
        </w:rPr>
        <w:t>. Notwithstanding anything in Section 2 or Section 5 to the contrary, unless the Committee determines otherwise, upon the occurrence of any Prohibited Action set forth in Section 6(b), the following shall occur with respect to your Options:</w:t>
      </w:r>
    </w:p>
    <w:p>
      <w:pPr>
        <w:ind w:firstLine="8"/>
        <w:spacing w:after="0" w:line="292"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further Options will become vested and any then-unvested Options will terminate immediately, and (ii) all Options that were vested as of the date on which your Termination of Service occurred and any Options which became vested pursuant to Section 2(c) after your Termination of Service occurred shall terminate 90 days after the date on which your Termination of Service occurred or on the date on which the Prohibited Action occurred if later, but in no event later than the Expiration Date. For clarity, unless the Committee determines otherwise, the Options described in clause (ii) of the immediately preceding sentence will terminate immediately if a Prohibited Action occurs later than the 90th day after the date on which your Termination of Service occurred.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4" w:name="page95"/>
    <w:bookmarkEnd w:id="94"/>
    <w:p>
      <w:pPr>
        <w:ind w:left="-40" w:right="340" w:firstLine="921"/>
        <w:spacing w:after="0" w:line="268" w:lineRule="auto"/>
        <w:tabs>
          <w:tab w:leader="none" w:pos="11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6(a)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880" w:right="80" w:firstLine="421"/>
        <w:spacing w:after="0" w:line="259" w:lineRule="auto"/>
        <w:tabs>
          <w:tab w:leader="none" w:pos="15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59" w:lineRule="exact"/>
        <w:rPr>
          <w:rFonts w:ascii="Arial" w:cs="Arial" w:eastAsia="Arial" w:hAnsi="Arial"/>
          <w:sz w:val="18"/>
          <w:szCs w:val="18"/>
          <w:color w:val="auto"/>
        </w:rPr>
      </w:pPr>
    </w:p>
    <w:p>
      <w:pPr>
        <w:ind w:left="880" w:right="80" w:firstLine="421"/>
        <w:spacing w:after="0" w:line="254" w:lineRule="auto"/>
        <w:tabs>
          <w:tab w:leader="none" w:pos="15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sz w:val="20"/>
          <w:szCs w:val="20"/>
          <w:color w:val="auto"/>
        </w:rPr>
      </w:pPr>
    </w:p>
    <w:p>
      <w:pPr>
        <w:ind w:left="880" w:right="240" w:firstLine="1"/>
        <w:spacing w:after="0" w:line="261"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95" w:name="page96"/>
    <w:bookmarkEnd w:id="95"/>
    <w:p>
      <w:pPr>
        <w:jc w:val="both"/>
        <w:ind w:left="-20" w:right="120" w:firstLine="921"/>
        <w:spacing w:after="0" w:line="306" w:lineRule="auto"/>
        <w:tabs>
          <w:tab w:leader="none" w:pos="113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Blue Pencil</w:t>
      </w:r>
      <w:r>
        <w:rPr>
          <w:rFonts w:ascii="Arial" w:cs="Arial" w:eastAsia="Arial" w:hAnsi="Arial"/>
          <w:sz w:val="16"/>
          <w:szCs w:val="16"/>
          <w:color w:val="auto"/>
        </w:rPr>
        <w:t>. If any of the provisions or terms of this Section 6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106" w:lineRule="exact"/>
        <w:rPr>
          <w:rFonts w:ascii="Arial" w:cs="Arial" w:eastAsia="Arial" w:hAnsi="Arial"/>
          <w:sz w:val="16"/>
          <w:szCs w:val="16"/>
          <w:color w:val="auto"/>
        </w:rPr>
      </w:pPr>
    </w:p>
    <w:p>
      <w:pPr>
        <w:ind w:left="-20" w:right="100" w:firstLine="921"/>
        <w:spacing w:after="0" w:line="306" w:lineRule="auto"/>
        <w:tabs>
          <w:tab w:leader="none" w:pos="114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Notification To Company</w:t>
      </w:r>
      <w:r>
        <w:rPr>
          <w:rFonts w:ascii="Arial" w:cs="Arial" w:eastAsia="Arial" w:hAnsi="Arial"/>
          <w:sz w:val="16"/>
          <w:szCs w:val="16"/>
          <w:color w:val="auto"/>
        </w:rPr>
        <w:t>. For as long as you have vested Options that have not been exercised, you covenant and agree that you will disclose to the Company the identity of any new employer within two business days of being employed or engaged by such new employer, and at the time that you seek to exercise any Options you will provide to the Company information sufficient to confirm that you have not engaged in any Prohibited Actions.</w:t>
      </w:r>
    </w:p>
    <w:p>
      <w:pPr>
        <w:spacing w:after="0" w:line="106" w:lineRule="exact"/>
        <w:rPr>
          <w:rFonts w:ascii="Arial" w:cs="Arial" w:eastAsia="Arial" w:hAnsi="Arial"/>
          <w:sz w:val="16"/>
          <w:szCs w:val="16"/>
          <w:color w:val="auto"/>
        </w:rPr>
      </w:pPr>
    </w:p>
    <w:p>
      <w:pPr>
        <w:ind w:left="-20" w:right="20" w:firstLine="464"/>
        <w:spacing w:after="0" w:line="289" w:lineRule="auto"/>
        <w:tabs>
          <w:tab w:leader="none" w:pos="61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Options</w:t>
      </w:r>
      <w:r>
        <w:rPr>
          <w:rFonts w:ascii="Arial" w:cs="Arial" w:eastAsia="Arial" w:hAnsi="Arial"/>
          <w:sz w:val="16"/>
          <w:szCs w:val="16"/>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the advance consent of the Committee, vested Options that are not incentive stock options within the meaning of Section 422 of the Code may be transferred to one or more of your family members or a trust, partnership or the like for the benefit of you and/or one or more of your family members. Except as provided above, the Options and, before exercise, the shares of Common Stock 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Status for Tax Purposes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firstLine="921"/>
        <w:spacing w:after="0" w:line="259" w:lineRule="auto"/>
        <w:tabs>
          <w:tab w:leader="none" w:pos="1132"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Unapproved Options</w:t>
      </w:r>
      <w:r>
        <w:rPr>
          <w:rFonts w:ascii="Arial" w:cs="Arial" w:eastAsia="Arial" w:hAnsi="Arial"/>
          <w:sz w:val="18"/>
          <w:szCs w:val="18"/>
          <w:color w:val="auto"/>
        </w:rPr>
        <w:t>. The Options are unapproved stock options that have not been granted under a sub-plan approved by Her Majesty’s Revenue and Customs (HMRC). You must comply with the provisions of Section 3(e) of this Agreement with respect to any Withholding Tax obligations that arise as a result of the grant, vesting or exercise of the Options.</w:t>
      </w:r>
    </w:p>
    <w:p>
      <w:pPr>
        <w:spacing w:after="0" w:line="140" w:lineRule="exact"/>
        <w:rPr>
          <w:rFonts w:ascii="Arial" w:cs="Arial" w:eastAsia="Arial" w:hAnsi="Arial"/>
          <w:sz w:val="18"/>
          <w:szCs w:val="18"/>
          <w:color w:val="auto"/>
        </w:rPr>
      </w:pPr>
    </w:p>
    <w:p>
      <w:pPr>
        <w:ind w:left="-20" w:right="220" w:firstLine="921"/>
        <w:spacing w:after="0" w:line="294" w:lineRule="auto"/>
        <w:tabs>
          <w:tab w:leader="none" w:pos="1141"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Nonqualified Options</w:t>
      </w:r>
      <w:r>
        <w:rPr>
          <w:rFonts w:ascii="Arial" w:cs="Arial" w:eastAsia="Arial" w:hAnsi="Arial"/>
          <w:sz w:val="16"/>
          <w:szCs w:val="16"/>
          <w:color w:val="auto"/>
        </w:rPr>
        <w:t xml:space="preserve">. If the correlating Notice provides that the Options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intended to qualify as incentive stock options within the meaning of Section 422 of the Code, this Agreement shall be so construed. In such case, by accepting the Options you acknowledge that, if you are as of the Grant Date, or subsequently become prior to exercise,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w:t>
      </w:r>
    </w:p>
    <w:p>
      <w:pPr>
        <w:spacing w:after="0" w:line="115" w:lineRule="exact"/>
        <w:rPr>
          <w:rFonts w:ascii="Arial" w:cs="Arial" w:eastAsia="Arial" w:hAnsi="Arial"/>
          <w:sz w:val="16"/>
          <w:szCs w:val="16"/>
          <w:color w:val="auto"/>
        </w:rPr>
      </w:pPr>
    </w:p>
    <w:p>
      <w:pPr>
        <w:ind w:left="-20" w:right="80" w:firstLine="921"/>
        <w:spacing w:after="0" w:line="259" w:lineRule="auto"/>
        <w:tabs>
          <w:tab w:leader="none" w:pos="1132"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xml:space="preserve">. If the correlating Notice provides that the Options </w:t>
      </w:r>
      <w:r>
        <w:rPr>
          <w:rFonts w:ascii="Arial" w:cs="Arial" w:eastAsia="Arial" w:hAnsi="Arial"/>
          <w:sz w:val="18"/>
          <w:szCs w:val="18"/>
          <w:u w:val="single" w:color="auto"/>
          <w:color w:val="auto"/>
        </w:rPr>
        <w:t>are</w:t>
      </w:r>
      <w:r>
        <w:rPr>
          <w:rFonts w:ascii="Arial" w:cs="Arial" w:eastAsia="Arial" w:hAnsi="Arial"/>
          <w:sz w:val="18"/>
          <w:szCs w:val="18"/>
          <w:color w:val="auto"/>
        </w:rPr>
        <w:t xml:space="preserve"> intended to qualify as incentive stock options within the meaning of Section 422 of the Code and you are as of the Grant Date, or subsequently become prior to exercise, a U.S. taxpayer for federal tax purposes, then this Agreement shall be so construed to the fullest extent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96" w:name="page97"/>
    <w:bookmarkEnd w:id="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by Section 422 of the Code, including the application of the limit provided by Section 422(d) of the Code. The Company, however, does not warrant any particular tax consequences of the Options. Section 422 of the Code provides limitations and other requirements, not set forth in this Agreement, respecting the treatment of the Options as incentive stock options. You should consult with your personal tax advisors in this regard. The quantity limitation and employment requirement pertaining to incentive stock options are outlined below.</w:t>
      </w:r>
    </w:p>
    <w:p>
      <w:pPr>
        <w:spacing w:after="0" w:line="62" w:lineRule="exact"/>
        <w:rPr>
          <w:sz w:val="20"/>
          <w:szCs w:val="20"/>
          <w:color w:val="auto"/>
        </w:rPr>
      </w:pPr>
    </w:p>
    <w:p>
      <w:pPr>
        <w:ind w:left="920" w:right="100" w:firstLine="421"/>
        <w:spacing w:after="0" w:line="287" w:lineRule="auto"/>
        <w:tabs>
          <w:tab w:leader="none" w:pos="1549"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Quantity Limitation</w:t>
      </w:r>
      <w:r>
        <w:rPr>
          <w:rFonts w:ascii="Arial" w:cs="Arial" w:eastAsia="Arial" w:hAnsi="Arial"/>
          <w:sz w:val="16"/>
          <w:szCs w:val="16"/>
          <w:color w:val="auto"/>
        </w:rPr>
        <w:t>. Pursuant to Section 422(d) of the Code,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Section 424(e) and 424(f) of the Code, as may exist from time to time) may not exceed $100,000 or such other amount as may be permitted from time to time under Section 422 of the Code. To the extent that such aggregate fair market value exceeds $100,000 or such other applicable amount in any calendar year, such stock options will be treated as nonqualified stock options with respect to the amount of aggregate fair market value thereof that exceeds the Code Section 422(d) limit. For this purpose, the incentive stock options will be taken into account in the order in which they were granted. The Company may designate the shares of Common Stock that are to be treated as stock acquired pursuant to the exercise of incentive stock options and the shares of Common Stock that are to be treated as stock acquired pursuant to nonqualified stock options by issuing separate certificates for such shares and identifying the certificates as such in the stock transfer records of the Company or by any other appropriate notation in the records of the Company.</w:t>
      </w:r>
    </w:p>
    <w:p>
      <w:pPr>
        <w:spacing w:after="0" w:line="41" w:lineRule="exact"/>
        <w:rPr>
          <w:rFonts w:ascii="Arial" w:cs="Arial" w:eastAsia="Arial" w:hAnsi="Arial"/>
          <w:sz w:val="16"/>
          <w:szCs w:val="16"/>
          <w:color w:val="auto"/>
        </w:rPr>
      </w:pPr>
    </w:p>
    <w:p>
      <w:pPr>
        <w:ind w:left="920" w:firstLine="421"/>
        <w:spacing w:after="0" w:line="289" w:lineRule="auto"/>
        <w:tabs>
          <w:tab w:leader="none" w:pos="1598"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Employment Requirement</w:t>
      </w:r>
      <w:r>
        <w:rPr>
          <w:rFonts w:ascii="Arial" w:cs="Arial" w:eastAsia="Arial" w:hAnsi="Arial"/>
          <w:sz w:val="16"/>
          <w:szCs w:val="16"/>
          <w:color w:val="auto"/>
        </w:rPr>
        <w:t>. Except with respect to exercise after your death or Termination of Service due to Total and Permanent Disability, at all times during the period beginning with the Grant Date of an incentive stock option and ending on the day three months before the date of exercise, you must be an employee of Price Group or a subsidiary, as that term is defined in Section 424(f) of the Code, in order for the Option to be treated as an incentive stock option for U.S. federal tax purposes. Therefore, any part of the Options designated as intended to be incentive stock options which is not exercised either during your Service with Price Group or a subsidiary or within three months after your Termination of Service with Price Group or a subsidiary will not be treated as an incentive stock option for U.S. federal tax purposes when exercised. Similarly, if the entity with which you are employed ceases to be a subsidiary of Price Group, as that term is defined in Section 424(f) of the Code, then the Options will be treated as nonqualified stock options unless exercised within three months of such cessation.</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255" w:lineRule="auto"/>
        <w:tabs>
          <w:tab w:leader="none" w:pos="115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Mandatory Adjustments</w:t>
      </w:r>
      <w:r>
        <w:rPr>
          <w:rFonts w:ascii="Arial" w:cs="Arial" w:eastAsia="Arial" w:hAnsi="Arial"/>
          <w:sz w:val="18"/>
          <w:szCs w:val="18"/>
          <w:color w:val="auto"/>
        </w:rPr>
        <w:t>. In the event of a merger, consolidation, stock rights offering, liquidation, statutory share exchange or similar event affecting Price Group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w:t>
      </w:r>
      <w:r>
        <w:rPr>
          <w:rFonts w:ascii="Arial" w:cs="Arial" w:eastAsia="Arial" w:hAnsi="Arial"/>
          <w:sz w:val="18"/>
          <w:szCs w:val="18"/>
          <w:color w:val="auto"/>
        </w:rPr>
        <w:t>”), the Committee shall make equitable and appropriate substitutions or proportionate adjustments to the number of outstanding Options,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per share,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97" w:name="page98"/>
    <w:bookmarkEnd w:id="97"/>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 number of Options eligible to vest on each subsequent vesting date under the vesting schedule set forth on the Notice to reflect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07" w:lineRule="exact"/>
        <w:rPr>
          <w:sz w:val="20"/>
          <w:szCs w:val="20"/>
          <w:color w:val="auto"/>
        </w:rPr>
      </w:pPr>
    </w:p>
    <w:p>
      <w:pPr>
        <w:ind w:firstLine="921"/>
        <w:spacing w:after="0" w:line="306" w:lineRule="auto"/>
        <w:tabs>
          <w:tab w:leader="none" w:pos="1161"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Discretionary Adjustments</w:t>
      </w:r>
      <w:r>
        <w:rPr>
          <w:rFonts w:ascii="Arial" w:cs="Arial" w:eastAsia="Arial" w:hAnsi="Arial"/>
          <w:sz w:val="15"/>
          <w:szCs w:val="15"/>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 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 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16" w:lineRule="exact"/>
        <w:rPr>
          <w:rFonts w:ascii="Arial" w:cs="Arial" w:eastAsia="Arial" w:hAnsi="Arial"/>
          <w:sz w:val="15"/>
          <w:szCs w:val="15"/>
          <w:color w:val="auto"/>
        </w:rPr>
      </w:pPr>
    </w:p>
    <w:p>
      <w:pPr>
        <w:ind w:left="1160" w:hanging="239"/>
        <w:spacing w:after="0"/>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Price Group.</w:t>
      </w:r>
    </w:p>
    <w:p>
      <w:pPr>
        <w:spacing w:after="0" w:line="164" w:lineRule="exact"/>
        <w:rPr>
          <w:rFonts w:ascii="Arial" w:cs="Arial" w:eastAsia="Arial" w:hAnsi="Arial"/>
          <w:sz w:val="16"/>
          <w:szCs w:val="16"/>
          <w:color w:val="auto"/>
        </w:rPr>
      </w:pPr>
    </w:p>
    <w:p>
      <w:pPr>
        <w:ind w:right="60" w:firstLine="921"/>
        <w:spacing w:after="0" w:line="290" w:lineRule="auto"/>
        <w:tabs>
          <w:tab w:leader="none" w:pos="116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the outstanding Options that will terminate upon the effective time of the Change in Control shall, immediately before the effective time of the Change in Control, become fully exercisable, (ii) you will be permitted, immediately before the Change in Control, to exercise the Options, and (iii) the Committee may take any of the actions set forth in Section 9(a) and 9(b) with respect to any or all of the Options. Implementation of the provisions of the immediately foregoing sentence shall be conditioned upon consummation of the Change in Control.</w:t>
      </w:r>
    </w:p>
    <w:p>
      <w:pPr>
        <w:spacing w:after="0" w:line="118" w:lineRule="exact"/>
        <w:rPr>
          <w:rFonts w:ascii="Arial" w:cs="Arial" w:eastAsia="Arial" w:hAnsi="Arial"/>
          <w:sz w:val="16"/>
          <w:szCs w:val="16"/>
          <w:color w:val="auto"/>
        </w:rPr>
      </w:pPr>
    </w:p>
    <w:p>
      <w:pPr>
        <w:ind w:right="120" w:firstLine="464"/>
        <w:spacing w:after="0" w:line="256"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98" w:name="page99"/>
    <w:bookmarkEnd w:id="98"/>
    <w:p>
      <w:pPr>
        <w:jc w:val="both"/>
        <w:ind w:left="-8" w:right="80" w:firstLine="464"/>
        <w:spacing w:after="0" w:line="306" w:lineRule="auto"/>
        <w:tabs>
          <w:tab w:leader="none" w:pos="70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Stockholder</w:t>
      </w:r>
      <w:r>
        <w:rPr>
          <w:rFonts w:ascii="Arial" w:cs="Arial" w:eastAsia="Arial" w:hAnsi="Arial"/>
          <w:sz w:val="16"/>
          <w:szCs w:val="16"/>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106" w:lineRule="exact"/>
        <w:rPr>
          <w:rFonts w:ascii="Arial" w:cs="Arial" w:eastAsia="Arial" w:hAnsi="Arial"/>
          <w:sz w:val="16"/>
          <w:szCs w:val="16"/>
          <w:color w:val="auto"/>
        </w:rPr>
      </w:pPr>
    </w:p>
    <w:p>
      <w:pPr>
        <w:ind w:left="-8" w:right="40" w:firstLine="464"/>
        <w:spacing w:after="0" w:line="294" w:lineRule="auto"/>
        <w:tabs>
          <w:tab w:leader="none" w:pos="712"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left="-8" w:right="20" w:firstLine="464"/>
        <w:spacing w:after="0" w:line="323" w:lineRule="auto"/>
        <w:tabs>
          <w:tab w:leader="none" w:pos="712"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12" w:hanging="256"/>
        <w:spacing w:after="0"/>
        <w:tabs>
          <w:tab w:leader="none" w:pos="71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00" w:firstLine="921"/>
        <w:spacing w:after="0" w:line="298" w:lineRule="auto"/>
        <w:tabs>
          <w:tab w:leader="none" w:pos="1144" w:val="left"/>
        </w:tabs>
        <w:numPr>
          <w:ilvl w:val="2"/>
          <w:numId w:val="70"/>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left="-8" w:right="620" w:firstLine="921"/>
        <w:spacing w:after="0" w:line="286" w:lineRule="auto"/>
        <w:tabs>
          <w:tab w:leader="none" w:pos="1153" w:val="left"/>
        </w:tabs>
        <w:numPr>
          <w:ilvl w:val="2"/>
          <w:numId w:val="70"/>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left="-8" w:firstLine="8"/>
        <w:spacing w:after="0" w:line="254" w:lineRule="auto"/>
        <w:tabs>
          <w:tab w:leader="none" w:pos="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left="-8" w:right="80" w:firstLine="464"/>
        <w:spacing w:after="0" w:line="256" w:lineRule="auto"/>
        <w:tabs>
          <w:tab w:leader="none" w:pos="71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99" w:name="page100"/>
    <w:bookmarkEnd w:id="99"/>
    <w:p>
      <w:pPr>
        <w:jc w:val="both"/>
        <w:ind w:right="60" w:firstLine="464"/>
        <w:spacing w:after="0" w:line="335" w:lineRule="auto"/>
        <w:tabs>
          <w:tab w:leader="none" w:pos="72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88" w:lineRule="exact"/>
        <w:rPr>
          <w:rFonts w:ascii="Arial" w:cs="Arial" w:eastAsia="Arial" w:hAnsi="Arial"/>
          <w:sz w:val="15"/>
          <w:szCs w:val="15"/>
          <w:color w:val="auto"/>
        </w:rPr>
      </w:pPr>
    </w:p>
    <w:p>
      <w:pPr>
        <w:ind w:right="120" w:firstLine="464"/>
        <w:spacing w:after="0" w:line="291"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right="20" w:firstLine="464"/>
        <w:spacing w:after="0" w:line="290"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00" w:name="page101"/>
    <w:bookmarkEnd w:id="100"/>
    <w:p>
      <w:pPr>
        <w:ind w:left="-40" w:right="120" w:firstLine="464"/>
        <w:spacing w:after="0" w:line="306"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40" w:firstLine="464"/>
        <w:spacing w:after="0" w:line="290"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118" w:lineRule="exact"/>
        <w:rPr>
          <w:rFonts w:ascii="Arial" w:cs="Arial" w:eastAsia="Arial" w:hAnsi="Arial"/>
          <w:sz w:val="16"/>
          <w:szCs w:val="16"/>
          <w:color w:val="auto"/>
        </w:rPr>
      </w:pPr>
    </w:p>
    <w:p>
      <w:pPr>
        <w:ind w:left="-40" w:right="40" w:firstLine="464"/>
        <w:spacing w:after="0" w:line="284"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 (ix) 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101" w:name="page102"/>
    <w:bookmarkEnd w:id="101"/>
    <w:p>
      <w:pPr>
        <w:ind w:left="-40" w:firstLine="464"/>
        <w:spacing w:after="0" w:line="305"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Privacy Consent</w:t>
      </w:r>
      <w:r>
        <w:rPr>
          <w:rFonts w:ascii="Arial" w:cs="Arial" w:eastAsia="Arial" w:hAnsi="Arial"/>
          <w:sz w:val="15"/>
          <w:szCs w:val="15"/>
          <w:b w:val="1"/>
          <w:bCs w:val="1"/>
          <w:i w:val="1"/>
          <w:iCs w:val="1"/>
          <w:color w:val="auto"/>
        </w:rPr>
        <w:t>. For purposes of the implementation, administration and management of the Options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w:t>
      </w:r>
    </w:p>
    <w:p>
      <w:pPr>
        <w:spacing w:after="0" w:line="109" w:lineRule="exact"/>
        <w:rPr>
          <w:rFonts w:ascii="Arial" w:cs="Arial" w:eastAsia="Arial" w:hAnsi="Arial"/>
          <w:sz w:val="15"/>
          <w:szCs w:val="15"/>
          <w:color w:val="auto"/>
        </w:rPr>
      </w:pPr>
    </w:p>
    <w:p>
      <w:pPr>
        <w:ind w:left="680" w:hanging="256"/>
        <w:spacing w:after="0"/>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103" w:name="page104"/>
    <w:bookmarkEnd w:id="103"/>
    <w:p>
      <w:pPr>
        <w:ind w:right="200" w:firstLine="921"/>
        <w:spacing w:after="0" w:line="259" w:lineRule="auto"/>
        <w:tabs>
          <w:tab w:leader="none" w:pos="1123"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right="80" w:firstLine="921"/>
        <w:spacing w:after="0" w:line="306" w:lineRule="auto"/>
        <w:tabs>
          <w:tab w:leader="none" w:pos="1123"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Credited Service</w:t>
      </w:r>
      <w:r>
        <w:rPr>
          <w:rFonts w:ascii="Arial" w:cs="Arial" w:eastAsia="Arial" w:hAnsi="Arial"/>
          <w:sz w:val="16"/>
          <w:szCs w:val="16"/>
          <w:color w:val="auto"/>
        </w:rPr>
        <w:t>” means the sum of the period(s) during which you are in Service with the Company plus any period of service that may be allocated to you by the Committee, in its sole discretion, in writing for periods during which you were not employed with the Company but you were engaged in activities through which you gained relevant industry experience, as determined in the Committee’s discretion.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right="220" w:firstLine="921"/>
        <w:spacing w:after="0" w:line="306" w:lineRule="auto"/>
        <w:tabs>
          <w:tab w:leader="none" w:pos="121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106" w:lineRule="exact"/>
        <w:rPr>
          <w:rFonts w:ascii="Arial" w:cs="Arial" w:eastAsia="Arial" w:hAnsi="Arial"/>
          <w:sz w:val="16"/>
          <w:szCs w:val="16"/>
          <w:color w:val="auto"/>
        </w:rPr>
      </w:pPr>
    </w:p>
    <w:p>
      <w:pPr>
        <w:ind w:right="100" w:firstLine="921"/>
        <w:spacing w:after="0" w:line="357" w:lineRule="auto"/>
        <w:tabs>
          <w:tab w:leader="none" w:pos="1162"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8"/>
          <w:szCs w:val="18"/>
          <w:b w:val="1"/>
          <w:bCs w:val="1"/>
          <w:i w:val="1"/>
          <w:iCs w:val="1"/>
          <w:color w:val="auto"/>
        </w:rPr>
        <w:t>Service Recipient</w:t>
      </w:r>
      <w:r>
        <w:rPr>
          <w:rFonts w:ascii="Arial" w:cs="Arial" w:eastAsia="Arial" w:hAnsi="Arial"/>
          <w:sz w:val="18"/>
          <w:szCs w:val="18"/>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8"/>
          <w:szCs w:val="18"/>
          <w:b w:val="1"/>
          <w:bCs w:val="1"/>
          <w:i w:val="1"/>
          <w:iCs w:val="1"/>
          <w:color w:val="auto"/>
        </w:rPr>
        <w:t>Cure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during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04" w:name="page105"/>
    <w:bookmarkEnd w:id="10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may remedy the condition. In the event that the Service Recipient fails to remedy the condition constituting Good Reason during the 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40" w:lineRule="exact"/>
        <w:rPr>
          <w:sz w:val="20"/>
          <w:szCs w:val="20"/>
          <w:color w:val="auto"/>
        </w:rPr>
      </w:pPr>
    </w:p>
    <w:p>
      <w:pPr>
        <w:ind w:left="1160" w:hanging="23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means the Notice of Grant of Stock Option Award which correlates with these Terms and sets forth the specifics of the applicable award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Options.</w:t>
      </w:r>
    </w:p>
    <w:p>
      <w:pPr>
        <w:spacing w:after="0" w:line="165" w:lineRule="exact"/>
        <w:rPr>
          <w:sz w:val="20"/>
          <w:szCs w:val="20"/>
          <w:color w:val="auto"/>
        </w:rPr>
      </w:pPr>
    </w:p>
    <w:p>
      <w:pPr>
        <w:ind w:right="100" w:firstLine="921"/>
        <w:spacing w:after="0" w:line="25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65" w:lineRule="exact"/>
        <w:rPr>
          <w:rFonts w:ascii="Arial" w:cs="Arial" w:eastAsia="Arial" w:hAnsi="Arial"/>
          <w:sz w:val="18"/>
          <w:szCs w:val="18"/>
          <w:color w:val="auto"/>
        </w:rPr>
      </w:pPr>
    </w:p>
    <w:p>
      <w:pPr>
        <w:ind w:right="120" w:firstLine="921"/>
        <w:spacing w:after="0" w:line="262" w:lineRule="auto"/>
        <w:tabs>
          <w:tab w:leader="none" w:pos="11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38" w:lineRule="exact"/>
        <w:rPr>
          <w:rFonts w:ascii="Arial" w:cs="Arial" w:eastAsia="Arial" w:hAnsi="Arial"/>
          <w:sz w:val="18"/>
          <w:szCs w:val="18"/>
          <w:color w:val="auto"/>
        </w:rPr>
      </w:pPr>
    </w:p>
    <w:p>
      <w:pPr>
        <w:ind w:right="160" w:firstLine="921"/>
        <w:spacing w:after="0" w:line="294"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right="100" w:firstLine="921"/>
        <w:spacing w:after="0" w:line="291" w:lineRule="auto"/>
        <w:tabs>
          <w:tab w:leader="none" w:pos="12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05" w:name="page106"/>
    <w:bookmarkEnd w:id="105"/>
    <w:p>
      <w:pPr>
        <w:ind w:right="80" w:firstLine="443"/>
        <w:spacing w:after="0" w:line="268"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31" w:lineRule="exact"/>
        <w:rPr>
          <w:rFonts w:ascii="Arial" w:cs="Arial" w:eastAsia="Arial" w:hAnsi="Arial"/>
          <w:sz w:val="18"/>
          <w:szCs w:val="18"/>
          <w:color w:val="auto"/>
        </w:rPr>
      </w:pPr>
    </w:p>
    <w:p>
      <w:pPr>
        <w:ind w:firstLine="443"/>
        <w:spacing w:after="0" w:line="256" w:lineRule="auto"/>
        <w:tabs>
          <w:tab w:leader="none" w:pos="68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700" w:top="280"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Notice of Replenishment of</w:t>
            </w:r>
          </w:p>
        </w:tc>
        <w:tc>
          <w:tcPr>
            <w:tcW w:w="7940" w:type="dxa"/>
            <w:vAlign w:val="bottom"/>
          </w:tcPr>
          <w:p>
            <w:pPr>
              <w:ind w:left="338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48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7940" w:type="dxa"/>
            <w:vAlign w:val="bottom"/>
          </w:tcPr>
          <w:p>
            <w:pPr>
              <w:ind w:left="3380"/>
              <w:spacing w:after="0"/>
              <w:rPr>
                <w:sz w:val="20"/>
                <w:szCs w:val="20"/>
                <w:color w:val="auto"/>
              </w:rPr>
            </w:pPr>
            <w:r>
              <w:rPr>
                <w:rFonts w:ascii="Arial" w:cs="Arial" w:eastAsia="Arial" w:hAnsi="Arial"/>
                <w:sz w:val="18"/>
                <w:szCs w:val="18"/>
                <w:color w:val="auto"/>
              </w:rPr>
              <w:t>ID: 52-2264646</w:t>
            </w:r>
          </w:p>
        </w:tc>
      </w:tr>
      <w:tr>
        <w:trPr>
          <w:trHeight w:val="216"/>
        </w:trPr>
        <w:tc>
          <w:tcPr>
            <w:tcW w:w="3480" w:type="dxa"/>
            <w:vAlign w:val="bottom"/>
          </w:tcPr>
          <w:p>
            <w:pPr>
              <w:spacing w:after="0"/>
              <w:rPr>
                <w:sz w:val="18"/>
                <w:szCs w:val="18"/>
                <w:color w:val="auto"/>
              </w:rPr>
            </w:pPr>
          </w:p>
        </w:tc>
        <w:tc>
          <w:tcPr>
            <w:tcW w:w="7940" w:type="dxa"/>
            <w:vAlign w:val="bottom"/>
          </w:tcPr>
          <w:p>
            <w:pPr>
              <w:ind w:left="3380"/>
              <w:spacing w:after="0"/>
              <w:rPr>
                <w:sz w:val="20"/>
                <w:szCs w:val="20"/>
                <w:color w:val="auto"/>
              </w:rPr>
            </w:pPr>
            <w:r>
              <w:rPr>
                <w:rFonts w:ascii="Arial" w:cs="Arial" w:eastAsia="Arial" w:hAnsi="Arial"/>
                <w:sz w:val="18"/>
                <w:szCs w:val="18"/>
                <w:color w:val="auto"/>
              </w:rPr>
              <w:t>100 E. Pratt Street</w:t>
            </w:r>
          </w:p>
        </w:tc>
      </w:tr>
      <w:tr>
        <w:trPr>
          <w:trHeight w:val="222"/>
        </w:trPr>
        <w:tc>
          <w:tcPr>
            <w:tcW w:w="3480" w:type="dxa"/>
            <w:vAlign w:val="bottom"/>
          </w:tcPr>
          <w:p>
            <w:pPr>
              <w:spacing w:after="0"/>
              <w:rPr>
                <w:sz w:val="19"/>
                <w:szCs w:val="19"/>
                <w:color w:val="auto"/>
              </w:rPr>
            </w:pPr>
          </w:p>
        </w:tc>
        <w:tc>
          <w:tcPr>
            <w:tcW w:w="7940" w:type="dxa"/>
            <w:vAlign w:val="bottom"/>
          </w:tcPr>
          <w:p>
            <w:pPr>
              <w:ind w:left="3380"/>
              <w:spacing w:after="0"/>
              <w:rPr>
                <w:sz w:val="20"/>
                <w:szCs w:val="20"/>
                <w:color w:val="auto"/>
              </w:rPr>
            </w:pPr>
            <w:r>
              <w:rPr>
                <w:rFonts w:ascii="Arial" w:cs="Arial" w:eastAsia="Arial" w:hAnsi="Arial"/>
                <w:sz w:val="18"/>
                <w:szCs w:val="18"/>
                <w:color w:val="auto"/>
              </w:rPr>
              <w:t>Baltimore, MD 21202 USA</w:t>
            </w:r>
          </w:p>
        </w:tc>
      </w:tr>
      <w:tr>
        <w:trPr>
          <w:trHeight w:val="117"/>
        </w:trPr>
        <w:tc>
          <w:tcPr>
            <w:tcW w:w="3480" w:type="dxa"/>
            <w:vAlign w:val="bottom"/>
            <w:tcBorders>
              <w:bottom w:val="single" w:sz="8" w:color="auto"/>
            </w:tcBorders>
          </w:tcPr>
          <w:p>
            <w:pPr>
              <w:spacing w:after="0"/>
              <w:rPr>
                <w:sz w:val="10"/>
                <w:szCs w:val="10"/>
                <w:color w:val="auto"/>
              </w:rPr>
            </w:pPr>
          </w:p>
        </w:tc>
        <w:tc>
          <w:tcPr>
            <w:tcW w:w="7940" w:type="dxa"/>
            <w:vAlign w:val="bottom"/>
            <w:tcBorders>
              <w:bottom w:val="single" w:sz="8" w:color="auto"/>
            </w:tcBorders>
          </w:tcPr>
          <w:p>
            <w:pPr>
              <w:spacing w:after="0"/>
              <w:rPr>
                <w:sz w:val="10"/>
                <w:szCs w:val="10"/>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940" w:type="dxa"/>
            <w:vAlign w:val="bottom"/>
          </w:tcPr>
          <w:p>
            <w:pPr>
              <w:ind w:left="1440"/>
              <w:spacing w:after="0"/>
              <w:rPr>
                <w:sz w:val="20"/>
                <w:szCs w:val="20"/>
                <w:color w:val="auto"/>
              </w:rPr>
            </w:pPr>
            <w:r>
              <w:rPr>
                <w:rFonts w:ascii="Arial" w:cs="Arial" w:eastAsia="Arial" w:hAnsi="Arial"/>
                <w:sz w:val="18"/>
                <w:szCs w:val="18"/>
                <w:b w:val="1"/>
                <w:bCs w:val="1"/>
                <w:color w:val="auto"/>
              </w:rPr>
              <w:t>Award Number:</w:t>
            </w:r>
          </w:p>
        </w:tc>
      </w:t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7940" w:type="dxa"/>
            <w:vAlign w:val="bottom"/>
          </w:tcPr>
          <w:p>
            <w:pPr>
              <w:ind w:left="1440"/>
              <w:spacing w:after="0"/>
              <w:rPr>
                <w:sz w:val="20"/>
                <w:szCs w:val="20"/>
                <w:color w:val="auto"/>
              </w:rPr>
            </w:pPr>
            <w:r>
              <w:rPr>
                <w:rFonts w:ascii="Arial" w:cs="Arial" w:eastAsia="Arial" w:hAnsi="Arial"/>
                <w:sz w:val="18"/>
                <w:szCs w:val="18"/>
                <w:b w:val="1"/>
                <w:bCs w:val="1"/>
                <w:color w:val="auto"/>
              </w:rPr>
              <w:t>ID:</w:t>
            </w:r>
          </w:p>
        </w:tc>
      </w:tr>
      <w:tr>
        <w:trPr>
          <w:trHeight w:val="228"/>
        </w:trPr>
        <w:tc>
          <w:tcPr>
            <w:tcW w:w="3480" w:type="dxa"/>
            <w:vAlign w:val="bottom"/>
          </w:tcPr>
          <w:p>
            <w:pPr>
              <w:spacing w:after="0"/>
              <w:rPr>
                <w:sz w:val="19"/>
                <w:szCs w:val="19"/>
                <w:color w:val="auto"/>
              </w:rPr>
            </w:pPr>
          </w:p>
        </w:tc>
        <w:tc>
          <w:tcPr>
            <w:tcW w:w="7940" w:type="dxa"/>
            <w:vAlign w:val="bottom"/>
          </w:tcPr>
          <w:p>
            <w:pPr>
              <w:ind w:left="1440"/>
              <w:spacing w:after="0"/>
              <w:rPr>
                <w:sz w:val="20"/>
                <w:szCs w:val="20"/>
                <w:color w:val="auto"/>
              </w:rPr>
            </w:pPr>
            <w:r>
              <w:rPr>
                <w:rFonts w:ascii="Arial" w:cs="Arial" w:eastAsia="Arial" w:hAnsi="Arial"/>
                <w:sz w:val="18"/>
                <w:szCs w:val="18"/>
                <w:b w:val="1"/>
                <w:bCs w:val="1"/>
                <w:color w:val="auto"/>
              </w:rPr>
              <w:t>Plan:</w:t>
            </w:r>
          </w:p>
        </w:tc>
      </w:tr>
      <w:tr>
        <w:trPr>
          <w:trHeight w:val="131"/>
        </w:trPr>
        <w:tc>
          <w:tcPr>
            <w:tcW w:w="3480" w:type="dxa"/>
            <w:vAlign w:val="bottom"/>
            <w:tcBorders>
              <w:bottom w:val="single" w:sz="8" w:color="auto"/>
            </w:tcBorders>
          </w:tcPr>
          <w:p>
            <w:pPr>
              <w:spacing w:after="0"/>
              <w:rPr>
                <w:sz w:val="11"/>
                <w:szCs w:val="11"/>
                <w:color w:val="auto"/>
              </w:rPr>
            </w:pPr>
          </w:p>
        </w:tc>
        <w:tc>
          <w:tcPr>
            <w:tcW w:w="7940" w:type="dxa"/>
            <w:vAlign w:val="bottom"/>
            <w:tcBorders>
              <w:bottom w:val="single" w:sz="8" w:color="auto"/>
            </w:tcBorders>
          </w:tcPr>
          <w:p>
            <w:pPr>
              <w:spacing w:after="0"/>
              <w:rPr>
                <w:sz w:val="11"/>
                <w:szCs w:val="1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both"/>
        <w:ind w:right="140"/>
        <w:spacing w:after="0" w:line="284" w:lineRule="auto"/>
        <w:rPr>
          <w:sz w:val="20"/>
          <w:szCs w:val="20"/>
          <w:color w:val="auto"/>
        </w:rPr>
      </w:pPr>
      <w:r>
        <w:rPr>
          <w:rFonts w:ascii="Arial" w:cs="Arial" w:eastAsia="Arial" w:hAnsi="Arial"/>
          <w:sz w:val="16"/>
          <w:szCs w:val="16"/>
          <w:color w:val="auto"/>
        </w:rPr>
        <w:t>On , 20 (the Grant Date), in light of your stock swap exercise, T. Rowe Price Group, Inc. (Price Group) granted you replenishment stock options (Reload Options) under Price Group’s [2004 Stock][2012 Long-Term] Incentive Plan to purchase from Price Group shares of Price Group common stock at $ per share, the closing price of Price Group common stock on the Grant Date. The Reload Options are nonqualified stock options which do not</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qualify as incentive stock options for purposes of U.S. federal tax law. The Reload Options are subject to the provisions of the Statement of Additional Terms Regarding Replenishment Option Grants (</w:t>
      </w:r>
      <w:r>
        <w:rPr>
          <w:rFonts w:ascii="Arial" w:cs="Arial" w:eastAsia="Arial" w:hAnsi="Arial"/>
          <w:sz w:val="18"/>
          <w:szCs w:val="18"/>
          <w:i w:val="1"/>
          <w:iCs w:val="1"/>
          <w:color w:val="auto"/>
        </w:rPr>
        <w:t>employees</w:t>
      </w:r>
      <w:r>
        <w:rPr>
          <w:rFonts w:ascii="Arial" w:cs="Arial" w:eastAsia="Arial" w:hAnsi="Arial"/>
          <w:sz w:val="18"/>
          <w:szCs w:val="18"/>
          <w:color w:val="auto"/>
        </w:rPr>
        <w:t>) (the Statement of Additional Terms).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The Reload Options are fully vested and exercisable as of the Grant Date.</w:t>
            </w:r>
          </w:p>
        </w:tc>
        <w:tc>
          <w:tcPr>
            <w:tcW w:w="940" w:type="dxa"/>
            <w:vAlign w:val="bottom"/>
          </w:tcPr>
          <w:p>
            <w:pPr>
              <w:spacing w:after="0"/>
              <w:rPr>
                <w:sz w:val="19"/>
                <w:szCs w:val="19"/>
                <w:color w:val="auto"/>
              </w:rPr>
            </w:pPr>
          </w:p>
        </w:tc>
      </w:tr>
      <w:tr>
        <w:trPr>
          <w:trHeight w:val="378"/>
        </w:trPr>
        <w:tc>
          <w:tcPr>
            <w:tcW w:w="7920" w:type="dxa"/>
            <w:vAlign w:val="bottom"/>
          </w:tcPr>
          <w:p>
            <w:pPr>
              <w:spacing w:after="0"/>
              <w:rPr>
                <w:sz w:val="20"/>
                <w:szCs w:val="20"/>
                <w:color w:val="auto"/>
              </w:rPr>
            </w:pPr>
            <w:r>
              <w:rPr>
                <w:rFonts w:ascii="Arial" w:cs="Arial" w:eastAsia="Arial" w:hAnsi="Arial"/>
                <w:sz w:val="18"/>
                <w:szCs w:val="18"/>
                <w:u w:val="single" w:color="auto"/>
                <w:color w:val="auto"/>
                <w:w w:val="94"/>
              </w:rPr>
              <w:t>Expiration Date</w:t>
            </w:r>
            <w:r>
              <w:rPr>
                <w:rFonts w:ascii="Arial" w:cs="Arial" w:eastAsia="Arial" w:hAnsi="Arial"/>
                <w:sz w:val="18"/>
                <w:szCs w:val="18"/>
                <w:color w:val="auto"/>
                <w:w w:val="94"/>
              </w:rPr>
              <w:t>: The Reload Options, if not sooner exercised, forfeited or otherwise terminated, expire on</w:t>
            </w:r>
          </w:p>
        </w:tc>
        <w:tc>
          <w:tcPr>
            <w:tcW w:w="94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5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To accept this grant you must, access the T. Rowe Price Exchange Web site and select myTRP &gt;Compensation, Payroll &amp; 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 accept this grant before it may be exercised.</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44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REPLENISHMENT OPTION GRANTS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(version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Statement of Additional Terms Regarding Replenishment Stock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option award, the specifics of which are described on the “Notice of Replenishment of Stock Options”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stock option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right="60" w:firstLine="464"/>
        <w:spacing w:after="0" w:line="256"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Options are vested in full as of the Grant Date. For clarity, as used in this Agreement, the term “vest” means that the Options are exercisable for the purchase of Common Stock. The fact that an Option has become vested does not mean or otherwise indicate that you have an unconditional or nonforfeitable right to such Option. A vested Option remains subject to the terms, conditions and forfeiture provisions provided for in the Plan and in this Agreement.</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20" w:right="220" w:firstLine="421"/>
        <w:spacing w:after="0" w:line="306" w:lineRule="auto"/>
        <w:tabs>
          <w:tab w:leader="none" w:pos="1549" w:val="left"/>
        </w:tabs>
        <w:numPr>
          <w:ilvl w:val="2"/>
          <w:numId w:val="80"/>
        </w:numPr>
        <w:rPr>
          <w:rFonts w:ascii="Arial" w:cs="Arial" w:eastAsia="Arial" w:hAnsi="Arial"/>
          <w:sz w:val="16"/>
          <w:szCs w:val="16"/>
          <w:color w:val="auto"/>
        </w:rPr>
      </w:pPr>
      <w:r>
        <w:rPr>
          <w:rFonts w:ascii="Arial" w:cs="Arial" w:eastAsia="Arial" w:hAnsi="Arial"/>
          <w:sz w:val="16"/>
          <w:szCs w:val="16"/>
          <w:color w:val="auto"/>
        </w:rPr>
        <w:t>You may exercise the Options on any business day on or before the Expiration Date or the earlier termination of the Options, unless otherwise provided under applicable law. For this purpose, a business day is any day, other than a weekend or U.S. federal holiday, on which Price Group’s principal executive offices (in Baltimore, Maryland – Pratt Street) are open for business.</w:t>
      </w:r>
    </w:p>
    <w:p>
      <w:pPr>
        <w:spacing w:after="0" w:line="25" w:lineRule="exact"/>
        <w:rPr>
          <w:rFonts w:ascii="Arial" w:cs="Arial" w:eastAsia="Arial" w:hAnsi="Arial"/>
          <w:sz w:val="16"/>
          <w:szCs w:val="16"/>
          <w:color w:val="auto"/>
        </w:rPr>
      </w:pPr>
    </w:p>
    <w:p>
      <w:pPr>
        <w:ind w:left="920" w:right="80" w:firstLine="421"/>
        <w:spacing w:after="0" w:line="254" w:lineRule="auto"/>
        <w:tabs>
          <w:tab w:leader="none" w:pos="1598" w:val="left"/>
        </w:tabs>
        <w:numPr>
          <w:ilvl w:val="2"/>
          <w:numId w:val="80"/>
        </w:numPr>
        <w:rPr>
          <w:rFonts w:ascii="Arial" w:cs="Arial" w:eastAsia="Arial" w:hAnsi="Arial"/>
          <w:sz w:val="18"/>
          <w:szCs w:val="18"/>
          <w:color w:val="auto"/>
        </w:rPr>
      </w:pPr>
      <w:r>
        <w:rPr>
          <w:rFonts w:ascii="Arial" w:cs="Arial" w:eastAsia="Arial" w:hAnsi="Arial"/>
          <w:sz w:val="18"/>
          <w:szCs w:val="18"/>
          <w:color w:val="auto"/>
        </w:rPr>
        <w:t>Notwithstanding the foregoing, if at any time the Committee determines that the delivery of Common Stock under the Plan or this Agreement is or may be unlawful under the laws of any applicable jurisdiction, or federal, state or foreign (non-United States) securities laws, your right to exercise the Options or receive Common Stock pursuant to the Options will be suspended until the Committee determines that such delivery is lawful. Likewise, if at any time the Committee determines that the delivery of Common Stock under the Plan or this Agreement is or may violate the rules of the national securities exchange on which the Common Stock is then listed for trade, your right to exercise the Options or receive Common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08" w:name="page109"/>
    <w:bookmarkEnd w:id="108"/>
    <w:p>
      <w:pPr>
        <w:ind w:left="90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Options will be suspended until the Committee determines that such exercise or delivery would not violate such rules. Any suspension of your right to exercise the Options under this paragraph will not extend the Expiration Date of the Options and your Options could expire unexercisable during such a suspension.</w:t>
      </w:r>
    </w:p>
    <w:p>
      <w:pPr>
        <w:spacing w:after="0" w:line="59" w:lineRule="exact"/>
        <w:rPr>
          <w:sz w:val="20"/>
          <w:szCs w:val="20"/>
          <w:color w:val="auto"/>
        </w:rPr>
      </w:pPr>
    </w:p>
    <w:p>
      <w:pPr>
        <w:ind w:left="900" w:right="600" w:firstLine="421"/>
        <w:spacing w:after="0" w:line="357" w:lineRule="auto"/>
        <w:tabs>
          <w:tab w:leader="none" w:pos="1627" w:val="left"/>
        </w:tabs>
        <w:numPr>
          <w:ilvl w:val="1"/>
          <w:numId w:val="81"/>
        </w:numPr>
        <w:rPr>
          <w:rFonts w:ascii="Arial" w:cs="Arial" w:eastAsia="Arial" w:hAnsi="Arial"/>
          <w:sz w:val="15"/>
          <w:szCs w:val="15"/>
          <w:color w:val="auto"/>
        </w:rPr>
      </w:pPr>
      <w:r>
        <w:rPr>
          <w:rFonts w:ascii="Arial" w:cs="Arial" w:eastAsia="Arial" w:hAnsi="Arial"/>
          <w:sz w:val="15"/>
          <w:szCs w:val="15"/>
          <w:color w:val="auto"/>
        </w:rPr>
        <w:t>Section 4 below describes certain limitations on exercise of the Options that apply in the event of your death, Total and Permanent Disability, or Termination of Service which limitations could terminate your right to exercise the Options earlier than the Expiration Date.</w:t>
      </w:r>
    </w:p>
    <w:p>
      <w:pPr>
        <w:ind w:left="1620" w:hanging="299"/>
        <w:spacing w:after="0"/>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You may exercise the Options only in multiples of whole shares. No fractional shares of Common Stock will be issued under the Options.</w:t>
      </w:r>
    </w:p>
    <w:p>
      <w:pPr>
        <w:spacing w:after="0" w:line="113" w:lineRule="exact"/>
        <w:rPr>
          <w:rFonts w:ascii="Arial" w:cs="Arial" w:eastAsia="Arial" w:hAnsi="Arial"/>
          <w:sz w:val="16"/>
          <w:szCs w:val="16"/>
          <w:color w:val="auto"/>
        </w:rPr>
      </w:pPr>
    </w:p>
    <w:p>
      <w:pPr>
        <w:ind w:left="1560" w:hanging="239"/>
        <w:spacing w:after="0"/>
        <w:tabs>
          <w:tab w:leader="none" w:pos="15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no event will any additional replenishment options be granted upon the exercise of the replenished Options.</w:t>
      </w:r>
    </w:p>
    <w:p>
      <w:pPr>
        <w:spacing w:after="0" w:line="171" w:lineRule="exact"/>
        <w:rPr>
          <w:rFonts w:ascii="Arial" w:cs="Arial" w:eastAsia="Arial" w:hAnsi="Arial"/>
          <w:sz w:val="18"/>
          <w:szCs w:val="18"/>
          <w:color w:val="auto"/>
        </w:rPr>
      </w:pPr>
    </w:p>
    <w:p>
      <w:pPr>
        <w:ind w:left="-20" w:right="280" w:firstLine="921"/>
        <w:spacing w:after="0" w:line="268" w:lineRule="auto"/>
        <w:tabs>
          <w:tab w:leader="none" w:pos="114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initiate an exercise of your Options, you must deliver the following items to the Company’s Payroll and Stock Transaction Group in the CFO-Finance Department in the Baltimore, Maryland – Pratt Street office:</w:t>
      </w:r>
    </w:p>
    <w:p>
      <w:pPr>
        <w:spacing w:after="0" w:line="50" w:lineRule="exact"/>
        <w:rPr>
          <w:rFonts w:ascii="Arial" w:cs="Arial" w:eastAsia="Arial" w:hAnsi="Arial"/>
          <w:sz w:val="18"/>
          <w:szCs w:val="18"/>
          <w:color w:val="auto"/>
        </w:rPr>
      </w:pPr>
    </w:p>
    <w:p>
      <w:pPr>
        <w:ind w:left="900" w:firstLine="421"/>
        <w:spacing w:after="0" w:line="259" w:lineRule="auto"/>
        <w:tabs>
          <w:tab w:leader="none" w:pos="15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 exercise notice, in such manner and form (including, without limitation, electronic on-line format) as the Committee may require from time to time, that specifies the number of shares of Common Stock you then desire to purchase under the Options and your method of payment of the aggregate purchase price; and</w:t>
      </w:r>
    </w:p>
    <w:p>
      <w:pPr>
        <w:spacing w:after="0" w:line="59" w:lineRule="exact"/>
        <w:rPr>
          <w:rFonts w:ascii="Arial" w:cs="Arial" w:eastAsia="Arial" w:hAnsi="Arial"/>
          <w:sz w:val="18"/>
          <w:szCs w:val="18"/>
          <w:color w:val="auto"/>
        </w:rPr>
      </w:pPr>
    </w:p>
    <w:p>
      <w:pPr>
        <w:ind w:left="900" w:right="20" w:firstLine="421"/>
        <w:spacing w:after="0" w:line="259" w:lineRule="auto"/>
        <w:tabs>
          <w:tab w:leader="none" w:pos="15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full payment of the aggregate purchase price for the shares specified in the exercise notice or properly executed, irrevocable instructions, in such manner and form as the Committee may require from time to time, to effectuate a broker-assisted cashless exercise, each in accordance with Section 3(e) of this Agreement.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Date Exercise becomes Effective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640" w:firstLine="421"/>
        <w:spacing w:after="0" w:line="268" w:lineRule="auto"/>
        <w:tabs>
          <w:tab w:leader="none" w:pos="15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Your exercise will become effective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as follows, provided that such exercise otherwise is permitted under and complies with all applicable laws:</w:t>
      </w:r>
    </w:p>
    <w:p>
      <w:pPr>
        <w:spacing w:after="0" w:line="50" w:lineRule="exact"/>
        <w:rPr>
          <w:rFonts w:ascii="Arial" w:cs="Arial" w:eastAsia="Arial" w:hAnsi="Arial"/>
          <w:sz w:val="18"/>
          <w:szCs w:val="18"/>
          <w:color w:val="auto"/>
        </w:rPr>
      </w:pPr>
    </w:p>
    <w:p>
      <w:pPr>
        <w:ind w:left="1480" w:right="200" w:firstLine="389"/>
        <w:spacing w:after="0" w:line="332" w:lineRule="auto"/>
        <w:tabs>
          <w:tab w:leader="none" w:pos="2165" w:val="left"/>
        </w:tabs>
        <w:numPr>
          <w:ilvl w:val="2"/>
          <w:numId w:val="82"/>
        </w:numPr>
        <w:rPr>
          <w:rFonts w:ascii="Arial" w:cs="Arial" w:eastAsia="Arial" w:hAnsi="Arial"/>
          <w:sz w:val="16"/>
          <w:szCs w:val="16"/>
          <w:color w:val="auto"/>
        </w:rPr>
      </w:pPr>
      <w:r>
        <w:rPr>
          <w:rFonts w:ascii="Arial" w:cs="Arial" w:eastAsia="Arial" w:hAnsi="Arial"/>
          <w:sz w:val="16"/>
          <w:szCs w:val="16"/>
          <w:color w:val="auto"/>
        </w:rPr>
        <w:t>on the date on which both the exercise notice and payment of the aggregate purchase price is received by the Company’s Payroll and Stock Transaction Group, if such items are received by 5:00 p.m. U.S. Eastern Time on a business day;</w:t>
      </w:r>
    </w:p>
    <w:p>
      <w:pPr>
        <w:spacing w:after="0" w:line="4" w:lineRule="exact"/>
        <w:rPr>
          <w:rFonts w:ascii="Arial" w:cs="Arial" w:eastAsia="Arial" w:hAnsi="Arial"/>
          <w:sz w:val="16"/>
          <w:szCs w:val="16"/>
          <w:color w:val="auto"/>
        </w:rPr>
      </w:pPr>
    </w:p>
    <w:p>
      <w:pPr>
        <w:ind w:left="1480" w:right="200" w:firstLine="389"/>
        <w:spacing w:after="0" w:line="259" w:lineRule="auto"/>
        <w:tabs>
          <w:tab w:leader="none" w:pos="2155" w:val="left"/>
        </w:tabs>
        <w:numPr>
          <w:ilvl w:val="2"/>
          <w:numId w:val="82"/>
        </w:numPr>
        <w:rPr>
          <w:rFonts w:ascii="Arial" w:cs="Arial" w:eastAsia="Arial" w:hAnsi="Arial"/>
          <w:sz w:val="18"/>
          <w:szCs w:val="18"/>
          <w:color w:val="auto"/>
        </w:rPr>
      </w:pPr>
      <w:r>
        <w:rPr>
          <w:rFonts w:ascii="Arial" w:cs="Arial" w:eastAsia="Arial" w:hAnsi="Arial"/>
          <w:sz w:val="18"/>
          <w:szCs w:val="18"/>
          <w:color w:val="auto"/>
        </w:rPr>
        <w:t>on the first business day after the date on which both the exercise notice and payment of the aggregate purchase price is received by the Company’s Payroll and Stock Transaction Group, if such items are received after 5:00 p.m. U.S. Eastern Time or are received on a day that is not a business day; or</w:t>
      </w:r>
    </w:p>
    <w:p>
      <w:pPr>
        <w:spacing w:after="0" w:line="59" w:lineRule="exact"/>
        <w:rPr>
          <w:rFonts w:ascii="Arial" w:cs="Arial" w:eastAsia="Arial" w:hAnsi="Arial"/>
          <w:sz w:val="18"/>
          <w:szCs w:val="18"/>
          <w:color w:val="auto"/>
        </w:rPr>
      </w:pPr>
    </w:p>
    <w:p>
      <w:pPr>
        <w:ind w:left="1480" w:right="200" w:firstLine="389"/>
        <w:spacing w:after="0" w:line="268" w:lineRule="auto"/>
        <w:tabs>
          <w:tab w:leader="none" w:pos="2155" w:val="left"/>
        </w:tabs>
        <w:numPr>
          <w:ilvl w:val="2"/>
          <w:numId w:val="82"/>
        </w:numPr>
        <w:rPr>
          <w:rFonts w:ascii="Arial" w:cs="Arial" w:eastAsia="Arial" w:hAnsi="Arial"/>
          <w:sz w:val="18"/>
          <w:szCs w:val="18"/>
          <w:color w:val="auto"/>
        </w:rPr>
      </w:pPr>
      <w:r>
        <w:rPr>
          <w:rFonts w:ascii="Arial" w:cs="Arial" w:eastAsia="Arial" w:hAnsi="Arial"/>
          <w:sz w:val="18"/>
          <w:szCs w:val="18"/>
          <w:color w:val="auto"/>
        </w:rPr>
        <w:t>on the date on which the sale of shares is executed via a broker-assisted cashless exercise, as confirmed by the brokerage firm, if the exercise notice is accompanied by instructions to effectuate a broker-assisted cashless exercise.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09" w:name="page110"/>
    <w:bookmarkEnd w:id="109"/>
    <w:p>
      <w:pPr>
        <w:ind w:left="-1" w:right="20" w:firstLine="421"/>
        <w:spacing w:after="0" w:line="290" w:lineRule="auto"/>
        <w:tabs>
          <w:tab w:leader="none" w:pos="677"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responsible for ensuring that your exercise notice and payment of the aggregate purchase price or instructions to effectuate a broker-assisted cashless exercise are received by the Company’s Payroll and Stock Transaction Group with sufficient time to enable the Exercise Date to occur in accordance with the foregoing rules before the Options expire, are forfeited or otherwise terminated. Because The Nasdaq Stock Market closes at 4:00 p.m. U.S. Eastern Time, any broker-assisted cashless exercise instruction received by the Company’s Payroll and Stock Transaction Group after 4:00 p.m. U.S. Eastern Time cannot be processed until the next business day on which The Nasdaq Stock Market is open for trading. If your broker-assisted cashless exercise instruction results in the sale of shares over a number of days, each day on which a sale occurs will constitute the Exercise Date of the Option with respect to the shares sold on such day.</w:t>
      </w:r>
    </w:p>
    <w:p>
      <w:pPr>
        <w:spacing w:after="0" w:line="118" w:lineRule="exact"/>
        <w:rPr>
          <w:rFonts w:ascii="Arial" w:cs="Arial" w:eastAsia="Arial" w:hAnsi="Arial"/>
          <w:sz w:val="16"/>
          <w:szCs w:val="16"/>
          <w:color w:val="auto"/>
        </w:rPr>
      </w:pPr>
    </w:p>
    <w:p>
      <w:pPr>
        <w:ind w:left="239" w:hanging="239"/>
        <w:spacing w:after="0"/>
        <w:tabs>
          <w:tab w:leader="none" w:pos="23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39" w:hanging="219"/>
        <w:spacing w:after="0"/>
        <w:tabs>
          <w:tab w:leader="none" w:pos="639"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 may pay the aggregate purchase price for the shares specified in the exercise notice by:</w:t>
      </w:r>
    </w:p>
    <w:p>
      <w:pPr>
        <w:spacing w:after="0" w:line="90" w:lineRule="exact"/>
        <w:rPr>
          <w:rFonts w:ascii="Arial" w:cs="Arial" w:eastAsia="Arial" w:hAnsi="Arial"/>
          <w:sz w:val="18"/>
          <w:szCs w:val="18"/>
          <w:color w:val="auto"/>
        </w:rPr>
      </w:pPr>
    </w:p>
    <w:p>
      <w:pPr>
        <w:ind w:left="579" w:right="280" w:firstLine="389"/>
        <w:spacing w:after="0" w:line="332" w:lineRule="auto"/>
        <w:tabs>
          <w:tab w:leader="none" w:pos="1264" w:val="left"/>
        </w:tabs>
        <w:numPr>
          <w:ilvl w:val="2"/>
          <w:numId w:val="84"/>
        </w:numPr>
        <w:rPr>
          <w:rFonts w:ascii="Arial" w:cs="Arial" w:eastAsia="Arial" w:hAnsi="Arial"/>
          <w:sz w:val="16"/>
          <w:szCs w:val="16"/>
          <w:color w:val="auto"/>
        </w:rPr>
      </w:pPr>
      <w:r>
        <w:rPr>
          <w:rFonts w:ascii="Arial" w:cs="Arial" w:eastAsia="Arial" w:hAnsi="Arial"/>
          <w:sz w:val="16"/>
          <w:szCs w:val="16"/>
          <w:color w:val="auto"/>
        </w:rPr>
        <w:t>delivering cash, wire or fund transfer, check, bank draft, postal or express money order payable to the order of the Company, or other cash equivalent acceptable to the Committee in its discretion, in each such case in currency acceptable to the Committee;</w:t>
      </w:r>
    </w:p>
    <w:p>
      <w:pPr>
        <w:spacing w:after="0" w:line="4" w:lineRule="exact"/>
        <w:rPr>
          <w:rFonts w:ascii="Arial" w:cs="Arial" w:eastAsia="Arial" w:hAnsi="Arial"/>
          <w:sz w:val="16"/>
          <w:szCs w:val="16"/>
          <w:color w:val="auto"/>
        </w:rPr>
      </w:pPr>
    </w:p>
    <w:p>
      <w:pPr>
        <w:ind w:left="579" w:firstLine="389"/>
        <w:spacing w:after="0" w:line="294" w:lineRule="auto"/>
        <w:tabs>
          <w:tab w:leader="none" w:pos="1254" w:val="left"/>
        </w:tabs>
        <w:numPr>
          <w:ilvl w:val="2"/>
          <w:numId w:val="84"/>
        </w:numPr>
        <w:rPr>
          <w:rFonts w:ascii="Arial" w:cs="Arial" w:eastAsia="Arial" w:hAnsi="Arial"/>
          <w:sz w:val="16"/>
          <w:szCs w:val="16"/>
          <w:color w:val="auto"/>
        </w:rPr>
      </w:pPr>
      <w:r>
        <w:rPr>
          <w:rFonts w:ascii="Arial" w:cs="Arial" w:eastAsia="Arial" w:hAnsi="Arial"/>
          <w:sz w:val="16"/>
          <w:szCs w:val="16"/>
          <w:color w:val="auto"/>
        </w:rPr>
        <w:t>executing a broker-assisted cashless exercise in accordance with Regulation T of the Board of Governors of the Federal Reserve System through a brokerage firm designated or approved by the Committee, under which the broker is irrevocably instructed to deliver to the Company on your behalf an amount, in cash or acceptable cash equivalents, sufficient to pay the aggregate purchase price for the shares of Common Stock you then desire to purchase under the Options (plus applicable Withholding Taxes, if any), and the Company is instructed to deliver the shares to the broker upon receipt of such amount;</w:t>
      </w:r>
    </w:p>
    <w:p>
      <w:pPr>
        <w:spacing w:after="0" w:line="34" w:lineRule="exact"/>
        <w:rPr>
          <w:rFonts w:ascii="Arial" w:cs="Arial" w:eastAsia="Arial" w:hAnsi="Arial"/>
          <w:sz w:val="16"/>
          <w:szCs w:val="16"/>
          <w:color w:val="auto"/>
        </w:rPr>
      </w:pPr>
    </w:p>
    <w:p>
      <w:pPr>
        <w:ind w:left="579" w:right="20" w:firstLine="389"/>
        <w:spacing w:after="0" w:line="291" w:lineRule="auto"/>
        <w:tabs>
          <w:tab w:leader="none" w:pos="1254" w:val="left"/>
        </w:tabs>
        <w:numPr>
          <w:ilvl w:val="2"/>
          <w:numId w:val="84"/>
        </w:numPr>
        <w:rPr>
          <w:rFonts w:ascii="Arial" w:cs="Arial" w:eastAsia="Arial" w:hAnsi="Arial"/>
          <w:sz w:val="16"/>
          <w:szCs w:val="16"/>
          <w:color w:val="auto"/>
        </w:rPr>
      </w:pPr>
      <w:r>
        <w:rPr>
          <w:rFonts w:ascii="Arial" w:cs="Arial" w:eastAsia="Arial" w:hAnsi="Arial"/>
          <w:sz w:val="16"/>
          <w:szCs w:val="16"/>
          <w:color w:val="auto"/>
        </w:rPr>
        <w:t>unless limited by the Committee, tendering to the Company (via attestation in a form satisfactory to the Committee) other shares of Common Stock owned by you, in which case the Company will attribute to the tendered shares a value equal to the official closing price per share of Common Stock for the regular market session of The Nasdaq Stock Market (or the principal market for the Common Stock as determined by the Committee if the Common Stock is not listed for trade on The Nasdaq Stock Market or is listed or admitted to trading on more than one exchange or market) on the Exercise Date or, if no sale is reported for that date, on the last preceding day on which a sale was reported, all as reported by such source as the Committee may select;</w:t>
      </w:r>
    </w:p>
    <w:p>
      <w:pPr>
        <w:spacing w:after="0" w:line="39" w:lineRule="exact"/>
        <w:rPr>
          <w:rFonts w:ascii="Arial" w:cs="Arial" w:eastAsia="Arial" w:hAnsi="Arial"/>
          <w:sz w:val="16"/>
          <w:szCs w:val="16"/>
          <w:color w:val="auto"/>
        </w:rPr>
      </w:pPr>
    </w:p>
    <w:p>
      <w:pPr>
        <w:ind w:left="579" w:right="280" w:firstLine="389"/>
        <w:spacing w:after="0" w:line="268" w:lineRule="auto"/>
        <w:tabs>
          <w:tab w:leader="none" w:pos="1264" w:val="left"/>
        </w:tabs>
        <w:numPr>
          <w:ilvl w:val="2"/>
          <w:numId w:val="84"/>
        </w:numPr>
        <w:rPr>
          <w:rFonts w:ascii="Arial" w:cs="Arial" w:eastAsia="Arial" w:hAnsi="Arial"/>
          <w:sz w:val="18"/>
          <w:szCs w:val="18"/>
          <w:color w:val="auto"/>
        </w:rPr>
      </w:pPr>
      <w:r>
        <w:rPr>
          <w:rFonts w:ascii="Arial" w:cs="Arial" w:eastAsia="Arial" w:hAnsi="Arial"/>
          <w:sz w:val="18"/>
          <w:szCs w:val="18"/>
          <w:color w:val="auto"/>
        </w:rPr>
        <w:t>unless limited by the Committee, electing net share settlement with respect to any portions of the Options that do not qualify as incentive stock options within the meaning of Section 422 of the Code;</w:t>
      </w:r>
    </w:p>
    <w:p>
      <w:pPr>
        <w:spacing w:after="0" w:line="118"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80" w:right="259" w:bottom="1440" w:gutter="0" w:footer="0" w:header="0"/>
        </w:sectPr>
      </w:pPr>
    </w:p>
    <w:bookmarkStart w:id="110" w:name="page111"/>
    <w:bookmarkEnd w:id="110"/>
    <w:p>
      <w:pPr>
        <w:ind w:left="1480" w:right="420" w:firstLine="389"/>
        <w:spacing w:after="0" w:line="268" w:lineRule="auto"/>
        <w:tabs>
          <w:tab w:leader="none" w:pos="2145" w:val="left"/>
        </w:tabs>
        <w:numPr>
          <w:ilvl w:val="2"/>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method approved by the Committee with respect to Options that do not qualify as incentive stock options within the meaning of Section 422 of the Code; or</w:t>
      </w:r>
    </w:p>
    <w:p>
      <w:pPr>
        <w:spacing w:after="0" w:line="50" w:lineRule="exact"/>
        <w:rPr>
          <w:rFonts w:ascii="Arial" w:cs="Arial" w:eastAsia="Arial" w:hAnsi="Arial"/>
          <w:sz w:val="18"/>
          <w:szCs w:val="18"/>
          <w:color w:val="auto"/>
        </w:rPr>
      </w:pPr>
    </w:p>
    <w:p>
      <w:pPr>
        <w:ind w:left="2120" w:hanging="251"/>
        <w:spacing w:after="0"/>
        <w:tabs>
          <w:tab w:leader="none" w:pos="21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90" w:lineRule="exact"/>
        <w:rPr>
          <w:rFonts w:ascii="Arial" w:cs="Arial" w:eastAsia="Arial" w:hAnsi="Arial"/>
          <w:sz w:val="18"/>
          <w:szCs w:val="18"/>
          <w:color w:val="auto"/>
        </w:rPr>
      </w:pPr>
    </w:p>
    <w:p>
      <w:pPr>
        <w:ind w:left="900" w:firstLine="421"/>
        <w:spacing w:after="0" w:line="294" w:lineRule="auto"/>
        <w:tabs>
          <w:tab w:leader="none" w:pos="1578"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The Committee in its discretion may place limitations on the extent, if any, to which you may pay the aggregate purchase price by tendering shares of Common Stock or electing net share settlement. If the shares of Common Stock tendered or withheld are insufficient in value to pay the aggregate purchase price, you must deliver the net unpaid amount to the Company’s Payroll and Stock Transaction Group on the Exercise Date in cash or in one of the specified forms of acceptable cash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net unpaid amount is less than the value of one share of Common Stock, the Company may allow you to pay such amount by having it withheld from your next paycheck.</w:t>
      </w:r>
    </w:p>
    <w:p>
      <w:pPr>
        <w:spacing w:after="0" w:line="115" w:lineRule="exact"/>
        <w:rPr>
          <w:rFonts w:ascii="Arial" w:cs="Arial" w:eastAsia="Arial" w:hAnsi="Arial"/>
          <w:sz w:val="16"/>
          <w:szCs w:val="16"/>
          <w:color w:val="auto"/>
        </w:rPr>
      </w:pPr>
    </w:p>
    <w:p>
      <w:pPr>
        <w:ind w:left="-20" w:firstLine="921"/>
        <w:spacing w:after="0" w:line="286" w:lineRule="auto"/>
        <w:tabs>
          <w:tab w:leader="none" w:pos="11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By accepting the Options, you agree to make adequate provision for foreign (non-United States), federal, state and local taxes and social insurance contributions (collectively,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xml:space="preserve">”) required by law to be withheld, if any, which arise in connection with the Options. The Company shall have the right to deduct from any compensation or any other payment of any kind due you (including withholding the issuance or delivery of shares of Common Stock under the Options) the amount of any Withholding Taxes required by law to be withheld as a result of the grant, vesting or exercise of the Options,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 The Company may, in its sole discretion, permit or require you to satisfy, in whole or in part, any Withholding Tax obligation which may arise in connection with the Options either by having the Company withhold from the shares to be issued upon exercise that number of shares, or by delivering to the Company already-owned shares, in either case having a fair market value equal to no more than the amount necessary to satisfy the statutory minimum withholding amount due.</w:t>
      </w:r>
    </w:p>
    <w:p>
      <w:pPr>
        <w:spacing w:after="0" w:line="124" w:lineRule="exact"/>
        <w:rPr>
          <w:rFonts w:ascii="Arial" w:cs="Arial" w:eastAsia="Arial" w:hAnsi="Arial"/>
          <w:sz w:val="16"/>
          <w:szCs w:val="16"/>
          <w:color w:val="auto"/>
        </w:rPr>
      </w:pPr>
    </w:p>
    <w:p>
      <w:pPr>
        <w:ind w:left="-20" w:right="60" w:firstLine="921"/>
        <w:spacing w:after="0" w:line="291" w:lineRule="auto"/>
        <w:tabs>
          <w:tab w:leader="none" w:pos="111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Issuance of Shares upon Exercise</w:t>
      </w:r>
      <w:r>
        <w:rPr>
          <w:rFonts w:ascii="Arial" w:cs="Arial" w:eastAsia="Arial" w:hAnsi="Arial"/>
          <w:sz w:val="16"/>
          <w:szCs w:val="16"/>
          <w:color w:val="auto"/>
        </w:rPr>
        <w:t>. The Company will issue to you the shares of Common Stock underlying the Options you exercise as soon as practicable after the exercise date, subject to the Company’s receipt of the aggregate purchase price and the requisite Withholding Taxes, if any. Unless and until you request the Company to deliver a share certificate to you, or deliver shares electronically or in certificate form to your designated broker, bank or nominee on your behalf, the Company will retain the shares that you purchased through exercise of the Options in uncertificated book entry form. Any share certificates delivered will, unless the shares of Common Stock are registered or an exemption from registration is available under applicable federal and state law, bear a legend restricting transferability of such shares of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111" w:name="page112"/>
    <w:bookmarkEnd w:id="111"/>
    <w:p>
      <w:pPr>
        <w:ind w:left="620" w:hanging="176"/>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Periods upon Termination of Service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80" w:firstLine="921"/>
        <w:spacing w:after="0" w:line="268" w:lineRule="auto"/>
        <w:tabs>
          <w:tab w:leader="none" w:pos="113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Options, to the extent not earlier exercised or terminated, will terminate and be of no force or effect upon the first occurrence of any one of the following events:</w:t>
      </w:r>
    </w:p>
    <w:p>
      <w:pPr>
        <w:spacing w:after="0" w:line="50" w:lineRule="exact"/>
        <w:rPr>
          <w:rFonts w:ascii="Arial" w:cs="Arial" w:eastAsia="Arial" w:hAnsi="Arial"/>
          <w:sz w:val="18"/>
          <w:szCs w:val="18"/>
          <w:color w:val="auto"/>
        </w:rPr>
      </w:pPr>
    </w:p>
    <w:p>
      <w:pPr>
        <w:ind w:left="1540" w:hanging="219"/>
        <w:spacing w:after="0"/>
        <w:tabs>
          <w:tab w:leader="none" w:pos="154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90" w:lineRule="exact"/>
        <w:rPr>
          <w:rFonts w:ascii="Arial" w:cs="Arial" w:eastAsia="Arial" w:hAnsi="Arial"/>
          <w:sz w:val="18"/>
          <w:szCs w:val="18"/>
          <w:color w:val="auto"/>
        </w:rPr>
      </w:pPr>
    </w:p>
    <w:p>
      <w:pPr>
        <w:ind w:left="900" w:right="420" w:firstLine="421"/>
        <w:spacing w:after="0" w:line="268" w:lineRule="auto"/>
        <w:tabs>
          <w:tab w:leader="none" w:pos="1578"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expiration of 90 days after your Termination of Service with the Company, except in the case of your death, Total and Permanent Disability or retirement with the consent of the Company;</w:t>
      </w:r>
    </w:p>
    <w:p>
      <w:pPr>
        <w:spacing w:after="0" w:line="50" w:lineRule="exact"/>
        <w:rPr>
          <w:rFonts w:ascii="Arial" w:cs="Arial" w:eastAsia="Arial" w:hAnsi="Arial"/>
          <w:sz w:val="18"/>
          <w:szCs w:val="18"/>
          <w:color w:val="auto"/>
        </w:rPr>
      </w:pPr>
    </w:p>
    <w:p>
      <w:pPr>
        <w:ind w:left="1620" w:hanging="299"/>
        <w:spacing w:after="0"/>
        <w:tabs>
          <w:tab w:leader="none" w:pos="16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with the consent of the Company;</w:t>
      </w:r>
    </w:p>
    <w:p>
      <w:pPr>
        <w:spacing w:after="0" w:line="90" w:lineRule="exact"/>
        <w:rPr>
          <w:rFonts w:ascii="Arial" w:cs="Arial" w:eastAsia="Arial" w:hAnsi="Arial"/>
          <w:sz w:val="18"/>
          <w:szCs w:val="18"/>
          <w:color w:val="auto"/>
        </w:rPr>
      </w:pPr>
    </w:p>
    <w:p>
      <w:pPr>
        <w:ind w:left="1620" w:hanging="299"/>
        <w:spacing w:after="0"/>
        <w:tabs>
          <w:tab w:leader="none" w:pos="16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Termination of Service due to Total and Permanent Disability; or</w:t>
      </w:r>
    </w:p>
    <w:p>
      <w:pPr>
        <w:spacing w:after="0" w:line="90" w:lineRule="exact"/>
        <w:rPr>
          <w:rFonts w:ascii="Arial" w:cs="Arial" w:eastAsia="Arial" w:hAnsi="Arial"/>
          <w:sz w:val="18"/>
          <w:szCs w:val="18"/>
          <w:color w:val="auto"/>
        </w:rPr>
      </w:pPr>
    </w:p>
    <w:p>
      <w:pPr>
        <w:ind w:left="900" w:right="140" w:firstLine="421"/>
        <w:spacing w:after="0" w:line="332" w:lineRule="auto"/>
        <w:tabs>
          <w:tab w:leader="none" w:pos="1568" w:val="left"/>
        </w:tabs>
        <w:numPr>
          <w:ilvl w:val="2"/>
          <w:numId w:val="88"/>
        </w:numPr>
        <w:rPr>
          <w:rFonts w:ascii="Arial" w:cs="Arial" w:eastAsia="Arial" w:hAnsi="Arial"/>
          <w:sz w:val="16"/>
          <w:szCs w:val="16"/>
          <w:color w:val="auto"/>
        </w:rPr>
      </w:pPr>
      <w:r>
        <w:rPr>
          <w:rFonts w:ascii="Arial" w:cs="Arial" w:eastAsia="Arial" w:hAnsi="Arial"/>
          <w:sz w:val="16"/>
          <w:szCs w:val="16"/>
          <w:color w:val="auto"/>
        </w:rPr>
        <w:t>The expiration of 13 months after your date of death if you die (i) while you are in the Service of the Company or (ii) within the period of time after your termination of Service due to retirement or otherwise during which you were entitled to exercise the Options.</w:t>
      </w:r>
    </w:p>
    <w:p>
      <w:pPr>
        <w:spacing w:after="0" w:line="85" w:lineRule="exact"/>
        <w:rPr>
          <w:rFonts w:ascii="Arial" w:cs="Arial" w:eastAsia="Arial" w:hAnsi="Arial"/>
          <w:sz w:val="16"/>
          <w:szCs w:val="16"/>
          <w:color w:val="auto"/>
        </w:rPr>
      </w:pPr>
    </w:p>
    <w:p>
      <w:pPr>
        <w:ind w:left="-20" w:firstLine="921"/>
        <w:spacing w:after="0" w:line="288" w:lineRule="auto"/>
        <w:tabs>
          <w:tab w:leader="none" w:pos="1142" w:val="left"/>
        </w:tabs>
        <w:numPr>
          <w:ilvl w:val="1"/>
          <w:numId w:val="88"/>
        </w:numPr>
        <w:rPr>
          <w:rFonts w:ascii="Arial" w:cs="Arial" w:eastAsia="Arial" w:hAnsi="Arial"/>
          <w:sz w:val="16"/>
          <w:szCs w:val="16"/>
          <w:color w:val="auto"/>
        </w:rPr>
      </w:pPr>
      <w:r>
        <w:rPr>
          <w:rFonts w:ascii="Arial" w:cs="Arial" w:eastAsia="Arial" w:hAnsi="Arial"/>
          <w:sz w:val="16"/>
          <w:szCs w:val="16"/>
          <w:color w:val="auto"/>
        </w:rPr>
        <w:t>Retirement at your normal retirement date or at an optional retirement date in accordance with the provisions of a retirement plan of the Company under which you are then covered will constitute a retirement with the consent of the Company for the purposes of this Agreement. The Committee has absolute and uncontrolled discretion to determine whether any other termination of your employment is to be considered as retirement with the consent of the Company for the purposes of this Agreement and whether an authorized leave of absence or absence on military or government service or otherwise shall constitute a termination of employment for the purposes of this Agreement. Employment by the Company will be deemed to include employment of you by, and to continue during any period in which you are in the employ of, an Affiliate of the Company. Unless determined otherwise by the Committee, if the Affiliate with which you are employed ceases to be an entity in which the Company maintains a proprietary interest by reason of stock ownership or otherwise, you will be considered to have had a Termination of Service for purposes of this Agreement upon such cessation. Any determination made by the Committee with respect to any matter referred to in this Section 4 will be final and conclusive on all persons affected thereby.</w:t>
      </w:r>
    </w:p>
    <w:p>
      <w:pPr>
        <w:spacing w:after="0" w:line="119" w:lineRule="exact"/>
        <w:rPr>
          <w:rFonts w:ascii="Arial" w:cs="Arial" w:eastAsia="Arial" w:hAnsi="Arial"/>
          <w:sz w:val="16"/>
          <w:szCs w:val="16"/>
          <w:color w:val="auto"/>
        </w:rPr>
      </w:pPr>
    </w:p>
    <w:p>
      <w:pPr>
        <w:ind w:left="-20" w:right="40" w:firstLine="921"/>
        <w:spacing w:after="0" w:line="268" w:lineRule="auto"/>
        <w:tabs>
          <w:tab w:leader="none" w:pos="113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person seeking to exercise your Options following your death must provide to the Company appropriate documentation as may be requested by the Committee to establish your death and such person’s right to exercise the Options.</w:t>
      </w:r>
    </w:p>
    <w:p>
      <w:pPr>
        <w:spacing w:after="0" w:line="131" w:lineRule="exact"/>
        <w:rPr>
          <w:rFonts w:ascii="Arial" w:cs="Arial" w:eastAsia="Arial" w:hAnsi="Arial"/>
          <w:sz w:val="18"/>
          <w:szCs w:val="18"/>
          <w:color w:val="auto"/>
        </w:rPr>
      </w:pPr>
    </w:p>
    <w:p>
      <w:pPr>
        <w:ind w:left="-20" w:right="140" w:firstLine="464"/>
        <w:spacing w:after="0" w:line="255" w:lineRule="auto"/>
        <w:tabs>
          <w:tab w:leader="none" w:pos="61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xml:space="preserve">. These Options are nontransferable otherwise than by last will and testament or the laws of descent and distribution and, during your lifetime, the Options may be exercised only by you or, during the period you are under a legal disability, by your guardian or legal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the advance consent of the Committee, vested Options may be transferred to one or more of your family members or a trust, partnership or the like for the benefit of you and/or one or more of your family members. Except as provided above, the Options and, before exercise, the shares of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112" w:name="page113"/>
    <w:bookmarkEnd w:id="112"/>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purchase thereunder, may not be assigned, transferred, pledged, hypothecated, subjected to any “put equivalent position,” “call equivalent position” (as each preceding term is defined by Rule 16(a)-1 under the Securities Exchange Act of 1934), or short position, or disposed of in any way (whether voluntarily or involuntarily, by operation of law or otherwise) and shall not be subject to execution, attachment or similar process.</w:t>
      </w:r>
    </w:p>
    <w:p>
      <w:pPr>
        <w:spacing w:after="0" w:line="107" w:lineRule="exact"/>
        <w:rPr>
          <w:sz w:val="20"/>
          <w:szCs w:val="20"/>
          <w:color w:val="auto"/>
        </w:rPr>
      </w:pPr>
    </w:p>
    <w:p>
      <w:pPr>
        <w:ind w:right="80" w:firstLine="464"/>
        <w:spacing w:after="0" w:line="254"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Status for U.S. Federal Tax Purposes</w:t>
      </w:r>
      <w:r>
        <w:rPr>
          <w:rFonts w:ascii="Arial" w:cs="Arial" w:eastAsia="Arial" w:hAnsi="Arial"/>
          <w:sz w:val="18"/>
          <w:szCs w:val="18"/>
          <w:color w:val="auto"/>
        </w:rPr>
        <w:t xml:space="preserve">. The Options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qualify as incentive stock options within the meaning of Section 422 of the Code, and this Agreement shall be so construed. By accepting the Options you acknowledge that, if you are a U.S. taxpayer for federal tax purposes, then upon exercise of the Options, you will recognize ordinary income in an amount equal to the excess, if any, of the Fair Market Value, as measured on the exercise date, of the shares of Common Stock purchased over the aggregate purchase price paid. If you are a taxpayer in any other jurisdiction, the taxation of your Options may be different. You must comply with the provisions of Section 3(e) of this Agreement with respect to any Withholding Tax obligations that arise as a result of such exercise.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53" w:lineRule="auto"/>
        <w:tabs>
          <w:tab w:leader="none" w:pos="1152"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Mandatory Adjustments</w:t>
      </w:r>
      <w:r>
        <w:rPr>
          <w:rFonts w:ascii="Arial" w:cs="Arial" w:eastAsia="Arial" w:hAnsi="Arial"/>
          <w:sz w:val="18"/>
          <w:szCs w:val="18"/>
          <w:color w:val="auto"/>
        </w:rPr>
        <w:t>. In the event of a merger, consolidation, stock rights offering, liquidation, statutory share exchange or similar event affecting Price Group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subdivision, or recapitalization or similar event affecting the capital structure of Price Group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w:t>
      </w:r>
      <w:r>
        <w:rPr>
          <w:rFonts w:ascii="Arial" w:cs="Arial" w:eastAsia="Arial" w:hAnsi="Arial"/>
          <w:sz w:val="18"/>
          <w:szCs w:val="18"/>
          <w:color w:val="auto"/>
        </w:rPr>
        <w:t>”), the Committee shall make equitable and appropriate substitutions or proportionate adjustments to the number of outstanding Options and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price per share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Options resulting from any such adjustment shall be eliminated. Adjustments under this paragraph will be made by the Committee, whose determination as to what adjustments will be made and the extent thereof will be final, binding and conclusive.</w:t>
      </w:r>
    </w:p>
    <w:p>
      <w:pPr>
        <w:spacing w:after="0" w:line="147" w:lineRule="exact"/>
        <w:rPr>
          <w:rFonts w:ascii="Arial" w:cs="Arial" w:eastAsia="Arial" w:hAnsi="Arial"/>
          <w:sz w:val="18"/>
          <w:szCs w:val="18"/>
          <w:color w:val="auto"/>
        </w:rPr>
      </w:pPr>
    </w:p>
    <w:p>
      <w:pPr>
        <w:ind w:firstLine="921"/>
        <w:spacing w:after="0" w:line="306" w:lineRule="auto"/>
        <w:tabs>
          <w:tab w:leader="none" w:pos="1161" w:val="left"/>
        </w:tabs>
        <w:numPr>
          <w:ilvl w:val="1"/>
          <w:numId w:val="89"/>
        </w:numPr>
        <w:rPr>
          <w:rFonts w:ascii="Arial" w:cs="Arial" w:eastAsia="Arial" w:hAnsi="Arial"/>
          <w:sz w:val="15"/>
          <w:szCs w:val="15"/>
          <w:color w:val="auto"/>
        </w:rPr>
      </w:pPr>
      <w:r>
        <w:rPr>
          <w:rFonts w:ascii="Arial" w:cs="Arial" w:eastAsia="Arial" w:hAnsi="Arial"/>
          <w:sz w:val="15"/>
          <w:szCs w:val="15"/>
          <w:u w:val="single" w:color="auto"/>
          <w:color w:val="auto"/>
        </w:rPr>
        <w:t>Discretionary Adjustments</w:t>
      </w:r>
      <w:r>
        <w:rPr>
          <w:rFonts w:ascii="Arial" w:cs="Arial" w:eastAsia="Arial" w:hAnsi="Arial"/>
          <w:sz w:val="15"/>
          <w:szCs w:val="15"/>
          <w:color w:val="auto"/>
        </w:rPr>
        <w:t>. In the case of Corporate Events, the Committee may make such other adjustments to outstanding Options as it determines to be appropriate and desirable, which adjustments may include, without limitation, (i) the cancellation of outstanding Options in exchange for payments of cash, securities or other property or a combination thereof having an aggregate value equal to the value of such Options, as determined by the Committee in its sole discretion (it being understood that in the case of a Corporate Event with respect to which stockholders of Price Group receive consideration other than publicly traded equity securities of the ultimate surviving entity, any such determination by the Committee that the value of an Option shall for this purpose be deemed to equal the excess, if any, of the value of the consideration being paid for each share of Common Stock pursuant to such Corporate Event over the purchase price per share of such Option shall conclusively be deemed valid and that any Option may be cancelled for no consideration upon a Corporate Event if its purchase price per share does not exceed the value of the consideration being paid for each share of Common Stock pursuant to such Corporate Event), (ii) the substitution of securities or other property (including, without limitation, cash or other securities of Price Group and securities of entities other than Price Group) for the shares of Common Stock subject to outstanding Options, and (iii) the substitution of equivalent awards, as determined in the sole discretion of the Committee, of the surviving or successor entity or a parent thereof. Notwithstanding the foregoing, any adjustments made pursuant to Options that are incentive stock options within the meaning of Section 422 of the Code shall be made in compliance with the requirements of Section 424(a)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3" w:name="page114"/>
    <w:bookmarkEnd w:id="11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Options shall terminate upon the dissolution or liquidation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 Group.</w:t>
      </w:r>
    </w:p>
    <w:p>
      <w:pPr>
        <w:spacing w:after="0" w:line="165" w:lineRule="exact"/>
        <w:rPr>
          <w:sz w:val="20"/>
          <w:szCs w:val="20"/>
          <w:color w:val="auto"/>
        </w:rPr>
      </w:pPr>
    </w:p>
    <w:p>
      <w:pPr>
        <w:ind w:firstLine="921"/>
        <w:spacing w:after="0" w:line="291" w:lineRule="auto"/>
        <w:tabs>
          <w:tab w:leader="none" w:pos="1161"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Options will terminate upon the effective time of such Change in Control unless provision is made in connection with the transaction for the continuation or assumption of such Options by, or for the substitution of equivalent options, as determined in the sole discretion of the Committee, of, the surviving or successor entity or a parent thereof. In the event of such termination, (i) you will be permitted, immediately before the Change in Control, to exercise the Options, and (iii) the Committee may take any of the actions set forth in Section 7(a) and 7(b) with respect to any or all of the Options. Implementation of the provisions of the immediately foregoing sentence shall be conditioned upon consummation of the Change in Control.</w:t>
      </w:r>
    </w:p>
    <w:p>
      <w:pPr>
        <w:spacing w:after="0" w:line="120" w:lineRule="exact"/>
        <w:rPr>
          <w:rFonts w:ascii="Arial" w:cs="Arial" w:eastAsia="Arial" w:hAnsi="Arial"/>
          <w:sz w:val="16"/>
          <w:szCs w:val="16"/>
          <w:color w:val="auto"/>
        </w:rPr>
      </w:pPr>
    </w:p>
    <w:p>
      <w:pPr>
        <w:ind w:right="80" w:firstLine="464"/>
        <w:spacing w:after="0" w:line="256" w:lineRule="auto"/>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Options or any other adverse effect on your interests under the Plan.</w:t>
      </w:r>
    </w:p>
    <w:p>
      <w:pPr>
        <w:spacing w:after="0" w:line="143"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the shares of Common Stock subject to purchase under the Options until such shares have been issued to you upon the due exercise of the Options. No adjustment will be made for dividends or distributions or other rights for which the record date is prior to the date such shares are issued to you.</w:t>
      </w:r>
    </w:p>
    <w:p>
      <w:pPr>
        <w:spacing w:after="0" w:line="140" w:lineRule="exact"/>
        <w:rPr>
          <w:rFonts w:ascii="Arial" w:cs="Arial" w:eastAsia="Arial" w:hAnsi="Arial"/>
          <w:sz w:val="18"/>
          <w:szCs w:val="18"/>
          <w:color w:val="auto"/>
        </w:rPr>
      </w:pPr>
    </w:p>
    <w:p>
      <w:pPr>
        <w:ind w:right="20" w:firstLine="464"/>
        <w:spacing w:after="0" w:line="294"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Options will not affect in any way the right or power of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firstLine="464"/>
        <w:spacing w:after="0" w:line="323" w:lineRule="auto"/>
        <w:tabs>
          <w:tab w:leader="none" w:pos="713"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4" w:name="page115"/>
    <w:bookmarkEnd w:id="114"/>
    <w:p>
      <w:pPr>
        <w:ind w:left="720" w:hanging="256"/>
        <w:spacing w:after="0"/>
        <w:tabs>
          <w:tab w:leader="none" w:pos="72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921"/>
        <w:spacing w:after="0" w:line="298" w:lineRule="auto"/>
        <w:tabs>
          <w:tab w:leader="none" w:pos="1152" w:val="left"/>
        </w:tabs>
        <w:numPr>
          <w:ilvl w:val="2"/>
          <w:numId w:val="92"/>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Options,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640" w:firstLine="921"/>
        <w:spacing w:after="0" w:line="286" w:lineRule="auto"/>
        <w:tabs>
          <w:tab w:leader="none" w:pos="1161" w:val="left"/>
        </w:tabs>
        <w:numPr>
          <w:ilvl w:val="2"/>
          <w:numId w:val="92"/>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Options and any reports of the Company provided generally to the Company’s stockholders;</w:t>
      </w:r>
    </w:p>
    <w:p>
      <w:pPr>
        <w:jc w:val="both"/>
        <w:ind w:right="20" w:firstLine="8"/>
        <w:spacing w:after="0" w:line="254" w:lineRule="auto"/>
        <w:tabs>
          <w:tab w:leader="none" w:pos="2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right="100" w:firstLine="464"/>
        <w:spacing w:after="0" w:line="256" w:lineRule="auto"/>
        <w:tabs>
          <w:tab w:leader="none" w:pos="7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Options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right="60" w:firstLine="464"/>
        <w:spacing w:after="0" w:line="335" w:lineRule="auto"/>
        <w:tabs>
          <w:tab w:leader="none" w:pos="720" w:val="left"/>
        </w:tabs>
        <w:numPr>
          <w:ilvl w:val="1"/>
          <w:numId w:val="9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Options awarded hereunder. Any oral or written agreements, representations, warranties, written inducements, or other communications made prior to the acceptance of the Notice correlating to these Terms with respect to the Options awarded hereunder shall be void and ineffective for all purposes.</w:t>
      </w:r>
    </w:p>
    <w:p>
      <w:pPr>
        <w:spacing w:after="0" w:line="88" w:lineRule="exact"/>
        <w:rPr>
          <w:rFonts w:ascii="Arial" w:cs="Arial" w:eastAsia="Arial" w:hAnsi="Arial"/>
          <w:sz w:val="15"/>
          <w:szCs w:val="15"/>
          <w:color w:val="auto"/>
        </w:rPr>
      </w:pPr>
    </w:p>
    <w:p>
      <w:pPr>
        <w:ind w:right="120" w:firstLine="464"/>
        <w:spacing w:after="0" w:line="291" w:lineRule="auto"/>
        <w:tabs>
          <w:tab w:leader="none" w:pos="72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Options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5" w:name="page116"/>
    <w:bookmarkEnd w:id="115"/>
    <w:p>
      <w:pPr>
        <w:ind w:left="-20" w:right="40" w:firstLine="464"/>
        <w:spacing w:after="0" w:line="290" w:lineRule="auto"/>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left="-20" w:firstLine="464"/>
        <w:spacing w:after="0" w:line="290" w:lineRule="auto"/>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left="-20" w:right="120" w:firstLine="464"/>
        <w:spacing w:after="0" w:line="306" w:lineRule="auto"/>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20" w:firstLine="464"/>
        <w:spacing w:after="0" w:line="290" w:lineRule="auto"/>
        <w:tabs>
          <w:tab w:leader="none" w:pos="7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Options awarded hereunder are intended to comply with, or otherwise be exempt from,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this Agreement or the Options be found not to comply with, or otherwise be exempt from, the provisions of Section 409A of the Code, it may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Options.</w:t>
      </w:r>
    </w:p>
    <w:p>
      <w:pPr>
        <w:spacing w:after="0" w:line="118" w:lineRule="exact"/>
        <w:rPr>
          <w:rFonts w:ascii="Arial" w:cs="Arial" w:eastAsia="Arial" w:hAnsi="Arial"/>
          <w:sz w:val="16"/>
          <w:szCs w:val="16"/>
          <w:color w:val="auto"/>
        </w:rPr>
      </w:pPr>
    </w:p>
    <w:p>
      <w:pPr>
        <w:ind w:left="-20" w:right="260" w:firstLine="464"/>
        <w:spacing w:after="0" w:line="268" w:lineRule="auto"/>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Service and Employment Acknowledgments</w:t>
      </w:r>
      <w:r>
        <w:rPr>
          <w:rFonts w:ascii="Arial" w:cs="Arial" w:eastAsia="Arial" w:hAnsi="Arial"/>
          <w:sz w:val="18"/>
          <w:szCs w:val="18"/>
          <w:color w:val="auto"/>
        </w:rPr>
        <w:t>. By accepting the Notice, you acknowledge and agree that: (i) the Plan is established voluntarily by the Company,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16" w:name="page117"/>
    <w:bookmarkEnd w:id="11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discretionary in nature and may be modified, amended, suspended or terminated by the Company at any time, unless otherwise provided in the Plan or this Agreement; (ii) you are voluntarily participating in the Plan; (iii) the award of Options is a one-time benefit which does not create any contractual or other right to receive future awards of Options, or compensation or benefits in lieu of Options, even if Options have been awarded repeatedly in the past; (iv) all determinations with respect to any such future awards, including, but not limited to, the times when Options shall be awarded or shall become vested or exercisable and the number of Options subject to each award, will be at the sole discretion of the Committee; (v) the value of the Options is an extraordinary item of compensation which is outside the scope of your employment contract, if any; (vi) the value of the Options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Options ceases upon termination of Service with the Company or transfer of employment from the Company, or other cessation of eligibility for any reason, except as may otherwise be explicitly provided in this Agreement; (viii) the value of the Options and the underlying Shares cannot be predicted with certainty and will change over time and the Company does not guarantee any future value;</w:t>
      </w:r>
    </w:p>
    <w:p>
      <w:pPr>
        <w:spacing w:after="0" w:line="5" w:lineRule="exact"/>
        <w:rPr>
          <w:sz w:val="20"/>
          <w:szCs w:val="20"/>
          <w:color w:val="auto"/>
        </w:rPr>
      </w:pPr>
    </w:p>
    <w:p>
      <w:pPr>
        <w:ind w:right="120" w:firstLine="8"/>
        <w:spacing w:after="0" w:line="252" w:lineRule="auto"/>
        <w:tabs>
          <w:tab w:leader="none" w:pos="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are not an employee of the Company, the Options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Options; and (x) no claim or entitlement to compensation or damages arises if the value of the Options or the underlying Shares decreases and in consideration for the grant of the Options you irrevocably release the Company from any claim or entitlement to compensation or damages that does arise in connection with the Options.</w:t>
      </w:r>
    </w:p>
    <w:p>
      <w:pPr>
        <w:spacing w:after="0" w:line="146" w:lineRule="exact"/>
        <w:rPr>
          <w:rFonts w:ascii="Arial" w:cs="Arial" w:eastAsia="Arial" w:hAnsi="Arial"/>
          <w:sz w:val="18"/>
          <w:szCs w:val="18"/>
          <w:color w:val="auto"/>
        </w:rPr>
      </w:pPr>
    </w:p>
    <w:p>
      <w:pPr>
        <w:ind w:right="40" w:firstLine="464"/>
        <w:spacing w:after="0" w:line="306" w:lineRule="auto"/>
        <w:tabs>
          <w:tab w:leader="none" w:pos="720" w:val="left"/>
        </w:tabs>
        <w:numPr>
          <w:ilvl w:val="1"/>
          <w:numId w:val="95"/>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Options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Options awarded, cancelled, vested and unvested) is held by the Company and may be transferred to any broker designated by the Committee or third parties assisting in the implementation, administration and management of the Options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7" w:name="page118"/>
    <w:bookmarkEnd w:id="117"/>
    <w:p>
      <w:pPr>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 administer and manage the Options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Options or otherwise participate in the Plan.</w:t>
      </w:r>
    </w:p>
    <w:p>
      <w:pPr>
        <w:spacing w:after="0" w:line="120" w:lineRule="exact"/>
        <w:rPr>
          <w:sz w:val="20"/>
          <w:szCs w:val="20"/>
          <w:color w:val="auto"/>
        </w:rPr>
      </w:pPr>
    </w:p>
    <w:p>
      <w:pPr>
        <w:ind w:left="720" w:hanging="256"/>
        <w:spacing w:after="0"/>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right="60" w:firstLine="921"/>
        <w:spacing w:after="0" w:line="259" w:lineRule="auto"/>
        <w:tabs>
          <w:tab w:leader="none" w:pos="11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right="20" w:firstLine="921"/>
        <w:spacing w:after="0" w:line="306"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right="80" w:firstLine="921"/>
        <w:spacing w:after="0" w:line="323" w:lineRule="auto"/>
        <w:tabs>
          <w:tab w:leader="none" w:pos="1152" w:val="left"/>
        </w:tabs>
        <w:numPr>
          <w:ilvl w:val="0"/>
          <w:numId w:val="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right="700" w:firstLine="921"/>
        <w:spacing w:after="0" w:line="268" w:lineRule="auto"/>
        <w:tabs>
          <w:tab w:leader="none" w:pos="11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31"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means the date set forth on the Notice indicating when the Options expire if not sooner exercised, forfeited or otherwise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164" w:lineRule="exact"/>
        <w:rPr>
          <w:rFonts w:ascii="Arial" w:cs="Arial" w:eastAsia="Arial" w:hAnsi="Arial"/>
          <w:sz w:val="16"/>
          <w:szCs w:val="16"/>
          <w:color w:val="auto"/>
        </w:rPr>
      </w:pPr>
    </w:p>
    <w:p>
      <w:pPr>
        <w:ind w:firstLine="921"/>
        <w:spacing w:after="0" w:line="306" w:lineRule="auto"/>
        <w:tabs>
          <w:tab w:leader="none" w:pos="11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Committee, the official closing price per share of Common Stock for the regular market session on that date on the principal exchange or market on which the Common Stock is then listed or admitted to trading or, if no sale is reported for that date, on the last preceding day on which a sale was reported, all as reported by such source as the Committee may select.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19" w:name="page120"/>
    <w:bookmarkEnd w:id="119"/>
    <w:p>
      <w:pPr>
        <w:ind w:left="1080" w:hanging="219"/>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Options was approved by the Committee.</w:t>
      </w:r>
    </w:p>
    <w:p>
      <w:pPr>
        <w:spacing w:after="0" w:line="171" w:lineRule="exact"/>
        <w:rPr>
          <w:rFonts w:ascii="Arial" w:cs="Arial" w:eastAsia="Arial" w:hAnsi="Arial"/>
          <w:sz w:val="18"/>
          <w:szCs w:val="18"/>
          <w:color w:val="auto"/>
        </w:rPr>
      </w:pPr>
    </w:p>
    <w:p>
      <w:pPr>
        <w:ind w:left="-60" w:right="180" w:firstLine="921"/>
        <w:spacing w:after="0" w:line="268" w:lineRule="auto"/>
        <w:tabs>
          <w:tab w:leader="none" w:pos="11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Replenishment of Stock Options which correlates with these Terms and sets forth the specifics of the applicable award of Options.</w:t>
      </w:r>
    </w:p>
    <w:p>
      <w:pPr>
        <w:spacing w:after="0" w:line="131" w:lineRule="exact"/>
        <w:rPr>
          <w:rFonts w:ascii="Arial" w:cs="Arial" w:eastAsia="Arial" w:hAnsi="Arial"/>
          <w:sz w:val="18"/>
          <w:szCs w:val="18"/>
          <w:color w:val="auto"/>
        </w:rPr>
      </w:pPr>
    </w:p>
    <w:p>
      <w:pPr>
        <w:ind w:left="-60" w:right="60" w:firstLine="921"/>
        <w:spacing w:after="0" w:line="259" w:lineRule="auto"/>
        <w:tabs>
          <w:tab w:leader="none" w:pos="1102"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to purchase a specified number of shares of Common Stock from Price Group at a specified price during a specified period of time after the right becomes exercisable. Each Option represents a contractual obligation of the Company to deliver one share of Common Stock to the option holder upon due exercise of the Option.</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1100" w:hanging="239"/>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65" w:lineRule="exact"/>
        <w:rPr>
          <w:rFonts w:ascii="Arial" w:cs="Arial" w:eastAsia="Arial" w:hAnsi="Arial"/>
          <w:sz w:val="18"/>
          <w:szCs w:val="18"/>
          <w:color w:val="auto"/>
        </w:rPr>
      </w:pPr>
    </w:p>
    <w:p>
      <w:pPr>
        <w:ind w:left="-60" w:firstLine="921"/>
        <w:spacing w:after="0" w:line="258" w:lineRule="auto"/>
        <w:tabs>
          <w:tab w:leader="none" w:pos="1102"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2" w:lineRule="exact"/>
        <w:rPr>
          <w:rFonts w:ascii="Arial" w:cs="Arial" w:eastAsia="Arial" w:hAnsi="Arial"/>
          <w:sz w:val="18"/>
          <w:szCs w:val="18"/>
          <w:color w:val="auto"/>
        </w:rPr>
      </w:pPr>
    </w:p>
    <w:p>
      <w:pPr>
        <w:ind w:left="-60" w:right="120" w:firstLine="921"/>
        <w:spacing w:after="0" w:line="294" w:lineRule="auto"/>
        <w:tabs>
          <w:tab w:leader="none" w:pos="1072" w:val="left"/>
        </w:tabs>
        <w:numPr>
          <w:ilvl w:val="0"/>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00" w:hanging="239"/>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Stock Options.</w:t>
      </w:r>
    </w:p>
    <w:p>
      <w:pPr>
        <w:spacing w:after="0" w:line="171" w:lineRule="exact"/>
        <w:rPr>
          <w:rFonts w:ascii="Arial" w:cs="Arial" w:eastAsia="Arial" w:hAnsi="Arial"/>
          <w:sz w:val="18"/>
          <w:szCs w:val="18"/>
          <w:color w:val="auto"/>
        </w:rPr>
      </w:pPr>
    </w:p>
    <w:p>
      <w:pPr>
        <w:ind w:left="-60" w:right="60" w:firstLine="921"/>
        <w:spacing w:after="0" w:line="291" w:lineRule="auto"/>
        <w:tabs>
          <w:tab w:leader="none" w:pos="1063" w:val="left"/>
        </w:tabs>
        <w:numPr>
          <w:ilvl w:val="0"/>
          <w:numId w:val="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300" w:top="280" w:right="299" w:bottom="1440" w:gutter="0" w:footer="0" w:header="0"/>
        </w:sectPr>
      </w:pPr>
    </w:p>
    <w:bookmarkStart w:id="120" w:name="page121"/>
    <w:bookmarkEnd w:id="120"/>
    <w:p>
      <w:pPr>
        <w:ind w:left="-20" w:right="140" w:firstLine="921"/>
        <w:spacing w:after="0" w:line="268" w:lineRule="auto"/>
        <w:tabs>
          <w:tab w:leader="none" w:pos="1142"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means any foreign (non-United States), federal, state and local taxes and social insurance contributions required by law to be withheld which arise in connection with the Options.</w:t>
      </w:r>
    </w:p>
    <w:p>
      <w:pPr>
        <w:spacing w:after="0" w:line="125" w:lineRule="exact"/>
        <w:rPr>
          <w:rFonts w:ascii="Arial" w:cs="Arial" w:eastAsia="Arial" w:hAnsi="Arial"/>
          <w:sz w:val="18"/>
          <w:szCs w:val="18"/>
          <w:color w:val="auto"/>
        </w:rPr>
      </w:pPr>
    </w:p>
    <w:p>
      <w:pPr>
        <w:ind w:left="-20" w:firstLine="921"/>
        <w:spacing w:after="0" w:line="258" w:lineRule="auto"/>
        <w:tabs>
          <w:tab w:leader="none" w:pos="11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You</w:t>
      </w:r>
      <w:r>
        <w:rPr>
          <w:rFonts w:ascii="Arial" w:cs="Arial" w:eastAsia="Arial" w:hAnsi="Arial"/>
          <w:sz w:val="18"/>
          <w:szCs w:val="18"/>
          <w:color w:val="auto"/>
        </w:rPr>
        <w:t>”; “</w:t>
      </w:r>
      <w:r>
        <w:rPr>
          <w:rFonts w:ascii="Arial" w:cs="Arial" w:eastAsia="Arial" w:hAnsi="Arial"/>
          <w:sz w:val="18"/>
          <w:szCs w:val="18"/>
          <w:b w:val="1"/>
          <w:bCs w:val="1"/>
          <w:color w:val="auto"/>
        </w:rPr>
        <w:t>Your</w:t>
      </w:r>
      <w:r>
        <w:rPr>
          <w:rFonts w:ascii="Arial" w:cs="Arial" w:eastAsia="Arial" w:hAnsi="Arial"/>
          <w:sz w:val="18"/>
          <w:szCs w:val="18"/>
          <w:color w:val="auto"/>
        </w:rPr>
        <w:t>”. You means the recipient of the Options as reflected in the Notice. Whenever the word “you” or “your” is used in any provision of this Agreement under circumstances where the provision should logically be construed, as determined by the Committee, to apply to the estate, personal representative, or beneficiary to whom the Options may be transferred by will or by the laws of descent and distribution, the words “you” and “your” shall be deemed to include such person.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{end of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840" w:type="dxa"/>
            <w:vAlign w:val="bottom"/>
          </w:tcPr>
          <w:p>
            <w:pPr>
              <w:ind w:left="420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580" w:type="dxa"/>
            <w:vAlign w:val="bottom"/>
          </w:tcPr>
          <w:p>
            <w:pPr>
              <w:spacing w:after="0"/>
              <w:rPr>
                <w:sz w:val="20"/>
                <w:szCs w:val="20"/>
                <w:color w:val="auto"/>
              </w:rPr>
            </w:pPr>
            <w:r>
              <w:rPr>
                <w:rFonts w:ascii="Arial" w:cs="Arial" w:eastAsia="Arial" w:hAnsi="Arial"/>
                <w:sz w:val="18"/>
                <w:szCs w:val="18"/>
                <w:b w:val="1"/>
                <w:bCs w:val="1"/>
                <w:color w:val="auto"/>
              </w:rPr>
              <w:t>Restricted Stock Units Award</w:t>
            </w:r>
          </w:p>
        </w:tc>
        <w:tc>
          <w:tcPr>
            <w:tcW w:w="7840" w:type="dxa"/>
            <w:vAlign w:val="bottom"/>
          </w:tcPr>
          <w:p>
            <w:pPr>
              <w:ind w:left="4200"/>
              <w:spacing w:after="0"/>
              <w:rPr>
                <w:sz w:val="20"/>
                <w:szCs w:val="20"/>
                <w:color w:val="auto"/>
              </w:rPr>
            </w:pPr>
            <w:r>
              <w:rPr>
                <w:rFonts w:ascii="Arial" w:cs="Arial" w:eastAsia="Arial" w:hAnsi="Arial"/>
                <w:sz w:val="18"/>
                <w:szCs w:val="18"/>
                <w:color w:val="auto"/>
              </w:rPr>
              <w:t>ID: 52-2264646</w:t>
            </w:r>
          </w:p>
        </w:tc>
      </w:tr>
      <w:tr>
        <w:trPr>
          <w:trHeight w:val="216"/>
        </w:trPr>
        <w:tc>
          <w:tcPr>
            <w:tcW w:w="3580" w:type="dxa"/>
            <w:vAlign w:val="bottom"/>
          </w:tcPr>
          <w:p>
            <w:pPr>
              <w:spacing w:after="0"/>
              <w:rPr>
                <w:sz w:val="18"/>
                <w:szCs w:val="18"/>
                <w:color w:val="auto"/>
              </w:rPr>
            </w:pPr>
          </w:p>
        </w:tc>
        <w:tc>
          <w:tcPr>
            <w:tcW w:w="7840" w:type="dxa"/>
            <w:vAlign w:val="bottom"/>
          </w:tcPr>
          <w:p>
            <w:pPr>
              <w:ind w:left="4200"/>
              <w:spacing w:after="0"/>
              <w:rPr>
                <w:sz w:val="20"/>
                <w:szCs w:val="20"/>
                <w:color w:val="auto"/>
              </w:rPr>
            </w:pPr>
            <w:r>
              <w:rPr>
                <w:rFonts w:ascii="Arial" w:cs="Arial" w:eastAsia="Arial" w:hAnsi="Arial"/>
                <w:sz w:val="18"/>
                <w:szCs w:val="18"/>
                <w:color w:val="auto"/>
              </w:rPr>
              <w:t>100 E. Pratt Street</w:t>
            </w:r>
          </w:p>
        </w:tc>
      </w:tr>
      <w:tr>
        <w:trPr>
          <w:trHeight w:val="222"/>
        </w:trPr>
        <w:tc>
          <w:tcPr>
            <w:tcW w:w="3580" w:type="dxa"/>
            <w:vAlign w:val="bottom"/>
          </w:tcPr>
          <w:p>
            <w:pPr>
              <w:spacing w:after="0"/>
              <w:rPr>
                <w:sz w:val="19"/>
                <w:szCs w:val="19"/>
                <w:color w:val="auto"/>
              </w:rPr>
            </w:pPr>
          </w:p>
        </w:tc>
        <w:tc>
          <w:tcPr>
            <w:tcW w:w="7840" w:type="dxa"/>
            <w:vAlign w:val="bottom"/>
          </w:tcPr>
          <w:p>
            <w:pPr>
              <w:ind w:left="4200"/>
              <w:spacing w:after="0"/>
              <w:rPr>
                <w:sz w:val="20"/>
                <w:szCs w:val="20"/>
                <w:color w:val="auto"/>
              </w:rPr>
            </w:pPr>
            <w:r>
              <w:rPr>
                <w:rFonts w:ascii="Arial" w:cs="Arial" w:eastAsia="Arial" w:hAnsi="Arial"/>
                <w:sz w:val="18"/>
                <w:szCs w:val="18"/>
                <w:color w:val="auto"/>
              </w:rPr>
              <w:t>Baltimore, MD 21202 USA</w:t>
            </w:r>
          </w:p>
        </w:tc>
      </w:tr>
      <w:tr>
        <w:trPr>
          <w:trHeight w:val="117"/>
        </w:trPr>
        <w:tc>
          <w:tcPr>
            <w:tcW w:w="3580" w:type="dxa"/>
            <w:vAlign w:val="bottom"/>
            <w:tcBorders>
              <w:bottom w:val="single" w:sz="8" w:color="auto"/>
            </w:tcBorders>
          </w:tcPr>
          <w:p>
            <w:pPr>
              <w:spacing w:after="0"/>
              <w:rPr>
                <w:sz w:val="10"/>
                <w:szCs w:val="10"/>
                <w:color w:val="auto"/>
              </w:rPr>
            </w:pPr>
          </w:p>
        </w:tc>
        <w:tc>
          <w:tcPr>
            <w:tcW w:w="7840" w:type="dxa"/>
            <w:vAlign w:val="bottom"/>
            <w:tcBorders>
              <w:bottom w:val="single" w:sz="8" w:color="auto"/>
            </w:tcBorders>
          </w:tcPr>
          <w:p>
            <w:pPr>
              <w:spacing w:after="0"/>
              <w:rPr>
                <w:sz w:val="10"/>
                <w:szCs w:val="10"/>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Award Number:</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ID:</w:t>
            </w:r>
          </w:p>
        </w:tc>
      </w:tr>
      <w:tr>
        <w:trPr>
          <w:trHeight w:val="228"/>
        </w:trPr>
        <w:tc>
          <w:tcPr>
            <w:tcW w:w="3580" w:type="dxa"/>
            <w:vAlign w:val="bottom"/>
          </w:tcPr>
          <w:p>
            <w:pPr>
              <w:spacing w:after="0"/>
              <w:rPr>
                <w:sz w:val="19"/>
                <w:szCs w:val="19"/>
                <w:color w:val="auto"/>
              </w:rPr>
            </w:pP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Plan:</w:t>
            </w:r>
          </w:p>
        </w:tc>
      </w:tr>
      <w:tr>
        <w:trPr>
          <w:trHeight w:val="131"/>
        </w:trPr>
        <w:tc>
          <w:tcPr>
            <w:tcW w:w="358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spacing w:after="0"/>
              <w:rPr>
                <w:sz w:val="11"/>
                <w:szCs w:val="11"/>
                <w:color w:val="auto"/>
              </w:rPr>
            </w:pPr>
          </w:p>
        </w:tc>
      </w:tr>
    </w:tbl>
    <w:p>
      <w:pPr>
        <w:spacing w:after="0" w:line="15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On , 20 (the Grant Date), T. Rowe Price Group, Inc. (Price Group) granted you restricted stock units pertaining to Price Group common stock (the Stock Units) as a performance-based restricted stock units award under Price Group’s [2004 Stock][2012 Long-Term] Incentive Plan. The</w:t>
      </w:r>
    </w:p>
    <w:p>
      <w:pPr>
        <w:spacing w:after="0" w:line="302" w:lineRule="auto"/>
        <w:rPr>
          <w:sz w:val="20"/>
          <w:szCs w:val="20"/>
          <w:color w:val="auto"/>
        </w:rPr>
      </w:pPr>
      <w:r>
        <w:rPr>
          <w:rFonts w:ascii="Arial" w:cs="Arial" w:eastAsia="Arial" w:hAnsi="Arial"/>
          <w:sz w:val="16"/>
          <w:szCs w:val="16"/>
          <w:color w:val="auto"/>
        </w:rPr>
        <w:t>closing price of Price Group common stock on the Grant Date was $ per share. [This grant is intended to be a Qualified Performance-Based Award as defined in the plan.] The Stock Units, upon vesting, convert to shares of Price Group common stock, as described in the Statement of Additional Terms Regarding Awards of Restricted Stock Units [(</w:t>
      </w:r>
      <w:r>
        <w:rPr>
          <w:rFonts w:ascii="Arial" w:cs="Arial" w:eastAsia="Arial" w:hAnsi="Arial"/>
          <w:sz w:val="16"/>
          <w:szCs w:val="16"/>
          <w:i w:val="1"/>
          <w:iCs w:val="1"/>
          <w:color w:val="auto"/>
        </w:rPr>
        <w:t>version 1A</w:t>
      </w:r>
      <w:r>
        <w:rPr>
          <w:rFonts w:ascii="Arial" w:cs="Arial" w:eastAsia="Arial" w:hAnsi="Arial"/>
          <w:sz w:val="16"/>
          <w:szCs w:val="16"/>
          <w:color w:val="auto"/>
        </w:rPr>
        <w:t>)] [(</w:t>
      </w:r>
      <w:r>
        <w:rPr>
          <w:rFonts w:ascii="Arial" w:cs="Arial" w:eastAsia="Arial" w:hAnsi="Arial"/>
          <w:sz w:val="16"/>
          <w:szCs w:val="16"/>
          <w:i w:val="1"/>
          <w:iCs w:val="1"/>
          <w:color w:val="auto"/>
        </w:rPr>
        <w:t>version 1B</w:t>
      </w:r>
      <w:r>
        <w:rPr>
          <w:rFonts w:ascii="Arial" w:cs="Arial" w:eastAsia="Arial" w:hAnsi="Arial"/>
          <w:sz w:val="16"/>
          <w:szCs w:val="16"/>
          <w:color w:val="auto"/>
        </w:rPr>
        <w:t>)] (the Statement of Additional Terms) which sets forth the terms and conditions of this grant.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Stock Units become earned and vested as follows, conditioned upon satisfaction of a performance threshold: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Performance Threshold</w:t>
      </w:r>
      <w:r>
        <w:rPr>
          <w:rFonts w:ascii="Arial" w:cs="Arial" w:eastAsia="Arial" w:hAnsi="Arial"/>
          <w:sz w:val="18"/>
          <w:szCs w:val="18"/>
          <w:color w:val="auto"/>
        </w:rPr>
        <w:t>: [</w:t>
      </w:r>
      <w:r>
        <w:rPr>
          <w:rFonts w:ascii="Arial" w:cs="Arial" w:eastAsia="Arial" w:hAnsi="Arial"/>
          <w:sz w:val="18"/>
          <w:szCs w:val="18"/>
          <w:i w:val="1"/>
          <w:iCs w:val="1"/>
          <w:color w:val="auto"/>
        </w:rPr>
        <w:t>Insert performance threshold and performance period description</w:t>
      </w:r>
      <w:r>
        <w:rPr>
          <w:rFonts w:ascii="Arial" w:cs="Arial" w:eastAsia="Arial" w:hAnsi="Arial"/>
          <w:sz w:val="18"/>
          <w:szCs w:val="18"/>
          <w:color w:val="auto"/>
        </w:rPr>
        <w: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Executive Compensation Committee of Price Group’s Board of Directors (ECC) will determine, within 60 days after the close of the Performance Period, the extent to which the Performance Threshold has been achieved.</w:t>
      </w:r>
    </w:p>
    <w:p>
      <w:pPr>
        <w:spacing w:after="0" w:line="51"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Performance Threshold is satisfied in full, all of the Stock Units will be eligible to be earned in accordance with the vesting schedule below.</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description of the portion of the award that will be forfeited and the portion that will remain eligible to be earned in accordance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vesting schedule below based on specified levels of performance less than 100% of the performance threshold</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Except as otherwise provided in the Statement of Additional Terms, so long as your employment with Price Group and/or its affiliates is continuous from the Grant Date through the applicable date upon which vesting is scheduled to occur, the Stock Units that remain eligible to be earned after the ECC determines the extent to which the Performance Threshold has been achieved (Eligible Units) will become vested and will be converted to shares of Price Group common stock in equal annual installments on the vesting dates set forth in the vesting schedule below.</w:t>
      </w:r>
    </w:p>
    <w:p>
      <w:pPr>
        <w:spacing w:after="0" w:line="149"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 of Eligible Units</w:t>
            </w:r>
          </w:p>
        </w:tc>
        <w:tc>
          <w:tcPr>
            <w:tcW w:w="5360" w:type="dxa"/>
            <w:vAlign w:val="bottom"/>
            <w:gridSpan w:val="2"/>
          </w:tcPr>
          <w:p>
            <w:pPr>
              <w:jc w:val="right"/>
              <w:spacing w:after="0"/>
              <w:rPr>
                <w:sz w:val="20"/>
                <w:szCs w:val="20"/>
                <w:color w:val="auto"/>
              </w:rPr>
            </w:pPr>
            <w:r>
              <w:rPr>
                <w:rFonts w:ascii="Arial" w:cs="Arial" w:eastAsia="Arial" w:hAnsi="Arial"/>
                <w:sz w:val="14"/>
                <w:szCs w:val="14"/>
                <w:color w:val="auto"/>
              </w:rPr>
              <w:t>Vesting Date</w:t>
            </w:r>
          </w:p>
        </w:tc>
      </w:tr>
      <w:tr>
        <w:trPr>
          <w:trHeight w:val="201"/>
        </w:trPr>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8"/>
              </w:rPr>
              <w:t>20%</w:t>
            </w:r>
          </w:p>
        </w:tc>
        <w:tc>
          <w:tcPr>
            <w:tcW w:w="4920" w:type="dxa"/>
            <w:vAlign w:val="bottom"/>
          </w:tcPr>
          <w:p>
            <w:pPr>
              <w:jc w:val="right"/>
              <w:ind w:right="16"/>
              <w:spacing w:after="0" w:line="201" w:lineRule="exact"/>
              <w:rPr>
                <w:sz w:val="20"/>
                <w:szCs w:val="20"/>
                <w:color w:val="auto"/>
              </w:rPr>
            </w:pPr>
            <w:r>
              <w:rPr>
                <w:rFonts w:ascii="Arial" w:cs="Arial" w:eastAsia="Arial" w:hAnsi="Arial"/>
                <w:sz w:val="18"/>
                <w:szCs w:val="18"/>
                <w:color w:val="auto"/>
              </w:rPr>
              <w:t>12/</w:t>
            </w:r>
          </w:p>
        </w:tc>
        <w:tc>
          <w:tcPr>
            <w:tcW w:w="440" w:type="dxa"/>
            <w:vAlign w:val="bottom"/>
          </w:tcPr>
          <w:p>
            <w:pPr>
              <w:jc w:val="right"/>
              <w:ind w:right="52"/>
              <w:spacing w:after="0" w:line="201" w:lineRule="exact"/>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4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4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4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/20</w:t>
            </w:r>
          </w:p>
        </w:tc>
      </w:tr>
      <w:tr>
        <w:trPr>
          <w:trHeight w:val="222"/>
        </w:trPr>
        <w:tc>
          <w:tcPr>
            <w:tcW w:w="11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4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/20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Stock Units.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122" w:name="page123"/>
    <w:bookmarkEnd w:id="122"/>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accept this grant you must, </w:t>
      </w:r>
      <w:r>
        <w:rPr>
          <w:rFonts w:ascii="Arial" w:cs="Arial" w:eastAsia="Arial" w:hAnsi="Arial"/>
          <w:sz w:val="16"/>
          <w:szCs w:val="16"/>
          <w:b w:val="1"/>
          <w:bCs w:val="1"/>
          <w:color w:val="auto"/>
        </w:rPr>
        <w:t>on or after ,</w:t>
      </w:r>
      <w:r>
        <w:rPr>
          <w:rFonts w:ascii="Arial" w:cs="Arial" w:eastAsia="Arial" w:hAnsi="Arial"/>
          <w:sz w:val="16"/>
          <w:szCs w:val="16"/>
          <w:color w:val="auto"/>
        </w:rPr>
        <w:t xml:space="preserve"> access the T. Rowe Price Exchange Web site and select myTRP &gt;Compensation, Payroll &amp; 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00"/>
          </w:cols>
          <w:pgMar w:left="240" w:top="274" w:right="2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7840" w:type="dxa"/>
            <w:vAlign w:val="bottom"/>
          </w:tcPr>
          <w:p>
            <w:pPr>
              <w:ind w:left="3280"/>
              <w:spacing w:after="0"/>
              <w:rPr>
                <w:sz w:val="20"/>
                <w:szCs w:val="20"/>
                <w:color w:val="auto"/>
              </w:rPr>
            </w:pPr>
            <w:r>
              <w:rPr>
                <w:rFonts w:ascii="Arial" w:cs="Arial" w:eastAsia="Arial" w:hAnsi="Arial"/>
                <w:sz w:val="18"/>
                <w:szCs w:val="18"/>
                <w:b w:val="1"/>
                <w:bCs w:val="1"/>
                <w:color w:val="auto"/>
              </w:rPr>
              <w:t>T. Rowe Price Group, Inc.</w:t>
            </w:r>
          </w:p>
        </w:tc>
      </w:tr>
      <w:tr>
        <w:trPr>
          <w:trHeight w:val="218"/>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Award</w:t>
            </w:r>
          </w:p>
        </w:tc>
        <w:tc>
          <w:tcPr>
            <w:tcW w:w="78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ID: 52-2264646</w:t>
            </w:r>
          </w:p>
        </w:tc>
      </w:tr>
      <w:tr>
        <w:trPr>
          <w:trHeight w:val="216"/>
        </w:trPr>
        <w:tc>
          <w:tcPr>
            <w:tcW w:w="3580" w:type="dxa"/>
            <w:vAlign w:val="bottom"/>
          </w:tcPr>
          <w:p>
            <w:pPr>
              <w:spacing w:after="0"/>
              <w:rPr>
                <w:sz w:val="18"/>
                <w:szCs w:val="18"/>
                <w:color w:val="auto"/>
              </w:rPr>
            </w:pPr>
          </w:p>
        </w:tc>
        <w:tc>
          <w:tcPr>
            <w:tcW w:w="7840" w:type="dxa"/>
            <w:vAlign w:val="bottom"/>
          </w:tcPr>
          <w:p>
            <w:pPr>
              <w:ind w:left="3280"/>
              <w:spacing w:after="0"/>
              <w:rPr>
                <w:sz w:val="20"/>
                <w:szCs w:val="20"/>
                <w:color w:val="auto"/>
              </w:rPr>
            </w:pPr>
            <w:r>
              <w:rPr>
                <w:rFonts w:ascii="Arial" w:cs="Arial" w:eastAsia="Arial" w:hAnsi="Arial"/>
                <w:sz w:val="18"/>
                <w:szCs w:val="18"/>
                <w:color w:val="auto"/>
              </w:rPr>
              <w:t>100 E. Pratt Street</w:t>
            </w:r>
          </w:p>
        </w:tc>
      </w:tr>
      <w:tr>
        <w:trPr>
          <w:trHeight w:val="216"/>
        </w:trPr>
        <w:tc>
          <w:tcPr>
            <w:tcW w:w="3580" w:type="dxa"/>
            <w:vAlign w:val="bottom"/>
            <w:shd w:val="clear" w:color="auto" w:fill="CCEEFF"/>
          </w:tcPr>
          <w:p>
            <w:pPr>
              <w:spacing w:after="0"/>
              <w:rPr>
                <w:sz w:val="18"/>
                <w:szCs w:val="18"/>
                <w:color w:val="auto"/>
              </w:rPr>
            </w:pPr>
          </w:p>
        </w:tc>
        <w:tc>
          <w:tcPr>
            <w:tcW w:w="78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Baltimore, MD 21202 USA</w:t>
            </w:r>
          </w:p>
        </w:tc>
      </w:tr>
      <w:tr>
        <w:trPr>
          <w:trHeight w:val="115"/>
        </w:trPr>
        <w:tc>
          <w:tcPr>
            <w:tcW w:w="3580" w:type="dxa"/>
            <w:vAlign w:val="bottom"/>
            <w:tcBorders>
              <w:bottom w:val="single" w:sz="8" w:color="auto"/>
            </w:tcBorders>
          </w:tcPr>
          <w:p>
            <w:pPr>
              <w:spacing w:after="0"/>
              <w:rPr>
                <w:sz w:val="10"/>
                <w:szCs w:val="10"/>
                <w:color w:val="auto"/>
              </w:rPr>
            </w:pPr>
          </w:p>
        </w:tc>
        <w:tc>
          <w:tcPr>
            <w:tcW w:w="7840" w:type="dxa"/>
            <w:vAlign w:val="bottom"/>
            <w:tcBorders>
              <w:bottom w:val="single" w:sz="8" w:color="auto"/>
            </w:tcBorders>
          </w:tcPr>
          <w:p>
            <w:pPr>
              <w:spacing w:after="0"/>
              <w:rPr>
                <w:sz w:val="10"/>
                <w:szCs w:val="10"/>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Award Number:</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ID:</w:t>
            </w:r>
          </w:p>
        </w:tc>
      </w:tr>
      <w:tr>
        <w:trPr>
          <w:trHeight w:val="228"/>
        </w:trPr>
        <w:tc>
          <w:tcPr>
            <w:tcW w:w="3580" w:type="dxa"/>
            <w:vAlign w:val="bottom"/>
          </w:tcPr>
          <w:p>
            <w:pPr>
              <w:spacing w:after="0"/>
              <w:rPr>
                <w:sz w:val="19"/>
                <w:szCs w:val="19"/>
                <w:color w:val="auto"/>
              </w:rPr>
            </w:pPr>
          </w:p>
        </w:tc>
        <w:tc>
          <w:tcPr>
            <w:tcW w:w="7840" w:type="dxa"/>
            <w:vAlign w:val="bottom"/>
          </w:tcPr>
          <w:p>
            <w:pPr>
              <w:ind w:left="1340"/>
              <w:spacing w:after="0"/>
              <w:rPr>
                <w:sz w:val="20"/>
                <w:szCs w:val="20"/>
                <w:color w:val="auto"/>
              </w:rPr>
            </w:pPr>
            <w:r>
              <w:rPr>
                <w:rFonts w:ascii="Arial" w:cs="Arial" w:eastAsia="Arial" w:hAnsi="Arial"/>
                <w:sz w:val="18"/>
                <w:szCs w:val="18"/>
                <w:b w:val="1"/>
                <w:bCs w:val="1"/>
                <w:color w:val="auto"/>
              </w:rPr>
              <w:t>Plan:</w:t>
            </w:r>
          </w:p>
        </w:tc>
      </w:tr>
      <w:tr>
        <w:trPr>
          <w:trHeight w:val="131"/>
        </w:trPr>
        <w:tc>
          <w:tcPr>
            <w:tcW w:w="358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spacing w:after="0"/>
              <w:rPr>
                <w:sz w:val="11"/>
                <w:szCs w:val="1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66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ind w:right="180"/>
        <w:spacing w:after="0" w:line="286" w:lineRule="auto"/>
        <w:rPr>
          <w:sz w:val="20"/>
          <w:szCs w:val="20"/>
          <w:color w:val="auto"/>
        </w:rPr>
      </w:pPr>
      <w:r>
        <w:rPr>
          <w:rFonts w:ascii="Arial" w:cs="Arial" w:eastAsia="Arial" w:hAnsi="Arial"/>
          <w:sz w:val="16"/>
          <w:szCs w:val="16"/>
          <w:color w:val="auto"/>
        </w:rPr>
        <w:t>On , 20 (the Grant Date), T. Rowe Price Group, Inc. (Price Group) granted you restricted stock units pertaining to Price Group common stock (the Stock Units) as a service-based restricted stock units award under Price Group’s [2004 Stock][2012 Long-Term] Incentive Plan. The closing</w:t>
      </w:r>
    </w:p>
    <w:p>
      <w:pPr>
        <w:jc w:val="both"/>
        <w:ind w:right="240"/>
        <w:spacing w:after="0" w:line="255" w:lineRule="auto"/>
        <w:rPr>
          <w:sz w:val="20"/>
          <w:szCs w:val="20"/>
          <w:color w:val="auto"/>
        </w:rPr>
      </w:pPr>
      <w:r>
        <w:rPr>
          <w:rFonts w:ascii="Arial" w:cs="Arial" w:eastAsia="Arial" w:hAnsi="Arial"/>
          <w:sz w:val="18"/>
          <w:szCs w:val="18"/>
          <w:color w:val="auto"/>
        </w:rPr>
        <w:t>price of Price Group common stock on the Grant Date was $ per share. The Stock Units, upon vesting, convert to shares of Price Group common stock, as described in the Statement of Additional Terms Regarding Awards of Restricted Stock Units [(</w:t>
      </w:r>
      <w:r>
        <w:rPr>
          <w:rFonts w:ascii="Arial" w:cs="Arial" w:eastAsia="Arial" w:hAnsi="Arial"/>
          <w:sz w:val="18"/>
          <w:szCs w:val="18"/>
          <w:i w:val="1"/>
          <w:iCs w:val="1"/>
          <w:color w:val="auto"/>
        </w:rPr>
        <w:t>version 1A</w:t>
      </w:r>
      <w:r>
        <w:rPr>
          <w:rFonts w:ascii="Arial" w:cs="Arial" w:eastAsia="Arial" w:hAnsi="Arial"/>
          <w:sz w:val="18"/>
          <w:szCs w:val="18"/>
          <w:color w:val="auto"/>
        </w:rPr>
        <w:t>)] [(</w:t>
      </w:r>
      <w:r>
        <w:rPr>
          <w:rFonts w:ascii="Arial" w:cs="Arial" w:eastAsia="Arial" w:hAnsi="Arial"/>
          <w:sz w:val="18"/>
          <w:szCs w:val="18"/>
          <w:i w:val="1"/>
          <w:iCs w:val="1"/>
          <w:color w:val="auto"/>
        </w:rPr>
        <w:t>version 1B</w:t>
      </w:r>
      <w:r>
        <w:rPr>
          <w:rFonts w:ascii="Arial" w:cs="Arial" w:eastAsia="Arial" w:hAnsi="Arial"/>
          <w:sz w:val="18"/>
          <w:szCs w:val="18"/>
          <w:color w:val="auto"/>
        </w:rPr>
        <w:t>)] (the Statement of Additional Terms) which sets forth the terms and conditions of this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Stock Units will become vested and will be converted to shares of Price Group common stock in installments on the vesting dates set forth in the vesting schedule below.</w:t>
      </w:r>
    </w:p>
    <w:p>
      <w:pPr>
        <w:spacing w:after="0" w:line="178" w:lineRule="exact"/>
        <w:rPr>
          <w:sz w:val="20"/>
          <w:szCs w:val="20"/>
          <w:color w:val="auto"/>
        </w:rPr>
      </w:pPr>
    </w:p>
    <w:p>
      <w:pPr>
        <w:ind w:left="2900"/>
        <w:spacing w:after="0"/>
        <w:tabs>
          <w:tab w:leader="none" w:pos="7800" w:val="left"/>
        </w:tabs>
        <w:rPr>
          <w:sz w:val="20"/>
          <w:szCs w:val="20"/>
          <w:color w:val="auto"/>
        </w:rPr>
      </w:pPr>
      <w:r>
        <w:rPr>
          <w:rFonts w:ascii="Arial" w:cs="Arial" w:eastAsia="Arial" w:hAnsi="Arial"/>
          <w:sz w:val="14"/>
          <w:szCs w:val="14"/>
          <w:color w:val="auto"/>
        </w:rPr>
        <w:t># of Stock Units</w:t>
      </w:r>
      <w:r>
        <w:rPr>
          <w:sz w:val="20"/>
          <w:szCs w:val="20"/>
          <w:color w:val="auto"/>
        </w:rPr>
        <w:tab/>
      </w:r>
      <w:r>
        <w:rPr>
          <w:rFonts w:ascii="Arial" w:cs="Arial" w:eastAsia="Arial" w:hAnsi="Arial"/>
          <w:sz w:val="11"/>
          <w:szCs w:val="1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-635</wp:posOffset>
            </wp:positionV>
            <wp:extent cx="361886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8"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9"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-129540</wp:posOffset>
            </wp:positionV>
            <wp:extent cx="361886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9"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-129540</wp:posOffset>
            </wp:positionV>
            <wp:extent cx="361886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Stock Units.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CEO &amp; President</w:t>
            </w:r>
          </w:p>
        </w:tc>
        <w:tc>
          <w:tcPr>
            <w:tcW w:w="19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52"/>
        </w:trPr>
        <w:tc>
          <w:tcPr>
            <w:tcW w:w="342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gridSpan w:val="3"/>
          </w:tcPr>
          <w:p>
            <w:pPr>
              <w:spacing w:after="0"/>
              <w:rPr>
                <w:sz w:val="21"/>
                <w:szCs w:val="21"/>
                <w:color w:val="auto"/>
              </w:rPr>
            </w:pPr>
          </w:p>
        </w:tc>
      </w:tr>
      <w:tr>
        <w:trPr>
          <w:trHeight w:val="376"/>
        </w:trPr>
        <w:tc>
          <w:tcPr>
            <w:tcW w:w="3420" w:type="dxa"/>
            <w:vAlign w:val="bottom"/>
          </w:tcPr>
          <w:p>
            <w:pPr>
              <w:spacing w:after="0"/>
              <w:rPr>
                <w:sz w:val="20"/>
                <w:szCs w:val="20"/>
                <w:color w:val="auto"/>
              </w:rPr>
            </w:pPr>
            <w:r>
              <w:rPr>
                <w:rFonts w:ascii="Arial" w:cs="Arial" w:eastAsia="Arial" w:hAnsi="Arial"/>
                <w:sz w:val="18"/>
                <w:szCs w:val="18"/>
                <w:color w:val="auto"/>
              </w:rPr>
              <w:t xml:space="preserve">To accept this grant you must, </w:t>
            </w:r>
            <w:r>
              <w:rPr>
                <w:rFonts w:ascii="Arial" w:cs="Arial" w:eastAsia="Arial" w:hAnsi="Arial"/>
                <w:sz w:val="18"/>
                <w:szCs w:val="18"/>
                <w:b w:val="1"/>
                <w:bCs w:val="1"/>
                <w:color w:val="auto"/>
              </w:rPr>
              <w:t>on or after</w:t>
            </w:r>
          </w:p>
        </w:tc>
        <w:tc>
          <w:tcPr>
            <w:tcW w:w="8000" w:type="dxa"/>
            <w:vAlign w:val="bottom"/>
            <w:gridSpan w:val="3"/>
          </w:tcPr>
          <w:p>
            <w:pPr>
              <w:ind w:left="4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access the T. Rowe Price Exchange Web site and select myTRP &gt;Compensation, Payroll &amp;</w:t>
            </w:r>
          </w:p>
        </w:tc>
      </w:tr>
    </w:tbl>
    <w:p>
      <w:pPr>
        <w:ind w:right="80"/>
        <w:spacing w:after="0" w:line="281" w:lineRule="auto"/>
        <w:rPr>
          <w:sz w:val="20"/>
          <w:szCs w:val="20"/>
          <w:color w:val="auto"/>
        </w:rPr>
      </w:pPr>
      <w:r>
        <w:rPr>
          <w:rFonts w:ascii="Arial" w:cs="Arial" w:eastAsia="Arial" w:hAnsi="Arial"/>
          <w:sz w:val="16"/>
          <w:szCs w:val="16"/>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w:t>
      </w:r>
    </w:p>
    <w:p>
      <w:pPr>
        <w:spacing w:after="0" w:line="2"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b w:val="1"/>
          <w:bCs w:val="1"/>
          <w:color w:val="auto"/>
        </w:rPr>
        <w:t>accept this grant by no later than</w:t>
      </w:r>
      <w:r>
        <w:rPr>
          <w:sz w:val="20"/>
          <w:szCs w:val="20"/>
          <w:color w:val="auto"/>
        </w:rPr>
        <w:tab/>
      </w:r>
      <w:r>
        <w:rPr>
          <w:rFonts w:ascii="Arial" w:cs="Arial" w:eastAsia="Arial" w:hAnsi="Arial"/>
          <w:sz w:val="14"/>
          <w:szCs w:val="14"/>
          <w:b w:val="1"/>
          <w:bCs w:val="1"/>
          <w:color w:val="auto"/>
        </w:rPr>
        <w:t>.</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44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 UNITS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(version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Units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units award, the specifics of which are described on the “Notice of Grant of Restricted Stock Units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units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4" w:lineRule="auto"/>
        <w:tabs>
          <w:tab w:leader="none" w:pos="1152"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Vested Status upon Grant Date</w:t>
      </w:r>
      <w:r>
        <w:rPr>
          <w:rFonts w:ascii="Arial" w:cs="Arial" w:eastAsia="Arial" w:hAnsi="Arial"/>
          <w:sz w:val="16"/>
          <w:szCs w:val="16"/>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115" w:lineRule="exact"/>
        <w:rPr>
          <w:rFonts w:ascii="Arial" w:cs="Arial" w:eastAsia="Arial" w:hAnsi="Arial"/>
          <w:sz w:val="16"/>
          <w:szCs w:val="16"/>
          <w:color w:val="auto"/>
        </w:rPr>
      </w:pPr>
    </w:p>
    <w:p>
      <w:pPr>
        <w:ind w:right="20" w:firstLine="921"/>
        <w:spacing w:after="0" w:line="287" w:lineRule="auto"/>
        <w:tabs>
          <w:tab w:leader="none" w:pos="1161"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0" w:right="239" w:bottom="1440" w:gutter="0" w:footer="0" w:header="0"/>
        </w:sectPr>
      </w:pPr>
    </w:p>
    <w:bookmarkStart w:id="125" w:name="page126"/>
    <w:bookmarkEnd w:id="125"/>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08" w:lineRule="exact"/>
        <w:rPr>
          <w:sz w:val="20"/>
          <w:szCs w:val="20"/>
          <w:color w:val="auto"/>
        </w:rPr>
      </w:pPr>
    </w:p>
    <w:p>
      <w:pPr>
        <w:ind w:left="1160" w:hanging="23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20" w:firstLine="421"/>
        <w:spacing w:after="0" w:line="254" w:lineRule="auto"/>
        <w:tabs>
          <w:tab w:leader="none" w:pos="154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If, as of the date on which your Termination of Service occurs, you have attained age 60 and have at least ten years of Service credit with the Company (as determined by the Committee), including Service with any successor to the Company, then, except as otherwise provided in this Agreement, the then-unvested Stock Units that have not been previously forfeited and which are scheduled to vest within the 36-month period immediately following your Termination of Service will become vested and nonforfeitable, notwithstanding the fact that your Service has terminated, on their scheduled vesting dates set forth in the correlating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other conditions for earning the Stock Units as set forth in the Notice are satisfied.</w:t>
      </w:r>
    </w:p>
    <w:p>
      <w:pPr>
        <w:spacing w:after="0" w:line="63" w:lineRule="exact"/>
        <w:rPr>
          <w:rFonts w:ascii="Arial" w:cs="Arial" w:eastAsia="Arial" w:hAnsi="Arial"/>
          <w:sz w:val="18"/>
          <w:szCs w:val="18"/>
          <w:color w:val="auto"/>
        </w:rPr>
      </w:pPr>
    </w:p>
    <w:p>
      <w:pPr>
        <w:ind w:left="920" w:right="40" w:firstLine="421"/>
        <w:spacing w:after="0" w:line="306" w:lineRule="auto"/>
        <w:tabs>
          <w:tab w:leader="none" w:pos="159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106" w:lineRule="exact"/>
        <w:rPr>
          <w:rFonts w:ascii="Arial" w:cs="Arial" w:eastAsia="Arial" w:hAnsi="Arial"/>
          <w:sz w:val="16"/>
          <w:szCs w:val="16"/>
          <w:color w:val="auto"/>
        </w:rPr>
      </w:pPr>
    </w:p>
    <w:p>
      <w:pPr>
        <w:ind w:firstLine="921"/>
        <w:spacing w:after="0" w:line="268" w:lineRule="auto"/>
        <w:tabs>
          <w:tab w:leader="none" w:pos="116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Stock Units that have not already vested or been previously forfeited will become vested and nonforfeitable upon your death or Termination of Service due to your Total and Permanent Disability.</w:t>
      </w:r>
    </w:p>
    <w:p>
      <w:pPr>
        <w:spacing w:after="0" w:line="131" w:lineRule="exact"/>
        <w:rPr>
          <w:rFonts w:ascii="Arial" w:cs="Arial" w:eastAsia="Arial" w:hAnsi="Arial"/>
          <w:sz w:val="18"/>
          <w:szCs w:val="18"/>
          <w:color w:val="auto"/>
        </w:rPr>
      </w:pPr>
    </w:p>
    <w:p>
      <w:pPr>
        <w:ind w:right="60" w:firstLine="921"/>
        <w:spacing w:after="0" w:line="290" w:lineRule="auto"/>
        <w:tabs>
          <w:tab w:leader="none" w:pos="115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xml:space="preserve">.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 </w:t>
      </w:r>
      <w:r>
        <w:rPr>
          <w:rFonts w:ascii="Arial" w:cs="Arial" w:eastAsia="Arial" w:hAnsi="Arial"/>
          <w:sz w:val="16"/>
          <w:szCs w:val="16"/>
          <w:b w:val="1"/>
          <w:bCs w:val="1"/>
          <w:i w:val="1"/>
          <w:iCs w:val="1"/>
          <w:color w:val="auto"/>
        </w:rPr>
        <w:t>[Include the following for Stock Units granted under the 2004 Stock Incentive Plan:</w:t>
      </w:r>
      <w:r>
        <w:rPr>
          <w:rFonts w:ascii="Arial" w:cs="Arial" w:eastAsia="Arial" w:hAnsi="Arial"/>
          <w:sz w:val="16"/>
          <w:szCs w:val="16"/>
          <w:color w:val="auto"/>
        </w:rPr>
        <w:t xml:space="preserve"> The double-trigger vesting provisions set forth in this paragraph reflect the Committee’s exercise of its discretion to limit accelerated vesting that may otherwise have been contemplated under the provisions of Section 7(c)(ii) of the Plan and the provisions of this paragraph shall apply to the Stock Units in lieu of the provisions of Section 7(c)(ii) of the Plan unless the Committee determines otherwise.</w:t>
      </w:r>
      <w:r>
        <w:rPr>
          <w:rFonts w:ascii="Arial" w:cs="Arial" w:eastAsia="Arial" w:hAnsi="Arial"/>
          <w:sz w:val="16"/>
          <w:szCs w:val="16"/>
          <w:b w:val="1"/>
          <w:bCs w:val="1"/>
          <w:i w:val="1"/>
          <w:iCs w:val="1"/>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26" w:name="page127"/>
    <w:bookmarkEnd w:id="126"/>
    <w:p>
      <w:pPr>
        <w:ind w:left="620" w:hanging="176"/>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20" w:firstLine="921"/>
        <w:spacing w:after="0" w:line="335" w:lineRule="auto"/>
        <w:tabs>
          <w:tab w:leader="none" w:pos="1132" w:val="left"/>
        </w:tabs>
        <w:numPr>
          <w:ilvl w:val="1"/>
          <w:numId w:val="103"/>
        </w:numPr>
        <w:rPr>
          <w:rFonts w:ascii="Arial" w:cs="Arial" w:eastAsia="Arial" w:hAnsi="Arial"/>
          <w:sz w:val="15"/>
          <w:szCs w:val="15"/>
          <w:color w:val="auto"/>
        </w:rPr>
      </w:pPr>
      <w:r>
        <w:rPr>
          <w:rFonts w:ascii="Arial" w:cs="Arial" w:eastAsia="Arial" w:hAnsi="Arial"/>
          <w:sz w:val="15"/>
          <w:szCs w:val="15"/>
          <w:u w:val="single" w:color="auto"/>
          <w:color w:val="auto"/>
        </w:rPr>
        <w:t>Termination before Attaining Age 60 with 10 Years of Service</w:t>
      </w:r>
      <w:r>
        <w:rPr>
          <w:rFonts w:ascii="Arial" w:cs="Arial" w:eastAsia="Arial" w:hAnsi="Arial"/>
          <w:sz w:val="15"/>
          <w:szCs w:val="15"/>
          <w:color w:val="auto"/>
        </w:rPr>
        <w:t>. If your Service ceases for any reason before you have attained age 60 with at least ten years of Service credit with the Company (as determined by the Committee), including any successor to the Company, all Stock Units that are not then vested and nonforfeitable, after giving effect to the applicable provisions of Section 2 above, will be immediately forfeited upon such cessation for no consideration.</w:t>
      </w:r>
    </w:p>
    <w:p>
      <w:pPr>
        <w:spacing w:after="0" w:line="88" w:lineRule="exact"/>
        <w:rPr>
          <w:rFonts w:ascii="Arial" w:cs="Arial" w:eastAsia="Arial" w:hAnsi="Arial"/>
          <w:sz w:val="15"/>
          <w:szCs w:val="15"/>
          <w:color w:val="auto"/>
        </w:rPr>
      </w:pPr>
    </w:p>
    <w:p>
      <w:pPr>
        <w:ind w:left="-20" w:right="120" w:firstLine="921"/>
        <w:spacing w:after="0" w:line="291" w:lineRule="auto"/>
        <w:tabs>
          <w:tab w:leader="none" w:pos="114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Termination after Attaining Age 60 with 10 Years of Service</w:t>
      </w:r>
      <w:r>
        <w:rPr>
          <w:rFonts w:ascii="Arial" w:cs="Arial" w:eastAsia="Arial" w:hAnsi="Arial"/>
          <w:sz w:val="16"/>
          <w:szCs w:val="16"/>
          <w:color w:val="auto"/>
        </w:rPr>
        <w:t>. If, as of the date on which your Termination of Service occurs, you have attained age 60 and have at least ten years of Service credit with the Company (as determined by the Committee), including any successor to the Company, then Stock Units that are not then vested and nonforfeitable, after giving effect to the applicable provisions of Section 2 above, and which are scheduled to vest on the vesting dates set forth in the correlating Notice that fall beyond the 36-month period immediately following your Termination of Service, will be immediately forfeited upon such cessation for no consideration and Section 2(c) and Section 8 will apply to the then-unvested Stock Units which are scheduled to vest within the 36-month period immediately following your Termination of Service.</w:t>
      </w:r>
    </w:p>
    <w:p>
      <w:pPr>
        <w:spacing w:after="0" w:line="120" w:lineRule="exact"/>
        <w:rPr>
          <w:rFonts w:ascii="Arial" w:cs="Arial" w:eastAsia="Arial" w:hAnsi="Arial"/>
          <w:sz w:val="16"/>
          <w:szCs w:val="16"/>
          <w:color w:val="auto"/>
        </w:rPr>
      </w:pPr>
    </w:p>
    <w:p>
      <w:pPr>
        <w:ind w:left="-20" w:right="100" w:firstLine="921"/>
        <w:spacing w:after="0" w:line="268" w:lineRule="auto"/>
        <w:tabs>
          <w:tab w:leader="none" w:pos="1132"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 Equivalents</w:t>
      </w:r>
      <w:r>
        <w:rPr>
          <w:rFonts w:ascii="Arial" w:cs="Arial" w:eastAsia="Arial" w:hAnsi="Arial"/>
          <w:sz w:val="18"/>
          <w:szCs w:val="18"/>
          <w:color w:val="auto"/>
        </w:rPr>
        <w:t>. Any accrued dividend equivalents attributable to forfeited Stock Units shall also be forfeited if and when the Stock Units are forfeited.</w:t>
      </w:r>
    </w:p>
    <w:p>
      <w:pPr>
        <w:spacing w:after="0" w:line="131" w:lineRule="exact"/>
        <w:rPr>
          <w:rFonts w:ascii="Arial" w:cs="Arial" w:eastAsia="Arial" w:hAnsi="Arial"/>
          <w:sz w:val="18"/>
          <w:szCs w:val="18"/>
          <w:color w:val="auto"/>
        </w:rPr>
      </w:pPr>
    </w:p>
    <w:p>
      <w:pPr>
        <w:jc w:val="both"/>
        <w:ind w:left="-20" w:right="360" w:firstLine="921"/>
        <w:spacing w:after="0" w:line="259" w:lineRule="auto"/>
        <w:tabs>
          <w:tab w:leader="none" w:pos="1141"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Consequences of Forfeiture</w:t>
      </w:r>
      <w:r>
        <w:rPr>
          <w:rFonts w:ascii="Arial" w:cs="Arial" w:eastAsia="Arial" w:hAnsi="Arial"/>
          <w:sz w:val="18"/>
          <w:szCs w:val="18"/>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140" w:lineRule="exact"/>
        <w:rPr>
          <w:rFonts w:ascii="Arial" w:cs="Arial" w:eastAsia="Arial" w:hAnsi="Arial"/>
          <w:sz w:val="18"/>
          <w:szCs w:val="18"/>
          <w:color w:val="auto"/>
        </w:rPr>
      </w:pPr>
    </w:p>
    <w:p>
      <w:pPr>
        <w:ind w:left="-20" w:right="80" w:firstLine="464"/>
        <w:spacing w:after="0" w:line="332" w:lineRule="auto"/>
        <w:tabs>
          <w:tab w:leader="none" w:pos="6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85" w:lineRule="exact"/>
        <w:rPr>
          <w:rFonts w:ascii="Arial" w:cs="Arial" w:eastAsia="Arial" w:hAnsi="Arial"/>
          <w:sz w:val="16"/>
          <w:szCs w:val="16"/>
          <w:color w:val="auto"/>
        </w:rPr>
      </w:pPr>
    </w:p>
    <w:p>
      <w:pPr>
        <w:ind w:left="-20" w:firstLine="464"/>
        <w:spacing w:after="0" w:line="288" w:lineRule="auto"/>
        <w:tabs>
          <w:tab w:leader="none" w:pos="6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Notice reflects that your restricted stock award is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 extent to which, the Performance Threshold has been satisfied or will be forfeited to the Company if and when the Stock Units to which they relate are forfeited due to a failure to satisfy the Performance Threshold.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27" w:name="page128"/>
    <w:bookmarkEnd w:id="127"/>
    <w:p>
      <w:pPr>
        <w:ind w:left="-60" w:right="20" w:firstLine="464"/>
        <w:spacing w:after="0" w:line="290" w:lineRule="auto"/>
        <w:tabs>
          <w:tab w:leader="none" w:pos="572"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Settlement of Stock Units</w:t>
      </w:r>
      <w:r>
        <w:rPr>
          <w:rFonts w:ascii="Arial" w:cs="Arial" w:eastAsia="Arial" w:hAnsi="Arial"/>
          <w:sz w:val="16"/>
          <w:szCs w:val="16"/>
          <w:color w:val="auto"/>
        </w:rPr>
        <w:t>. Your Stock Units will be settled automatically, via the issuance of Common Stock as described herein, when or as soon as practicable, but in all events within 30 days, after they become vested and nonforfeitable in accordance with Section 2 or Section 9, as applicable. You may not, directly or indirectly, designate the calendar year in which such settlement will be made. You are not required to make any monetary payment (other than applicable tax withholding, if required) as a condition to settlement of the Stock Units. 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118" w:lineRule="exact"/>
        <w:rPr>
          <w:rFonts w:ascii="Arial" w:cs="Arial" w:eastAsia="Arial" w:hAnsi="Arial"/>
          <w:sz w:val="16"/>
          <w:szCs w:val="16"/>
          <w:color w:val="auto"/>
        </w:rPr>
      </w:pPr>
    </w:p>
    <w:p>
      <w:pPr>
        <w:ind w:left="580" w:hanging="176"/>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firstLine="921"/>
        <w:spacing w:after="0" w:line="288" w:lineRule="auto"/>
        <w:tabs>
          <w:tab w:leader="none" w:pos="1092"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General Authority to Withhold</w:t>
      </w:r>
      <w:r>
        <w:rPr>
          <w:rFonts w:ascii="Arial" w:cs="Arial" w:eastAsia="Arial" w:hAnsi="Arial"/>
          <w:sz w:val="16"/>
          <w:szCs w:val="16"/>
          <w:color w:val="auto"/>
        </w:rPr>
        <w:t xml:space="preserve">. By accepting the Notice correlating with these Terms, you agree to make adequate provision for foreign (non-United States), federal, state and local taxes and social insurance contributions required by law to be withheld, if any, which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119" w:lineRule="exact"/>
        <w:rPr>
          <w:rFonts w:ascii="Arial" w:cs="Arial" w:eastAsia="Arial" w:hAnsi="Arial"/>
          <w:sz w:val="16"/>
          <w:szCs w:val="16"/>
          <w:color w:val="auto"/>
        </w:rPr>
      </w:pPr>
    </w:p>
    <w:p>
      <w:pPr>
        <w:ind w:left="-60" w:right="120" w:firstLine="921"/>
        <w:spacing w:after="0" w:line="298" w:lineRule="auto"/>
        <w:tabs>
          <w:tab w:leader="none" w:pos="1101"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112" w:lineRule="exact"/>
        <w:rPr>
          <w:rFonts w:ascii="Arial" w:cs="Arial" w:eastAsia="Arial" w:hAnsi="Arial"/>
          <w:sz w:val="16"/>
          <w:szCs w:val="16"/>
          <w:color w:val="auto"/>
        </w:rPr>
      </w:pPr>
    </w:p>
    <w:p>
      <w:pPr>
        <w:ind w:left="580" w:hanging="176"/>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300" w:firstLine="921"/>
        <w:spacing w:after="0" w:line="256" w:lineRule="auto"/>
        <w:tabs>
          <w:tab w:leader="none" w:pos="1092"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Termination of Vesting/No Extension of Exercise Period</w:t>
      </w:r>
      <w:r>
        <w:rPr>
          <w:rFonts w:ascii="Arial" w:cs="Arial" w:eastAsia="Arial" w:hAnsi="Arial"/>
          <w:sz w:val="18"/>
          <w:szCs w:val="18"/>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128" w:name="page129"/>
    <w:bookmarkEnd w:id="128"/>
    <w:p>
      <w:pPr>
        <w:ind w:left="-40" w:right="340" w:firstLine="921"/>
        <w:spacing w:after="0" w:line="268" w:lineRule="auto"/>
        <w:tabs>
          <w:tab w:leader="none" w:pos="112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8(a)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880" w:right="80" w:firstLine="421"/>
        <w:spacing w:after="0" w:line="259" w:lineRule="auto"/>
        <w:tabs>
          <w:tab w:leader="none" w:pos="150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59" w:lineRule="exact"/>
        <w:rPr>
          <w:rFonts w:ascii="Arial" w:cs="Arial" w:eastAsia="Arial" w:hAnsi="Arial"/>
          <w:sz w:val="18"/>
          <w:szCs w:val="18"/>
          <w:color w:val="auto"/>
        </w:rPr>
      </w:pPr>
    </w:p>
    <w:p>
      <w:pPr>
        <w:ind w:left="880" w:right="80" w:firstLine="421"/>
        <w:spacing w:after="0" w:line="254" w:lineRule="auto"/>
        <w:tabs>
          <w:tab w:leader="none" w:pos="155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640" w:hanging="339"/>
        <w:spacing w:after="0"/>
        <w:tabs>
          <w:tab w:leader="none" w:pos="16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failing, in any material respect, to (A) perform your employment duties, (B) comply with the applicable policies of the Company,</w:t>
      </w:r>
    </w:p>
    <w:p>
      <w:pPr>
        <w:spacing w:after="0" w:line="38" w:lineRule="exact"/>
        <w:rPr>
          <w:sz w:val="20"/>
          <w:szCs w:val="20"/>
          <w:color w:val="auto"/>
        </w:rPr>
      </w:pPr>
    </w:p>
    <w:p>
      <w:pPr>
        <w:ind w:left="880" w:right="240" w:firstLine="1"/>
        <w:spacing w:after="0" w:line="261" w:lineRule="auto"/>
        <w:tabs>
          <w:tab w:leader="none" w:pos="11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29" w:name="page130"/>
    <w:bookmarkEnd w:id="129"/>
    <w:p>
      <w:pPr>
        <w:jc w:val="both"/>
        <w:ind w:right="100" w:firstLine="921"/>
        <w:spacing w:after="0" w:line="306" w:lineRule="auto"/>
        <w:tabs>
          <w:tab w:leader="none" w:pos="1152"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Blue Pencil</w:t>
      </w:r>
      <w:r>
        <w:rPr>
          <w:rFonts w:ascii="Arial" w:cs="Arial" w:eastAsia="Arial" w:hAnsi="Arial"/>
          <w:sz w:val="16"/>
          <w:szCs w:val="16"/>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106" w:lineRule="exact"/>
        <w:rPr>
          <w:rFonts w:ascii="Arial" w:cs="Arial" w:eastAsia="Arial" w:hAnsi="Arial"/>
          <w:sz w:val="16"/>
          <w:szCs w:val="16"/>
          <w:color w:val="auto"/>
        </w:rPr>
      </w:pPr>
    </w:p>
    <w:p>
      <w:pPr>
        <w:ind w:firstLine="921"/>
        <w:spacing w:after="0" w:line="256" w:lineRule="auto"/>
        <w:tabs>
          <w:tab w:leader="none" w:pos="116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Notification To Company</w:t>
      </w:r>
      <w:r>
        <w:rPr>
          <w:rFonts w:ascii="Arial" w:cs="Arial" w:eastAsia="Arial" w:hAnsi="Arial"/>
          <w:sz w:val="18"/>
          <w:szCs w:val="18"/>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55" w:lineRule="auto"/>
        <w:tabs>
          <w:tab w:leader="none" w:pos="115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142" w:lineRule="exact"/>
        <w:rPr>
          <w:rFonts w:ascii="Arial" w:cs="Arial" w:eastAsia="Arial" w:hAnsi="Arial"/>
          <w:sz w:val="18"/>
          <w:szCs w:val="18"/>
          <w:color w:val="auto"/>
        </w:rPr>
      </w:pPr>
    </w:p>
    <w:p>
      <w:pPr>
        <w:ind w:firstLine="921"/>
        <w:spacing w:after="0" w:line="283" w:lineRule="auto"/>
        <w:tabs>
          <w:tab w:leader="none" w:pos="116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adjustments shall be made in compliance with the requirements of</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409A of the Code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137" w:lineRule="exact"/>
        <w:rPr>
          <w:rFonts w:ascii="Arial" w:cs="Arial" w:eastAsia="Arial" w:hAnsi="Arial"/>
          <w:sz w:val="16"/>
          <w:szCs w:val="16"/>
          <w:color w:val="auto"/>
        </w:rPr>
      </w:pPr>
    </w:p>
    <w:p>
      <w:pPr>
        <w:ind w:left="1160" w:hanging="239"/>
        <w:spacing w:after="0"/>
        <w:tabs>
          <w:tab w:leader="none" w:pos="116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Stock Units shall terminate upon the dissolution or liquidation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Price Group.</w:t>
      </w:r>
    </w:p>
    <w:p>
      <w:pPr>
        <w:spacing w:after="0" w:line="164" w:lineRule="exact"/>
        <w:rPr>
          <w:rFonts w:ascii="Arial" w:cs="Arial" w:eastAsia="Arial" w:hAnsi="Arial"/>
          <w:sz w:val="16"/>
          <w:szCs w:val="16"/>
          <w:color w:val="auto"/>
        </w:rPr>
      </w:pPr>
    </w:p>
    <w:p>
      <w:pPr>
        <w:ind w:right="420" w:firstLine="921"/>
        <w:spacing w:after="0" w:line="306" w:lineRule="auto"/>
        <w:tabs>
          <w:tab w:leader="none" w:pos="1161"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0" w:name="page131"/>
    <w:bookmarkEnd w:id="13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surviving or successor entity or a parent thereof. In the event of such termination, (i) the outstanding Stock Units that will terminate upon the effective time of the Change in Control shall, immediately before the effective time of the Change in Control, become fully vested, and (ii) the Committee may take any of the actions set forth in Section 9(b) with respect to any or all of the Stock Units. Implementation of the provisions of the immediately foregoing sentence shall be conditioned upon consummation of the Change in Control.</w:t>
      </w:r>
    </w:p>
    <w:p>
      <w:pPr>
        <w:spacing w:after="0" w:line="143" w:lineRule="exact"/>
        <w:rPr>
          <w:sz w:val="20"/>
          <w:szCs w:val="20"/>
          <w:color w:val="auto"/>
        </w:rPr>
      </w:pPr>
    </w:p>
    <w:p>
      <w:pPr>
        <w:ind w:right="80" w:firstLine="464"/>
        <w:spacing w:after="0" w:line="256"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Stock Units or any other adverse effect on your interests under the Plan.</w:t>
      </w:r>
    </w:p>
    <w:p>
      <w:pPr>
        <w:spacing w:after="0" w:line="143" w:lineRule="exact"/>
        <w:rPr>
          <w:rFonts w:ascii="Arial" w:cs="Arial" w:eastAsia="Arial" w:hAnsi="Arial"/>
          <w:sz w:val="18"/>
          <w:szCs w:val="18"/>
          <w:color w:val="auto"/>
        </w:rPr>
      </w:pPr>
    </w:p>
    <w:p>
      <w:pPr>
        <w:ind w:right="60" w:firstLine="464"/>
        <w:spacing w:after="0" w:line="306" w:lineRule="auto"/>
        <w:tabs>
          <w:tab w:leader="none" w:pos="71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06" w:lineRule="exact"/>
        <w:rPr>
          <w:rFonts w:ascii="Arial" w:cs="Arial" w:eastAsia="Arial" w:hAnsi="Arial"/>
          <w:sz w:val="16"/>
          <w:szCs w:val="16"/>
          <w:color w:val="auto"/>
        </w:rPr>
      </w:pPr>
    </w:p>
    <w:p>
      <w:pPr>
        <w:ind w:right="20" w:firstLine="464"/>
        <w:spacing w:after="0" w:line="294" w:lineRule="auto"/>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firstLine="464"/>
        <w:spacing w:after="0" w:line="323" w:lineRule="auto"/>
        <w:tabs>
          <w:tab w:leader="none" w:pos="720"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98" w:lineRule="auto"/>
        <w:tabs>
          <w:tab w:leader="none" w:pos="1152"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12" w:lineRule="exact"/>
        <w:rPr>
          <w:rFonts w:ascii="Arial" w:cs="Arial" w:eastAsia="Arial" w:hAnsi="Arial"/>
          <w:sz w:val="16"/>
          <w:szCs w:val="16"/>
          <w:color w:val="auto"/>
        </w:rPr>
      </w:pPr>
    </w:p>
    <w:p>
      <w:pPr>
        <w:ind w:right="600" w:firstLine="921"/>
        <w:spacing w:after="0" w:line="332" w:lineRule="auto"/>
        <w:tabs>
          <w:tab w:leader="none" w:pos="1161"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Consent and Acknowledgment</w:t>
      </w:r>
      <w:r>
        <w:rPr>
          <w:rFonts w:ascii="Arial" w:cs="Arial" w:eastAsia="Arial" w:hAnsi="Arial"/>
          <w:sz w:val="16"/>
          <w:szCs w:val="16"/>
          <w:color w:val="auto"/>
        </w:rPr>
        <w:t>. By your accepting the Notice correlating to these Terms, you (i) consent to the electronic delivery of this Agreement, all information with respect to the Plan and the Stock Units and any reports of the Company provided generally to</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31" w:name="page132"/>
    <w:bookmarkEnd w:id="131"/>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sz w:val="20"/>
          <w:szCs w:val="20"/>
          <w:color w:val="auto"/>
        </w:rPr>
      </w:pPr>
    </w:p>
    <w:p>
      <w:pPr>
        <w:ind w:right="80" w:firstLine="464"/>
        <w:spacing w:after="0" w:line="256"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ind w:right="60" w:firstLine="464"/>
        <w:spacing w:after="0" w:line="335" w:lineRule="auto"/>
        <w:tabs>
          <w:tab w:leader="none" w:pos="720"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88" w:lineRule="exact"/>
        <w:rPr>
          <w:rFonts w:ascii="Arial" w:cs="Arial" w:eastAsia="Arial" w:hAnsi="Arial"/>
          <w:sz w:val="15"/>
          <w:szCs w:val="15"/>
          <w:color w:val="auto"/>
        </w:rPr>
      </w:pPr>
    </w:p>
    <w:p>
      <w:pPr>
        <w:ind w:right="80" w:firstLine="464"/>
        <w:spacing w:after="0" w:line="291" w:lineRule="auto"/>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jc w:val="both"/>
        <w:ind w:right="20" w:firstLine="464"/>
        <w:spacing w:after="0" w:line="298" w:lineRule="auto"/>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No Funding</w:t>
      </w:r>
      <w:r>
        <w:rPr>
          <w:rFonts w:ascii="Arial" w:cs="Arial" w:eastAsia="Arial" w:hAnsi="Arial"/>
          <w:sz w:val="16"/>
          <w:szCs w:val="16"/>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112" w:lineRule="exact"/>
        <w:rPr>
          <w:rFonts w:ascii="Arial" w:cs="Arial" w:eastAsia="Arial" w:hAnsi="Arial"/>
          <w:sz w:val="16"/>
          <w:szCs w:val="16"/>
          <w:color w:val="auto"/>
        </w:rPr>
      </w:pPr>
    </w:p>
    <w:p>
      <w:pPr>
        <w:ind w:right="60" w:firstLine="464"/>
        <w:spacing w:after="0" w:line="268"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2" w:name="page133"/>
    <w:bookmarkEnd w:id="13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6" w:lineRule="exact"/>
        <w:rPr>
          <w:sz w:val="20"/>
          <w:szCs w:val="20"/>
          <w:color w:val="auto"/>
        </w:rPr>
      </w:pPr>
    </w:p>
    <w:p>
      <w:pPr>
        <w:ind w:firstLine="464"/>
        <w:spacing w:after="0" w:line="290"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20" w:firstLine="464"/>
        <w:spacing w:after="0" w:line="306"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Stock Units awarded hereunder are intended to comply with, or otherwise be exempt from,</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117" w:lineRule="exact"/>
        <w:rPr>
          <w:sz w:val="20"/>
          <w:szCs w:val="20"/>
          <w:color w:val="auto"/>
        </w:rPr>
      </w:pPr>
    </w:p>
    <w:p>
      <w:pPr>
        <w:ind w:right="100" w:firstLine="464"/>
        <w:spacing w:after="0" w:line="291"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Stock Units is a one-time benefit which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or exercisable and the number of Stock Units subject to each award, will be at the sole discretion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Committee; (v) the value of the Stock Units is an extraordinary item of compensation which is outside the scope of your employment contract, if any;</w:t>
      </w:r>
    </w:p>
    <w:p>
      <w:pPr>
        <w:spacing w:after="0" w:line="38" w:lineRule="exact"/>
        <w:rPr>
          <w:sz w:val="20"/>
          <w:szCs w:val="20"/>
          <w:color w:val="auto"/>
        </w:rPr>
      </w:pPr>
    </w:p>
    <w:p>
      <w:pPr>
        <w:ind w:right="40" w:firstLine="8"/>
        <w:spacing w:after="0" w:line="306" w:lineRule="auto"/>
        <w:tabs>
          <w:tab w:leader="none" w:pos="29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value of the Stock Units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13" w:lineRule="exact"/>
        <w:rPr>
          <w:rFonts w:ascii="Arial" w:cs="Arial" w:eastAsia="Arial" w:hAnsi="Arial"/>
          <w:sz w:val="15"/>
          <w:szCs w:val="15"/>
          <w:color w:val="auto"/>
        </w:rPr>
      </w:pPr>
    </w:p>
    <w:p>
      <w:pPr>
        <w:ind w:firstLine="464"/>
        <w:spacing w:after="0" w:line="305" w:lineRule="auto"/>
        <w:tabs>
          <w:tab w:leader="none" w:pos="720" w:val="left"/>
        </w:tabs>
        <w:numPr>
          <w:ilvl w:val="1"/>
          <w:numId w:val="113"/>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Privacy Consent</w:t>
      </w:r>
      <w:r>
        <w:rPr>
          <w:rFonts w:ascii="Arial" w:cs="Arial" w:eastAsia="Arial" w:hAnsi="Arial"/>
          <w:sz w:val="15"/>
          <w:szCs w:val="15"/>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Stock Units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4" w:name="page135"/>
    <w:bookmarkEnd w:id="134"/>
    <w:p>
      <w:pPr>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Maryland – Pratt Street office. You understand, however, that refusing or withdrawing your consent may affect your ability to accept an award of Stock Units or otherwise participate in the Plan.</w:t>
      </w:r>
    </w:p>
    <w:p>
      <w:pPr>
        <w:spacing w:after="0" w:line="132" w:lineRule="exact"/>
        <w:rPr>
          <w:sz w:val="20"/>
          <w:szCs w:val="20"/>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136" w:name="page137"/>
    <w:bookmarkEnd w:id="136"/>
    <w:p>
      <w:pPr>
        <w:ind w:right="200" w:firstLine="921"/>
        <w:spacing w:after="0" w:line="259" w:lineRule="auto"/>
        <w:tabs>
          <w:tab w:leader="none" w:pos="11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100" w:firstLine="921"/>
        <w:spacing w:after="0" w:line="357" w:lineRule="auto"/>
        <w:tabs>
          <w:tab w:leader="none" w:pos="116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18" w:lineRule="exact"/>
        <w:rPr>
          <w:sz w:val="20"/>
          <w:szCs w:val="20"/>
          <w:color w:val="auto"/>
        </w:rPr>
      </w:pPr>
    </w:p>
    <w:p>
      <w:pPr>
        <w:ind w:left="1140" w:hanging="219"/>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Stock Units was approved by the Committee.</w:t>
      </w:r>
    </w:p>
    <w:p>
      <w:pPr>
        <w:spacing w:after="0" w:line="171" w:lineRule="exact"/>
        <w:rPr>
          <w:rFonts w:ascii="Arial" w:cs="Arial" w:eastAsia="Arial" w:hAnsi="Arial"/>
          <w:sz w:val="18"/>
          <w:szCs w:val="18"/>
          <w:color w:val="auto"/>
        </w:rPr>
      </w:pPr>
    </w:p>
    <w:p>
      <w:pPr>
        <w:ind w:right="520" w:firstLine="921"/>
        <w:spacing w:after="0" w:line="268" w:lineRule="auto"/>
        <w:tabs>
          <w:tab w:leader="none" w:pos="12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Units Award which correlates with these Terms and sets forth the specifics of the applicable award of Stock Units.</w:t>
      </w:r>
    </w:p>
    <w:p>
      <w:pPr>
        <w:spacing w:after="0" w:line="131" w:lineRule="exact"/>
        <w:rPr>
          <w:rFonts w:ascii="Arial" w:cs="Arial" w:eastAsia="Arial" w:hAnsi="Arial"/>
          <w:sz w:val="18"/>
          <w:szCs w:val="18"/>
          <w:color w:val="auto"/>
        </w:rPr>
      </w:pPr>
    </w:p>
    <w:p>
      <w:pPr>
        <w:ind w:right="620" w:firstLine="921"/>
        <w:spacing w:after="0" w:line="268" w:lineRule="auto"/>
        <w:tabs>
          <w:tab w:leader="none" w:pos="11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7" w:name="page138"/>
    <w:bookmarkEnd w:id="137"/>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59" w:lineRule="exact"/>
        <w:rPr>
          <w:sz w:val="20"/>
          <w:szCs w:val="20"/>
          <w:color w:val="auto"/>
        </w:rPr>
      </w:pPr>
    </w:p>
    <w:p>
      <w:pPr>
        <w:ind w:left="920" w:right="160" w:firstLine="421"/>
        <w:spacing w:after="0" w:line="332" w:lineRule="auto"/>
        <w:tabs>
          <w:tab w:leader="none" w:pos="154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920" w:right="600" w:firstLine="421"/>
        <w:spacing w:after="0" w:line="332" w:lineRule="auto"/>
        <w:tabs>
          <w:tab w:leader="none" w:pos="159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920" w:right="20" w:firstLine="421"/>
        <w:spacing w:after="0" w:line="306" w:lineRule="auto"/>
        <w:tabs>
          <w:tab w:leader="none" w:pos="164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920" w:right="480" w:firstLine="421"/>
        <w:spacing w:after="0" w:line="306" w:lineRule="auto"/>
        <w:tabs>
          <w:tab w:leader="none" w:pos="163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Stock Units to become vested, except as otherwise provided in this Agreement.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right="160" w:firstLine="921"/>
        <w:spacing w:after="0" w:line="268" w:lineRule="auto"/>
        <w:tabs>
          <w:tab w:leader="none" w:pos="11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31" w:lineRule="exact"/>
        <w:rPr>
          <w:rFonts w:ascii="Arial" w:cs="Arial" w:eastAsia="Arial" w:hAnsi="Arial"/>
          <w:sz w:val="18"/>
          <w:szCs w:val="18"/>
          <w:color w:val="auto"/>
        </w:rPr>
      </w:pPr>
    </w:p>
    <w:p>
      <w:pPr>
        <w:ind w:firstLine="921"/>
        <w:spacing w:after="0" w:line="256" w:lineRule="auto"/>
        <w:tabs>
          <w:tab w:leader="none" w:pos="11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38" w:name="page139"/>
    <w:bookmarkEnd w:id="138"/>
    <w:p>
      <w:pPr>
        <w:ind w:left="-40" w:firstLine="921"/>
        <w:spacing w:after="0" w:line="259" w:lineRule="auto"/>
        <w:tabs>
          <w:tab w:leader="none" w:pos="1083"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40" w:lineRule="exact"/>
        <w:rPr>
          <w:rFonts w:ascii="Arial" w:cs="Arial" w:eastAsia="Arial" w:hAnsi="Arial"/>
          <w:sz w:val="18"/>
          <w:szCs w:val="18"/>
          <w:color w:val="auto"/>
        </w:rPr>
      </w:pPr>
    </w:p>
    <w:p>
      <w:pPr>
        <w:ind w:left="-40" w:right="140" w:firstLine="921"/>
        <w:spacing w:after="0" w:line="294" w:lineRule="auto"/>
        <w:tabs>
          <w:tab w:leader="none" w:pos="112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20" w:hanging="239"/>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 Units.</w:t>
      </w:r>
    </w:p>
    <w:p>
      <w:pPr>
        <w:spacing w:after="0" w:line="171" w:lineRule="exact"/>
        <w:rPr>
          <w:rFonts w:ascii="Arial" w:cs="Arial" w:eastAsia="Arial" w:hAnsi="Arial"/>
          <w:sz w:val="18"/>
          <w:szCs w:val="18"/>
          <w:color w:val="auto"/>
        </w:rPr>
      </w:pPr>
    </w:p>
    <w:p>
      <w:pPr>
        <w:ind w:left="-40" w:right="80" w:firstLine="921"/>
        <w:spacing w:after="0" w:line="291" w:lineRule="auto"/>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40" w:firstLine="921"/>
        <w:spacing w:after="0" w:line="256" w:lineRule="auto"/>
        <w:tabs>
          <w:tab w:leader="none" w:pos="112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 UNITS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version 1B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Units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stock units award, the specifics of which are described on the “Notice of Grant of Restricted Stock Units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units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94" w:lineRule="auto"/>
        <w:tabs>
          <w:tab w:leader="none" w:pos="1152"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Vested Status upon Grant Date</w:t>
      </w:r>
      <w:r>
        <w:rPr>
          <w:rFonts w:ascii="Arial" w:cs="Arial" w:eastAsia="Arial" w:hAnsi="Arial"/>
          <w:sz w:val="16"/>
          <w:szCs w:val="16"/>
          <w:color w:val="auto"/>
        </w:rPr>
        <w:t>. All of the Stock Units are nonvested and forfeitable as of the Grant Date. Your Stock Units will become vested for purposes of this Agreement only on the applicable vesting dates under the vesting schedule set forth on the correlating Notice or on the dates specified in Section 2(d), Section 2(e), or Section 9, as applicable, notwithstanding the fact that, prior to any such date, subsequent vesting ceases to be conditioned upon your continued employment with the Company or any other substantial risk of forfeiture ceases to exist. A vested Stock Unit remains subject to the terms, conditions and forfeiture provisions provided for in the Plan and in this Agreement.</w:t>
      </w:r>
    </w:p>
    <w:p>
      <w:pPr>
        <w:spacing w:after="0" w:line="115" w:lineRule="exact"/>
        <w:rPr>
          <w:rFonts w:ascii="Arial" w:cs="Arial" w:eastAsia="Arial" w:hAnsi="Arial"/>
          <w:sz w:val="16"/>
          <w:szCs w:val="16"/>
          <w:color w:val="auto"/>
        </w:rPr>
      </w:pPr>
    </w:p>
    <w:p>
      <w:pPr>
        <w:ind w:right="20" w:firstLine="921"/>
        <w:spacing w:after="0" w:line="287" w:lineRule="auto"/>
        <w:tabs>
          <w:tab w:leader="none" w:pos="1161"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So long as your Service is continuous from the Grant Date through the applicable date upon which vesting is scheduled to occur and all other conditions for earning the Stock Units as set forth in the Notice have been satisfied, the Stock Units will become vested and nonforfeitable on the vesting dates set forth in the correlating Notice. If the Notice indicates that your restricted stock units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Stock Units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40" w:name="page141"/>
    <w:bookmarkEnd w:id="140"/>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 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108" w:lineRule="exact"/>
        <w:rPr>
          <w:sz w:val="20"/>
          <w:szCs w:val="20"/>
          <w:color w:val="auto"/>
        </w:rPr>
      </w:pPr>
    </w:p>
    <w:p>
      <w:pPr>
        <w:ind w:left="1160" w:hanging="239"/>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Post-employment Vesting Continuation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91" w:lineRule="auto"/>
        <w:tabs>
          <w:tab w:leader="none" w:pos="1549"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If, as of the date on which your Termination of Service occurs, you have at least 30 years of Credited Service and at least ten years of that Credited Service is attributable to Service with the Company (as determined by the Committee), including Service with any successor to the Company, then, except as otherwise provided in this Agreement, the then-unvested Stock Units that have not been previously forfeited and which are scheduled to vest within the 36-month period immediately following your Termination of Service will become vested and nonforfeitable, notwithstanding the fact that your Service has terminated, on their scheduled vesting dates set forth in the correlating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other conditions for earning the Stock Units as set forth in the Notice are satisfied.</w:t>
      </w:r>
    </w:p>
    <w:p>
      <w:pPr>
        <w:spacing w:after="0" w:line="39" w:lineRule="exact"/>
        <w:rPr>
          <w:rFonts w:ascii="Arial" w:cs="Arial" w:eastAsia="Arial" w:hAnsi="Arial"/>
          <w:sz w:val="16"/>
          <w:szCs w:val="16"/>
          <w:color w:val="auto"/>
        </w:rPr>
      </w:pPr>
    </w:p>
    <w:p>
      <w:pPr>
        <w:ind w:left="920" w:right="40" w:firstLine="421"/>
        <w:spacing w:after="0" w:line="306" w:lineRule="auto"/>
        <w:tabs>
          <w:tab w:leader="none" w:pos="159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Notwithstanding the provisions of Section 2(c)(i) to the contrary, unless the Committee determines otherwise, your unvested Stock Units and all accrued dividend equivalents with respect to your unvested Stock Units will be immediately forfeited for no consideration, no further vesting will accrue and no shares of Common Stock will be delivered in respect thereof, if you breach any of the restrictive covenants set forth in Section 8.</w:t>
      </w:r>
    </w:p>
    <w:p>
      <w:pPr>
        <w:spacing w:after="0" w:line="106" w:lineRule="exact"/>
        <w:rPr>
          <w:rFonts w:ascii="Arial" w:cs="Arial" w:eastAsia="Arial" w:hAnsi="Arial"/>
          <w:sz w:val="16"/>
          <w:szCs w:val="16"/>
          <w:color w:val="auto"/>
        </w:rPr>
      </w:pPr>
    </w:p>
    <w:p>
      <w:pPr>
        <w:ind w:firstLine="921"/>
        <w:spacing w:after="0" w:line="268" w:lineRule="auto"/>
        <w:tabs>
          <w:tab w:leader="none" w:pos="116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Stock Units that have not already vested or been previously forfeited will become vested and nonforfeitable upon your death or Termination of Service due to your Total and Permanent Disability.</w:t>
      </w:r>
    </w:p>
    <w:p>
      <w:pPr>
        <w:spacing w:after="0" w:line="131" w:lineRule="exact"/>
        <w:rPr>
          <w:rFonts w:ascii="Arial" w:cs="Arial" w:eastAsia="Arial" w:hAnsi="Arial"/>
          <w:sz w:val="18"/>
          <w:szCs w:val="18"/>
          <w:color w:val="auto"/>
        </w:rPr>
      </w:pPr>
    </w:p>
    <w:p>
      <w:pPr>
        <w:ind w:right="60" w:firstLine="921"/>
        <w:spacing w:after="0" w:line="290" w:lineRule="auto"/>
        <w:tabs>
          <w:tab w:leader="none" w:pos="115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xml:space="preserve">.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Stock Units that have not already vested or been previously forfeited or terminated in connection with the Change in Control will become vested and nonforfeitable upon such Termination of Service. </w:t>
      </w:r>
      <w:r>
        <w:rPr>
          <w:rFonts w:ascii="Arial" w:cs="Arial" w:eastAsia="Arial" w:hAnsi="Arial"/>
          <w:sz w:val="16"/>
          <w:szCs w:val="16"/>
          <w:b w:val="1"/>
          <w:bCs w:val="1"/>
          <w:i w:val="1"/>
          <w:iCs w:val="1"/>
          <w:color w:val="auto"/>
        </w:rPr>
        <w:t>[Include the following for Stock Units granted under the 2004 Stock Incentive Plan:</w:t>
      </w:r>
      <w:r>
        <w:rPr>
          <w:rFonts w:ascii="Arial" w:cs="Arial" w:eastAsia="Arial" w:hAnsi="Arial"/>
          <w:sz w:val="16"/>
          <w:szCs w:val="16"/>
          <w:color w:val="auto"/>
        </w:rPr>
        <w:t xml:space="preserve"> The double-trigger vesting provisions set forth in this paragraph reflect the Committee’s exercise of its discretion to limit accelerated vesting that may otherwise have been contemplated under the provisions of Section 7(c)(ii) of the Plan and the provisions of this paragraph shall apply to the Stock Units in lieu of the provisions of Section 7(c)(ii) of the Plan unless the Committee determines otherwise.</w:t>
      </w:r>
      <w:r>
        <w:rPr>
          <w:rFonts w:ascii="Arial" w:cs="Arial" w:eastAsia="Arial" w:hAnsi="Arial"/>
          <w:sz w:val="16"/>
          <w:szCs w:val="16"/>
          <w:b w:val="1"/>
          <w:bCs w:val="1"/>
          <w:i w:val="1"/>
          <w:iCs w:val="1"/>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1" w:name="page142"/>
    <w:bookmarkEnd w:id="141"/>
    <w:p>
      <w:pPr>
        <w:ind w:left="620" w:hanging="176"/>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Forfeitures Upon Termination of Service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firstLine="921"/>
        <w:spacing w:after="0" w:line="298" w:lineRule="auto"/>
        <w:tabs>
          <w:tab w:leader="none" w:pos="1132"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Termination before Accruing 30 Years of Credited Service with 10 Years of Service with the Company</w:t>
      </w:r>
      <w:r>
        <w:rPr>
          <w:rFonts w:ascii="Arial" w:cs="Arial" w:eastAsia="Arial" w:hAnsi="Arial"/>
          <w:sz w:val="16"/>
          <w:szCs w:val="16"/>
          <w:color w:val="auto"/>
        </w:rPr>
        <w:t>. If your Service ceases for any reason before you have at least 30 years of Credited Service with at least ten years of Credited Service that is attributable to Service with the Company (as determined by the Committee), including any successor to the Company, all Stock Units that are not then vested and nonforfeitable, after giving effect to the applicable provisions of Section 2 above, will be immediately forfeited upon such cessation for no consideration.</w:t>
      </w:r>
    </w:p>
    <w:p>
      <w:pPr>
        <w:spacing w:after="0" w:line="112" w:lineRule="exact"/>
        <w:rPr>
          <w:rFonts w:ascii="Arial" w:cs="Arial" w:eastAsia="Arial" w:hAnsi="Arial"/>
          <w:sz w:val="16"/>
          <w:szCs w:val="16"/>
          <w:color w:val="auto"/>
        </w:rPr>
      </w:pPr>
    </w:p>
    <w:p>
      <w:pPr>
        <w:ind w:left="-20" w:firstLine="921"/>
        <w:spacing w:after="0" w:line="253" w:lineRule="auto"/>
        <w:tabs>
          <w:tab w:leader="none" w:pos="114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Termination after Accruing 30 Years of Credited Service with 10 Years of Service with the Company</w:t>
      </w:r>
      <w:r>
        <w:rPr>
          <w:rFonts w:ascii="Arial" w:cs="Arial" w:eastAsia="Arial" w:hAnsi="Arial"/>
          <w:sz w:val="18"/>
          <w:szCs w:val="18"/>
          <w:color w:val="auto"/>
        </w:rPr>
        <w:t>. If, as of the date on which your Termination of Service occurs, you have at least 30 years of Credited Service and at least ten years of that Credited Service is attributable to Service with the Company (as determined by the Committee), including any successor to the Company, then Stock Units that are not then vested and nonforfeitable, after giving effect to the applicable provisions of Section 2 above, and which are scheduled to vest on the vesting dates set forth in the correlating Notice that fall beyond the 36-month period immediately following your Termination of Service, will be immediately forfeited upon such cessation for no consideration and Section 2(c) and Section 8 will apply to the then-unvested Stock Units which are scheduled to vest within the 36-month period immediately following your Termination of Service.</w:t>
      </w:r>
    </w:p>
    <w:p>
      <w:pPr>
        <w:spacing w:after="0" w:line="147" w:lineRule="exact"/>
        <w:rPr>
          <w:rFonts w:ascii="Arial" w:cs="Arial" w:eastAsia="Arial" w:hAnsi="Arial"/>
          <w:sz w:val="18"/>
          <w:szCs w:val="18"/>
          <w:color w:val="auto"/>
        </w:rPr>
      </w:pPr>
    </w:p>
    <w:p>
      <w:pPr>
        <w:ind w:left="-20" w:right="100" w:firstLine="921"/>
        <w:spacing w:after="0" w:line="268" w:lineRule="auto"/>
        <w:tabs>
          <w:tab w:leader="none" w:pos="1132"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 Equivalents</w:t>
      </w:r>
      <w:r>
        <w:rPr>
          <w:rFonts w:ascii="Arial" w:cs="Arial" w:eastAsia="Arial" w:hAnsi="Arial"/>
          <w:sz w:val="18"/>
          <w:szCs w:val="18"/>
          <w:color w:val="auto"/>
        </w:rPr>
        <w:t>. Any accrued dividend equivalents attributable to forfeited Stock Units shall also be forfeited if and when the Stock Units are forfeited.</w:t>
      </w:r>
    </w:p>
    <w:p>
      <w:pPr>
        <w:spacing w:after="0" w:line="131" w:lineRule="exact"/>
        <w:rPr>
          <w:rFonts w:ascii="Arial" w:cs="Arial" w:eastAsia="Arial" w:hAnsi="Arial"/>
          <w:sz w:val="18"/>
          <w:szCs w:val="18"/>
          <w:color w:val="auto"/>
        </w:rPr>
      </w:pPr>
    </w:p>
    <w:p>
      <w:pPr>
        <w:jc w:val="both"/>
        <w:ind w:left="-20" w:right="360" w:firstLine="921"/>
        <w:spacing w:after="0" w:line="259" w:lineRule="auto"/>
        <w:tabs>
          <w:tab w:leader="none" w:pos="114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Consequences of Forfeiture</w:t>
      </w:r>
      <w:r>
        <w:rPr>
          <w:rFonts w:ascii="Arial" w:cs="Arial" w:eastAsia="Arial" w:hAnsi="Arial"/>
          <w:sz w:val="18"/>
          <w:szCs w:val="18"/>
          <w:color w:val="auto"/>
        </w:rPr>
        <w:t>. You acknowledge and agree that upon the forfeiture of any unvested Stock Units, your right to receive dividend equivalents on, and all other rights, title or interest in, to or with respect to, the forfeited Stock Units and the shares into which they otherwise may have been converted shall automatically, without further act, terminate.</w:t>
      </w:r>
    </w:p>
    <w:p>
      <w:pPr>
        <w:spacing w:after="0" w:line="140" w:lineRule="exact"/>
        <w:rPr>
          <w:rFonts w:ascii="Arial" w:cs="Arial" w:eastAsia="Arial" w:hAnsi="Arial"/>
          <w:sz w:val="18"/>
          <w:szCs w:val="18"/>
          <w:color w:val="auto"/>
        </w:rPr>
      </w:pPr>
    </w:p>
    <w:p>
      <w:pPr>
        <w:ind w:left="-20" w:right="80" w:firstLine="464"/>
        <w:spacing w:after="0" w:line="332" w:lineRule="auto"/>
        <w:tabs>
          <w:tab w:leader="none" w:pos="61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Stock Units may not be assigned, transferred, pledged, hypothecated or disposed of in any way, whether by operation of law or otherwise, except by will or the laws of descent and distribution, and Stock Units may not be made subject to execution, attachment or similar process.</w:t>
      </w:r>
    </w:p>
    <w:p>
      <w:pPr>
        <w:spacing w:after="0" w:line="85" w:lineRule="exact"/>
        <w:rPr>
          <w:rFonts w:ascii="Arial" w:cs="Arial" w:eastAsia="Arial" w:hAnsi="Arial"/>
          <w:sz w:val="16"/>
          <w:szCs w:val="16"/>
          <w:color w:val="auto"/>
        </w:rPr>
      </w:pPr>
    </w:p>
    <w:p>
      <w:pPr>
        <w:ind w:left="-20" w:firstLine="464"/>
        <w:spacing w:after="0" w:line="253" w:lineRule="auto"/>
        <w:tabs>
          <w:tab w:leader="none" w:pos="61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Dividend Equivalent Payments</w:t>
      </w:r>
      <w:r>
        <w:rPr>
          <w:rFonts w:ascii="Arial" w:cs="Arial" w:eastAsia="Arial" w:hAnsi="Arial"/>
          <w:sz w:val="18"/>
          <w:szCs w:val="18"/>
          <w:color w:val="auto"/>
        </w:rPr>
        <w:t xml:space="preserve">. On each dividend payment date for each regular cash dividend payable with respect to the Common Stock, the Company will pay to you in cash an amount equal to the product of (a) the per share cash dividend, multiplied by (b) the number of your Stock Units outstanding on the record date regardless of the vested or nonvested status of the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Notice reflects that your restricted stock award is subject to satisfaction of a Performance Threshold then any regular cash dividends that become payable with respect to unvested Stock Units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without interest, within 14 days after the date on which the Executive Compensation Committee determines that, and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42" w:name="page143"/>
    <w:bookmarkEnd w:id="14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to which, the Performance Threshold has been satisfied or will be forfeited to the Company if and when the Stock Units to which they relate are forfeited due to a failure to satisfy the Performance Threshold.</w:t>
      </w:r>
    </w:p>
    <w:p>
      <w:pPr>
        <w:spacing w:after="0" w:line="132" w:lineRule="exact"/>
        <w:rPr>
          <w:sz w:val="20"/>
          <w:szCs w:val="20"/>
          <w:color w:val="auto"/>
        </w:rPr>
      </w:pPr>
    </w:p>
    <w:p>
      <w:pPr>
        <w:ind w:right="20" w:firstLine="464"/>
        <w:spacing w:after="0" w:line="290"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Settlement of Stock Units</w:t>
      </w:r>
      <w:r>
        <w:rPr>
          <w:rFonts w:ascii="Arial" w:cs="Arial" w:eastAsia="Arial" w:hAnsi="Arial"/>
          <w:sz w:val="16"/>
          <w:szCs w:val="16"/>
          <w:color w:val="auto"/>
        </w:rPr>
        <w:t>. Your Stock Units will be settled automatically, via the issuance of Common Stock as described herein, when or as soon as practicable, but in all events within 30 days, after they become vested and nonforfeitable in accordance with Section 2 or Section 9, as applicable. You may not, directly or indirectly, designate the calendar year in which such settlement will be made. You are not required to make any monetary payment (other than applicable tax withholding, if required) as a condition to settlement of the Stock Units. The Company will issue to you, in settlement of your Stock Units, the number of whole shares of Common Stock that equals the number of whole Stock Units that vested, and the vested Stock Units will cease to be outstanding upon the issuance of those shares. Unless you request the Company to deliver a share certificate to you, or deliver shares electronically or in certificate form to your designated broker, bank or nominee on your behalf, the Company will retain the shares in uncertificated book entry form.</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8" w:lineRule="auto"/>
        <w:tabs>
          <w:tab w:leader="none" w:pos="1152"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General Authority to Withhold</w:t>
      </w:r>
      <w:r>
        <w:rPr>
          <w:rFonts w:ascii="Arial" w:cs="Arial" w:eastAsia="Arial" w:hAnsi="Arial"/>
          <w:sz w:val="16"/>
          <w:szCs w:val="16"/>
          <w:color w:val="auto"/>
        </w:rPr>
        <w:t xml:space="preserve">. By accepting the Notice correlating with these Terms, you agree to make adequate provision for foreign (non-United States), federal, state and local taxes and social insurance contributions required by law to be withheld, if any, which arise in connection with the Stock Units. The Company shall have the right to deduct from any compensation or any other payment of any kind due you (including withholding the issuance or delivery of shares of Common Stock) the amount of any foreign (non-United States), federal, state or local taxes and social insurance contributions required by law to be withheld as a result of the vesting or settlement of the Stock Units, in whole or in part, or as otherwise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Common Stock or deliver any stock certificate under this Agreement or otherwise release for transfer any such shares until arrangements satisfactory to the Company for such payment have been made.</w:t>
      </w:r>
    </w:p>
    <w:p>
      <w:pPr>
        <w:spacing w:after="0" w:line="119" w:lineRule="exact"/>
        <w:rPr>
          <w:rFonts w:ascii="Arial" w:cs="Arial" w:eastAsia="Arial" w:hAnsi="Arial"/>
          <w:sz w:val="16"/>
          <w:szCs w:val="16"/>
          <w:color w:val="auto"/>
        </w:rPr>
      </w:pPr>
    </w:p>
    <w:p>
      <w:pPr>
        <w:ind w:right="120" w:firstLine="921"/>
        <w:spacing w:after="0" w:line="298" w:lineRule="auto"/>
        <w:tabs>
          <w:tab w:leader="none" w:pos="1161"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Stock Units either by having the Company withhold from the shares to be issued upon vesting that number of shares, or by delivering to the Company already-owned shares, in either case having a fair market value equal to no more than the amount necessary to satisfy the statutory minimum withholding amount due.</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00" w:firstLine="921"/>
        <w:spacing w:after="0" w:line="256" w:lineRule="auto"/>
        <w:tabs>
          <w:tab w:leader="none" w:pos="115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Termination of Vesting/No Extension of Exercise Period</w:t>
      </w:r>
      <w:r>
        <w:rPr>
          <w:rFonts w:ascii="Arial" w:cs="Arial" w:eastAsia="Arial" w:hAnsi="Arial"/>
          <w:sz w:val="18"/>
          <w:szCs w:val="18"/>
          <w:color w:val="auto"/>
        </w:rPr>
        <w:t>. Notwithstanding anything in Section 2 or Section 3 to the contrary, unless the Committee determines otherwise, upon the occurrence of any Prohibited Action set forth in Section 8(b), the following shall occur with respect to your Stock Units: (i) no further Stock Units will become vested and (ii) Stock Units that are not then vested and nonforfeitable will be immediately forfeited for no consideration.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43" w:name="page144"/>
    <w:bookmarkEnd w:id="143"/>
    <w:p>
      <w:pPr>
        <w:ind w:left="-40" w:right="340" w:firstLine="921"/>
        <w:spacing w:after="0" w:line="268" w:lineRule="auto"/>
        <w:tabs>
          <w:tab w:leader="none" w:pos="112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Prohibited Actions</w:t>
      </w:r>
      <w:r>
        <w:rPr>
          <w:rFonts w:ascii="Arial" w:cs="Arial" w:eastAsia="Arial" w:hAnsi="Arial"/>
          <w:sz w:val="18"/>
          <w:szCs w:val="18"/>
          <w:color w:val="auto"/>
        </w:rPr>
        <w:t xml:space="preserve">. The following actions are considered </w:t>
      </w:r>
      <w:r>
        <w:rPr>
          <w:rFonts w:ascii="Arial" w:cs="Arial" w:eastAsia="Arial" w:hAnsi="Arial"/>
          <w:sz w:val="18"/>
          <w:szCs w:val="18"/>
          <w:b w:val="1"/>
          <w:bCs w:val="1"/>
          <w:i w:val="1"/>
          <w:iCs w:val="1"/>
          <w:color w:val="auto"/>
        </w:rPr>
        <w:t>Prohibited Actions</w:t>
      </w:r>
      <w:r>
        <w:rPr>
          <w:rFonts w:ascii="Arial" w:cs="Arial" w:eastAsia="Arial" w:hAnsi="Arial"/>
          <w:sz w:val="18"/>
          <w:szCs w:val="18"/>
          <w:color w:val="auto"/>
        </w:rPr>
        <w:t xml:space="preserve"> and subject to the consequences set forth in Section 8(a) above, whether engaged in by you directly or indirectly, either as an employee, employer, consultant, or in any other capacity:</w:t>
      </w:r>
    </w:p>
    <w:p>
      <w:pPr>
        <w:spacing w:after="0" w:line="50" w:lineRule="exact"/>
        <w:rPr>
          <w:rFonts w:ascii="Arial" w:cs="Arial" w:eastAsia="Arial" w:hAnsi="Arial"/>
          <w:sz w:val="18"/>
          <w:szCs w:val="18"/>
          <w:color w:val="auto"/>
        </w:rPr>
      </w:pPr>
    </w:p>
    <w:p>
      <w:pPr>
        <w:ind w:left="880" w:right="80" w:firstLine="421"/>
        <w:spacing w:after="0" w:line="259" w:lineRule="auto"/>
        <w:tabs>
          <w:tab w:leader="none" w:pos="150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engaging in any Competing Business. “</w:t>
      </w:r>
      <w:r>
        <w:rPr>
          <w:rFonts w:ascii="Arial" w:cs="Arial" w:eastAsia="Arial" w:hAnsi="Arial"/>
          <w:sz w:val="18"/>
          <w:szCs w:val="18"/>
          <w:b w:val="1"/>
          <w:bCs w:val="1"/>
          <w:i w:val="1"/>
          <w:iCs w:val="1"/>
          <w:color w:val="auto"/>
        </w:rPr>
        <w:t>Competing Business</w:t>
      </w:r>
      <w:r>
        <w:rPr>
          <w:rFonts w:ascii="Arial" w:cs="Arial" w:eastAsia="Arial" w:hAnsi="Arial"/>
          <w:sz w:val="18"/>
          <w:szCs w:val="18"/>
          <w:color w:val="auto"/>
        </w:rPr>
        <w:t>” shall be defined as the business of investment advisory services to individual and/or institutional investors, retirement plan services, discount brokerage, trust services, and any other business which is competitive with the business activities of the Company;</w:t>
      </w:r>
    </w:p>
    <w:p>
      <w:pPr>
        <w:spacing w:after="0" w:line="59" w:lineRule="exact"/>
        <w:rPr>
          <w:rFonts w:ascii="Arial" w:cs="Arial" w:eastAsia="Arial" w:hAnsi="Arial"/>
          <w:sz w:val="18"/>
          <w:szCs w:val="18"/>
          <w:color w:val="auto"/>
        </w:rPr>
      </w:pPr>
    </w:p>
    <w:p>
      <w:pPr>
        <w:ind w:left="880" w:right="80" w:firstLine="421"/>
        <w:spacing w:after="0" w:line="254" w:lineRule="auto"/>
        <w:tabs>
          <w:tab w:leader="none" w:pos="155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soliciting, encouraging, or inducing any customers or clients of the Company who were current or prospective customers or clients as of the date on which your Termination of Service occurred, to terminate or reduce his, her or its relationship with the Company or not to proceed with, or enter into, any business relationship with the Company, or otherwise interfering with any such business relationship with the Company, including by encouraging or suggesting any investment management client of the Company (A) to withdraw any funds for which the Company provides investment management or advisory services, or (B) not to engage the Company to provide investment management or advisory services for any funds;</w:t>
      </w:r>
    </w:p>
    <w:p>
      <w:pPr>
        <w:spacing w:after="0" w:line="63" w:lineRule="exact"/>
        <w:rPr>
          <w:rFonts w:ascii="Arial" w:cs="Arial" w:eastAsia="Arial" w:hAnsi="Arial"/>
          <w:sz w:val="18"/>
          <w:szCs w:val="18"/>
          <w:color w:val="auto"/>
        </w:rPr>
      </w:pPr>
    </w:p>
    <w:p>
      <w:pPr>
        <w:ind w:left="880" w:right="220" w:firstLine="421"/>
        <w:spacing w:after="0" w:line="306" w:lineRule="auto"/>
        <w:tabs>
          <w:tab w:leader="none" w:pos="160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soliciting, encouraging, or inducing any officer, director, employee, agent, partner, consultant or independent contractor of the Company to terminate, modify or reduce his or her relationship with the Company, (B) hiring, employing, supervising, managing or engaging any such individual, or (C) otherwise attempting to disrupt or interfere with the Company’s relationship with any such individual;</w:t>
      </w:r>
    </w:p>
    <w:p>
      <w:pPr>
        <w:spacing w:after="0" w:line="25" w:lineRule="exact"/>
        <w:rPr>
          <w:rFonts w:ascii="Arial" w:cs="Arial" w:eastAsia="Arial" w:hAnsi="Arial"/>
          <w:sz w:val="16"/>
          <w:szCs w:val="16"/>
          <w:color w:val="auto"/>
        </w:rPr>
      </w:pPr>
    </w:p>
    <w:p>
      <w:pPr>
        <w:ind w:left="880" w:firstLine="421"/>
        <w:spacing w:after="0" w:line="294" w:lineRule="auto"/>
        <w:tabs>
          <w:tab w:leader="none" w:pos="159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using, reproducing, or disclosing any Confidential Information of the Company.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defined as client and customer lists, information with respect to the name, address, contact persons or requirements of any customer or client, other information relating to clients and prospective clients from whom the Company has solicited business or plans to solicit business, information relating to business plans and business that is conducted or anticipated to be conducted, research, technology, computer software, processes, products, pricing, costs, business methods, business objectives or strategies, marketing plans and finances;</w:t>
      </w:r>
    </w:p>
    <w:p>
      <w:pPr>
        <w:spacing w:after="0" w:line="34" w:lineRule="exact"/>
        <w:rPr>
          <w:rFonts w:ascii="Arial" w:cs="Arial" w:eastAsia="Arial" w:hAnsi="Arial"/>
          <w:sz w:val="16"/>
          <w:szCs w:val="16"/>
          <w:color w:val="auto"/>
        </w:rPr>
      </w:pPr>
    </w:p>
    <w:p>
      <w:pPr>
        <w:jc w:val="both"/>
        <w:ind w:left="880" w:right="360" w:firstLine="421"/>
        <w:spacing w:after="0" w:line="306" w:lineRule="auto"/>
        <w:tabs>
          <w:tab w:leader="none" w:pos="154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pleading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being convicted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w:t>
      </w:r>
    </w:p>
    <w:p>
      <w:pPr>
        <w:spacing w:after="0" w:line="25" w:lineRule="exact"/>
        <w:rPr>
          <w:rFonts w:ascii="Arial" w:cs="Arial" w:eastAsia="Arial" w:hAnsi="Arial"/>
          <w:sz w:val="16"/>
          <w:szCs w:val="16"/>
          <w:color w:val="auto"/>
        </w:rPr>
      </w:pPr>
    </w:p>
    <w:p>
      <w:pPr>
        <w:ind w:left="1600" w:hanging="299"/>
        <w:spacing w:after="0"/>
        <w:tabs>
          <w:tab w:leader="none" w:pos="16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breaching a regulatory rule that adversely affects your ability to perform your employment duties to the Company in any material respect;</w:t>
      </w:r>
    </w:p>
    <w:p>
      <w:pPr>
        <w:spacing w:after="0" w:line="3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44" w:name="page145"/>
    <w:bookmarkEnd w:id="144"/>
    <w:p>
      <w:pPr>
        <w:ind w:left="1680" w:hanging="339"/>
        <w:spacing w:after="0"/>
        <w:tabs>
          <w:tab w:leader="none" w:pos="16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failing, in any material respect, to (A) perform your employment duties, (B) comply with the applicable policies of the Company,</w:t>
      </w:r>
    </w:p>
    <w:p>
      <w:pPr>
        <w:spacing w:after="0" w:line="38" w:lineRule="exact"/>
        <w:rPr>
          <w:rFonts w:ascii="Arial" w:cs="Arial" w:eastAsia="Arial" w:hAnsi="Arial"/>
          <w:sz w:val="16"/>
          <w:szCs w:val="16"/>
          <w:color w:val="auto"/>
        </w:rPr>
      </w:pPr>
    </w:p>
    <w:p>
      <w:pPr>
        <w:ind w:left="920" w:right="240" w:firstLine="1"/>
        <w:spacing w:after="0" w:line="261" w:lineRule="auto"/>
        <w:tabs>
          <w:tab w:leader="none" w:pos="11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follow reasonable directions received from the Company or (D) comply with covenants contained in any contract with the Company to which you are a party.</w:t>
      </w:r>
    </w:p>
    <w:p>
      <w:pPr>
        <w:spacing w:after="0" w:line="138" w:lineRule="exact"/>
        <w:rPr>
          <w:sz w:val="20"/>
          <w:szCs w:val="20"/>
          <w:color w:val="auto"/>
        </w:rPr>
      </w:pPr>
    </w:p>
    <w:p>
      <w:pPr>
        <w:jc w:val="both"/>
        <w:ind w:right="100" w:firstLine="921"/>
        <w:spacing w:after="0" w:line="306" w:lineRule="auto"/>
        <w:tabs>
          <w:tab w:leader="none" w:pos="1152"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Blue Pencil</w:t>
      </w:r>
      <w:r>
        <w:rPr>
          <w:rFonts w:ascii="Arial" w:cs="Arial" w:eastAsia="Arial" w:hAnsi="Arial"/>
          <w:sz w:val="16"/>
          <w:szCs w:val="16"/>
          <w:color w:val="auto"/>
        </w:rPr>
        <w:t>. If any of the provisions or terms of this Section 8 is construed by a court of competent jurisdiction to be invalid or unenforceable, it shall not affect the remainder of this Agreement, which shall be given full force and effect without regard to the invalid provision. Any invalid or unenforceable provision shall be reformed to the maximum time, geographic and/or customer limitations permitted by the applicable laws, so as to be valid and enforceable.</w:t>
      </w:r>
    </w:p>
    <w:p>
      <w:pPr>
        <w:spacing w:after="0" w:line="106" w:lineRule="exact"/>
        <w:rPr>
          <w:rFonts w:ascii="Arial" w:cs="Arial" w:eastAsia="Arial" w:hAnsi="Arial"/>
          <w:sz w:val="16"/>
          <w:szCs w:val="16"/>
          <w:color w:val="auto"/>
        </w:rPr>
      </w:pPr>
    </w:p>
    <w:p>
      <w:pPr>
        <w:ind w:firstLine="921"/>
        <w:spacing w:after="0" w:line="256" w:lineRule="auto"/>
        <w:tabs>
          <w:tab w:leader="none" w:pos="116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Notification To Company</w:t>
      </w:r>
      <w:r>
        <w:rPr>
          <w:rFonts w:ascii="Arial" w:cs="Arial" w:eastAsia="Arial" w:hAnsi="Arial"/>
          <w:sz w:val="18"/>
          <w:szCs w:val="18"/>
          <w:color w:val="auto"/>
        </w:rPr>
        <w:t>. For as long as you have outstanding unvested Stock Units, you covenant and agree that you will disclose to the Company the identity of any new employer within two business days of being employed or engaged by such new employer, and upon request of the Committee in advance of the settlement of any Stock Unit you will provide to the Company information sufficient to confirm that you have not engaged in any Prohibited Actions.</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55" w:lineRule="auto"/>
        <w:tabs>
          <w:tab w:leader="none" w:pos="1152"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xml:space="preserve">. Upon a stock dividend of, or stock split or reverse stock split affecting, the Common Stock, the number of outstanding Stock Units and the number of Stock Units eligible to vest on each subsequent vesting date under the vesting schedule set forth on the Notice shall, without further action of the Committee, be adjusted to reflect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fractional Stock Units resulting from any such adjustment shall be eliminated. Adjustments under this paragraph will be made by the Committee, whose determination regarding such adjustments will be final, binding and conclusive.</w:t>
      </w:r>
    </w:p>
    <w:p>
      <w:pPr>
        <w:spacing w:after="0" w:line="142" w:lineRule="exact"/>
        <w:rPr>
          <w:rFonts w:ascii="Arial" w:cs="Arial" w:eastAsia="Arial" w:hAnsi="Arial"/>
          <w:sz w:val="18"/>
          <w:szCs w:val="18"/>
          <w:color w:val="auto"/>
        </w:rPr>
      </w:pPr>
    </w:p>
    <w:p>
      <w:pPr>
        <w:ind w:firstLine="921"/>
        <w:spacing w:after="0" w:line="283" w:lineRule="auto"/>
        <w:tabs>
          <w:tab w:leader="none" w:pos="1161"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Discretionary Adjustments</w:t>
      </w:r>
      <w:r>
        <w:rPr>
          <w:rFonts w:ascii="Arial" w:cs="Arial" w:eastAsia="Arial" w:hAnsi="Arial"/>
          <w:sz w:val="16"/>
          <w:szCs w:val="16"/>
          <w:color w:val="auto"/>
        </w:rPr>
        <w:t xml:space="preserve">. In the case of a merger, consolidation, stock rights offering, liquidation, statutory share exchange or similar event affecting Price Group, the Committee may make such other adjustments to outstanding Stock Units as it determines to be appropriate and desirable, which adjustments may include, without limitation, (i) the cancellation of outstanding Stock Units in exchange for payments of cash, securities or other property or a combination thereof having an aggregate value equal to the value of such Stock Units, as determined by the Committee in its sole discretion, (ii) the substitution of securities or other property (including, without limitation, cash or other securities of Price Group and securities of entities other than Price Group) for the shares of Common Stock subject to outstanding Stock Units, and (iii) the substitution of equivalent awards, as determined in the sole discretion of the Committee, of the surviving or successor entity or a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adjustments shall be made in compliance with the requirements of</w:t>
      </w: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409A of the Code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Committee shall not have the authority to make adjustments pursuant to this paragraph to the extent that the existence of such authority would cause the Stock Units to fail to comply with Section 409A of the Code.</w:t>
      </w:r>
    </w:p>
    <w:p>
      <w:pPr>
        <w:spacing w:after="0" w:line="137" w:lineRule="exact"/>
        <w:rPr>
          <w:rFonts w:ascii="Arial" w:cs="Arial" w:eastAsia="Arial" w:hAnsi="Arial"/>
          <w:sz w:val="16"/>
          <w:szCs w:val="16"/>
          <w:color w:val="auto"/>
        </w:rPr>
      </w:pPr>
    </w:p>
    <w:p>
      <w:pPr>
        <w:ind w:left="1160" w:hanging="239"/>
        <w:spacing w:after="0"/>
        <w:tabs>
          <w:tab w:leader="none" w:pos="116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the Committee determines otherwise, all of the Stock Units shall terminate upon the dissolution or liquidation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Price Group.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5" w:name="page146"/>
    <w:bookmarkEnd w:id="145"/>
    <w:p>
      <w:pPr>
        <w:ind w:left="-20" w:firstLine="921"/>
        <w:spacing w:after="0" w:line="253" w:lineRule="auto"/>
        <w:tabs>
          <w:tab w:leader="none" w:pos="1141"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Notwithstanding anything in this Agreement or the Plan to the contrary, in the event that a Change in Control occurs, outstanding Stock Units will terminate upon the effective time of such Change in Control unless provision is made in connection with the transaction for the continuation or assumption of such Stock Units by, or for the substitution of equivalent units, as determined in the sole discretion of the Committee, of, the surviving or successor entity or a parent thereof. In the event of such termination, (i) the outstanding Stock Units that will terminate upon the effective time of the Change in Control shall, immediately before the effective time of the Change in Control, become fully vested, and (ii) the Committee may take any of the actions set forth in Section 9(b) with respect to any or all of the Stock Units. Implementation of the provisions of the immediately foregoing sentence shall be conditioned upon consummation of the Change in Control.</w:t>
      </w:r>
    </w:p>
    <w:p>
      <w:pPr>
        <w:spacing w:after="0" w:line="147" w:lineRule="exact"/>
        <w:rPr>
          <w:rFonts w:ascii="Arial" w:cs="Arial" w:eastAsia="Arial" w:hAnsi="Arial"/>
          <w:sz w:val="18"/>
          <w:szCs w:val="18"/>
          <w:color w:val="auto"/>
        </w:rPr>
      </w:pPr>
    </w:p>
    <w:p>
      <w:pPr>
        <w:ind w:left="-20" w:right="100" w:firstLine="464"/>
        <w:spacing w:after="0" w:line="256" w:lineRule="auto"/>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Stock Units or any other adverse effect on your interests under the Plan.</w:t>
      </w:r>
    </w:p>
    <w:p>
      <w:pPr>
        <w:spacing w:after="0" w:line="143" w:lineRule="exact"/>
        <w:rPr>
          <w:rFonts w:ascii="Arial" w:cs="Arial" w:eastAsia="Arial" w:hAnsi="Arial"/>
          <w:sz w:val="18"/>
          <w:szCs w:val="18"/>
          <w:color w:val="auto"/>
        </w:rPr>
      </w:pPr>
    </w:p>
    <w:p>
      <w:pPr>
        <w:ind w:left="-20" w:right="80" w:firstLine="464"/>
        <w:spacing w:after="0" w:line="306" w:lineRule="auto"/>
        <w:tabs>
          <w:tab w:leader="none" w:pos="693"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dividend equivalent payments, neither you nor any other person claiming through you shall have any rights with respect to any shares of Common Stock subject to the Stock Units, including without limitation, any voting rights, unless and until such shares are duly issued and delivered to you.</w:t>
      </w:r>
    </w:p>
    <w:p>
      <w:pPr>
        <w:spacing w:after="0" w:line="106" w:lineRule="exact"/>
        <w:rPr>
          <w:rFonts w:ascii="Arial" w:cs="Arial" w:eastAsia="Arial" w:hAnsi="Arial"/>
          <w:sz w:val="16"/>
          <w:szCs w:val="16"/>
          <w:color w:val="auto"/>
        </w:rPr>
      </w:pPr>
    </w:p>
    <w:p>
      <w:pPr>
        <w:ind w:left="-20" w:right="40" w:firstLine="464"/>
        <w:spacing w:after="0" w:line="294" w:lineRule="auto"/>
        <w:tabs>
          <w:tab w:leader="none" w:pos="70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Stock Units will not affect in any way the right or power of the Price Group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left="-20" w:right="20" w:firstLine="464"/>
        <w:spacing w:after="0" w:line="323" w:lineRule="auto"/>
        <w:tabs>
          <w:tab w:leader="none" w:pos="700"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97" w:lineRule="exact"/>
        <w:rPr>
          <w:rFonts w:ascii="Arial" w:cs="Arial" w:eastAsia="Arial" w:hAnsi="Arial"/>
          <w:sz w:val="15"/>
          <w:szCs w:val="15"/>
          <w:color w:val="auto"/>
        </w:rPr>
      </w:pPr>
    </w:p>
    <w:p>
      <w:pPr>
        <w:ind w:left="700" w:hanging="256"/>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298" w:lineRule="auto"/>
        <w:tabs>
          <w:tab w:leader="none" w:pos="1132"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Methods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Stock Units,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46" w:name="page147"/>
    <w:bookmarkEnd w:id="146"/>
    <w:p>
      <w:pPr>
        <w:ind w:right="460" w:firstLine="921"/>
        <w:spacing w:after="0" w:line="305" w:lineRule="auto"/>
        <w:tabs>
          <w:tab w:leader="none" w:pos="1161" w:val="left"/>
        </w:tabs>
        <w:numPr>
          <w:ilvl w:val="2"/>
          <w:numId w:val="13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and Acknowledgment</w:t>
      </w:r>
      <w:r>
        <w:rPr>
          <w:rFonts w:ascii="Arial" w:cs="Arial" w:eastAsia="Arial" w:hAnsi="Arial"/>
          <w:sz w:val="15"/>
          <w:szCs w:val="15"/>
          <w:color w:val="auto"/>
        </w:rPr>
        <w:t>. By your accepting the Notice correlating to these Terms, you (i) consent to the electronic delivery of this Agreement, all information with respect to the Plan and the Stock Units and any reports of the Company provided generally to the Company’s stockholders;</w:t>
      </w:r>
    </w:p>
    <w:p>
      <w:pPr>
        <w:jc w:val="both"/>
        <w:ind w:right="20" w:firstLine="8"/>
        <w:spacing w:after="0" w:line="254" w:lineRule="auto"/>
        <w:tabs>
          <w:tab w:leader="none" w:pos="2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43" w:lineRule="exact"/>
        <w:rPr>
          <w:rFonts w:ascii="Arial" w:cs="Arial" w:eastAsia="Arial" w:hAnsi="Arial"/>
          <w:sz w:val="18"/>
          <w:szCs w:val="18"/>
          <w:color w:val="auto"/>
        </w:rPr>
      </w:pPr>
    </w:p>
    <w:p>
      <w:pPr>
        <w:ind w:right="80" w:firstLine="464"/>
        <w:spacing w:after="0" w:line="256" w:lineRule="auto"/>
        <w:tabs>
          <w:tab w:leader="none" w:pos="72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Stock Units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ind w:right="60" w:firstLine="464"/>
        <w:spacing w:after="0" w:line="335" w:lineRule="auto"/>
        <w:tabs>
          <w:tab w:leader="none" w:pos="720" w:val="left"/>
        </w:tabs>
        <w:numPr>
          <w:ilvl w:val="1"/>
          <w:numId w:val="13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Stock Units awarded hereunder. Any oral or written agreements, representations, warranties, written inducements, or other communications made prior to the acceptance of the Notice correlating to these Terms with respect to the Stock Units awarded hereunder shall be void and ineffective for all purposes.</w:t>
      </w:r>
    </w:p>
    <w:p>
      <w:pPr>
        <w:spacing w:after="0" w:line="88" w:lineRule="exact"/>
        <w:rPr>
          <w:rFonts w:ascii="Arial" w:cs="Arial" w:eastAsia="Arial" w:hAnsi="Arial"/>
          <w:sz w:val="15"/>
          <w:szCs w:val="15"/>
          <w:color w:val="auto"/>
        </w:rPr>
      </w:pPr>
    </w:p>
    <w:p>
      <w:pPr>
        <w:ind w:right="80" w:firstLine="464"/>
        <w:spacing w:after="0" w:line="291" w:lineRule="auto"/>
        <w:tabs>
          <w:tab w:leader="none" w:pos="72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Stock Units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Company’s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jc w:val="both"/>
        <w:ind w:right="20" w:firstLine="464"/>
        <w:spacing w:after="0" w:line="298" w:lineRule="auto"/>
        <w:tabs>
          <w:tab w:leader="none" w:pos="720"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No Funding</w:t>
      </w:r>
      <w:r>
        <w:rPr>
          <w:rFonts w:ascii="Arial" w:cs="Arial" w:eastAsia="Arial" w:hAnsi="Arial"/>
          <w:sz w:val="16"/>
          <w:szCs w:val="16"/>
          <w:color w:val="auto"/>
        </w:rPr>
        <w:t>. This Agreement constitutes an unfunded and unsecured promise by the Company to make payments and issue shares of Common Stock in the future in accordance with its terms. You have the status of a general unsecured creditor of the Company as a result of receiving the award of Stock Units. Any cash payment due under this Agreement with respect to dividend equivalent payments under Section 5 hereof will be paid from the general assets of the Company and nothing in this Agreement will be construed to give you or any other person rights to any specific assets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47" w:name="page148"/>
    <w:bookmarkEnd w:id="147"/>
    <w:p>
      <w:pPr>
        <w:ind w:right="40" w:firstLine="464"/>
        <w:spacing w:after="0" w:line="290" w:lineRule="auto"/>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18" w:lineRule="exact"/>
        <w:rPr>
          <w:rFonts w:ascii="Arial" w:cs="Arial" w:eastAsia="Arial" w:hAnsi="Arial"/>
          <w:sz w:val="16"/>
          <w:szCs w:val="16"/>
          <w:color w:val="auto"/>
        </w:rPr>
      </w:pPr>
    </w:p>
    <w:p>
      <w:pPr>
        <w:ind w:firstLine="464"/>
        <w:spacing w:after="0" w:line="290" w:lineRule="auto"/>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right="120" w:firstLine="464"/>
        <w:spacing w:after="0" w:line="306" w:lineRule="auto"/>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Preemption of Applicable Laws or Regulations</w:t>
      </w:r>
      <w:r>
        <w:rPr>
          <w:rFonts w:ascii="Arial" w:cs="Arial" w:eastAsia="Arial" w:hAnsi="Arial"/>
          <w:sz w:val="16"/>
          <w:szCs w:val="16"/>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409A Savings Clause</w:t>
      </w:r>
      <w:r>
        <w:rPr>
          <w:rFonts w:ascii="Arial" w:cs="Arial" w:eastAsia="Arial" w:hAnsi="Arial"/>
          <w:sz w:val="16"/>
          <w:szCs w:val="16"/>
          <w:color w:val="auto"/>
        </w:rPr>
        <w:t>. This Agreement and the Stock Units awarded hereunder are intended to comply with, or otherwise be exempt from,</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409A of the Code. This Agreement and the Stock Units shall be administered, interpreted and construed in a manner consistent with this intent. Should any provision of this Agreement or the Stock Units be found not to comply with, or otherwise be exempt from, the provisions of Section 409A of the Code, it shall be modified and given effect, in the sole discretion of the Committee and without requiring your consent, in such manner as the Committee determines to be necessary or appropriate to comply with, or to effectuate an exemption from, Section 409A of the Code. The preceding provisions shall not be construed as a guarantee or warranty by the Company of any particular tax effect of the Stock Units.</w:t>
      </w:r>
    </w:p>
    <w:p>
      <w:pPr>
        <w:spacing w:after="0" w:line="117" w:lineRule="exact"/>
        <w:rPr>
          <w:sz w:val="20"/>
          <w:szCs w:val="20"/>
          <w:color w:val="auto"/>
        </w:rPr>
      </w:pPr>
    </w:p>
    <w:p>
      <w:pPr>
        <w:ind w:right="100" w:firstLine="464"/>
        <w:spacing w:after="0" w:line="259"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Service and Employment Acknowledgments</w:t>
      </w:r>
      <w:r>
        <w:rPr>
          <w:rFonts w:ascii="Arial" w:cs="Arial" w:eastAsia="Arial" w:hAnsi="Arial"/>
          <w:sz w:val="18"/>
          <w:szCs w:val="18"/>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8" w:name="page149"/>
    <w:bookmarkEnd w:id="14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voluntarily participating in the Plan; (iii) the award of Stock Units is a one-time benefit which does not create any contractual or other right to receive future awards of Stock Units, or compensation or benefits in lieu of Stock Units, even if Stock Units have been awarded repeatedly in the past; (iv) all determinations with respect to any such future awards, including, but not limited to, the times when Stock Units shall be awarded or shall become vested or exercisable and the number of Stock Units subject to each award, will be at the sole discretion of the Committee; (v) the value of the Stock Units is an extraordinary item of compensation which is outside the scope of your employment contract, if any; (vi) the value of the Stock Units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Stock Units ceases upon termination of Service with the Company or transfer of employment from the Company, or other cessation of eligibility for any reason, except as may otherwise be explicitly provided in this Agreement; (viii) the value of the Stock Units and the underlying Shares cannot be predicted with certainty and will change over time and the Company does not guarantee any future value; (ix) if you are not an employee of the Company, the Stock Units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Shares underlying the Stock Units; and (x) no claim or entitlement to compensation or damages arises if the value of the Stock Units or the underlying Shares decreases and in consideration for the grant of the Stock Units you irrevocably release the Company from any claim or entitlement to compensation or damages that does arise in connection with the Stock Units.</w:t>
      </w:r>
    </w:p>
    <w:p>
      <w:pPr>
        <w:spacing w:after="0" w:line="124" w:lineRule="exact"/>
        <w:rPr>
          <w:sz w:val="20"/>
          <w:szCs w:val="20"/>
          <w:color w:val="auto"/>
        </w:rPr>
      </w:pPr>
    </w:p>
    <w:p>
      <w:pPr>
        <w:ind w:firstLine="464"/>
        <w:spacing w:after="0" w:line="286" w:lineRule="auto"/>
        <w:tabs>
          <w:tab w:leader="none" w:pos="720"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For purposes of the implementation, administration and management of the Stock Units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Stock Units awarded, cancelled, vested and unvested) is held by the Company and may be transferred to any broker designated by the Committee or third parties assisting in the implementation, administration and management of the Stock Units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Stock Units or Plan or effect a Corporate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9" w:name="page150"/>
    <w:bookmarkEnd w:id="149"/>
    <w:p>
      <w:pPr>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Stock Units or otherwise participate in the Plan.</w:t>
      </w:r>
    </w:p>
    <w:p>
      <w:pPr>
        <w:spacing w:after="0" w:line="116" w:lineRule="exact"/>
        <w:rPr>
          <w:sz w:val="20"/>
          <w:szCs w:val="20"/>
          <w:color w:val="auto"/>
        </w:rPr>
      </w:pPr>
    </w:p>
    <w:p>
      <w:pPr>
        <w:ind w:left="720" w:hanging="256"/>
        <w:spacing w:after="0"/>
        <w:tabs>
          <w:tab w:leader="none" w:pos="72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rFonts w:ascii="Arial" w:cs="Arial" w:eastAsia="Arial" w:hAnsi="Arial"/>
          <w:sz w:val="16"/>
          <w:szCs w:val="16"/>
          <w:color w:val="auto"/>
        </w:rPr>
      </w:pPr>
    </w:p>
    <w:p>
      <w:pPr>
        <w:ind w:left="46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GLOSSARY</w:t>
      </w:r>
    </w:p>
    <w:p>
      <w:pPr>
        <w:spacing w:after="0" w:line="171" w:lineRule="exact"/>
        <w:rPr>
          <w:sz w:val="20"/>
          <w:szCs w:val="20"/>
          <w:color w:val="auto"/>
        </w:rPr>
      </w:pPr>
    </w:p>
    <w:p>
      <w:pPr>
        <w:jc w:val="both"/>
        <w:ind w:left="-20" w:right="40" w:firstLine="921"/>
        <w:spacing w:after="0" w:line="259" w:lineRule="auto"/>
        <w:tabs>
          <w:tab w:leader="none" w:pos="11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20" w:right="60" w:firstLine="921"/>
        <w:spacing w:after="0" w:line="289" w:lineRule="auto"/>
        <w:tabs>
          <w:tab w:leader="none" w:pos="11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 (A) perform your employment duties, (B) comply with the applicable policies of the Company, (C) follow reasonable directions received from the Company or (D) 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18" w:lineRule="exact"/>
        <w:rPr>
          <w:rFonts w:ascii="Arial" w:cs="Arial" w:eastAsia="Arial" w:hAnsi="Arial"/>
          <w:sz w:val="16"/>
          <w:szCs w:val="16"/>
          <w:color w:val="auto"/>
        </w:rPr>
      </w:pPr>
    </w:p>
    <w:p>
      <w:pPr>
        <w:ind w:left="1140" w:hanging="239"/>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20" w:firstLine="921"/>
        <w:spacing w:after="0" w:line="306" w:lineRule="auto"/>
        <w:tabs>
          <w:tab w:leader="none" w:pos="11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20" w:right="60" w:firstLine="921"/>
        <w:spacing w:after="0" w:line="323" w:lineRule="auto"/>
        <w:tabs>
          <w:tab w:leader="none" w:pos="111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any time the Board may serve as the Committee in lieu of or in addition to the Executive Compensation Committee or such other committee(s) or officer(s) to whom administrative authority has been delegated.</w:t>
      </w:r>
    </w:p>
    <w:p>
      <w:pPr>
        <w:spacing w:after="0" w:line="97" w:lineRule="exact"/>
        <w:rPr>
          <w:rFonts w:ascii="Arial" w:cs="Arial" w:eastAsia="Arial" w:hAnsi="Arial"/>
          <w:sz w:val="15"/>
          <w:szCs w:val="15"/>
          <w:color w:val="auto"/>
        </w:rPr>
      </w:pPr>
    </w:p>
    <w:p>
      <w:pPr>
        <w:ind w:left="-20" w:right="640" w:firstLine="921"/>
        <w:spacing w:after="0" w:line="268" w:lineRule="auto"/>
        <w:tabs>
          <w:tab w:leader="none" w:pos="11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left="-20" w:right="340" w:firstLine="921"/>
        <w:spacing w:after="0" w:line="268" w:lineRule="auto"/>
        <w:tabs>
          <w:tab w:leader="none" w:pos="11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151" w:name="page152"/>
    <w:bookmarkEnd w:id="151"/>
    <w:p>
      <w:pPr>
        <w:ind w:right="200" w:firstLine="921"/>
        <w:spacing w:after="0" w:line="259" w:lineRule="auto"/>
        <w:tabs>
          <w:tab w:leader="none" w:pos="1123"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right="80" w:firstLine="921"/>
        <w:spacing w:after="0" w:line="306" w:lineRule="auto"/>
        <w:tabs>
          <w:tab w:leader="none" w:pos="112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Credited Service</w:t>
      </w:r>
      <w:r>
        <w:rPr>
          <w:rFonts w:ascii="Arial" w:cs="Arial" w:eastAsia="Arial" w:hAnsi="Arial"/>
          <w:sz w:val="16"/>
          <w:szCs w:val="16"/>
          <w:color w:val="auto"/>
        </w:rPr>
        <w:t>” means the sum of the period(s) during which you are in Service with the Company plus any period of service that may be allocated to you by the Committee, in its sole discretion, in writing for periods during which you were not employed with the Company but you were engaged in activities through which you gained relevant industry experience, as determined in the Committee’s discretion.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140" w:firstLine="921"/>
        <w:spacing w:after="0" w:line="357" w:lineRule="auto"/>
        <w:tabs>
          <w:tab w:leader="none" w:pos="1123" w:val="left"/>
        </w:tabs>
        <w:numPr>
          <w:ilvl w:val="0"/>
          <w:numId w:val="1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ind w:left="920" w:firstLine="421"/>
        <w:spacing w:after="0" w:line="259" w:lineRule="auto"/>
        <w:tabs>
          <w:tab w:leader="none" w:pos="15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920" w:right="680" w:firstLine="421"/>
        <w:spacing w:after="0" w:line="268"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18" w:lineRule="exact"/>
        <w:rPr>
          <w:sz w:val="20"/>
          <w:szCs w:val="20"/>
          <w:color w:val="auto"/>
        </w:rPr>
      </w:pPr>
    </w:p>
    <w:p>
      <w:pPr>
        <w:ind w:left="1220" w:hanging="299"/>
        <w:spacing w:after="0"/>
        <w:tabs>
          <w:tab w:leader="none" w:pos="1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Stock Units was approved by the Committee.</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380"/>
          </w:cols>
          <w:pgMar w:left="240" w:top="279" w:right="279" w:bottom="1440" w:gutter="0" w:footer="0" w:header="0"/>
        </w:sectPr>
      </w:pPr>
    </w:p>
    <w:bookmarkStart w:id="152" w:name="page153"/>
    <w:bookmarkEnd w:id="152"/>
    <w:p>
      <w:pPr>
        <w:ind w:left="-40" w:right="580" w:firstLine="921"/>
        <w:spacing w:after="0" w:line="268" w:lineRule="auto"/>
        <w:tabs>
          <w:tab w:leader="none" w:pos="1122"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Units Award which correlates with these Terms and sets forth the specifics of the applicable award of Stock Units.</w:t>
      </w:r>
    </w:p>
    <w:p>
      <w:pPr>
        <w:spacing w:after="0" w:line="131" w:lineRule="exact"/>
        <w:rPr>
          <w:rFonts w:ascii="Arial" w:cs="Arial" w:eastAsia="Arial" w:hAnsi="Arial"/>
          <w:sz w:val="18"/>
          <w:szCs w:val="18"/>
          <w:color w:val="auto"/>
        </w:rPr>
      </w:pPr>
    </w:p>
    <w:p>
      <w:pPr>
        <w:ind w:left="-40" w:right="80" w:firstLine="921"/>
        <w:spacing w:after="0" w:line="256" w:lineRule="auto"/>
        <w:tabs>
          <w:tab w:leader="none" w:pos="112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 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62" w:lineRule="exact"/>
        <w:rPr>
          <w:rFonts w:ascii="Arial" w:cs="Arial" w:eastAsia="Arial" w:hAnsi="Arial"/>
          <w:sz w:val="18"/>
          <w:szCs w:val="18"/>
          <w:color w:val="auto"/>
        </w:rPr>
      </w:pPr>
    </w:p>
    <w:p>
      <w:pPr>
        <w:ind w:left="880" w:right="140" w:firstLine="421"/>
        <w:spacing w:after="0" w:line="332" w:lineRule="auto"/>
        <w:tabs>
          <w:tab w:leader="none" w:pos="1509"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880" w:right="580" w:firstLine="421"/>
        <w:spacing w:after="0" w:line="332" w:lineRule="auto"/>
        <w:tabs>
          <w:tab w:leader="none" w:pos="155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880" w:firstLine="421"/>
        <w:spacing w:after="0" w:line="306" w:lineRule="auto"/>
        <w:tabs>
          <w:tab w:leader="none" w:pos="160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880" w:right="460" w:firstLine="421"/>
        <w:spacing w:after="0" w:line="306" w:lineRule="auto"/>
        <w:tabs>
          <w:tab w:leader="none" w:pos="159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540" w:hanging="239"/>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left="-40" w:right="340" w:firstLine="921"/>
        <w:spacing w:after="0" w:line="268" w:lineRule="auto"/>
        <w:tabs>
          <w:tab w:leader="none" w:pos="112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Stock Units to become vested, except as otherwise provided in this Agreement.</w:t>
      </w:r>
    </w:p>
    <w:p>
      <w:pPr>
        <w:spacing w:after="0" w:line="131" w:lineRule="exact"/>
        <w:rPr>
          <w:rFonts w:ascii="Arial" w:cs="Arial" w:eastAsia="Arial" w:hAnsi="Arial"/>
          <w:sz w:val="18"/>
          <w:szCs w:val="18"/>
          <w:color w:val="auto"/>
        </w:rPr>
      </w:pPr>
    </w:p>
    <w:p>
      <w:pPr>
        <w:ind w:left="1120" w:hanging="239"/>
        <w:spacing w:after="0"/>
        <w:tabs>
          <w:tab w:leader="none" w:pos="11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1100" w:hanging="219"/>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71" w:lineRule="exact"/>
        <w:rPr>
          <w:rFonts w:ascii="Arial" w:cs="Arial" w:eastAsia="Arial" w:hAnsi="Arial"/>
          <w:sz w:val="18"/>
          <w:szCs w:val="18"/>
          <w:color w:val="auto"/>
        </w:rPr>
      </w:pPr>
    </w:p>
    <w:p>
      <w:pPr>
        <w:ind w:left="-40" w:right="140" w:firstLine="921"/>
        <w:spacing w:after="0" w:line="268" w:lineRule="auto"/>
        <w:tabs>
          <w:tab w:leader="none" w:pos="110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80" w:right="279" w:bottom="1440" w:gutter="0" w:footer="0" w:header="0"/>
        </w:sectPr>
      </w:pPr>
    </w:p>
    <w:bookmarkStart w:id="153" w:name="page154"/>
    <w:bookmarkEnd w:id="153"/>
    <w:p>
      <w:pPr>
        <w:ind w:left="-40" w:right="100" w:firstLine="921"/>
        <w:spacing w:after="0" w:line="262" w:lineRule="auto"/>
        <w:tabs>
          <w:tab w:leader="none" w:pos="1083"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38" w:lineRule="exact"/>
        <w:rPr>
          <w:rFonts w:ascii="Arial" w:cs="Arial" w:eastAsia="Arial" w:hAnsi="Arial"/>
          <w:sz w:val="18"/>
          <w:szCs w:val="18"/>
          <w:color w:val="auto"/>
        </w:rPr>
      </w:pPr>
    </w:p>
    <w:p>
      <w:pPr>
        <w:ind w:left="-40" w:firstLine="921"/>
        <w:spacing w:after="0" w:line="259" w:lineRule="auto"/>
        <w:tabs>
          <w:tab w:leader="none" w:pos="112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Unit</w:t>
      </w:r>
      <w:r>
        <w:rPr>
          <w:rFonts w:ascii="Arial" w:cs="Arial" w:eastAsia="Arial" w:hAnsi="Arial"/>
          <w:sz w:val="18"/>
          <w:szCs w:val="18"/>
          <w:color w:val="auto"/>
        </w:rPr>
        <w:t>” means a bookkeeping entry used by the Company to record and account for the grant of a restricted stock unit until such time as such restricted stock unit is settled, forfeited or terminated, as the case may be. Each Stock Unit represents a contractual obligation of the Company to deliver one share of Common Stock to the holder upon vesting of the Stock Unit.</w:t>
      </w:r>
    </w:p>
    <w:p>
      <w:pPr>
        <w:spacing w:after="0" w:line="140" w:lineRule="exact"/>
        <w:rPr>
          <w:rFonts w:ascii="Arial" w:cs="Arial" w:eastAsia="Arial" w:hAnsi="Arial"/>
          <w:sz w:val="18"/>
          <w:szCs w:val="18"/>
          <w:color w:val="auto"/>
        </w:rPr>
      </w:pPr>
    </w:p>
    <w:p>
      <w:pPr>
        <w:ind w:left="-40" w:right="140" w:firstLine="921"/>
        <w:spacing w:after="0" w:line="294" w:lineRule="auto"/>
        <w:tabs>
          <w:tab w:leader="none" w:pos="112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1160" w:hanging="279"/>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 Units.</w:t>
      </w:r>
    </w:p>
    <w:p>
      <w:pPr>
        <w:spacing w:after="0" w:line="171" w:lineRule="exact"/>
        <w:rPr>
          <w:rFonts w:ascii="Arial" w:cs="Arial" w:eastAsia="Arial" w:hAnsi="Arial"/>
          <w:sz w:val="18"/>
          <w:szCs w:val="18"/>
          <w:color w:val="auto"/>
        </w:rPr>
      </w:pPr>
    </w:p>
    <w:p>
      <w:pPr>
        <w:ind w:left="-40" w:right="80" w:firstLine="921"/>
        <w:spacing w:after="0" w:line="291" w:lineRule="auto"/>
        <w:tabs>
          <w:tab w:leader="none" w:pos="112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40" w:firstLine="921"/>
        <w:spacing w:after="0" w:line="256" w:lineRule="auto"/>
        <w:tabs>
          <w:tab w:leader="none" w:pos="112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Stock Units as reflected in the Notice. Whenever the word “you” or “your” is used in any provision of this Agreement under circumstances where the provision should logically be construed, as determined by the Committee, to apply to the estate, personal representative, or beneficiary to whom the Stock Units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74" w:right="27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8060" w:type="dxa"/>
            <w:vAlign w:val="bottom"/>
          </w:tcPr>
          <w:p>
            <w:pPr>
              <w:ind w:left="350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360" w:type="dxa"/>
            <w:vAlign w:val="bottom"/>
          </w:tcPr>
          <w:p>
            <w:pPr>
              <w:spacing w:after="0"/>
              <w:rPr>
                <w:sz w:val="20"/>
                <w:szCs w:val="20"/>
                <w:color w:val="auto"/>
              </w:rPr>
            </w:pPr>
            <w:r>
              <w:rPr>
                <w:rFonts w:ascii="Arial" w:cs="Arial" w:eastAsia="Arial" w:hAnsi="Arial"/>
                <w:sz w:val="18"/>
                <w:szCs w:val="18"/>
                <w:b w:val="1"/>
                <w:bCs w:val="1"/>
                <w:color w:val="auto"/>
              </w:rPr>
              <w:t>Restricted Stock Award</w:t>
            </w:r>
          </w:p>
        </w:tc>
        <w:tc>
          <w:tcPr>
            <w:tcW w:w="8060" w:type="dxa"/>
            <w:vAlign w:val="bottom"/>
          </w:tcPr>
          <w:p>
            <w:pPr>
              <w:ind w:left="3500"/>
              <w:spacing w:after="0"/>
              <w:rPr>
                <w:sz w:val="20"/>
                <w:szCs w:val="20"/>
                <w:color w:val="auto"/>
              </w:rPr>
            </w:pPr>
            <w:r>
              <w:rPr>
                <w:rFonts w:ascii="Arial" w:cs="Arial" w:eastAsia="Arial" w:hAnsi="Arial"/>
                <w:sz w:val="18"/>
                <w:szCs w:val="18"/>
                <w:color w:val="auto"/>
              </w:rPr>
              <w:t>ID: 52-2264646</w:t>
            </w:r>
          </w:p>
        </w:tc>
      </w:tr>
      <w:tr>
        <w:trPr>
          <w:trHeight w:val="216"/>
        </w:trPr>
        <w:tc>
          <w:tcPr>
            <w:tcW w:w="3360" w:type="dxa"/>
            <w:vAlign w:val="bottom"/>
          </w:tcPr>
          <w:p>
            <w:pPr>
              <w:spacing w:after="0"/>
              <w:rPr>
                <w:sz w:val="18"/>
                <w:szCs w:val="18"/>
                <w:color w:val="auto"/>
              </w:rPr>
            </w:pPr>
          </w:p>
        </w:tc>
        <w:tc>
          <w:tcPr>
            <w:tcW w:w="8060" w:type="dxa"/>
            <w:vAlign w:val="bottom"/>
          </w:tcPr>
          <w:p>
            <w:pPr>
              <w:ind w:left="3500"/>
              <w:spacing w:after="0"/>
              <w:rPr>
                <w:sz w:val="20"/>
                <w:szCs w:val="20"/>
                <w:color w:val="auto"/>
              </w:rPr>
            </w:pPr>
            <w:r>
              <w:rPr>
                <w:rFonts w:ascii="Arial" w:cs="Arial" w:eastAsia="Arial" w:hAnsi="Arial"/>
                <w:sz w:val="18"/>
                <w:szCs w:val="18"/>
                <w:color w:val="auto"/>
              </w:rPr>
              <w:t>100 E. Pratt Street</w:t>
            </w:r>
          </w:p>
        </w:tc>
      </w:tr>
      <w:tr>
        <w:trPr>
          <w:trHeight w:val="222"/>
        </w:trPr>
        <w:tc>
          <w:tcPr>
            <w:tcW w:w="3360" w:type="dxa"/>
            <w:vAlign w:val="bottom"/>
          </w:tcPr>
          <w:p>
            <w:pPr>
              <w:spacing w:after="0"/>
              <w:rPr>
                <w:sz w:val="19"/>
                <w:szCs w:val="19"/>
                <w:color w:val="auto"/>
              </w:rPr>
            </w:pPr>
          </w:p>
        </w:tc>
        <w:tc>
          <w:tcPr>
            <w:tcW w:w="8060" w:type="dxa"/>
            <w:vAlign w:val="bottom"/>
          </w:tcPr>
          <w:p>
            <w:pPr>
              <w:ind w:left="3500"/>
              <w:spacing w:after="0"/>
              <w:rPr>
                <w:sz w:val="20"/>
                <w:szCs w:val="20"/>
                <w:color w:val="auto"/>
              </w:rPr>
            </w:pPr>
            <w:r>
              <w:rPr>
                <w:rFonts w:ascii="Arial" w:cs="Arial" w:eastAsia="Arial" w:hAnsi="Arial"/>
                <w:sz w:val="18"/>
                <w:szCs w:val="18"/>
                <w:color w:val="auto"/>
              </w:rPr>
              <w:t>Baltimore, MD 21202 USA</w:t>
            </w:r>
          </w:p>
        </w:tc>
      </w:tr>
      <w:tr>
        <w:trPr>
          <w:trHeight w:val="117"/>
        </w:trPr>
        <w:tc>
          <w:tcPr>
            <w:tcW w:w="3360" w:type="dxa"/>
            <w:vAlign w:val="bottom"/>
            <w:tcBorders>
              <w:bottom w:val="single" w:sz="8" w:color="auto"/>
            </w:tcBorders>
          </w:tcPr>
          <w:p>
            <w:pPr>
              <w:spacing w:after="0"/>
              <w:rPr>
                <w:sz w:val="10"/>
                <w:szCs w:val="10"/>
                <w:color w:val="auto"/>
              </w:rPr>
            </w:pPr>
          </w:p>
        </w:tc>
        <w:tc>
          <w:tcPr>
            <w:tcW w:w="8060" w:type="dxa"/>
            <w:vAlign w:val="bottom"/>
            <w:tcBorders>
              <w:bottom w:val="single" w:sz="8" w:color="auto"/>
            </w:tcBorders>
          </w:tcPr>
          <w:p>
            <w:pPr>
              <w:spacing w:after="0"/>
              <w:rPr>
                <w:sz w:val="10"/>
                <w:szCs w:val="10"/>
                <w:color w:val="auto"/>
              </w:rPr>
            </w:pPr>
          </w:p>
        </w:tc>
      </w:tr>
      <w:tr>
        <w:trPr>
          <w:trHeight w:val="310"/>
        </w:trPr>
        <w:tc>
          <w:tcPr>
            <w:tcW w:w="3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Award Number:</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ID:</w:t>
            </w:r>
          </w:p>
        </w:tc>
      </w:tr>
      <w:tr>
        <w:trPr>
          <w:trHeight w:val="228"/>
        </w:trPr>
        <w:tc>
          <w:tcPr>
            <w:tcW w:w="3360" w:type="dxa"/>
            <w:vAlign w:val="bottom"/>
          </w:tcPr>
          <w:p>
            <w:pPr>
              <w:spacing w:after="0"/>
              <w:rPr>
                <w:sz w:val="19"/>
                <w:szCs w:val="19"/>
                <w:color w:val="auto"/>
              </w:rPr>
            </w:pP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Plan:</w:t>
            </w:r>
          </w:p>
        </w:tc>
      </w:tr>
      <w:tr>
        <w:trPr>
          <w:trHeight w:val="131"/>
        </w:trPr>
        <w:tc>
          <w:tcPr>
            <w:tcW w:w="3360" w:type="dxa"/>
            <w:vAlign w:val="bottom"/>
            <w:tcBorders>
              <w:bottom w:val="single" w:sz="8" w:color="auto"/>
            </w:tcBorders>
          </w:tcPr>
          <w:p>
            <w:pPr>
              <w:spacing w:after="0"/>
              <w:rPr>
                <w:sz w:val="11"/>
                <w:szCs w:val="11"/>
                <w:color w:val="auto"/>
              </w:rPr>
            </w:pPr>
          </w:p>
        </w:tc>
        <w:tc>
          <w:tcPr>
            <w:tcW w:w="8060" w:type="dxa"/>
            <w:vAlign w:val="bottom"/>
            <w:tcBorders>
              <w:bottom w:val="single" w:sz="8" w:color="auto"/>
            </w:tcBorders>
          </w:tcPr>
          <w:p>
            <w:pPr>
              <w:spacing w:after="0"/>
              <w:rPr>
                <w:sz w:val="11"/>
                <w:szCs w:val="1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On _____________, 20__ (the Grant Date), T. Rowe Price Group, Inc. (Price Group) granted you _________ shares of Price Group common stock (the Award</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Shares) as a performance-based restricted stock award under Price Group’s [2004 Stock][2012 Long-Term] Incentive Plan. The closing price of Price Group common stock on the Grant Date was $___ per share. [This grant is intended to be a Qualified Performance-Based Award as defined in the plan.] Until they have been earned and vested, the Award Shares will be subject to restriction, as described in the Statement of Additional Terms Regarding Awards of Restricted Stock [(</w:t>
      </w:r>
      <w:r>
        <w:rPr>
          <w:rFonts w:ascii="Arial" w:cs="Arial" w:eastAsia="Arial" w:hAnsi="Arial"/>
          <w:sz w:val="16"/>
          <w:szCs w:val="16"/>
          <w:i w:val="1"/>
          <w:iCs w:val="1"/>
          <w:color w:val="auto"/>
        </w:rPr>
        <w:t>version 1A</w:t>
      </w:r>
      <w:r>
        <w:rPr>
          <w:rFonts w:ascii="Arial" w:cs="Arial" w:eastAsia="Arial" w:hAnsi="Arial"/>
          <w:sz w:val="16"/>
          <w:szCs w:val="16"/>
          <w:color w:val="auto"/>
        </w:rPr>
        <w:t>)] [(</w:t>
      </w:r>
      <w:r>
        <w:rPr>
          <w:rFonts w:ascii="Arial" w:cs="Arial" w:eastAsia="Arial" w:hAnsi="Arial"/>
          <w:sz w:val="16"/>
          <w:szCs w:val="16"/>
          <w:i w:val="1"/>
          <w:iCs w:val="1"/>
          <w:color w:val="auto"/>
        </w:rPr>
        <w:t>version 1B</w:t>
      </w:r>
      <w:r>
        <w:rPr>
          <w:rFonts w:ascii="Arial" w:cs="Arial" w:eastAsia="Arial" w:hAnsi="Arial"/>
          <w:sz w:val="16"/>
          <w:szCs w:val="16"/>
          <w:color w:val="auto"/>
        </w:rPr>
        <w:t>)] (the Statement of Additional Terms) which sets forth the terms and conditions of this grant. The Award Shares become earned and vested as follows, conditioned upon satisfaction of a performance threshold: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Performance Threshold</w:t>
      </w:r>
      <w:r>
        <w:rPr>
          <w:rFonts w:ascii="Arial" w:cs="Arial" w:eastAsia="Arial" w:hAnsi="Arial"/>
          <w:sz w:val="18"/>
          <w:szCs w:val="18"/>
          <w:color w:val="auto"/>
        </w:rPr>
        <w:t>: [</w:t>
      </w:r>
      <w:r>
        <w:rPr>
          <w:rFonts w:ascii="Arial" w:cs="Arial" w:eastAsia="Arial" w:hAnsi="Arial"/>
          <w:sz w:val="18"/>
          <w:szCs w:val="18"/>
          <w:i w:val="1"/>
          <w:iCs w:val="1"/>
          <w:color w:val="auto"/>
        </w:rPr>
        <w:t>Insert performance threshold and performance period description</w:t>
      </w:r>
      <w:r>
        <w:rPr>
          <w:rFonts w:ascii="Arial" w:cs="Arial" w:eastAsia="Arial" w:hAnsi="Arial"/>
          <w:sz w:val="18"/>
          <w:szCs w:val="18"/>
          <w:color w:val="auto"/>
        </w:rPr>
        <w: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Executive Compensation Committee of Price Group’s Board of Directors (ECC) will determine, within 60 days after the close of the Performance Period, the extent to which the Performance Threshold has been achieved.</w:t>
      </w:r>
    </w:p>
    <w:p>
      <w:pPr>
        <w:spacing w:after="0" w:line="51" w:lineRule="exact"/>
        <w:rPr>
          <w:sz w:val="20"/>
          <w:szCs w:val="20"/>
          <w:color w:val="auto"/>
        </w:rPr>
      </w:pPr>
    </w:p>
    <w:p>
      <w:pPr>
        <w:ind w:left="440" w:hanging="324"/>
        <w:spacing w:after="0"/>
        <w:tabs>
          <w:tab w:leader="none" w:pos="4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the Performance Threshold is satisfied in full, all of the Award Shares will be eligible to be earned in accordance with the vesting schedule below.</w:t>
      </w:r>
    </w:p>
    <w:p>
      <w:pPr>
        <w:spacing w:after="0" w:line="113" w:lineRule="exact"/>
        <w:rPr>
          <w:rFonts w:ascii="Arial" w:cs="Arial" w:eastAsia="Arial" w:hAnsi="Arial"/>
          <w:sz w:val="16"/>
          <w:szCs w:val="16"/>
          <w:color w:val="auto"/>
        </w:rPr>
      </w:pPr>
    </w:p>
    <w:p>
      <w:pPr>
        <w:ind w:left="440" w:right="320" w:hanging="324"/>
        <w:spacing w:after="0" w:line="268" w:lineRule="auto"/>
        <w:tabs>
          <w:tab w:leader="none" w:pos="4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description of the portion of the award that will be forfeited and the portion that will remain eligible to be earned in accordance with the vesting</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 below based on specified levels of performance less than 100% of the performance threshold</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Award Shares that remain eligible to be earned after the ECC determines the extent to which the Performance Threshold has been achieved (Eligible Shares) will vest and become nonforfeitable in equal annual installments on the vesting dates set forth in the vesting schedule below.</w:t>
      </w:r>
    </w:p>
    <w:p>
      <w:pPr>
        <w:spacing w:after="0" w:line="184" w:lineRule="exact"/>
        <w:rPr>
          <w:sz w:val="20"/>
          <w:szCs w:val="20"/>
          <w:color w:val="auto"/>
        </w:rPr>
      </w:pPr>
    </w:p>
    <w:tbl>
      <w:tblPr>
        <w:tblLayout w:type="fixed"/>
        <w:tblInd w:w="1820" w:type="dxa"/>
        <w:tblCellMar>
          <w:top w:w="0" w:type="dxa"/>
          <w:left w:w="0" w:type="dxa"/>
          <w:bottom w:w="0" w:type="dxa"/>
          <w:right w:w="0" w:type="dxa"/>
        </w:tblCellMar>
      </w:tblPr>
      <w:tr>
        <w:trPr>
          <w:trHeight w:val="223"/>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of Eligible Shares</w:t>
            </w:r>
          </w:p>
        </w:tc>
        <w:tc>
          <w:tcPr>
            <w:tcW w:w="388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Vesting Date</w:t>
            </w:r>
          </w:p>
        </w:tc>
      </w:tr>
      <w:tr>
        <w:trPr>
          <w:trHeight w:val="202"/>
        </w:trPr>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88"/>
              </w:rPr>
              <w:t>20%</w:t>
            </w:r>
          </w:p>
        </w:tc>
        <w:tc>
          <w:tcPr>
            <w:tcW w:w="388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88"/>
              </w:rPr>
              <w:t>12/__/20__</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554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12/__/20__</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554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12/__/20__</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554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12/__/20__</w:t>
            </w:r>
          </w:p>
        </w:tc>
      </w:tr>
      <w:tr>
        <w:trPr>
          <w:trHeight w:val="222"/>
        </w:trPr>
        <w:tc>
          <w:tcPr>
            <w:tcW w:w="22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5540" w:type="dxa"/>
            <w:vAlign w:val="bottom"/>
            <w:gridSpan w:val="2"/>
          </w:tcPr>
          <w:p>
            <w:pPr>
              <w:jc w:val="center"/>
              <w:ind w:left="3812"/>
              <w:spacing w:after="0"/>
              <w:rPr>
                <w:sz w:val="20"/>
                <w:szCs w:val="20"/>
                <w:color w:val="auto"/>
              </w:rPr>
            </w:pPr>
            <w:r>
              <w:rPr>
                <w:rFonts w:ascii="Arial" w:cs="Arial" w:eastAsia="Arial" w:hAnsi="Arial"/>
                <w:sz w:val="18"/>
                <w:szCs w:val="18"/>
                <w:color w:val="auto"/>
                <w:w w:val="88"/>
              </w:rPr>
              <w:t>12/__/20__</w:t>
            </w: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Award Shares.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accept this grant you must, </w:t>
      </w:r>
      <w:r>
        <w:rPr>
          <w:rFonts w:ascii="Arial" w:cs="Arial" w:eastAsia="Arial" w:hAnsi="Arial"/>
          <w:sz w:val="16"/>
          <w:szCs w:val="16"/>
          <w:b w:val="1"/>
          <w:bCs w:val="1"/>
          <w:color w:val="auto"/>
        </w:rPr>
        <w:t>on or after ______________</w:t>
      </w:r>
      <w:r>
        <w:rPr>
          <w:rFonts w:ascii="Arial" w:cs="Arial" w:eastAsia="Arial" w:hAnsi="Arial"/>
          <w:sz w:val="16"/>
          <w:szCs w:val="16"/>
          <w:color w:val="auto"/>
        </w:rPr>
        <w:t>, access the T. Rowe Price Exchange Web site and select myTRP &gt;Compensation, Payroll &amp;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Stock&gt;Employee Stock Transactions – TRPG Stock&gt;Equity Awards&gt;Equity</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155" w:name="page156"/>
    <w:bookmarkEnd w:id="155"/>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6"/>
          <w:szCs w:val="16"/>
          <w:b w:val="1"/>
          <w:bCs w:val="1"/>
          <w:color w:val="auto"/>
        </w:rPr>
        <w:t>You must accept this grant by no later than _______________</w:t>
      </w:r>
      <w:r>
        <w:rPr>
          <w:rFonts w:ascii="Arial" w:cs="Arial" w:eastAsia="Arial" w:hAnsi="Arial"/>
          <w:sz w:val="16"/>
          <w:szCs w:val="16"/>
          <w:color w:val="auto"/>
        </w:rPr>
        <w:t>.</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00"/>
          </w:cols>
          <w:pgMar w:left="240" w:top="280" w:right="2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Notice of Grant of</w:t>
            </w:r>
          </w:p>
        </w:tc>
        <w:tc>
          <w:tcPr>
            <w:tcW w:w="8060" w:type="dxa"/>
            <w:vAlign w:val="bottom"/>
          </w:tcPr>
          <w:p>
            <w:pPr>
              <w:ind w:left="3500"/>
              <w:spacing w:after="0"/>
              <w:rPr>
                <w:sz w:val="20"/>
                <w:szCs w:val="20"/>
                <w:color w:val="auto"/>
              </w:rPr>
            </w:pPr>
            <w:r>
              <w:rPr>
                <w:rFonts w:ascii="Arial" w:cs="Arial" w:eastAsia="Arial" w:hAnsi="Arial"/>
                <w:sz w:val="18"/>
                <w:szCs w:val="18"/>
                <w:b w:val="1"/>
                <w:bCs w:val="1"/>
                <w:color w:val="auto"/>
              </w:rPr>
              <w:t>T. Rowe Price Group, Inc.</w:t>
            </w:r>
          </w:p>
        </w:tc>
      </w:tr>
      <w:tr>
        <w:trPr>
          <w:trHeight w:val="222"/>
        </w:trPr>
        <w:tc>
          <w:tcPr>
            <w:tcW w:w="3360" w:type="dxa"/>
            <w:vAlign w:val="bottom"/>
          </w:tcPr>
          <w:p>
            <w:pPr>
              <w:spacing w:after="0"/>
              <w:rPr>
                <w:sz w:val="20"/>
                <w:szCs w:val="20"/>
                <w:color w:val="auto"/>
              </w:rPr>
            </w:pPr>
            <w:r>
              <w:rPr>
                <w:rFonts w:ascii="Arial" w:cs="Arial" w:eastAsia="Arial" w:hAnsi="Arial"/>
                <w:sz w:val="18"/>
                <w:szCs w:val="18"/>
                <w:b w:val="1"/>
                <w:bCs w:val="1"/>
                <w:color w:val="auto"/>
              </w:rPr>
              <w:t>Restricted Stock Award</w:t>
            </w:r>
          </w:p>
        </w:tc>
        <w:tc>
          <w:tcPr>
            <w:tcW w:w="8060" w:type="dxa"/>
            <w:vAlign w:val="bottom"/>
          </w:tcPr>
          <w:p>
            <w:pPr>
              <w:ind w:left="3500"/>
              <w:spacing w:after="0"/>
              <w:rPr>
                <w:sz w:val="20"/>
                <w:szCs w:val="20"/>
                <w:color w:val="auto"/>
              </w:rPr>
            </w:pPr>
            <w:r>
              <w:rPr>
                <w:rFonts w:ascii="Arial" w:cs="Arial" w:eastAsia="Arial" w:hAnsi="Arial"/>
                <w:sz w:val="18"/>
                <w:szCs w:val="18"/>
                <w:color w:val="auto"/>
              </w:rPr>
              <w:t>ID: 52-2264646</w:t>
            </w:r>
          </w:p>
        </w:tc>
      </w:tr>
      <w:tr>
        <w:trPr>
          <w:trHeight w:val="216"/>
        </w:trPr>
        <w:tc>
          <w:tcPr>
            <w:tcW w:w="3360" w:type="dxa"/>
            <w:vAlign w:val="bottom"/>
          </w:tcPr>
          <w:p>
            <w:pPr>
              <w:spacing w:after="0"/>
              <w:rPr>
                <w:sz w:val="18"/>
                <w:szCs w:val="18"/>
                <w:color w:val="auto"/>
              </w:rPr>
            </w:pPr>
          </w:p>
        </w:tc>
        <w:tc>
          <w:tcPr>
            <w:tcW w:w="8060" w:type="dxa"/>
            <w:vAlign w:val="bottom"/>
          </w:tcPr>
          <w:p>
            <w:pPr>
              <w:ind w:left="3500"/>
              <w:spacing w:after="0"/>
              <w:rPr>
                <w:sz w:val="20"/>
                <w:szCs w:val="20"/>
                <w:color w:val="auto"/>
              </w:rPr>
            </w:pPr>
            <w:r>
              <w:rPr>
                <w:rFonts w:ascii="Arial" w:cs="Arial" w:eastAsia="Arial" w:hAnsi="Arial"/>
                <w:sz w:val="18"/>
                <w:szCs w:val="18"/>
                <w:color w:val="auto"/>
              </w:rPr>
              <w:t>100 E. Pratt Street</w:t>
            </w:r>
          </w:p>
        </w:tc>
      </w:tr>
      <w:tr>
        <w:trPr>
          <w:trHeight w:val="222"/>
        </w:trPr>
        <w:tc>
          <w:tcPr>
            <w:tcW w:w="3360" w:type="dxa"/>
            <w:vAlign w:val="bottom"/>
          </w:tcPr>
          <w:p>
            <w:pPr>
              <w:spacing w:after="0"/>
              <w:rPr>
                <w:sz w:val="19"/>
                <w:szCs w:val="19"/>
                <w:color w:val="auto"/>
              </w:rPr>
            </w:pPr>
          </w:p>
        </w:tc>
        <w:tc>
          <w:tcPr>
            <w:tcW w:w="8060" w:type="dxa"/>
            <w:vAlign w:val="bottom"/>
          </w:tcPr>
          <w:p>
            <w:pPr>
              <w:ind w:left="3500"/>
              <w:spacing w:after="0"/>
              <w:rPr>
                <w:sz w:val="20"/>
                <w:szCs w:val="20"/>
                <w:color w:val="auto"/>
              </w:rPr>
            </w:pPr>
            <w:r>
              <w:rPr>
                <w:rFonts w:ascii="Arial" w:cs="Arial" w:eastAsia="Arial" w:hAnsi="Arial"/>
                <w:sz w:val="18"/>
                <w:szCs w:val="18"/>
                <w:color w:val="auto"/>
              </w:rPr>
              <w:t>Baltimore, MD 21202 USA</w:t>
            </w:r>
          </w:p>
        </w:tc>
      </w:tr>
      <w:tr>
        <w:trPr>
          <w:trHeight w:val="117"/>
        </w:trPr>
        <w:tc>
          <w:tcPr>
            <w:tcW w:w="3360" w:type="dxa"/>
            <w:vAlign w:val="bottom"/>
            <w:tcBorders>
              <w:bottom w:val="single" w:sz="8" w:color="auto"/>
            </w:tcBorders>
          </w:tcPr>
          <w:p>
            <w:pPr>
              <w:spacing w:after="0"/>
              <w:rPr>
                <w:sz w:val="10"/>
                <w:szCs w:val="10"/>
                <w:color w:val="auto"/>
              </w:rPr>
            </w:pPr>
          </w:p>
        </w:tc>
        <w:tc>
          <w:tcPr>
            <w:tcW w:w="8060" w:type="dxa"/>
            <w:vAlign w:val="bottom"/>
            <w:tcBorders>
              <w:bottom w:val="single" w:sz="8" w:color="auto"/>
            </w:tcBorders>
          </w:tcPr>
          <w:p>
            <w:pPr>
              <w:spacing w:after="0"/>
              <w:rPr>
                <w:sz w:val="10"/>
                <w:szCs w:val="10"/>
                <w:color w:val="auto"/>
              </w:rPr>
            </w:pPr>
          </w:p>
        </w:tc>
      </w:tr>
      <w:tr>
        <w:trPr>
          <w:trHeight w:val="310"/>
        </w:trPr>
        <w:tc>
          <w:tcPr>
            <w:tcW w:w="3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Award Number:</w:t>
            </w: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ID:</w:t>
            </w:r>
          </w:p>
        </w:tc>
      </w:tr>
      <w:tr>
        <w:trPr>
          <w:trHeight w:val="228"/>
        </w:trPr>
        <w:tc>
          <w:tcPr>
            <w:tcW w:w="3360" w:type="dxa"/>
            <w:vAlign w:val="bottom"/>
          </w:tcPr>
          <w:p>
            <w:pPr>
              <w:spacing w:after="0"/>
              <w:rPr>
                <w:sz w:val="19"/>
                <w:szCs w:val="19"/>
                <w:color w:val="auto"/>
              </w:rPr>
            </w:pPr>
          </w:p>
        </w:tc>
        <w:tc>
          <w:tcPr>
            <w:tcW w:w="8060" w:type="dxa"/>
            <w:vAlign w:val="bottom"/>
          </w:tcPr>
          <w:p>
            <w:pPr>
              <w:ind w:left="1560"/>
              <w:spacing w:after="0"/>
              <w:rPr>
                <w:sz w:val="20"/>
                <w:szCs w:val="20"/>
                <w:color w:val="auto"/>
              </w:rPr>
            </w:pPr>
            <w:r>
              <w:rPr>
                <w:rFonts w:ascii="Arial" w:cs="Arial" w:eastAsia="Arial" w:hAnsi="Arial"/>
                <w:sz w:val="18"/>
                <w:szCs w:val="18"/>
                <w:b w:val="1"/>
                <w:bCs w:val="1"/>
                <w:color w:val="auto"/>
              </w:rPr>
              <w:t>Plan:</w:t>
            </w:r>
          </w:p>
        </w:tc>
      </w:tr>
      <w:tr>
        <w:trPr>
          <w:trHeight w:val="131"/>
        </w:trPr>
        <w:tc>
          <w:tcPr>
            <w:tcW w:w="3360" w:type="dxa"/>
            <w:vAlign w:val="bottom"/>
            <w:tcBorders>
              <w:bottom w:val="single" w:sz="8" w:color="auto"/>
            </w:tcBorders>
          </w:tcPr>
          <w:p>
            <w:pPr>
              <w:spacing w:after="0"/>
              <w:rPr>
                <w:sz w:val="11"/>
                <w:szCs w:val="11"/>
                <w:color w:val="auto"/>
              </w:rPr>
            </w:pPr>
          </w:p>
        </w:tc>
        <w:tc>
          <w:tcPr>
            <w:tcW w:w="8060" w:type="dxa"/>
            <w:vAlign w:val="bottom"/>
            <w:tcBorders>
              <w:bottom w:val="single" w:sz="8" w:color="auto"/>
            </w:tcBorders>
          </w:tcPr>
          <w:p>
            <w:pPr>
              <w:spacing w:after="0"/>
              <w:rPr>
                <w:sz w:val="11"/>
                <w:szCs w:val="1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On _____________, 20__ (the Grant Date), T. Rowe Price Group, Inc. (Price Group) granted you _________ shares of Price Group common stock (the Award</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Shares) as a service-based restricted stock award under Price Group’s [2004 Stock][2012 Long-Term] Incentive Plan. The closing price of Price Group common stock on the Grant Date was $___ per share. Until they have been earned and vested, the Award Shares will be subject to restriction, as described in the Statement of Additional Terms Regarding Awards of Restricted Stock (</w:t>
      </w:r>
      <w:r>
        <w:rPr>
          <w:rFonts w:ascii="Arial" w:cs="Arial" w:eastAsia="Arial" w:hAnsi="Arial"/>
          <w:sz w:val="18"/>
          <w:szCs w:val="18"/>
          <w:i w:val="1"/>
          <w:iCs w:val="1"/>
          <w:color w:val="auto"/>
        </w:rPr>
        <w:t>version 1A</w:t>
      </w:r>
      <w:r>
        <w:rPr>
          <w:rFonts w:ascii="Arial" w:cs="Arial" w:eastAsia="Arial" w:hAnsi="Arial"/>
          <w:sz w:val="18"/>
          <w:szCs w:val="18"/>
          <w:color w:val="auto"/>
        </w:rPr>
        <w:t>) (the Statement of Additional Terms) which sets forth the terms and conditions of this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Except as otherwise provided in the Statement of Additional Terms, so long as your employment with Price Group and/or its affiliates is continuous from the Grant Date through the applicable date upon which vesting is scheduled to occur, the Award Shares will vest and become nonforfeitable in installments on the vesting dates set forth in the vesting schedule below.</w:t>
      </w:r>
    </w:p>
    <w:p>
      <w:pPr>
        <w:spacing w:after="0" w:line="181" w:lineRule="exact"/>
        <w:rPr>
          <w:sz w:val="20"/>
          <w:szCs w:val="20"/>
          <w:color w:val="auto"/>
        </w:rPr>
      </w:pPr>
    </w:p>
    <w:tbl>
      <w:tblPr>
        <w:tblLayout w:type="fixed"/>
        <w:tblInd w:w="1880" w:type="dxa"/>
        <w:tblCellMar>
          <w:top w:w="0" w:type="dxa"/>
          <w:left w:w="0" w:type="dxa"/>
          <w:bottom w:w="0" w:type="dxa"/>
          <w:right w:w="0" w:type="dxa"/>
        </w:tblCellMar>
      </w:tblPr>
      <w:tr>
        <w:trPr>
          <w:trHeight w:val="223"/>
        </w:trPr>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of Award Shares</w:t>
            </w:r>
          </w:p>
        </w:tc>
        <w:tc>
          <w:tcPr>
            <w:tcW w:w="394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Vesting Date</w:t>
            </w:r>
          </w:p>
        </w:tc>
      </w:tr>
      <w:tr>
        <w:trPr>
          <w:trHeight w:val="202"/>
        </w:trPr>
        <w:tc>
          <w:tcPr>
            <w:tcW w:w="20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88"/>
              </w:rPr>
              <w:t>12/__/20__</w:t>
            </w:r>
          </w:p>
        </w:tc>
      </w:tr>
      <w:tr>
        <w:trPr>
          <w:trHeight w:val="216"/>
        </w:trPr>
        <w:tc>
          <w:tcPr>
            <w:tcW w:w="2080" w:type="dxa"/>
            <w:vAlign w:val="bottom"/>
          </w:tcPr>
          <w:p>
            <w:pPr>
              <w:spacing w:after="0"/>
              <w:rPr>
                <w:sz w:val="18"/>
                <w:szCs w:val="18"/>
                <w:color w:val="auto"/>
              </w:rPr>
            </w:pPr>
          </w:p>
        </w:tc>
        <w:tc>
          <w:tcPr>
            <w:tcW w:w="5600" w:type="dxa"/>
            <w:vAlign w:val="bottom"/>
            <w:gridSpan w:val="2"/>
          </w:tcPr>
          <w:p>
            <w:pPr>
              <w:jc w:val="center"/>
              <w:ind w:left="3872"/>
              <w:spacing w:after="0"/>
              <w:rPr>
                <w:sz w:val="20"/>
                <w:szCs w:val="20"/>
                <w:color w:val="auto"/>
              </w:rPr>
            </w:pPr>
            <w:r>
              <w:rPr>
                <w:rFonts w:ascii="Arial" w:cs="Arial" w:eastAsia="Arial" w:hAnsi="Arial"/>
                <w:sz w:val="18"/>
                <w:szCs w:val="18"/>
                <w:color w:val="auto"/>
                <w:w w:val="88"/>
              </w:rPr>
              <w:t>12/__/20__</w:t>
            </w:r>
          </w:p>
        </w:tc>
      </w:tr>
      <w:tr>
        <w:trPr>
          <w:trHeight w:val="216"/>
        </w:trPr>
        <w:tc>
          <w:tcPr>
            <w:tcW w:w="2080" w:type="dxa"/>
            <w:vAlign w:val="bottom"/>
          </w:tcPr>
          <w:p>
            <w:pPr>
              <w:spacing w:after="0"/>
              <w:rPr>
                <w:sz w:val="18"/>
                <w:szCs w:val="18"/>
                <w:color w:val="auto"/>
              </w:rPr>
            </w:pPr>
          </w:p>
        </w:tc>
        <w:tc>
          <w:tcPr>
            <w:tcW w:w="5600" w:type="dxa"/>
            <w:vAlign w:val="bottom"/>
            <w:gridSpan w:val="2"/>
          </w:tcPr>
          <w:p>
            <w:pPr>
              <w:jc w:val="center"/>
              <w:ind w:left="3872"/>
              <w:spacing w:after="0"/>
              <w:rPr>
                <w:sz w:val="20"/>
                <w:szCs w:val="20"/>
                <w:color w:val="auto"/>
              </w:rPr>
            </w:pPr>
            <w:r>
              <w:rPr>
                <w:rFonts w:ascii="Arial" w:cs="Arial" w:eastAsia="Arial" w:hAnsi="Arial"/>
                <w:sz w:val="18"/>
                <w:szCs w:val="18"/>
                <w:color w:val="auto"/>
                <w:w w:val="88"/>
              </w:rPr>
              <w:t>12/__/20__</w:t>
            </w:r>
          </w:p>
        </w:tc>
      </w:tr>
      <w:tr>
        <w:trPr>
          <w:trHeight w:val="216"/>
        </w:trPr>
        <w:tc>
          <w:tcPr>
            <w:tcW w:w="2080" w:type="dxa"/>
            <w:vAlign w:val="bottom"/>
          </w:tcPr>
          <w:p>
            <w:pPr>
              <w:spacing w:after="0"/>
              <w:rPr>
                <w:sz w:val="18"/>
                <w:szCs w:val="18"/>
                <w:color w:val="auto"/>
              </w:rPr>
            </w:pPr>
          </w:p>
        </w:tc>
        <w:tc>
          <w:tcPr>
            <w:tcW w:w="5600" w:type="dxa"/>
            <w:vAlign w:val="bottom"/>
            <w:gridSpan w:val="2"/>
          </w:tcPr>
          <w:p>
            <w:pPr>
              <w:jc w:val="center"/>
              <w:ind w:left="3872"/>
              <w:spacing w:after="0"/>
              <w:rPr>
                <w:sz w:val="20"/>
                <w:szCs w:val="20"/>
                <w:color w:val="auto"/>
              </w:rPr>
            </w:pPr>
            <w:r>
              <w:rPr>
                <w:rFonts w:ascii="Arial" w:cs="Arial" w:eastAsia="Arial" w:hAnsi="Arial"/>
                <w:sz w:val="18"/>
                <w:szCs w:val="18"/>
                <w:color w:val="auto"/>
                <w:w w:val="88"/>
              </w:rPr>
              <w:t>12/__/20__</w:t>
            </w:r>
          </w:p>
        </w:tc>
      </w:tr>
      <w:tr>
        <w:trPr>
          <w:trHeight w:val="222"/>
        </w:trPr>
        <w:tc>
          <w:tcPr>
            <w:tcW w:w="2080" w:type="dxa"/>
            <w:vAlign w:val="bottom"/>
          </w:tcPr>
          <w:p>
            <w:pPr>
              <w:spacing w:after="0"/>
              <w:rPr>
                <w:sz w:val="19"/>
                <w:szCs w:val="19"/>
                <w:color w:val="auto"/>
              </w:rPr>
            </w:pPr>
          </w:p>
        </w:tc>
        <w:tc>
          <w:tcPr>
            <w:tcW w:w="5600" w:type="dxa"/>
            <w:vAlign w:val="bottom"/>
            <w:gridSpan w:val="2"/>
          </w:tcPr>
          <w:p>
            <w:pPr>
              <w:jc w:val="center"/>
              <w:ind w:left="3872"/>
              <w:spacing w:after="0"/>
              <w:rPr>
                <w:sz w:val="20"/>
                <w:szCs w:val="20"/>
                <w:color w:val="auto"/>
              </w:rPr>
            </w:pPr>
            <w:r>
              <w:rPr>
                <w:rFonts w:ascii="Arial" w:cs="Arial" w:eastAsia="Arial" w:hAnsi="Arial"/>
                <w:sz w:val="18"/>
                <w:szCs w:val="18"/>
                <w:color w:val="auto"/>
                <w:w w:val="88"/>
              </w:rPr>
              <w:t>12/__/20__</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Statement of Additional Terms describes additional circumstances under which you may earn the Award Shares.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Your participation in our stock-based compensation program recognizes that you play a key role in the long-term success of Price Group and affords you the opportunity to participate alongside our other stockholders in that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CEO &amp; President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accept this grant you must, </w:t>
      </w:r>
      <w:r>
        <w:rPr>
          <w:rFonts w:ascii="Arial" w:cs="Arial" w:eastAsia="Arial" w:hAnsi="Arial"/>
          <w:sz w:val="16"/>
          <w:szCs w:val="16"/>
          <w:b w:val="1"/>
          <w:bCs w:val="1"/>
          <w:color w:val="auto"/>
        </w:rPr>
        <w:t>on or after ______________</w:t>
      </w:r>
      <w:r>
        <w:rPr>
          <w:rFonts w:ascii="Arial" w:cs="Arial" w:eastAsia="Arial" w:hAnsi="Arial"/>
          <w:sz w:val="16"/>
          <w:szCs w:val="16"/>
          <w:color w:val="auto"/>
        </w:rPr>
        <w:t>, access the T. Rowe Price Exchange Web site and select myTRP &gt;Compensation, Payroll &amp;</w:t>
      </w:r>
    </w:p>
    <w:p>
      <w:pPr>
        <w:spacing w:after="0" w:line="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Stock&gt;Employee Stock Transactions – TRPG Stock&gt;Equity Awards&gt;Equity Award Information (Express Desktop) or go to https://home2.troweprice.com/tsso/tssoweb/SSOServlet. After signing in using your T. Rowe Price network logon and password, you will be in Express Desktop. Click on Grant History under the type of award you received and accept the appropriate award(s) by selecting the Pending link in the Status column. </w:t>
      </w:r>
      <w:r>
        <w:rPr>
          <w:rFonts w:ascii="Arial" w:cs="Arial" w:eastAsia="Arial" w:hAnsi="Arial"/>
          <w:sz w:val="18"/>
          <w:szCs w:val="18"/>
          <w:b w:val="1"/>
          <w:bCs w:val="1"/>
          <w:color w:val="auto"/>
        </w:rPr>
        <w:t>You must</w:t>
      </w:r>
      <w:r>
        <w:rPr>
          <w:rFonts w:ascii="Arial" w:cs="Arial" w:eastAsia="Arial" w:hAnsi="Arial"/>
          <w:sz w:val="18"/>
          <w:szCs w:val="18"/>
          <w:color w:val="auto"/>
        </w:rPr>
        <w:t xml:space="preserve"> </w:t>
      </w:r>
      <w:r>
        <w:rPr>
          <w:rFonts w:ascii="Arial" w:cs="Arial" w:eastAsia="Arial" w:hAnsi="Arial"/>
          <w:sz w:val="18"/>
          <w:szCs w:val="18"/>
          <w:b w:val="1"/>
          <w:bCs w:val="1"/>
          <w:color w:val="auto"/>
        </w:rPr>
        <w:t>accept this grant by no later than _______________</w:t>
      </w:r>
      <w:r>
        <w:rPr>
          <w:rFonts w:ascii="Arial" w:cs="Arial" w:eastAsia="Arial" w:hAnsi="Arial"/>
          <w:sz w:val="18"/>
          <w:szCs w:val="18"/>
          <w:color w:val="auto"/>
        </w:rPr>
        <w:t>.</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By accepting the grant online, you acknowledge that you have been provided, have read and agree to be bound by the terms of the Statement of Additional Terms under which this grant has been made and the prospectus for the [2004 Stock][2012 Long-Term] Incentive Plan, both of which are available on the Express Desktop. You also consent to the electronic delivery, via email, posting on Price Group’s Web site, Express Desktop or the Web site of any third party vendor that provides stock plan administrative services to Price Group, of this Notice, the Statement of Additional Terms and all future notices or other information with respect to this grant, the [2004 Stock][2012 Long-Term] Incentive Plan, and the common shares of Price Group.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ectPr>
          <w:pgSz w:w="11900" w:h="16838" w:orient="portrait"/>
          <w:cols w:equalWidth="0" w:num="1">
            <w:col w:w="11420"/>
          </w:cols>
          <w:pgMar w:left="240" w:top="449"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 R</w:t>
      </w:r>
      <w:r>
        <w:rPr>
          <w:rFonts w:ascii="Arial" w:cs="Arial" w:eastAsia="Arial" w:hAnsi="Arial"/>
          <w:sz w:val="14"/>
          <w:szCs w:val="14"/>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[2004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][2012 L</w:t>
      </w:r>
      <w:r>
        <w:rPr>
          <w:rFonts w:ascii="Arial" w:cs="Arial" w:eastAsia="Arial" w:hAnsi="Arial"/>
          <w:sz w:val="14"/>
          <w:szCs w:val="14"/>
          <w:b w:val="1"/>
          <w:bCs w:val="1"/>
          <w:color w:val="auto"/>
        </w:rPr>
        <w:t>ONG</w:t>
      </w: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ADDITIONAL TERMS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AWARDS OF RESTRICTED STOCK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(version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Statement of Additional Terms Regarding Awards of Restricted Stock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T. Rowe Price Group, Inc. [2004 Stock][2012 Long-Term]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your restricted stock award, the specifics of which are described on the “Notice of Grant of Restricted Stock Award”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you received. Once you have accepted the Notice in accordance with the instructions set forth thereon, the Terms, the Plan and the Notice, together, constitute a binding and enforceable contract respecting your restricted stock award.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3" w:lineRule="exact"/>
        <w:rPr>
          <w:sz w:val="20"/>
          <w:szCs w:val="20"/>
          <w:color w:val="auto"/>
        </w:rPr>
      </w:pPr>
    </w:p>
    <w:p>
      <w:pPr>
        <w:ind w:right="180" w:firstLine="464"/>
        <w:spacing w:after="0" w:line="268" w:lineRule="auto"/>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and phrases used in these Terms are defined in the Glossary at the end of this document or the first place such word or phrase appears in this document.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59" w:lineRule="auto"/>
        <w:tabs>
          <w:tab w:leader="none" w:pos="115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Vested Status upon Grant Date</w:t>
      </w:r>
      <w:r>
        <w:rPr>
          <w:rFonts w:ascii="Arial" w:cs="Arial" w:eastAsia="Arial" w:hAnsi="Arial"/>
          <w:sz w:val="18"/>
          <w:szCs w:val="18"/>
          <w:color w:val="auto"/>
        </w:rPr>
        <w:t>. All of the Award Shares are nonvested and forfeitable as of the Grant Date. For clarity, as used in this Agreement, the term “vest” means that the transfer restrictions on, and risks of forfeiture of, the Award Share lapse and no longer apply to such Award Share (other than as provided under Section 14 – Recoupment).</w:t>
      </w:r>
    </w:p>
    <w:p>
      <w:pPr>
        <w:spacing w:after="0" w:line="59" w:lineRule="exact"/>
        <w:rPr>
          <w:rFonts w:ascii="Arial" w:cs="Arial" w:eastAsia="Arial" w:hAnsi="Arial"/>
          <w:sz w:val="18"/>
          <w:szCs w:val="18"/>
          <w:color w:val="auto"/>
        </w:rPr>
      </w:pPr>
    </w:p>
    <w:p>
      <w:pPr>
        <w:ind w:firstLine="921"/>
        <w:spacing w:after="0" w:line="286" w:lineRule="auto"/>
        <w:tabs>
          <w:tab w:leader="none" w:pos="1161"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 So long as your Service is continuous from the Grant Date through the applicable date upon which vesting is scheduled to occur and all other conditions for earning the Award Shares as set forth in the Notice have been satisfied, the Award Shares will become vested and nonforfeitable on the vesting dates set forth in the correlating Notice. If the Notice indicates that your restricted stock award is a Qualified Performance-Based Award, then in no event will vesting under this Section 2(b) occur before the Executive Compensation Committee has certified in writing the extent to which the applicable Performance Threshold has been satisfied. If the Notice reflects that your restricted stock award is subject to satisfaction of a Performance Threshold then, to the extent that satisfaction of the Performance Threshold is determined based on information reported by a Peer Company in financial statements filed with the Securities and Exchange Commission or information otherwise disclosed by a Peer Company in a press release, such a determination shall be final and conclusive and no adjustment thereafter shall be made to the number of Award Shares eligible to vest in the event that a Peer Company thereafter files or discloses restated or updated financial information. To the extent that satisfaction of the Performance Threshold is to be determined based on information reported by Peer Companies, any Peer Company that has not filed financial statements with the Securities and Exchange Commission or otherwise disclosed in a press release the relevant financial information for the Performance Period within 45 days after the end of the Performance Period in question, will not be considered a Peer Company for purposes of the determination. To the extent that satisfaction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58" w:name="page159"/>
    <w:bookmarkEnd w:id="158"/>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Performance Threshold is to be determined based on financial information reported for a specified period ending on the close of a calendar quarter and a Peer Company reports its relevant financial information over a fiscal period that does not end on the close of a calendar quarter, the Committee shall use the financial information reported by such Peer Company that most closely correlates to the duration of the Performance Period as reported before the close of the Performance Period. For example, if the Performance Period is the 12-month period that ends December 31, 2012, and a Peer Company’s fiscal year ends on October 31, 2012, then for purposes of calculating the Performance Threshold and the extent to which such Performance Threshold has been satisfied, the relevant financial information for the 12-month period that ends October 31, 2012 will be used for such Peer Company.</w:t>
      </w:r>
    </w:p>
    <w:p>
      <w:pPr>
        <w:spacing w:after="0" w:line="39" w:lineRule="exact"/>
        <w:rPr>
          <w:sz w:val="20"/>
          <w:szCs w:val="20"/>
          <w:color w:val="auto"/>
        </w:rPr>
      </w:pPr>
    </w:p>
    <w:p>
      <w:pPr>
        <w:ind w:right="900" w:firstLine="921"/>
        <w:spacing w:after="0" w:line="268" w:lineRule="auto"/>
        <w:tabs>
          <w:tab w:leader="none" w:pos="115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Vesting upon Death or Disability</w:t>
      </w:r>
      <w:r>
        <w:rPr>
          <w:rFonts w:ascii="Arial" w:cs="Arial" w:eastAsia="Arial" w:hAnsi="Arial"/>
          <w:sz w:val="18"/>
          <w:szCs w:val="18"/>
          <w:color w:val="auto"/>
        </w:rPr>
        <w:t>. All Award Shares that have not already vested or been previously forfeited will become vested and nonforfeitable upon your death or Termination of Service due to your Total and Permanent Disability.</w:t>
      </w:r>
    </w:p>
    <w:p>
      <w:pPr>
        <w:spacing w:after="0" w:line="50" w:lineRule="exact"/>
        <w:rPr>
          <w:rFonts w:ascii="Arial" w:cs="Arial" w:eastAsia="Arial" w:hAnsi="Arial"/>
          <w:sz w:val="18"/>
          <w:szCs w:val="18"/>
          <w:color w:val="auto"/>
        </w:rPr>
      </w:pPr>
    </w:p>
    <w:p>
      <w:pPr>
        <w:ind w:firstLine="921"/>
        <w:spacing w:after="0" w:line="290" w:lineRule="auto"/>
        <w:tabs>
          <w:tab w:leader="none" w:pos="1161"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Double-trigger Vesting</w:t>
      </w:r>
      <w:r>
        <w:rPr>
          <w:rFonts w:ascii="Arial" w:cs="Arial" w:eastAsia="Arial" w:hAnsi="Arial"/>
          <w:sz w:val="16"/>
          <w:szCs w:val="16"/>
          <w:color w:val="auto"/>
        </w:rPr>
        <w:t xml:space="preserve">. If, coincident with or during the 18-month period following the effective date of a Change in Control, your Service is terminated either (i) by the Company or a successor to the Company, other than for Cause, Total and Permanent Disability or death or (ii) by you for Good Reason, then all Award Shares that have not already vested or been previously forfeited or cancelled in connection with the Change in Control will become vested and nonforfeitable upon such Termination of Service. </w:t>
      </w:r>
      <w:r>
        <w:rPr>
          <w:rFonts w:ascii="Arial" w:cs="Arial" w:eastAsia="Arial" w:hAnsi="Arial"/>
          <w:sz w:val="16"/>
          <w:szCs w:val="16"/>
          <w:b w:val="1"/>
          <w:bCs w:val="1"/>
          <w:i w:val="1"/>
          <w:iCs w:val="1"/>
          <w:color w:val="auto"/>
        </w:rPr>
        <w:t>[Include the following for Award Shares granted under the 2004 Stock Incentive Plan:</w:t>
      </w:r>
      <w:r>
        <w:rPr>
          <w:rFonts w:ascii="Arial" w:cs="Arial" w:eastAsia="Arial" w:hAnsi="Arial"/>
          <w:sz w:val="16"/>
          <w:szCs w:val="16"/>
          <w:color w:val="auto"/>
        </w:rPr>
        <w:t xml:space="preserve"> The double-trigger vesting provisions set forth in this paragraph reflect the Committee’s exercise of its discretion to limit accelerated vesting that may otherwise have been contemplated under the provisions of Section 7(c)(ii) of the Plan and the provisions of this paragraph shall apply to the Award Shares in lieu of the provisions of Section 7(c)(ii) of the Plan unless the Committee determines otherwise.</w:t>
      </w:r>
      <w:r>
        <w:rPr>
          <w:rFonts w:ascii="Arial" w:cs="Arial" w:eastAsia="Arial" w:hAnsi="Arial"/>
          <w:sz w:val="16"/>
          <w:szCs w:val="16"/>
          <w:b w:val="1"/>
          <w:bCs w:val="1"/>
          <w:i w:val="1"/>
          <w:iCs w:val="1"/>
          <w:color w:val="auto"/>
        </w:rPr>
        <w:t>]</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Forfeitures Upon Termination of Service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332" w:lineRule="auto"/>
        <w:tabs>
          <w:tab w:leader="none" w:pos="1152"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If your Service ceases for any reason, all Award Shares that are not then vested and nonforfeitable, after giving effect to the applicable provisions of Section 2 above, will be immediately forfeited to the Company upon such cessation for no consideration.</w:t>
      </w:r>
    </w:p>
    <w:p>
      <w:pPr>
        <w:spacing w:after="0" w:line="4" w:lineRule="exact"/>
        <w:rPr>
          <w:rFonts w:ascii="Arial" w:cs="Arial" w:eastAsia="Arial" w:hAnsi="Arial"/>
          <w:sz w:val="16"/>
          <w:szCs w:val="16"/>
          <w:color w:val="auto"/>
        </w:rPr>
      </w:pPr>
    </w:p>
    <w:p>
      <w:pPr>
        <w:ind w:right="340" w:firstLine="921"/>
        <w:spacing w:after="0" w:line="268" w:lineRule="auto"/>
        <w:tabs>
          <w:tab w:leader="none" w:pos="1161"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Forfeiture of Accrued Dividends</w:t>
      </w:r>
      <w:r>
        <w:rPr>
          <w:rFonts w:ascii="Arial" w:cs="Arial" w:eastAsia="Arial" w:hAnsi="Arial"/>
          <w:sz w:val="18"/>
          <w:szCs w:val="18"/>
          <w:color w:val="auto"/>
        </w:rPr>
        <w:t>. Any accrued dividends attributable to forfeited Award Shares shall also be forfeited if and when the Award Shares are forfeited.</w:t>
      </w:r>
    </w:p>
    <w:p>
      <w:pPr>
        <w:spacing w:after="0" w:line="50" w:lineRule="exact"/>
        <w:rPr>
          <w:rFonts w:ascii="Arial" w:cs="Arial" w:eastAsia="Arial" w:hAnsi="Arial"/>
          <w:sz w:val="18"/>
          <w:szCs w:val="18"/>
          <w:color w:val="auto"/>
        </w:rPr>
      </w:pPr>
    </w:p>
    <w:p>
      <w:pPr>
        <w:ind w:right="140" w:firstLine="921"/>
        <w:spacing w:after="0" w:line="289" w:lineRule="auto"/>
        <w:tabs>
          <w:tab w:leader="none" w:pos="1152"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Consequences of Forfeiture</w:t>
      </w:r>
      <w:r>
        <w:rPr>
          <w:rFonts w:ascii="Arial" w:cs="Arial" w:eastAsia="Arial" w:hAnsi="Arial"/>
          <w:sz w:val="16"/>
          <w:szCs w:val="16"/>
          <w:color w:val="auto"/>
        </w:rPr>
        <w:t>. You acknowledge and agree that upon the forfeiture of any unvested Award Shares, (i) your right to vote and to receive cash dividends on, and all other rights, title or interest in, to or with respect to, the forfeited Award Shares shall automatically, without further act, terminate and (ii) the forfeited Award Shares shall be returned to the Company. You hereby irrevocably appoint (which appointment is coupled with an interest) the Committee as your agent and attorney-in-fact to take any necessary or appropriate action to cause the forfeited Award Shares to be returned to the Company, including without limitation executing and delivering stock powers and instruments of transfer, making endorsements and/or making, initiating or issuing instructions or entitlement orders, all in your name and on your behalf. You hereby ratify and approve all acts done by the Committee as such attorney-in-fact. Without limiting the foregoing, you expressly acknowledge and agree that any transfer agent for the Common Stock of the Company is fully authorized and protected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9" w:name="page160"/>
    <w:bookmarkEnd w:id="159"/>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relying on, and shall incur no liability in acting on, any documents, instruments, endorsements, instructions, orders or communications from the Committee in connection with the forfeited Award Shares or the transfer thereof, and that any such transfer agent is a third party beneficiary of this Agreement.</w:t>
      </w:r>
    </w:p>
    <w:p>
      <w:pPr>
        <w:spacing w:after="0" w:line="85" w:lineRule="exact"/>
        <w:rPr>
          <w:sz w:val="20"/>
          <w:szCs w:val="20"/>
          <w:color w:val="auto"/>
        </w:rPr>
      </w:pPr>
    </w:p>
    <w:p>
      <w:pPr>
        <w:ind w:right="60" w:firstLine="464"/>
        <w:spacing w:after="0" w:line="291" w:lineRule="auto"/>
        <w:tabs>
          <w:tab w:leader="none" w:pos="632"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Until an Award Share becomes vested and nonforfeitable, it may not be assigned, transferred, pledged, hypothecated or disposed of in any way (whether by operation of law or otherwise) other than by your last will and testament or the laws of descent and distribution, and shall not be made subject to execution, attachment or similar process. Any attempt to dispose of any such Award Shares in contravention of the restrictions set forth in this paragraph shall be null and void and without effect. The Company shall not be required to (a) transfer on its books any Award Shares that have been sold or transferred in contravention of this Agreement or (b) treat as the owner of Award Shares, or otherwise accord voting, dividend or liquidation rights to, any transferee to whom Award Shares have been transferred in contravention of this Agreement.</w:t>
      </w:r>
    </w:p>
    <w:p>
      <w:pPr>
        <w:spacing w:after="0" w:line="120" w:lineRule="exact"/>
        <w:rPr>
          <w:rFonts w:ascii="Arial" w:cs="Arial" w:eastAsia="Arial" w:hAnsi="Arial"/>
          <w:sz w:val="16"/>
          <w:szCs w:val="16"/>
          <w:color w:val="auto"/>
        </w:rPr>
      </w:pPr>
    </w:p>
    <w:p>
      <w:pPr>
        <w:ind w:firstLine="464"/>
        <w:spacing w:after="0" w:line="254" w:lineRule="auto"/>
        <w:tabs>
          <w:tab w:leader="none" w:pos="632"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You are reflected as the owner of record of the Award Shares as of the Grant Date on the Company’s books. The Company will hold the share certificates for safekeeping, or otherwise retain the Award Shares in uncertificated book entry form, until the Award Shares become vested and nonforfeitable. Until the Award Shares become vested and nonforfeitable, any share certificates representing such shares will include a legend to the effect that you may not sell, assign, transfer, pledge, or hypothecate the Award Shares. Unless you request the Company to deliver a share certificate to you, or deliver shares electronically or in certificate form to your designated broker, bank or nominee on your behalf, the Company will retain the Award Shares in uncertificated book entry form after they become vested.</w:t>
      </w:r>
    </w:p>
    <w:p>
      <w:pPr>
        <w:spacing w:after="0" w:line="144" w:lineRule="exact"/>
        <w:rPr>
          <w:rFonts w:ascii="Arial" w:cs="Arial" w:eastAsia="Arial" w:hAnsi="Arial"/>
          <w:sz w:val="18"/>
          <w:szCs w:val="18"/>
          <w:color w:val="auto"/>
        </w:rPr>
      </w:pPr>
    </w:p>
    <w:p>
      <w:pPr>
        <w:ind w:right="80" w:firstLine="464"/>
        <w:spacing w:after="0" w:line="289" w:lineRule="auto"/>
        <w:tabs>
          <w:tab w:leader="none" w:pos="632"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Cash Dividends on Award Shares</w:t>
      </w:r>
      <w:r>
        <w:rPr>
          <w:rFonts w:ascii="Arial" w:cs="Arial" w:eastAsia="Arial" w:hAnsi="Arial"/>
          <w:sz w:val="16"/>
          <w:szCs w:val="16"/>
          <w:color w:val="auto"/>
        </w:rPr>
        <w:t xml:space="preserve">. All regular cash dividends payable on the Award Shares will be paid directly to you on the dividend payment date regardless of the vested or nonvested status of the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Notice reflects that your restricted stock award is subject to satisfaction of a Performance Threshold then any regular cash dividends that become payable with respect to unvested Award Shares before the Performance Threshold has been determined to have been satisfied will be accrued and held by the Company or an escrow agent appointed by the Committee until a determination has been made by the Executive Compensation Committee as to whether and the extent to which the Performance Threshold has been satisfied. Any such accrued dividends will be paid to you within 14 days after the date on which the Executive Compensation Committee determines that, and the extent to which, the Performance Threshold has been satisfied or will be forfeited to the Company if and when the Award Shares to which they relate are forfeited due to a failure to satisfy the Performance Threshold.</w:t>
      </w:r>
    </w:p>
    <w:p>
      <w:pPr>
        <w:spacing w:after="0" w:line="158" w:lineRule="exact"/>
        <w:rPr>
          <w:rFonts w:ascii="Arial" w:cs="Arial" w:eastAsia="Arial" w:hAnsi="Arial"/>
          <w:sz w:val="16"/>
          <w:szCs w:val="16"/>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40" w:firstLine="921"/>
        <w:spacing w:after="0" w:line="255" w:lineRule="auto"/>
        <w:tabs>
          <w:tab w:leader="none" w:pos="1152" w:val="left"/>
        </w:tabs>
        <w:numPr>
          <w:ilvl w:val="2"/>
          <w:numId w:val="148"/>
        </w:numPr>
        <w:rPr>
          <w:rFonts w:ascii="Arial" w:cs="Arial" w:eastAsia="Arial" w:hAnsi="Arial"/>
          <w:sz w:val="18"/>
          <w:szCs w:val="18"/>
          <w:color w:val="auto"/>
        </w:rPr>
      </w:pPr>
      <w:r>
        <w:rPr>
          <w:rFonts w:ascii="Arial" w:cs="Arial" w:eastAsia="Arial" w:hAnsi="Arial"/>
          <w:sz w:val="18"/>
          <w:szCs w:val="18"/>
          <w:u w:val="single" w:color="auto"/>
          <w:color w:val="auto"/>
        </w:rPr>
        <w:t>General Authority to Withhold</w:t>
      </w:r>
      <w:r>
        <w:rPr>
          <w:rFonts w:ascii="Arial" w:cs="Arial" w:eastAsia="Arial" w:hAnsi="Arial"/>
          <w:sz w:val="18"/>
          <w:szCs w:val="18"/>
          <w:color w:val="auto"/>
        </w:rPr>
        <w:t>. By accepting the Notice correlating with these Terms, you agree to make adequate provision for foreign (non-United States), federal, state and local taxes and social insurance contributions required by law to be withheld, if any, which arise in connection with the grant or vesting of the Award Shares. The Company shall have the right to deduct from any compensation or any other payment of any kind due you (including withholding the issuance or delivery of shares of Common Stock or redeeming Award Shares) the amount of any foreign (non-United States), federal, state or local taxes and social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60" w:name="page161"/>
    <w:bookmarkEnd w:id="16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insurance contributions required by law to be withheld as a result of the grant or vesting of the Award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shares of Common Stock withheld may not exceed, by more than a fractional share, the statutory minimum withholding amount required by law. In lieu of such deduction, the Company may require you to make a cash payment to the Company equal to the amount required to be withheld. If you do not make such payment when requested, the Company may refuse to issue any stock certificate under this Agreement or otherwise release for transfer any such shares until arrangements satisfactory to the Company for such payment have been made.</w:t>
      </w:r>
    </w:p>
    <w:p>
      <w:pPr>
        <w:spacing w:after="0" w:line="35" w:lineRule="exact"/>
        <w:rPr>
          <w:sz w:val="20"/>
          <w:szCs w:val="20"/>
          <w:color w:val="auto"/>
        </w:rPr>
      </w:pPr>
    </w:p>
    <w:p>
      <w:pPr>
        <w:ind w:right="160" w:firstLine="921"/>
        <w:spacing w:after="0" w:line="298" w:lineRule="auto"/>
        <w:tabs>
          <w:tab w:leader="none" w:pos="1161" w:val="left"/>
        </w:tabs>
        <w:numPr>
          <w:ilvl w:val="2"/>
          <w:numId w:val="149"/>
        </w:numPr>
        <w:rPr>
          <w:rFonts w:ascii="Arial" w:cs="Arial" w:eastAsia="Arial" w:hAnsi="Arial"/>
          <w:sz w:val="16"/>
          <w:szCs w:val="16"/>
          <w:color w:val="auto"/>
        </w:rPr>
      </w:pPr>
      <w:r>
        <w:rPr>
          <w:rFonts w:ascii="Arial" w:cs="Arial" w:eastAsia="Arial" w:hAnsi="Arial"/>
          <w:sz w:val="16"/>
          <w:szCs w:val="16"/>
          <w:u w:val="single" w:color="auto"/>
          <w:color w:val="auto"/>
        </w:rPr>
        <w:t>Withholding Taxes Satisfied with Shares of Common Stock</w:t>
      </w:r>
      <w:r>
        <w:rPr>
          <w:rFonts w:ascii="Arial" w:cs="Arial" w:eastAsia="Arial" w:hAnsi="Arial"/>
          <w:sz w:val="16"/>
          <w:szCs w:val="16"/>
          <w:color w:val="auto"/>
        </w:rPr>
        <w:t>. The Company may, in its sole discretion, permit or require you to satisfy, in whole or in part, any tax withholding or social insurance contribution obligation which may arise in connection with the Award Shares either by having the Company withhold from the shares to be released upon vesting that number of shares, or by delivering to the Company already-owned shares, in either case having a fair market value equal to no more than the amount necessary to satisfy the statutory minimum withholding amount due.</w:t>
      </w:r>
    </w:p>
    <w:p>
      <w:pPr>
        <w:spacing w:after="0" w:line="31" w:lineRule="exact"/>
        <w:rPr>
          <w:rFonts w:ascii="Arial" w:cs="Arial" w:eastAsia="Arial" w:hAnsi="Arial"/>
          <w:sz w:val="16"/>
          <w:szCs w:val="16"/>
          <w:color w:val="auto"/>
        </w:rPr>
      </w:pPr>
    </w:p>
    <w:p>
      <w:pPr>
        <w:ind w:right="20" w:firstLine="921"/>
        <w:spacing w:after="0" w:line="298" w:lineRule="auto"/>
        <w:tabs>
          <w:tab w:leader="none" w:pos="1152" w:val="left"/>
        </w:tabs>
        <w:numPr>
          <w:ilvl w:val="2"/>
          <w:numId w:val="149"/>
        </w:numPr>
        <w:rPr>
          <w:rFonts w:ascii="Arial" w:cs="Arial" w:eastAsia="Arial" w:hAnsi="Arial"/>
          <w:sz w:val="16"/>
          <w:szCs w:val="16"/>
          <w:color w:val="auto"/>
        </w:rPr>
      </w:pPr>
      <w:r>
        <w:rPr>
          <w:rFonts w:ascii="Arial" w:cs="Arial" w:eastAsia="Arial" w:hAnsi="Arial"/>
          <w:sz w:val="16"/>
          <w:szCs w:val="16"/>
          <w:u w:val="single" w:color="auto"/>
          <w:color w:val="auto"/>
        </w:rPr>
        <w:t>Section 83(b) Election Right</w:t>
      </w:r>
      <w:r>
        <w:rPr>
          <w:rFonts w:ascii="Arial" w:cs="Arial" w:eastAsia="Arial" w:hAnsi="Arial"/>
          <w:sz w:val="16"/>
          <w:szCs w:val="16"/>
          <w:color w:val="auto"/>
        </w:rPr>
        <w:t>. You hereby acknowledge that you have been advised by the Company to seek independent tax advice from your own advisors regarding the availability and advisability of making an election under Section 83(b) of the Code, and that any such election, if made, must be made within 30 days of the Grant Date. You expressly acknowledge that you are solely responsible for filing any such Section 83(b) election with the appropriate governmental authorities, irrespective of the fact that such election is also delivered to the Company.</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50"/>
        </w:numPr>
        <w:rPr>
          <w:rFonts w:ascii="Arial" w:cs="Arial" w:eastAsia="Arial" w:hAnsi="Arial"/>
          <w:sz w:val="16"/>
          <w:szCs w:val="16"/>
          <w:color w:val="auto"/>
        </w:rPr>
      </w:pPr>
      <w:r>
        <w:rPr>
          <w:rFonts w:ascii="Arial" w:cs="Arial" w:eastAsia="Arial" w:hAnsi="Arial"/>
          <w:sz w:val="16"/>
          <w:szCs w:val="16"/>
          <w:u w:val="single" w:color="auto"/>
          <w:color w:val="auto"/>
        </w:rPr>
        <w:t>Stock Dividend, Stock Split and Reverse Stock Split</w:t>
      </w:r>
      <w:r>
        <w:rPr>
          <w:rFonts w:ascii="Arial" w:cs="Arial" w:eastAsia="Arial" w:hAnsi="Arial"/>
          <w:sz w:val="16"/>
          <w:szCs w:val="16"/>
          <w:color w:val="auto"/>
        </w:rPr>
        <w:t>. Upon a stock dividend of, or stock split or reverse stock split affecting, the Common Stock,</w:t>
      </w:r>
    </w:p>
    <w:p>
      <w:pPr>
        <w:spacing w:after="0" w:line="38" w:lineRule="exact"/>
        <w:rPr>
          <w:rFonts w:ascii="Arial" w:cs="Arial" w:eastAsia="Arial" w:hAnsi="Arial"/>
          <w:sz w:val="16"/>
          <w:szCs w:val="16"/>
          <w:color w:val="auto"/>
        </w:rPr>
      </w:pPr>
    </w:p>
    <w:p>
      <w:pPr>
        <w:ind w:right="100" w:firstLine="8"/>
        <w:spacing w:after="0" w:line="292" w:lineRule="auto"/>
        <w:tabs>
          <w:tab w:leader="none" w:pos="21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number of Award Shares, (ii) the number of such Award Shares that are then nonvested and forfeitable, and (iii) the number of Award Shares eligible to vest on each subsequent vesting date under the vesting schedule set forth on the Notice shall, without further action of the Committee, be adjusted to reflect such event. The Committee may make adjustments, in its discretion, to address the treatment of fractional shares with respect to the Award Shares as a result of the stock dividend, stock split or reverse stock split;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adjustments do not result in the issuance of fractional Award Shares. Adjustments under this paragraph will be made by the Committee, whose determination regarding such adjustments will be final, binding and conclusive.</w:t>
      </w:r>
    </w:p>
    <w:p>
      <w:pPr>
        <w:spacing w:after="0" w:line="35" w:lineRule="exact"/>
        <w:rPr>
          <w:rFonts w:ascii="Arial" w:cs="Arial" w:eastAsia="Arial" w:hAnsi="Arial"/>
          <w:sz w:val="16"/>
          <w:szCs w:val="16"/>
          <w:color w:val="auto"/>
        </w:rPr>
      </w:pPr>
    </w:p>
    <w:p>
      <w:pPr>
        <w:ind w:firstLine="921"/>
        <w:spacing w:after="0" w:line="291" w:lineRule="auto"/>
        <w:tabs>
          <w:tab w:leader="none" w:pos="1161" w:val="left"/>
        </w:tabs>
        <w:numPr>
          <w:ilvl w:val="2"/>
          <w:numId w:val="151"/>
        </w:numPr>
        <w:rPr>
          <w:rFonts w:ascii="Arial" w:cs="Arial" w:eastAsia="Arial" w:hAnsi="Arial"/>
          <w:sz w:val="16"/>
          <w:szCs w:val="16"/>
          <w:color w:val="auto"/>
        </w:rPr>
      </w:pPr>
      <w:r>
        <w:rPr>
          <w:rFonts w:ascii="Arial" w:cs="Arial" w:eastAsia="Arial" w:hAnsi="Arial"/>
          <w:sz w:val="16"/>
          <w:szCs w:val="16"/>
          <w:u w:val="single" w:color="auto"/>
          <w:color w:val="auto"/>
        </w:rPr>
        <w:t>Binding Nature of Agreement</w:t>
      </w:r>
      <w:r>
        <w:rPr>
          <w:rFonts w:ascii="Arial" w:cs="Arial" w:eastAsia="Arial" w:hAnsi="Arial"/>
          <w:sz w:val="16"/>
          <w:szCs w:val="16"/>
          <w:color w:val="auto"/>
        </w:rPr>
        <w:t>. The terms and conditions of this Agreement shall apply with equal force to any additional and/or substitute securities received by you in exchange for, or by virtue of your ownership of, the Award Shares, whether as a result of any spin-off, stock split-up, stock dividend, stock distribution, other reclassification of the Common Stock, or similar event, except as otherwise determined by the Committee. If the Award Shares are converted into or exchanged for, or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received upon such conversion, exchange or distribution in the same manner and to the same extent as the Award Shares.</w:t>
      </w:r>
    </w:p>
    <w:p>
      <w:pPr>
        <w:spacing w:after="0" w:line="171" w:lineRule="exact"/>
        <w:rPr>
          <w:sz w:val="20"/>
          <w:szCs w:val="20"/>
          <w:color w:val="auto"/>
        </w:rPr>
      </w:pPr>
    </w:p>
    <w:p>
      <w:pPr>
        <w:ind w:right="100" w:firstLine="464"/>
        <w:spacing w:after="0" w:line="256" w:lineRule="auto"/>
        <w:tabs>
          <w:tab w:leader="none" w:pos="632"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the Plan or this Agreement shall alter your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Award Shares or any other adverse effect on your interests under the Plan.</w:t>
      </w:r>
    </w:p>
    <w:p>
      <w:pPr>
        <w:spacing w:after="0" w:line="143" w:lineRule="exact"/>
        <w:rPr>
          <w:rFonts w:ascii="Arial" w:cs="Arial" w:eastAsia="Arial" w:hAnsi="Arial"/>
          <w:sz w:val="18"/>
          <w:szCs w:val="18"/>
          <w:color w:val="auto"/>
        </w:rPr>
      </w:pPr>
    </w:p>
    <w:p>
      <w:pPr>
        <w:ind w:right="100" w:firstLine="464"/>
        <w:spacing w:after="0" w:line="332" w:lineRule="auto"/>
        <w:tabs>
          <w:tab w:leader="none" w:pos="720"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Except as otherwise provided in this Agreement with respect to the nonvested and forfeitable Award Shares and the payment of regular cash dividends thereon, you are entitled to all rights of a stockholder of the Company, including the right to vote the Award Shares.</w:t>
      </w:r>
    </w:p>
    <w:p>
      <w:pPr>
        <w:spacing w:after="0" w:line="85" w:lineRule="exact"/>
        <w:rPr>
          <w:rFonts w:ascii="Arial" w:cs="Arial" w:eastAsia="Arial" w:hAnsi="Arial"/>
          <w:sz w:val="16"/>
          <w:szCs w:val="16"/>
          <w:color w:val="auto"/>
        </w:rPr>
      </w:pPr>
    </w:p>
    <w:p>
      <w:pPr>
        <w:ind w:right="40" w:firstLine="464"/>
        <w:spacing w:after="0" w:line="294" w:lineRule="auto"/>
        <w:tabs>
          <w:tab w:leader="none" w:pos="713"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The Company’s Rights</w:t>
      </w:r>
      <w:r>
        <w:rPr>
          <w:rFonts w:ascii="Arial" w:cs="Arial" w:eastAsia="Arial" w:hAnsi="Arial"/>
          <w:sz w:val="16"/>
          <w:szCs w:val="16"/>
          <w:color w:val="auto"/>
        </w:rPr>
        <w:t>. The existence of the Award Shares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15" w:lineRule="exact"/>
        <w:rPr>
          <w:rFonts w:ascii="Arial" w:cs="Arial" w:eastAsia="Arial" w:hAnsi="Arial"/>
          <w:sz w:val="16"/>
          <w:szCs w:val="16"/>
          <w:color w:val="auto"/>
        </w:rPr>
      </w:pPr>
    </w:p>
    <w:p>
      <w:pPr>
        <w:ind w:right="20" w:firstLine="464"/>
        <w:spacing w:after="0" w:line="323" w:lineRule="auto"/>
        <w:tabs>
          <w:tab w:leader="none" w:pos="720"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38" w:lineRule="exact"/>
        <w:rPr>
          <w:rFonts w:ascii="Arial" w:cs="Arial" w:eastAsia="Arial" w:hAnsi="Arial"/>
          <w:sz w:val="15"/>
          <w:szCs w:val="15"/>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98" w:lineRule="auto"/>
        <w:tabs>
          <w:tab w:leader="none" w:pos="1152" w:val="left"/>
        </w:tabs>
        <w:numPr>
          <w:ilvl w:val="2"/>
          <w:numId w:val="153"/>
        </w:numPr>
        <w:rPr>
          <w:rFonts w:ascii="Arial" w:cs="Arial" w:eastAsia="Arial" w:hAnsi="Arial"/>
          <w:sz w:val="16"/>
          <w:szCs w:val="16"/>
          <w:color w:val="auto"/>
        </w:rPr>
      </w:pPr>
      <w:r>
        <w:rPr>
          <w:rFonts w:ascii="Arial" w:cs="Arial" w:eastAsia="Arial" w:hAnsi="Arial"/>
          <w:sz w:val="16"/>
          <w:szCs w:val="16"/>
          <w:u w:val="single" w:color="auto"/>
          <w:color w:val="auto"/>
        </w:rPr>
        <w:t>Method of Delivery</w:t>
      </w:r>
      <w:r>
        <w:rPr>
          <w:rFonts w:ascii="Arial" w:cs="Arial" w:eastAsia="Arial" w:hAnsi="Arial"/>
          <w:sz w:val="16"/>
          <w:szCs w:val="16"/>
          <w:color w:val="auto"/>
        </w:rPr>
        <w:t>. The Company may from time to time electronically deliver, via e-mail or posting on the Company’s website, these Terms, information with respect to the Plan or the Award Shares,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in the Baltimore, Maryland – Pratt Street office or by telephone, at 410-345-7716.</w:t>
      </w:r>
    </w:p>
    <w:p>
      <w:pPr>
        <w:spacing w:after="0" w:line="31" w:lineRule="exact"/>
        <w:rPr>
          <w:rFonts w:ascii="Arial" w:cs="Arial" w:eastAsia="Arial" w:hAnsi="Arial"/>
          <w:sz w:val="16"/>
          <w:szCs w:val="16"/>
          <w:color w:val="auto"/>
        </w:rPr>
      </w:pPr>
    </w:p>
    <w:p>
      <w:pPr>
        <w:ind w:firstLine="921"/>
        <w:spacing w:after="0" w:line="255" w:lineRule="auto"/>
        <w:tabs>
          <w:tab w:leader="none" w:pos="1161" w:val="left"/>
        </w:tabs>
        <w:numPr>
          <w:ilvl w:val="2"/>
          <w:numId w:val="153"/>
        </w:numPr>
        <w:rPr>
          <w:rFonts w:ascii="Arial" w:cs="Arial" w:eastAsia="Arial" w:hAnsi="Arial"/>
          <w:sz w:val="18"/>
          <w:szCs w:val="18"/>
          <w:color w:val="auto"/>
        </w:rPr>
      </w:pPr>
      <w:r>
        <w:rPr>
          <w:rFonts w:ascii="Arial" w:cs="Arial" w:eastAsia="Arial" w:hAnsi="Arial"/>
          <w:sz w:val="18"/>
          <w:szCs w:val="18"/>
          <w:u w:val="single" w:color="auto"/>
          <w:color w:val="auto"/>
        </w:rPr>
        <w:t>Consent and Acknowledgment</w:t>
      </w:r>
      <w:r>
        <w:rPr>
          <w:rFonts w:ascii="Arial" w:cs="Arial" w:eastAsia="Arial" w:hAnsi="Arial"/>
          <w:sz w:val="18"/>
          <w:szCs w:val="18"/>
          <w:color w:val="auto"/>
        </w:rPr>
        <w:t>. By your accepting the Notice correlating to these Terms, you (i) consent to the electronic delivery of this Agreement, all information with respect to the Plan and the Award Shares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2" w:name="page163"/>
    <w:bookmarkEnd w:id="162"/>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by telephone, postal service or electronic mail; and (iv) further acknowledge that you understand that you are not required to consent to electronic delivery of documents.</w:t>
      </w:r>
    </w:p>
    <w:p>
      <w:pPr>
        <w:spacing w:after="0" w:line="132" w:lineRule="exact"/>
        <w:rPr>
          <w:sz w:val="20"/>
          <w:szCs w:val="20"/>
          <w:color w:val="auto"/>
        </w:rPr>
      </w:pPr>
    </w:p>
    <w:p>
      <w:pPr>
        <w:ind w:right="100" w:firstLine="464"/>
        <w:spacing w:after="0" w:line="256" w:lineRule="auto"/>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terms and conditions of the Company’s Policy for Recoupment of Incentive Compensation, adopted by the Board of Directors of the Company effective April 14, 2010, as amended from time to time or any successor thereto (the “</w:t>
      </w:r>
      <w:r>
        <w:rPr>
          <w:rFonts w:ascii="Arial" w:cs="Arial" w:eastAsia="Arial" w:hAnsi="Arial"/>
          <w:sz w:val="18"/>
          <w:szCs w:val="18"/>
          <w:b w:val="1"/>
          <w:bCs w:val="1"/>
          <w:i w:val="1"/>
          <w:iCs w:val="1"/>
          <w:color w:val="auto"/>
        </w:rPr>
        <w:t>Recoupment Policy</w:t>
      </w:r>
      <w:r>
        <w:rPr>
          <w:rFonts w:ascii="Arial" w:cs="Arial" w:eastAsia="Arial" w:hAnsi="Arial"/>
          <w:sz w:val="18"/>
          <w:szCs w:val="18"/>
          <w:color w:val="auto"/>
        </w:rPr>
        <w:t>”), are incorporated by reference into this Agreement and shall apply to your award of restricted stock if you on the Grant Date are or subsequently become an executive officer or other senior executive who is subject to the Recoupment Policy.</w:t>
      </w:r>
    </w:p>
    <w:p>
      <w:pPr>
        <w:spacing w:after="0" w:line="143" w:lineRule="exact"/>
        <w:rPr>
          <w:rFonts w:ascii="Arial" w:cs="Arial" w:eastAsia="Arial" w:hAnsi="Arial"/>
          <w:sz w:val="18"/>
          <w:szCs w:val="18"/>
          <w:color w:val="auto"/>
        </w:rPr>
      </w:pPr>
    </w:p>
    <w:p>
      <w:pPr>
        <w:jc w:val="both"/>
        <w:ind w:right="40" w:firstLine="464"/>
        <w:spacing w:after="0" w:line="335" w:lineRule="auto"/>
        <w:tabs>
          <w:tab w:leader="none" w:pos="720"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correlating Notice and the Plan, contain the entire agreement between you and the Company with respect to the Award Shares awarded hereunder. Any oral or written agreements, representations, warranties, written inducements, or other communications made prior to the acceptance of the Notice correlating to these Terms with respect to the Award Shares awarded hereunder shall be void and ineffective for all purposes.</w:t>
      </w:r>
    </w:p>
    <w:p>
      <w:pPr>
        <w:spacing w:after="0" w:line="88" w:lineRule="exact"/>
        <w:rPr>
          <w:rFonts w:ascii="Arial" w:cs="Arial" w:eastAsia="Arial" w:hAnsi="Arial"/>
          <w:sz w:val="15"/>
          <w:szCs w:val="15"/>
          <w:color w:val="auto"/>
        </w:rPr>
      </w:pPr>
    </w:p>
    <w:p>
      <w:pPr>
        <w:ind w:firstLine="464"/>
        <w:spacing w:after="0" w:line="291" w:lineRule="auto"/>
        <w:tabs>
          <w:tab w:leader="none" w:pos="72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Except as otherwise provided in the Plan, the Committee may unilaterally amend the terms of this Agreement, but no such amendment shall materially impair your rights with respect to your Award Shares without your consent, except such an amendment made to cause the Plan or the Agreement to comply with applicable law, applicable rule of any securities exchange on which the Common Stock is listed or admitted for trading, or to prevent adverse tax or accounting consequences for you or the Company or any of its Affiliates.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Plan and approved by the Committee.</w:t>
      </w:r>
    </w:p>
    <w:p>
      <w:pPr>
        <w:spacing w:after="0" w:line="120" w:lineRule="exact"/>
        <w:rPr>
          <w:rFonts w:ascii="Arial" w:cs="Arial" w:eastAsia="Arial" w:hAnsi="Arial"/>
          <w:sz w:val="16"/>
          <w:szCs w:val="16"/>
          <w:color w:val="auto"/>
        </w:rPr>
      </w:pPr>
    </w:p>
    <w:p>
      <w:pPr>
        <w:ind w:firstLine="464"/>
        <w:spacing w:after="0" w:line="256" w:lineRule="auto"/>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xml:space="preserve">. These Terms are intended to conform with, and are subject to all applicable provisions of, the Plan. In the event of any ambiguity in these Terms or any matters as to which these Terms are silent, the Plan shall govern. A copy of the Plan is available at </w:t>
      </w:r>
      <w:r>
        <w:rPr>
          <w:rFonts w:ascii="Arial" w:cs="Arial" w:eastAsia="Arial" w:hAnsi="Arial"/>
          <w:sz w:val="18"/>
          <w:szCs w:val="18"/>
          <w:u w:val="single" w:color="auto"/>
          <w:color w:val="auto"/>
        </w:rPr>
        <w:t>https://home2.troweprice.com/tsso/tssoweb/SSOServlet</w:t>
      </w:r>
      <w:r>
        <w:rPr>
          <w:rFonts w:ascii="Arial" w:cs="Arial" w:eastAsia="Arial" w:hAnsi="Arial"/>
          <w:sz w:val="18"/>
          <w:szCs w:val="18"/>
          <w:color w:val="auto"/>
        </w:rPr>
        <w:t xml:space="preserve"> or in hard copy upon request to the Payroll and Stock Transaction Group in the CFO-Finance Department in the Baltimore, Maryland – Pratt Street office or by telephone, at 410-345-7716.</w:t>
      </w:r>
    </w:p>
    <w:p>
      <w:pPr>
        <w:spacing w:after="0" w:line="143" w:lineRule="exact"/>
        <w:rPr>
          <w:rFonts w:ascii="Arial" w:cs="Arial" w:eastAsia="Arial" w:hAnsi="Arial"/>
          <w:sz w:val="18"/>
          <w:szCs w:val="18"/>
          <w:color w:val="auto"/>
        </w:rPr>
      </w:pPr>
    </w:p>
    <w:p>
      <w:pPr>
        <w:ind w:right="60" w:firstLine="464"/>
        <w:spacing w:after="0" w:line="290" w:lineRule="auto"/>
        <w:tabs>
          <w:tab w:leader="none" w:pos="72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Baltimore, Maryland, and you hereby agree and submit to the personal jurisdiction of any federal court located in the district which includes Baltimore, Maryland or any state court in the district which includes Baltimore, Maryland. You further agree that you will not deny or attempt to defeat such personal jurisdiction or object to venue by motion or other request for leave from any such court.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63" w:name="page164"/>
    <w:bookmarkEnd w:id="163"/>
    <w:p>
      <w:pPr>
        <w:ind w:left="-20" w:right="20" w:firstLine="464"/>
        <w:spacing w:after="0" w:line="290" w:lineRule="auto"/>
        <w:tabs>
          <w:tab w:leader="none" w:pos="7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 of Disputes</w:t>
      </w:r>
      <w:r>
        <w:rPr>
          <w:rFonts w:ascii="Arial" w:cs="Arial" w:eastAsia="Arial" w:hAnsi="Arial"/>
          <w:sz w:val="16"/>
          <w:szCs w:val="16"/>
          <w:color w:val="auto"/>
        </w:rPr>
        <w:t>. Any dispute or disagreement which shall arise under, or as a result of, or pursuant to or relating to, this Agreement shall be determined by the Committee in good faith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Committee. You further agree that in the event that the Committee does not resolve any dispute or disagreement arising under, as a result of, pursuant to or relating to, this Agreement to your satisfaction, no legal action may be commenced or maintained relating to this Agreement more than 24 months after the Committee’s decision.</w:t>
      </w:r>
    </w:p>
    <w:p>
      <w:pPr>
        <w:spacing w:after="0" w:line="118" w:lineRule="exact"/>
        <w:rPr>
          <w:rFonts w:ascii="Arial" w:cs="Arial" w:eastAsia="Arial" w:hAnsi="Arial"/>
          <w:sz w:val="16"/>
          <w:szCs w:val="16"/>
          <w:color w:val="auto"/>
        </w:rPr>
      </w:pPr>
    </w:p>
    <w:p>
      <w:pPr>
        <w:ind w:left="-20" w:firstLine="464"/>
        <w:spacing w:after="0" w:line="284" w:lineRule="auto"/>
        <w:tabs>
          <w:tab w:leader="none" w:pos="7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Service and Employment Acknowledgments</w:t>
      </w:r>
      <w:r>
        <w:rPr>
          <w:rFonts w:ascii="Arial" w:cs="Arial" w:eastAsia="Arial" w:hAnsi="Arial"/>
          <w:sz w:val="16"/>
          <w:szCs w:val="16"/>
          <w:color w:val="auto"/>
        </w:rPr>
        <w:t>. By accepting the Notice, you acknowledge and agree that: (i) the Plan is established voluntarily by the Company, is discretionary in nature and may be modified, amended, suspended or terminated by the Company at any time, unless otherwise provided in the Plan or this Agreement; (ii) you are voluntarily participating in the Plan; (iii) the award of Award Shares is a one-time benefit which does not create any contractual or other right to receive future awards of Award Shares, or compensation or benefits in lieu of Award Shares, even if Award Shares have been awarded repeatedly in the past; (iv) all determinations with respect to any such future awards, including, but not limited to, the times when Award Shares shall be awarded or shall become vested or exercisable and the number of Award Shares subject to each award, will be at the sole discretion of the Committee; (v) the value of the Award Shares is an extraordinary item of compensation which is outside the scope of your employment contract, if any; (vi) the value of the Award Shares is not part of normal or expected compensation or salary for any purpose, including, but not limited to, calculating any termination, severance, resignation, redundancy, end of service payments or similar payments, or bonuses, long-service awards, pension, welfare or retirement benefits; (vii) the vesting of the Award Shares ceases upon termination of Service with the Company or transfer of employment from the Company, or other cessation of eligibility for any reason, except as may otherwise be explicitly provided in this Agreement; (viii) the value of the Award Shares cannot be predicted with certainty and will change over time and the Company does not guarantee any future value; (ix) if you are not an employee of the Company, the Award Shares grant will not be interpreted to form an employment contract or relationship with the Company; nothing in this Agreement shall confer upon you any right to continue in the service of the Company or interfere in any way with any right of the Company to terminate your service as a director, an employee or consultant, as the case may be, at any time, subject to applicable law; the Company is not providing any tax, legal or financial advice, nor is the Company making any recommendations regarding your participation in the Plan or your acquisition or sale of the Award Shares; and (x) no claim or entitlement to compensation or damages arises if the value of the Award Shares decreases and in consideration for the grant of the Award Shares you irrevocably release the Company from any claim or entitlement to compensation or damages that does arise in connection with the Award Shares.</w:t>
      </w:r>
    </w:p>
    <w:p>
      <w:pPr>
        <w:spacing w:after="0" w:line="132" w:lineRule="exact"/>
        <w:rPr>
          <w:rFonts w:ascii="Arial" w:cs="Arial" w:eastAsia="Arial" w:hAnsi="Arial"/>
          <w:sz w:val="16"/>
          <w:szCs w:val="16"/>
          <w:color w:val="auto"/>
        </w:rPr>
      </w:pPr>
    </w:p>
    <w:p>
      <w:pPr>
        <w:ind w:left="-20" w:right="120" w:firstLine="464"/>
        <w:spacing w:after="0" w:line="306" w:lineRule="auto"/>
        <w:tabs>
          <w:tab w:leader="none" w:pos="700" w:val="left"/>
        </w:tabs>
        <w:numPr>
          <w:ilvl w:val="0"/>
          <w:numId w:val="15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For purposes of the implementation, administration and management of the Award Shares and the Plan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64" w:name="page165"/>
    <w:bookmarkEnd w:id="164"/>
    <w:p>
      <w:pPr>
        <w:spacing w:after="0" w:line="285"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 “Corporate Transaction”), you explicitly and unambiguously consent, by accepting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insurance number, tax identification number, date of birth, nationality, job title or duties, salary and payroll location, data for tax withholding purposes and Award Shares awarded, cancelled, vested and unvested) is held by the Company and may be transferred to any broker designated by the Committee or third parties assisting in the implementation, administration and management of the Award Shares or the Plan or the effectuation of a Corporate Transaction and you expressly authorize such transfer as well as the retention, use, and the subsequent transfer of the data, in electronic or other form, by the recipient(s) for these purposes. You understand that these recipients may be located in your country or elsewhere, and that the recipient’s country may have different data privacy laws and protections than your country. You understand that personal data will be held only as long as is necessary to implement, administer and manage the Award Shares or Plan or effect a Corporate Transaction. You understand that, to the extent required by applicable law,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in the Baltimore, Maryland – Pratt Street office. You understand, however, that refusing or withdrawing your consent may affect your ability to accept an award of Award Shares or otherwise participate in the Plan.</w:t>
      </w:r>
    </w:p>
    <w:p>
      <w:pPr>
        <w:spacing w:after="0" w:line="126" w:lineRule="exact"/>
        <w:rPr>
          <w:sz w:val="20"/>
          <w:szCs w:val="20"/>
          <w:color w:val="auto"/>
        </w:rPr>
      </w:pPr>
    </w:p>
    <w:p>
      <w:pPr>
        <w:ind w:right="200" w:firstLine="464"/>
        <w:spacing w:after="0" w:line="259" w:lineRule="auto"/>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Consideration for Award Shares</w:t>
      </w:r>
      <w:r>
        <w:rPr>
          <w:rFonts w:ascii="Arial" w:cs="Arial" w:eastAsia="Arial" w:hAnsi="Arial"/>
          <w:sz w:val="18"/>
          <w:szCs w:val="18"/>
          <w:color w:val="auto"/>
        </w:rPr>
        <w:t>. To ensure compliance with applicable state corporate law, the Company may require you to furnish consideration in the form of cash or cash equivalents equal to the par value of the Award Shares and you hereby authorize the Company to withhold such amount from remuneration otherwise due you from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reference purposes only and shall not affect the meaning or interpretation of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65" w:name="page166"/>
    <w:bookmarkEnd w:id="165"/>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w:t>
      </w:r>
    </w:p>
    <w:p>
      <w:pPr>
        <w:spacing w:after="0" w:line="171" w:lineRule="exact"/>
        <w:rPr>
          <w:sz w:val="20"/>
          <w:szCs w:val="20"/>
          <w:color w:val="auto"/>
        </w:rPr>
      </w:pPr>
    </w:p>
    <w:p>
      <w:pPr>
        <w:ind w:left="-8" w:right="120" w:firstLine="464"/>
        <w:spacing w:after="0" w:line="259" w:lineRule="auto"/>
        <w:tabs>
          <w:tab w:leader="none" w:pos="68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previously, now or hereafter existing, in which the Company, directly or indirectly, at the relevant time has a proprietary interest by reason of stock ownership or otherwise (including, but not limited to, joint ventures, limited liability companies, and partnerships) or any entity that provides services to the Company or a subsidiary or affiliated entity of the Company.</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and the Plan.</w:t>
      </w:r>
    </w:p>
    <w:p>
      <w:pPr>
        <w:spacing w:after="0" w:line="171" w:lineRule="exact"/>
        <w:rPr>
          <w:rFonts w:ascii="Arial" w:cs="Arial" w:eastAsia="Arial" w:hAnsi="Arial"/>
          <w:sz w:val="18"/>
          <w:szCs w:val="18"/>
          <w:color w:val="auto"/>
        </w:rPr>
      </w:pPr>
    </w:p>
    <w:p>
      <w:pPr>
        <w:ind w:left="692" w:hanging="236"/>
        <w:spacing w:after="0"/>
        <w:tabs>
          <w:tab w:leader="none" w:pos="69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means the shares of Common Stock awarded to you as set forth on the Notice.</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 Rowe Price Group, Inc.</w:t>
      </w:r>
    </w:p>
    <w:p>
      <w:pPr>
        <w:spacing w:after="0" w:line="171" w:lineRule="exact"/>
        <w:rPr>
          <w:rFonts w:ascii="Arial" w:cs="Arial" w:eastAsia="Arial" w:hAnsi="Arial"/>
          <w:sz w:val="18"/>
          <w:szCs w:val="18"/>
          <w:color w:val="auto"/>
        </w:rPr>
      </w:pPr>
    </w:p>
    <w:p>
      <w:pPr>
        <w:jc w:val="both"/>
        <w:ind w:left="-8" w:firstLine="464"/>
        <w:spacing w:after="0" w:line="283" w:lineRule="auto"/>
        <w:tabs>
          <w:tab w:leader="none" w:pos="687"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your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a similar plea) to, or conviction of, (A) a felony (or its equivalent in a non-United States jurisdiction) or (B) other conduct of a criminal nature that has or is likely to have a material adverse effect on the reputation or standing in the community of the Company, as determined by the Committee in its sole discretion, or that legally prohibits you from working for the Company; (ii) your breach of a regulatory rule that adversely affects your ability to perform your employment duties to the Company in any material respect; or (iii) your failure, in any material respect, to</w:t>
      </w:r>
    </w:p>
    <w:p>
      <w:pPr>
        <w:spacing w:after="0" w:line="2" w:lineRule="exact"/>
        <w:rPr>
          <w:rFonts w:ascii="Arial" w:cs="Arial" w:eastAsia="Arial" w:hAnsi="Arial"/>
          <w:sz w:val="16"/>
          <w:szCs w:val="16"/>
          <w:color w:val="auto"/>
        </w:rPr>
      </w:pPr>
    </w:p>
    <w:p>
      <w:pPr>
        <w:ind w:left="292" w:hanging="292"/>
        <w:spacing w:after="0"/>
        <w:tabs>
          <w:tab w:leader="none" w:pos="29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perform your employment duties, (B) comply with the applicable policies of the Company, (C) follow reasonable directions received from the Company or</w:t>
      </w:r>
    </w:p>
    <w:p>
      <w:pPr>
        <w:spacing w:after="0" w:line="32" w:lineRule="exact"/>
        <w:rPr>
          <w:rFonts w:ascii="Arial" w:cs="Arial" w:eastAsia="Arial" w:hAnsi="Arial"/>
          <w:sz w:val="16"/>
          <w:szCs w:val="16"/>
          <w:color w:val="auto"/>
        </w:rPr>
      </w:pPr>
    </w:p>
    <w:p>
      <w:pPr>
        <w:jc w:val="both"/>
        <w:ind w:left="-8" w:right="40" w:firstLine="8"/>
        <w:spacing w:after="0" w:line="302" w:lineRule="auto"/>
        <w:tabs>
          <w:tab w:leader="none" w:pos="2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comply with covenants contained in any contract with the Company to which you are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shall be provided a written notice describing in reasonable detail the facts which are considered to give rise to a breach described in this clause (iii) and you shall have 30 days following receipt of such written notice during which you may remedy the condition and, if so remedied, no Cause for Termination of Service shall exist.</w:t>
      </w:r>
    </w:p>
    <w:p>
      <w:pPr>
        <w:spacing w:after="0" w:line="109" w:lineRule="exact"/>
        <w:rPr>
          <w:rFonts w:ascii="Arial" w:cs="Arial" w:eastAsia="Arial" w:hAnsi="Arial"/>
          <w:sz w:val="16"/>
          <w:szCs w:val="16"/>
          <w:color w:val="auto"/>
        </w:rPr>
      </w:pPr>
    </w:p>
    <w:p>
      <w:pPr>
        <w:ind w:left="672" w:hanging="216"/>
        <w:spacing w:after="0"/>
        <w:tabs>
          <w:tab w:leader="none" w:pos="672"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Plan.</w:t>
      </w:r>
    </w:p>
    <w:p>
      <w:pPr>
        <w:spacing w:after="0" w:line="171" w:lineRule="exact"/>
        <w:rPr>
          <w:rFonts w:ascii="Arial" w:cs="Arial" w:eastAsia="Arial" w:hAnsi="Arial"/>
          <w:sz w:val="18"/>
          <w:szCs w:val="18"/>
          <w:color w:val="auto"/>
        </w:rPr>
      </w:pPr>
    </w:p>
    <w:p>
      <w:pPr>
        <w:ind w:left="-8" w:right="120" w:firstLine="464"/>
        <w:spacing w:after="0" w:line="306" w:lineRule="auto"/>
        <w:tabs>
          <w:tab w:leader="none" w:pos="69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section, regulations and guidance.</w:t>
      </w:r>
    </w:p>
    <w:p>
      <w:pPr>
        <w:spacing w:after="0" w:line="106" w:lineRule="exact"/>
        <w:rPr>
          <w:rFonts w:ascii="Arial" w:cs="Arial" w:eastAsia="Arial" w:hAnsi="Arial"/>
          <w:sz w:val="16"/>
          <w:szCs w:val="16"/>
          <w:color w:val="auto"/>
        </w:rPr>
      </w:pPr>
    </w:p>
    <w:p>
      <w:pPr>
        <w:ind w:left="-8" w:right="20" w:firstLine="464"/>
        <w:spacing w:after="0" w:line="298" w:lineRule="auto"/>
        <w:tabs>
          <w:tab w:leader="none" w:pos="69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xml:space="preserve">” means the Executive Compensation Committee, or such other committee(s) or officer(s) duly appointed by the Board or the Executive Compensation Committee to administer the Plan or delegated limited authority to perform administrative actions under the Plan, and having such powers as shall be specified by the Board or the Executive Compensation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at any time the Board may serve as the Committee in lieu of or in addition to the Executive Compensation Committee or such other committee(s) or officer(s) to whom administrative authority has been delegated.</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52"/>
          </w:cols>
          <w:pgMar w:left="248" w:top="280" w:right="299" w:bottom="1440" w:gutter="0" w:footer="0" w:header="0"/>
        </w:sectPr>
      </w:pPr>
    </w:p>
    <w:bookmarkStart w:id="166" w:name="page167"/>
    <w:bookmarkEnd w:id="166"/>
    <w:p>
      <w:pPr>
        <w:ind w:right="120" w:firstLine="464"/>
        <w:spacing w:after="0" w:line="268" w:lineRule="auto"/>
        <w:tabs>
          <w:tab w:leader="none" w:pos="666"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common stock of T. Rowe Price Group, Inc., par value twenty cents ($0.20) per share and any capital securities into which they are converted.</w:t>
      </w:r>
    </w:p>
    <w:p>
      <w:pPr>
        <w:spacing w:after="0" w:line="131" w:lineRule="exact"/>
        <w:rPr>
          <w:rFonts w:ascii="Arial" w:cs="Arial" w:eastAsia="Arial" w:hAnsi="Arial"/>
          <w:sz w:val="18"/>
          <w:szCs w:val="18"/>
          <w:color w:val="auto"/>
        </w:rPr>
      </w:pPr>
    </w:p>
    <w:p>
      <w:pPr>
        <w:ind w:right="840" w:firstLine="464"/>
        <w:spacing w:after="0" w:line="332" w:lineRule="auto"/>
        <w:tabs>
          <w:tab w:leader="none" w:pos="66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T. Rowe Price Group, Inc. and its Affiliates and successors, except where the context otherwise requires. For purposes of determining whether a Change of Control has occurred, Company shall mean only T. Rowe Price Group, Inc.</w:t>
      </w:r>
    </w:p>
    <w:p>
      <w:pPr>
        <w:spacing w:after="0" w:line="85" w:lineRule="exact"/>
        <w:rPr>
          <w:rFonts w:ascii="Arial" w:cs="Arial" w:eastAsia="Arial" w:hAnsi="Arial"/>
          <w:sz w:val="16"/>
          <w:szCs w:val="16"/>
          <w:color w:val="auto"/>
        </w:rPr>
      </w:pPr>
    </w:p>
    <w:p>
      <w:pPr>
        <w:ind w:right="220" w:firstLine="464"/>
        <w:spacing w:after="0" w:line="259"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of a reorganization, merger, tender offer, share exchange, consolidation or other business combination, acquisition of Price Group equity securities, or sale or other disposition of all or substantially all of the assets of Price Group or the acquisition of assets of another entity.</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Compensation Committee</w:t>
      </w:r>
      <w:r>
        <w:rPr>
          <w:rFonts w:ascii="Arial" w:cs="Arial" w:eastAsia="Arial" w:hAnsi="Arial"/>
          <w:sz w:val="16"/>
          <w:szCs w:val="16"/>
          <w:color w:val="auto"/>
        </w:rPr>
        <w:t>” means the Executive Compensation Committee of the Board of Directors of T. Rowe Price Group, Inc.</w:t>
      </w:r>
    </w:p>
    <w:p>
      <w:pPr>
        <w:spacing w:after="0" w:line="194" w:lineRule="exact"/>
        <w:rPr>
          <w:rFonts w:ascii="Arial" w:cs="Arial" w:eastAsia="Arial" w:hAnsi="Arial"/>
          <w:sz w:val="16"/>
          <w:szCs w:val="16"/>
          <w:color w:val="auto"/>
        </w:rPr>
      </w:pPr>
    </w:p>
    <w:p>
      <w:pPr>
        <w:ind w:right="340" w:firstLine="464"/>
        <w:spacing w:after="0" w:line="332" w:lineRule="auto"/>
        <w:tabs>
          <w:tab w:leader="none" w:pos="75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during the 18-month period following a Change in Control, actions taken by the Company or any successor corporation or other entity in a Corporate Transaction resulting in a material negative change in your employment relationship in one or more of the following ways:</w:t>
      </w:r>
    </w:p>
    <w:p>
      <w:pPr>
        <w:spacing w:after="0" w:line="4" w:lineRule="exact"/>
        <w:rPr>
          <w:rFonts w:ascii="Arial" w:cs="Arial" w:eastAsia="Arial" w:hAnsi="Arial"/>
          <w:sz w:val="16"/>
          <w:szCs w:val="16"/>
          <w:color w:val="auto"/>
        </w:rPr>
      </w:pPr>
    </w:p>
    <w:p>
      <w:pPr>
        <w:ind w:left="460" w:firstLine="443"/>
        <w:spacing w:after="0" w:line="259" w:lineRule="auto"/>
        <w:tabs>
          <w:tab w:leader="none" w:pos="110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assignment to you of duties materially inconsistent with your position (including offices, titles and reporting requirements), authority, duties or responsibilities, or a material diminution in such position, authority, duties or responsibilities, in each case from those in effect immediately prior to the Change in Control;</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5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material reduction of your aggregate annual compensation, including, without limitation, base salary and annual bonus and incentive compensation opportunity, from that in effect immediately prior to the Change in Control;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20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change in your principal place of employment that increases your commute by 75 or more miles as compared to your commute immediately prior to the Change in Control.</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invoke a Termination of Service for Good Reason, you must provide written notice to the Company or any successor corporation or other entity in a Corporate Transaction with respect to which you are employed or providing services (as applicable,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of the existence of one or more of the conditions constituting Good Reason within 90 days following your knowledge of the initial existence of such condition or conditions, specifying in reasonable detail the conditions constituting Good Reason, and the Service Recipient shall have 30 days following receipt of such written notice (the “</w:t>
      </w:r>
      <w:r>
        <w:rPr>
          <w:rFonts w:ascii="Arial" w:cs="Arial" w:eastAsia="Arial" w:hAnsi="Arial"/>
          <w:sz w:val="16"/>
          <w:szCs w:val="16"/>
          <w:b w:val="1"/>
          <w:bCs w:val="1"/>
          <w:i w:val="1"/>
          <w:i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during which it may remedy the condition. In the event that the Service Recipient fails to remedy the condition constituting Good Reason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Cure Period, your Termination of Service must occur, if at all, within 90 days following the expiration of such Cure Period in order for such termination as a result of such condition to constitute a Termination of Service for Good Reason.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67" w:name="page168"/>
    <w:bookmarkEnd w:id="167"/>
    <w:p>
      <w:pPr>
        <w:ind w:left="680" w:hanging="256"/>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date set forth on the Notice indicating when the grant of Award Shares was approved by the Committee.</w:t>
      </w:r>
    </w:p>
    <w:p>
      <w:pPr>
        <w:spacing w:after="0" w:line="171" w:lineRule="exact"/>
        <w:rPr>
          <w:rFonts w:ascii="Arial" w:cs="Arial" w:eastAsia="Arial" w:hAnsi="Arial"/>
          <w:sz w:val="18"/>
          <w:szCs w:val="18"/>
          <w:color w:val="auto"/>
        </w:rPr>
      </w:pPr>
    </w:p>
    <w:p>
      <w:pPr>
        <w:ind w:left="-40" w:firstLine="464"/>
        <w:spacing w:after="0" w:line="268" w:lineRule="auto"/>
        <w:tabs>
          <w:tab w:leader="none" w:pos="6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Restricted Stock Award which correlates with these Terms and sets forth the specifics of the applicable restricted stock award.</w:t>
      </w:r>
    </w:p>
    <w:p>
      <w:pPr>
        <w:spacing w:after="0" w:line="131" w:lineRule="exact"/>
        <w:rPr>
          <w:rFonts w:ascii="Arial" w:cs="Arial" w:eastAsia="Arial" w:hAnsi="Arial"/>
          <w:sz w:val="18"/>
          <w:szCs w:val="18"/>
          <w:color w:val="auto"/>
        </w:rPr>
      </w:pPr>
    </w:p>
    <w:p>
      <w:pPr>
        <w:ind w:left="-40" w:right="100" w:firstLine="464"/>
        <w:spacing w:after="0" w:line="256" w:lineRule="auto"/>
        <w:tabs>
          <w:tab w:leader="none" w:pos="6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Peer Company</w:t>
      </w:r>
      <w:r>
        <w:rPr>
          <w:rFonts w:ascii="Arial" w:cs="Arial" w:eastAsia="Arial" w:hAnsi="Arial"/>
          <w:sz w:val="18"/>
          <w:szCs w:val="18"/>
          <w:color w:val="auto"/>
        </w:rPr>
        <w:t>” or collectively “</w:t>
      </w:r>
      <w:r>
        <w:rPr>
          <w:rFonts w:ascii="Arial" w:cs="Arial" w:eastAsia="Arial" w:hAnsi="Arial"/>
          <w:sz w:val="18"/>
          <w:szCs w:val="18"/>
          <w:b w:val="1"/>
          <w:bCs w:val="1"/>
          <w:i w:val="1"/>
          <w:iCs w:val="1"/>
          <w:color w:val="auto"/>
        </w:rPr>
        <w:t>Peer Companies</w:t>
      </w:r>
      <w:r>
        <w:rPr>
          <w:rFonts w:ascii="Arial" w:cs="Arial" w:eastAsia="Arial" w:hAnsi="Arial"/>
          <w:sz w:val="18"/>
          <w:szCs w:val="18"/>
          <w:color w:val="auto"/>
        </w:rPr>
        <w:t>” means each of the entities listed on the correlating Notice and each Peer Company’s successor; so long as each Peer Company has a class of common securities listed for public trade on a national securities exchange or market from the beginning through the end of the Performance Period or otherwise files financial statements with the Securities and Exchange Commission, as defined on the correlating Notice. The Peer Companies shall be changed as follows:</w:t>
      </w:r>
    </w:p>
    <w:p>
      <w:pPr>
        <w:spacing w:after="0" w:line="62" w:lineRule="exact"/>
        <w:rPr>
          <w:rFonts w:ascii="Arial" w:cs="Arial" w:eastAsia="Arial" w:hAnsi="Arial"/>
          <w:sz w:val="18"/>
          <w:szCs w:val="18"/>
          <w:color w:val="auto"/>
        </w:rPr>
      </w:pPr>
    </w:p>
    <w:p>
      <w:pPr>
        <w:ind w:left="420" w:right="580" w:firstLine="443"/>
        <w:spacing w:after="0" w:line="332" w:lineRule="auto"/>
        <w:tabs>
          <w:tab w:leader="none" w:pos="1068"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event that, at any time during the Performance Period, a Peer Company is no longer included in the same Standard &amp; Poor’s Global Industry Classification Standard (“GICS”) Sub-Industry as Price Group, such company shall no longer be a Peer Company.</w:t>
      </w:r>
    </w:p>
    <w:p>
      <w:pPr>
        <w:spacing w:after="0" w:line="4" w:lineRule="exact"/>
        <w:rPr>
          <w:rFonts w:ascii="Arial" w:cs="Arial" w:eastAsia="Arial" w:hAnsi="Arial"/>
          <w:sz w:val="16"/>
          <w:szCs w:val="16"/>
          <w:color w:val="auto"/>
        </w:rPr>
      </w:pPr>
    </w:p>
    <w:p>
      <w:pPr>
        <w:ind w:left="420" w:right="320" w:firstLine="443"/>
        <w:spacing w:after="0" w:line="332" w:lineRule="auto"/>
        <w:tabs>
          <w:tab w:leader="none" w:pos="111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event of a merger, acquisition or business combination transaction of a Peer Company with or by another Peer Company, the surviving entity shall remain a Peer Company, provided that the surviving entity is still in the same GICS Sub-Industry as Price Group.</w:t>
      </w:r>
    </w:p>
    <w:p>
      <w:pPr>
        <w:spacing w:after="0" w:line="4" w:lineRule="exact"/>
        <w:rPr>
          <w:rFonts w:ascii="Arial" w:cs="Arial" w:eastAsia="Arial" w:hAnsi="Arial"/>
          <w:sz w:val="16"/>
          <w:szCs w:val="16"/>
          <w:color w:val="auto"/>
        </w:rPr>
      </w:pPr>
    </w:p>
    <w:p>
      <w:pPr>
        <w:ind w:left="420" w:firstLine="443"/>
        <w:spacing w:after="0" w:line="306" w:lineRule="auto"/>
        <w:tabs>
          <w:tab w:leader="none" w:pos="116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event of a merger of a Peer Company with or by an entity that is not a Peer Company, or the acquisition or business combination transaction of a Peer Company with an entity that is not a Peer Company, in each case, where the Peer Company is the surviving entity, the surviving entity shall remain a Peer Company, provided that the surviving entity is still in the same GICS Sub-Industry as Price Group.</w:t>
      </w:r>
    </w:p>
    <w:p>
      <w:pPr>
        <w:spacing w:after="0" w:line="25" w:lineRule="exact"/>
        <w:rPr>
          <w:rFonts w:ascii="Arial" w:cs="Arial" w:eastAsia="Arial" w:hAnsi="Arial"/>
          <w:sz w:val="16"/>
          <w:szCs w:val="16"/>
          <w:color w:val="auto"/>
        </w:rPr>
      </w:pPr>
    </w:p>
    <w:p>
      <w:pPr>
        <w:ind w:left="420" w:right="140" w:firstLine="443"/>
        <w:spacing w:after="0" w:line="306" w:lineRule="auto"/>
        <w:tabs>
          <w:tab w:leader="none" w:pos="1156"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event of a merger or acquisition or business combination transaction of a Peer Company with or by an entity that is not a Peer Company, other form of “going private” transaction relating to any Peer Company or the liquidation of any Peer Company, where such Peer Company is not the surviving entity or is otherwise no longer publicly traded, the company shall no longer be a Peer Company.</w:t>
      </w:r>
    </w:p>
    <w:p>
      <w:pPr>
        <w:spacing w:after="0" w:line="25" w:lineRule="exact"/>
        <w:rPr>
          <w:rFonts w:ascii="Arial" w:cs="Arial" w:eastAsia="Arial" w:hAnsi="Arial"/>
          <w:sz w:val="16"/>
          <w:szCs w:val="16"/>
          <w:color w:val="auto"/>
        </w:rPr>
      </w:pPr>
    </w:p>
    <w:p>
      <w:pPr>
        <w:ind w:left="1120" w:hanging="257"/>
        <w:spacing w:after="0"/>
        <w:tabs>
          <w:tab w:leader="none" w:pos="11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event of a bankruptcy of a Peer Company, such company shall remain a Peer Company.</w:t>
      </w:r>
    </w:p>
    <w:p>
      <w:pPr>
        <w:spacing w:after="0" w:line="171" w:lineRule="exact"/>
        <w:rPr>
          <w:rFonts w:ascii="Arial" w:cs="Arial" w:eastAsia="Arial" w:hAnsi="Arial"/>
          <w:sz w:val="18"/>
          <w:szCs w:val="18"/>
          <w:color w:val="auto"/>
        </w:rPr>
      </w:pPr>
    </w:p>
    <w:p>
      <w:pPr>
        <w:ind w:left="-40" w:right="60" w:firstLine="464"/>
        <w:spacing w:after="0" w:line="268" w:lineRule="auto"/>
        <w:tabs>
          <w:tab w:leader="none" w:pos="6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Threshold</w:t>
      </w:r>
      <w:r>
        <w:rPr>
          <w:rFonts w:ascii="Arial" w:cs="Arial" w:eastAsia="Arial" w:hAnsi="Arial"/>
          <w:sz w:val="18"/>
          <w:szCs w:val="18"/>
          <w:color w:val="auto"/>
        </w:rPr>
        <w:t>” means the performance objective(s) set forth on the Notice, if any, which must be satisfied in order for any Award Shares to become vested, except as otherwise provided in this Agreement.</w:t>
      </w:r>
    </w:p>
    <w:p>
      <w:pPr>
        <w:spacing w:after="0" w:line="131" w:lineRule="exact"/>
        <w:rPr>
          <w:rFonts w:ascii="Arial" w:cs="Arial" w:eastAsia="Arial" w:hAnsi="Arial"/>
          <w:sz w:val="18"/>
          <w:szCs w:val="18"/>
          <w:color w:val="auto"/>
        </w:rPr>
      </w:pPr>
    </w:p>
    <w:p>
      <w:pPr>
        <w:ind w:left="640" w:hanging="216"/>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Stock][2012 Long-Term] Incentive Plan.</w:t>
      </w:r>
    </w:p>
    <w:p>
      <w:pPr>
        <w:spacing w:after="0" w:line="171" w:lineRule="exact"/>
        <w:rPr>
          <w:rFonts w:ascii="Arial" w:cs="Arial" w:eastAsia="Arial" w:hAnsi="Arial"/>
          <w:sz w:val="18"/>
          <w:szCs w:val="18"/>
          <w:color w:val="auto"/>
        </w:rPr>
      </w:pPr>
    </w:p>
    <w:p>
      <w:pPr>
        <w:ind w:left="660" w:hanging="23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Price Group</w:t>
      </w:r>
      <w:r>
        <w:rPr>
          <w:rFonts w:ascii="Arial" w:cs="Arial" w:eastAsia="Arial" w:hAnsi="Arial"/>
          <w:sz w:val="18"/>
          <w:szCs w:val="18"/>
          <w:color w:val="auto"/>
        </w:rPr>
        <w:t>” means T. Rowe Price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168" w:name="page169"/>
    <w:bookmarkEnd w:id="168"/>
    <w:p>
      <w:pPr>
        <w:ind w:left="-20" w:firstLine="464"/>
        <w:spacing w:after="0" w:line="268" w:lineRule="auto"/>
        <w:tabs>
          <w:tab w:leader="none" w:pos="646"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Qualified Performance-Based Award</w:t>
      </w:r>
      <w:r>
        <w:rPr>
          <w:rFonts w:ascii="Arial" w:cs="Arial" w:eastAsia="Arial" w:hAnsi="Arial"/>
          <w:sz w:val="18"/>
          <w:szCs w:val="18"/>
          <w:color w:val="auto"/>
        </w:rPr>
        <w:t>” means a grant that is intended by the Executive Compensation Committee to qualify for the exemption from the limitation on deductibility imposed by Section 162(m)(4)(C) of the Code.</w:t>
      </w:r>
    </w:p>
    <w:p>
      <w:pPr>
        <w:spacing w:after="0" w:line="125" w:lineRule="exact"/>
        <w:rPr>
          <w:rFonts w:ascii="Arial" w:cs="Arial" w:eastAsia="Arial" w:hAnsi="Arial"/>
          <w:sz w:val="18"/>
          <w:szCs w:val="18"/>
          <w:color w:val="auto"/>
        </w:rPr>
      </w:pPr>
    </w:p>
    <w:p>
      <w:pPr>
        <w:ind w:left="-20" w:right="160" w:firstLine="464"/>
        <w:spacing w:after="0" w:line="258"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your employment with the Company, inclusive of any period of credited service that may be allocated to you by the Company in writing for periods during which you were not employed with the Company. Your Service will be considered to have ceased with the Company if, immediately after a sale, merger or other corporate transaction, the trade, business or entity with which you are employed is not T. Rowe Price Group, Inc. or its successor or an Affiliate of T. Rowe Price Group, Inc. or its successor.</w:t>
      </w:r>
    </w:p>
    <w:p>
      <w:pPr>
        <w:spacing w:after="0" w:line="142" w:lineRule="exact"/>
        <w:rPr>
          <w:rFonts w:ascii="Arial" w:cs="Arial" w:eastAsia="Arial" w:hAnsi="Arial"/>
          <w:sz w:val="18"/>
          <w:szCs w:val="18"/>
          <w:color w:val="auto"/>
        </w:rPr>
      </w:pPr>
    </w:p>
    <w:p>
      <w:pPr>
        <w:ind w:left="-20" w:right="100" w:firstLine="464"/>
        <w:spacing w:after="0" w:line="294" w:lineRule="auto"/>
        <w:tabs>
          <w:tab w:leader="none" w:pos="68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xml:space="preserve">” means the termination of your employment with the Company. Temporary absences from employment because of illness, vacation or leave of absence and transfers among entities which comprise the Company, including all Affiliates, shall not be considered Terminations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has discretion to determine that a Termination of Service has occurred if, for six continuous months, you are absent or otherwise unable for any reason to perform substantially all the essential duties of your position, as determined by the Committee. The Committee has discretion to determine the date upon which you incur a Termination of Service.</w:t>
      </w:r>
    </w:p>
    <w:p>
      <w:pPr>
        <w:spacing w:after="0" w:line="115" w:lineRule="exact"/>
        <w:rPr>
          <w:rFonts w:ascii="Arial" w:cs="Arial" w:eastAsia="Arial" w:hAnsi="Arial"/>
          <w:sz w:val="16"/>
          <w:szCs w:val="16"/>
          <w:color w:val="auto"/>
        </w:rPr>
      </w:pPr>
    </w:p>
    <w:p>
      <w:pPr>
        <w:ind w:left="740" w:hanging="296"/>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mean this Statement of Additional Terms Regarding Awards of Restricted Stock.</w:t>
      </w:r>
    </w:p>
    <w:p>
      <w:pPr>
        <w:spacing w:after="0" w:line="171" w:lineRule="exact"/>
        <w:rPr>
          <w:rFonts w:ascii="Arial" w:cs="Arial" w:eastAsia="Arial" w:hAnsi="Arial"/>
          <w:sz w:val="18"/>
          <w:szCs w:val="18"/>
          <w:color w:val="auto"/>
        </w:rPr>
      </w:pPr>
    </w:p>
    <w:p>
      <w:pPr>
        <w:ind w:left="-20" w:right="20" w:firstLine="464"/>
        <w:spacing w:after="0" w:line="291" w:lineRule="auto"/>
        <w:tabs>
          <w:tab w:leader="none" w:pos="68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and Permanent Disability</w:t>
      </w:r>
      <w:r>
        <w:rPr>
          <w:rFonts w:ascii="Arial" w:cs="Arial" w:eastAsia="Arial" w:hAnsi="Arial"/>
          <w:sz w:val="16"/>
          <w:szCs w:val="16"/>
          <w:color w:val="auto"/>
        </w:rPr>
        <w:t>” means that you are (i) unable to engage in any substantial gainful activity by reason of any medically determinable physical or mental impairment that can be expected to last until your death or result in death, or (ii) determined to be totally disabled by the Social Security Administration or other governmental or quasi-governmental body that administers a comparable social insurance program outside of the United States in which you participate and which conditions the right to receive benefits under such program on your being unable to engage in any substantial gainful activity by reason of any medically determinable physical or mental impairment which can be expected to last until your death or result in death. The Committee may require such medical or other evidence as it deems necessary to judge the nature and permanency of your condition.</w:t>
      </w:r>
    </w:p>
    <w:p>
      <w:pPr>
        <w:spacing w:after="0" w:line="120" w:lineRule="exact"/>
        <w:rPr>
          <w:rFonts w:ascii="Arial" w:cs="Arial" w:eastAsia="Arial" w:hAnsi="Arial"/>
          <w:sz w:val="16"/>
          <w:szCs w:val="16"/>
          <w:color w:val="auto"/>
        </w:rPr>
      </w:pPr>
    </w:p>
    <w:p>
      <w:pPr>
        <w:ind w:left="-20" w:right="80" w:firstLine="464"/>
        <w:spacing w:after="0" w:line="256"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means the recipient of the Award Shares as reflected in the Notice. Whenever the word “you” or “your” is used in any provision of this Agreement under circumstances where the provision should logically be construed, as determined by the Committee, to apply to the estate, personal representative, or beneficiary to whom the Award Shares may be transferred by will or by the laws of descent and distribution, the words “you” and “your” shall be deemed to include such person.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SUBSIDIARIES OF T. ROWE PRICE GROUP, INC.</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ind w:left="2740"/>
              <w:spacing w:after="0"/>
              <w:rPr>
                <w:sz w:val="20"/>
                <w:szCs w:val="20"/>
                <w:color w:val="auto"/>
              </w:rPr>
            </w:pPr>
            <w:r>
              <w:rPr>
                <w:rFonts w:ascii="Arial" w:cs="Arial" w:eastAsia="Arial" w:hAnsi="Arial"/>
                <w:sz w:val="18"/>
                <w:szCs w:val="18"/>
                <w:color w:val="auto"/>
                <w:w w:val="94"/>
              </w:rPr>
              <w:t>EXHIBIT 21</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 companies and place of incorporation</w:t>
            </w:r>
          </w:p>
        </w:tc>
        <w:tc>
          <w:tcPr>
            <w:tcW w:w="3880" w:type="dxa"/>
            <w:vAlign w:val="bottom"/>
          </w:tcPr>
          <w:p>
            <w:pPr>
              <w:spacing w:after="0"/>
              <w:rPr>
                <w:sz w:val="24"/>
                <w:szCs w:val="24"/>
                <w:color w:val="auto"/>
              </w:rPr>
            </w:pPr>
          </w:p>
        </w:tc>
        <w:tc>
          <w:tcPr>
            <w:tcW w:w="4520" w:type="dxa"/>
            <w:vAlign w:val="bottom"/>
            <w:gridSpan w:val="3"/>
          </w:tcPr>
          <w:p>
            <w:pPr>
              <w:ind w:left="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Advisory Services, Inc. (Maryland)</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T. Rowe Price Associates, Inc. (Maryland)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(Canada), Inc. (Maryland)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 Rowe Price Investment Services, Inc. (Maryland)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Retirement Plan Services, Inc. (Maryland)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 Rowe Price Savings Bank (Maryland)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Services, Inc. (Maryland)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TRP Suburban Second, Inc. (Maryland)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 Rowe Price International Ltd (United Kingdom)</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880"/>
              <w:spacing w:after="0"/>
              <w:rPr>
                <w:sz w:val="20"/>
                <w:szCs w:val="20"/>
                <w:color w:val="auto"/>
              </w:rPr>
            </w:pPr>
            <w:r>
              <w:rPr>
                <w:rFonts w:ascii="Arial" w:cs="Arial" w:eastAsia="Arial" w:hAnsi="Arial"/>
                <w:sz w:val="18"/>
                <w:szCs w:val="18"/>
                <w:color w:val="auto"/>
              </w:rPr>
              <w:t>T. Rowe Price Hong Kong Limited (Hong Kong)</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 Rowe Price Singapore Private Ltd. (Singapore)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on Form S-8 (No. 33-7012, No. 33-72568, No. 333-20333, No. 333-90967, No. 333-59714, No. 333-120882, No. 333-120883, No. 333-167317, and No. 333-142092) of T. Rowe Price Group, Inc. of our reports dated February 3, 2012, with respect to the consolidated balance sheets of T. Rowe Price Group, Inc. and subsidiaries as of December 31, 2011 and 2010, and the related consolidated statements of income, stockholders’ equity and cash flows for each of the years in the three-year period ended December 31, 2011, and the effectiveness of internal control over financial reporting as of December 31, 2011, which reports appear in the December 31, 2011 Annual Report on Form 10-K of T. Rowe Price Group,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Exhibit 31(i).1 Rule 13a-14(a) Certification of Principal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90"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2011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firstLine="1"/>
        <w:spacing w:after="0" w:line="259" w:lineRule="auto"/>
        <w:tabs>
          <w:tab w:leader="none" w:pos="115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20" w:right="220" w:firstLine="421"/>
        <w:spacing w:after="0" w:line="259" w:lineRule="auto"/>
        <w:tabs>
          <w:tab w:leader="none" w:pos="158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2"/>
          <w:numId w:val="1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20" w:right="320" w:firstLine="421"/>
        <w:spacing w:after="0" w:line="259" w:lineRule="auto"/>
        <w:tabs>
          <w:tab w:leader="none" w:pos="158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560" w:firstLine="421"/>
        <w:spacing w:after="0" w:line="332" w:lineRule="auto"/>
        <w:tabs>
          <w:tab w:leader="none" w:pos="1579" w:val="left"/>
        </w:tabs>
        <w:numPr>
          <w:ilvl w:val="2"/>
          <w:numId w:val="1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31" w:right="259" w:bottom="1440" w:gutter="0" w:footer="0" w:header="0"/>
        </w:sectPr>
      </w:pPr>
    </w:p>
    <w:bookmarkStart w:id="172" w:name="page173"/>
    <w:bookmarkEnd w:id="172"/>
    <w:p>
      <w:pPr>
        <w:ind w:left="920" w:firstLine="421"/>
        <w:spacing w:after="0" w:line="268" w:lineRule="auto"/>
        <w:tabs>
          <w:tab w:leader="none" w:pos="1588"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Executive Officer and President</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80" w:right="51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Exhibit 31(i).2 Rule 13a-14(a) Certification of Principal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90"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2011 of T. Rowe Price Group,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00" w:firstLine="443"/>
        <w:spacing w:after="0" w:line="259" w:lineRule="auto"/>
        <w:tabs>
          <w:tab w:leader="none" w:pos="113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00" w:firstLine="443"/>
        <w:spacing w:after="0" w:line="332" w:lineRule="auto"/>
        <w:tabs>
          <w:tab w:leader="none" w:pos="113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31" w:right="259" w:bottom="1440" w:gutter="0" w:footer="0" w:header="0"/>
        </w:sectPr>
      </w:pPr>
    </w:p>
    <w:bookmarkStart w:id="174" w:name="page175"/>
    <w:bookmarkEnd w:id="174"/>
    <w:p>
      <w:pPr>
        <w:ind w:left="920" w:firstLine="421"/>
        <w:spacing w:after="0" w:line="268" w:lineRule="auto"/>
        <w:tabs>
          <w:tab w:leader="none" w:pos="158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Chief Financial Officer and Treasurer</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80" w:right="519" w:bottom="1440" w:gutter="0" w:footer="0" w:header="0"/>
        </w:sectPr>
      </w:pPr>
    </w:p>
    <w:bookmarkStart w:id="175" w:name="page176"/>
    <w:bookmarkEnd w:id="175"/>
    <w:p>
      <w:pPr>
        <w:spacing w:after="0"/>
        <w:tabs>
          <w:tab w:leader="none" w:pos="94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1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2011 of T. Rowe Price Group, Inc., that:</w:t>
      </w:r>
    </w:p>
    <w:p>
      <w:pPr>
        <w:spacing w:after="0" w:line="132" w:lineRule="exact"/>
        <w:rPr>
          <w:sz w:val="20"/>
          <w:szCs w:val="20"/>
          <w:color w:val="auto"/>
        </w:rPr>
      </w:pPr>
    </w:p>
    <w:p>
      <w:pPr>
        <w:ind w:left="260" w:hanging="252"/>
        <w:spacing w:after="0"/>
        <w:tabs>
          <w:tab w:leader="none" w:pos="2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Form 10-K Annual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420" w:firstLine="8"/>
        <w:spacing w:after="0" w:line="268" w:lineRule="auto"/>
        <w:tabs>
          <w:tab w:leader="none" w:pos="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February 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 and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Vice President, Chief Financial Officer and Treasurer</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upperLetter"/>
      <w:start w:val="1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1"/>
      <w:numFmt w:val="decimal"/>
      <w:start w:val="101"/>
    </w:lvl>
  </w:abstractNum>
  <w:abstractNum w:abstractNumId="17">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43F1842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
    <w:nsid w:val="60EF011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
    <w:nsid w:val="26F324B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1">
    <w:nsid w:val="7F01579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
    <w:nsid w:val="49DA307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3">
    <w:nsid w:val="7055A5F5"/>
    <w:multiLevelType w:val="hybridMultilevel"/>
    <w:lvl w:ilvl="0">
      <w:lvlJc w:val="left"/>
      <w:lvlText w:val="%1"/>
      <w:numFmt w:val="lowerLetter"/>
      <w:start w:val="1"/>
    </w:lvl>
    <w:lvl w:ilvl="1">
      <w:lvlJc w:val="left"/>
      <w:lvlText w:val="(%2)"/>
      <w:numFmt w:val="lowerLetter"/>
      <w:start w:val="35"/>
    </w:lvl>
  </w:abstractNum>
  <w:abstractNum w:abstractNumId="24">
    <w:nsid w:val="5FB8370B"/>
    <w:multiLevelType w:val="hybridMultilevel"/>
    <w:lvl w:ilvl="0">
      <w:lvlJc w:val="left"/>
      <w:lvlText w:val="(%1)"/>
      <w:numFmt w:val="lowerLetter"/>
      <w:start w:val="6"/>
    </w:lvl>
    <w:lvl w:ilvl="1">
      <w:lvlJc w:val="left"/>
      <w:lvlText w:val="%2"/>
      <w:numFmt w:val="lowerLetter"/>
      <w:start w:val="1"/>
    </w:lvl>
  </w:abstractNum>
  <w:abstractNum w:abstractNumId="25">
    <w:nsid w:val="50801EE1"/>
    <w:multiLevelType w:val="hybridMultilevel"/>
    <w:lvl w:ilvl="0">
      <w:lvlJc w:val="left"/>
      <w:lvlText w:val="%1."/>
      <w:numFmt w:val="decimal"/>
      <w:start w:val="4"/>
    </w:lvl>
    <w:lvl w:ilvl="1">
      <w:lvlJc w:val="left"/>
      <w:lvlText w:val="(%2)"/>
      <w:numFmt w:val="lowerLetter"/>
      <w:start w:val="1"/>
    </w:lvl>
  </w:abstractNum>
  <w:abstractNum w:abstractNumId="26">
    <w:nsid w:val="488AC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27">
    <w:nsid w:val="5FB8011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28">
    <w:nsid w:val="6AA78F7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29">
    <w:nsid w:val="7672BD23"/>
    <w:multiLevelType w:val="hybridMultilevel"/>
    <w:lvl w:ilvl="0">
      <w:lvlJc w:val="left"/>
      <w:lvlText w:val="%1"/>
      <w:numFmt w:val="upperLetter"/>
      <w:start w:val="1"/>
    </w:lvl>
    <w:lvl w:ilvl="1">
      <w:lvlJc w:val="left"/>
      <w:lvlText w:val="(%2)"/>
      <w:numFmt w:val="lowerRoman"/>
      <w:start w:val="2"/>
    </w:lvl>
  </w:abstractNum>
  <w:abstractNum w:abstractNumId="30">
    <w:nsid w:val="6FC75AF8"/>
    <w:multiLevelType w:val="hybridMultilevel"/>
    <w:lvl w:ilvl="0">
      <w:lvlJc w:val="left"/>
      <w:lvlText w:val="(%1)"/>
      <w:numFmt w:val="upperLetter"/>
      <w:start w:val="3"/>
    </w:lvl>
    <w:lvl w:ilvl="1">
      <w:lvlJc w:val="left"/>
      <w:lvlText w:val="%2"/>
      <w:numFmt w:val="lowerRoman"/>
      <w:start w:val="1"/>
    </w:lvl>
  </w:abstractNum>
  <w:abstractNum w:abstractNumId="31">
    <w:nsid w:val="6A5F7029"/>
    <w:multiLevelType w:val="hybridMultilevel"/>
    <w:lvl w:ilvl="0">
      <w:lvlJc w:val="left"/>
      <w:lvlText w:val="(%1)"/>
      <w:numFmt w:val="lowerLetter"/>
      <w:start w:val="3"/>
    </w:lvl>
  </w:abstractNum>
  <w:abstractNum w:abstractNumId="32">
    <w:nsid w:val="7D5E18F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3">
    <w:nsid w:val="5F3534A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4">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5">
    <w:nsid w:val="7DE6771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6">
    <w:nsid w:val="555C55B5"/>
    <w:multiLevelType w:val="hybridMultilevel"/>
    <w:lvl w:ilvl="0">
      <w:lvlJc w:val="left"/>
      <w:lvlText w:val="%1"/>
      <w:numFmt w:val="decimal"/>
      <w:start w:val="1"/>
    </w:lvl>
    <w:lvl w:ilvl="1">
      <w:lvlJc w:val="left"/>
      <w:lvlText w:val="(%2)"/>
      <w:numFmt w:val="lowerLetter"/>
      <w:start w:val="4"/>
    </w:lvl>
  </w:abstractNum>
  <w:abstractNum w:abstractNumId="37">
    <w:nsid w:val="3FA62ACA"/>
    <w:multiLevelType w:val="hybridMultilevel"/>
    <w:lvl w:ilvl="0">
      <w:lvlJc w:val="left"/>
      <w:lvlText w:val="%1."/>
      <w:numFmt w:val="decimal"/>
      <w:start w:val="10"/>
    </w:lvl>
    <w:lvl w:ilvl="1">
      <w:lvlJc w:val="left"/>
      <w:lvlText w:val="%2"/>
      <w:numFmt w:val="lowerLetter"/>
      <w:start w:val="1"/>
    </w:lvl>
  </w:abstractNum>
  <w:abstractNum w:abstractNumId="38">
    <w:nsid w:val="14FCE74E"/>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9">
    <w:nsid w:val="6A3DD3E8"/>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1"/>
    </w:lvl>
  </w:abstractNum>
  <w:abstractNum w:abstractNumId="40">
    <w:nsid w:val="71C91298"/>
    <w:multiLevelType w:val="hybridMultilevel"/>
    <w:lvl w:ilvl="0">
      <w:lvlJc w:val="left"/>
      <w:lvlText w:val="%1."/>
      <w:numFmt w:val="decimal"/>
      <w:start w:val="18"/>
    </w:lvl>
  </w:abstractNum>
  <w:abstractNum w:abstractNumId="41">
    <w:nsid w:val="9DAF632"/>
    <w:multiLevelType w:val="hybridMultilevel"/>
    <w:lvl w:ilvl="0">
      <w:lvlJc w:val="left"/>
      <w:lvlText w:val="%1."/>
      <w:numFmt w:val="decimal"/>
      <w:start w:val="23"/>
    </w:lvl>
  </w:abstractNum>
  <w:abstractNum w:abstractNumId="42">
    <w:nsid w:val="53299938"/>
    <w:multiLevelType w:val="hybridMultilevel"/>
    <w:lvl w:ilvl="0">
      <w:lvlJc w:val="left"/>
      <w:lvlText w:val="\endash "/>
      <w:numFmt w:val="bullet"/>
      <w:start w:val="1"/>
    </w:lvl>
  </w:abstractNum>
  <w:abstractNum w:abstractNumId="43">
    <w:nsid w:val="1FBFE8E0"/>
    <w:multiLevelType w:val="hybridMultilevel"/>
    <w:lvl w:ilvl="0">
      <w:lvlJc w:val="left"/>
      <w:lvlText w:val="%1."/>
      <w:numFmt w:val="decimal"/>
      <w:start w:val="25"/>
    </w:lvl>
  </w:abstractNum>
  <w:abstractNum w:abstractNumId="44">
    <w:nsid w:val="5092CA79"/>
    <w:multiLevelType w:val="hybridMultilevel"/>
    <w:lvl w:ilvl="0">
      <w:lvlJc w:val="left"/>
      <w:lvlText w:val="(%1)"/>
      <w:numFmt w:val="lowerLetter"/>
      <w:start w:val="1"/>
    </w:lvl>
  </w:abstractNum>
  <w:abstractNum w:abstractNumId="45">
    <w:nsid w:val="1D545C4D"/>
    <w:multiLevelType w:val="hybridMultilevel"/>
    <w:lvl w:ilvl="0">
      <w:lvlJc w:val="left"/>
      <w:lvlText w:val="(%1)"/>
      <w:numFmt w:val="lowerLetter"/>
      <w:start w:val="9"/>
    </w:lvl>
    <w:lvl w:ilvl="1">
      <w:lvlJc w:val="left"/>
      <w:lvlText w:val="(%2)"/>
      <w:numFmt w:val="lowerRoman"/>
      <w:start w:val="1"/>
    </w:lvl>
  </w:abstractNum>
  <w:abstractNum w:abstractNumId="46">
    <w:nsid w:val="59ADEA3D"/>
    <w:multiLevelType w:val="hybridMultilevel"/>
    <w:lvl w:ilvl="0">
      <w:lvlJc w:val="left"/>
      <w:lvlText w:val="(%1)"/>
      <w:numFmt w:val="lowerLetter"/>
      <w:start w:val="14"/>
    </w:lvl>
  </w:abstractNum>
  <w:abstractNum w:abstractNumId="47">
    <w:nsid w:val="288F1A34"/>
    <w:multiLevelType w:val="hybridMultilevel"/>
    <w:lvl w:ilvl="0">
      <w:lvlJc w:val="left"/>
      <w:lvlText w:val="(%1)"/>
      <w:numFmt w:val="lowerLetter"/>
      <w:start w:val="16"/>
    </w:lvl>
  </w:abstractNum>
  <w:abstractNum w:abstractNumId="48">
    <w:nsid w:val="2A155DBC"/>
    <w:multiLevelType w:val="hybridMultilevel"/>
    <w:lvl w:ilvl="0">
      <w:lvlJc w:val="left"/>
      <w:lvlText w:val="(%1)"/>
      <w:numFmt w:val="lowerRoman"/>
      <w:start w:val="10"/>
    </w:lvl>
  </w:abstractNum>
  <w:abstractNum w:abstractNumId="49">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97E1B4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1">
    <w:nsid w:val="5108827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
    <w:nsid w:val="1CA0C5F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3">
    <w:nsid w:val="53584BC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4">
    <w:nsid w:val="415E286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5">
    <w:nsid w:val="7C58FD05"/>
    <w:multiLevelType w:val="hybridMultilevel"/>
    <w:lvl w:ilvl="0">
      <w:lvlJc w:val="left"/>
      <w:lvlText w:val="%1"/>
      <w:numFmt w:val="lowerLetter"/>
      <w:start w:val="1"/>
    </w:lvl>
    <w:lvl w:ilvl="1">
      <w:lvlJc w:val="left"/>
      <w:lvlText w:val="(%2)"/>
      <w:numFmt w:val="lowerLetter"/>
      <w:start w:val="35"/>
    </w:lvl>
  </w:abstractNum>
  <w:abstractNum w:abstractNumId="56">
    <w:nsid w:val="23D86AAC"/>
    <w:multiLevelType w:val="hybridMultilevel"/>
    <w:lvl w:ilvl="0">
      <w:lvlJc w:val="left"/>
      <w:lvlText w:val="(%1)"/>
      <w:numFmt w:val="lowerLetter"/>
      <w:start w:val="6"/>
    </w:lvl>
    <w:lvl w:ilvl="1">
      <w:lvlJc w:val="left"/>
      <w:lvlText w:val="%2"/>
      <w:numFmt w:val="lowerLetter"/>
      <w:start w:val="1"/>
    </w:lvl>
  </w:abstractNum>
  <w:abstractNum w:abstractNumId="57">
    <w:nsid w:val="45E6D486"/>
    <w:multiLevelType w:val="hybridMultilevel"/>
    <w:lvl w:ilvl="0">
      <w:lvlJc w:val="left"/>
      <w:lvlText w:val="%1."/>
      <w:numFmt w:val="decimal"/>
      <w:start w:val="4"/>
    </w:lvl>
    <w:lvl w:ilvl="1">
      <w:lvlJc w:val="left"/>
      <w:lvlText w:val="(%2)"/>
      <w:numFmt w:val="lowerLetter"/>
      <w:start w:val="1"/>
    </w:lvl>
  </w:abstractNum>
  <w:abstractNum w:abstractNumId="58">
    <w:nsid w:val="5C10FE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59">
    <w:nsid w:val="E7FFA2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0">
    <w:nsid w:val="3C5991A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1">
    <w:nsid w:val="4BD8591A"/>
    <w:multiLevelType w:val="hybridMultilevel"/>
    <w:lvl w:ilvl="0">
      <w:lvlJc w:val="left"/>
      <w:lvlText w:val="(%1)"/>
      <w:numFmt w:val="lowerLetter"/>
      <w:start w:val="2"/>
    </w:lvl>
    <w:lvl w:ilvl="1">
      <w:lvlJc w:val="left"/>
      <w:lvlText w:val="(%2)"/>
      <w:numFmt w:val="lowerRoman"/>
      <w:start w:val="1"/>
    </w:lvl>
  </w:abstractNum>
  <w:abstractNum w:abstractNumId="62">
    <w:nsid w:val="78DF6A55"/>
    <w:multiLevelType w:val="hybridMultilevel"/>
    <w:lvl w:ilvl="0">
      <w:lvlJc w:val="left"/>
      <w:lvlText w:val="(%1)"/>
      <w:numFmt w:val="upperLetter"/>
      <w:start w:val="3"/>
    </w:lvl>
  </w:abstractNum>
  <w:abstractNum w:abstractNumId="63">
    <w:nsid w:val="39B7AAA2"/>
    <w:multiLevelType w:val="hybridMultilevel"/>
    <w:lvl w:ilvl="0">
      <w:lvlJc w:val="left"/>
      <w:lvlText w:val="%1"/>
      <w:numFmt w:val="decimal"/>
      <w:start w:val="1"/>
    </w:lvl>
    <w:lvl w:ilvl="1">
      <w:lvlJc w:val="left"/>
      <w:lvlText w:val="(%2)"/>
      <w:numFmt w:val="lowerLetter"/>
      <w:start w:val="3"/>
    </w:lvl>
  </w:abstractNum>
  <w:abstractNum w:abstractNumId="64">
    <w:nsid w:val="2B0D8DBE"/>
    <w:multiLevelType w:val="hybridMultilevel"/>
    <w:lvl w:ilvl="0">
      <w:lvlJc w:val="left"/>
      <w:lvlText w:val="%1."/>
      <w:numFmt w:val="decimal"/>
      <w:start w:val="7"/>
    </w:lvl>
    <w:lvl w:ilvl="1">
      <w:lvlJc w:val="left"/>
      <w:lvlText w:val="(%2)"/>
      <w:numFmt w:val="lowerLetter"/>
      <w:start w:val="1"/>
    </w:lvl>
  </w:abstractNum>
  <w:abstractNum w:abstractNumId="65">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379E21B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7">
    <w:nsid w:val="69E373"/>
    <w:multiLevelType w:val="hybridMultilevel"/>
    <w:lvl w:ilvl="0">
      <w:lvlJc w:val="left"/>
      <w:lvlText w:val="%1"/>
      <w:numFmt w:val="decimal"/>
      <w:start w:val="1"/>
    </w:lvl>
    <w:lvl w:ilvl="1">
      <w:lvlJc w:val="left"/>
      <w:lvlText w:val="(%2)"/>
      <w:numFmt w:val="lowerLetter"/>
      <w:start w:val="2"/>
    </w:lvl>
  </w:abstractNum>
  <w:abstractNum w:abstractNumId="68">
    <w:nsid w:val="2C27173B"/>
    <w:multiLevelType w:val="hybridMultilevel"/>
    <w:lvl w:ilvl="0">
      <w:lvlJc w:val="left"/>
      <w:lvlText w:val="%1."/>
      <w:numFmt w:val="decimal"/>
      <w:start w:val="10"/>
    </w:lvl>
    <w:lvl w:ilvl="1">
      <w:lvlJc w:val="left"/>
      <w:lvlText w:val="%2"/>
      <w:numFmt w:val="lowerLetter"/>
      <w:start w:val="1"/>
    </w:lvl>
  </w:abstractNum>
  <w:abstractNum w:abstractNumId="69">
    <w:nsid w:val="4C9B0904"/>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70">
    <w:nsid w:val="6AA7B75C"/>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1"/>
    </w:lvl>
  </w:abstractNum>
  <w:abstractNum w:abstractNumId="71">
    <w:nsid w:val="1DF029D3"/>
    <w:multiLevelType w:val="hybridMultilevel"/>
    <w:lvl w:ilvl="0">
      <w:lvlJc w:val="left"/>
      <w:lvlText w:val="%1."/>
      <w:numFmt w:val="decimal"/>
      <w:start w:val="16"/>
    </w:lvl>
  </w:abstractNum>
  <w:abstractNum w:abstractNumId="72">
    <w:nsid w:val="5675FF36"/>
    <w:multiLevelType w:val="hybridMultilevel"/>
    <w:lvl w:ilvl="0">
      <w:lvlJc w:val="left"/>
      <w:lvlText w:val="%1."/>
      <w:numFmt w:val="decimal"/>
      <w:start w:val="21"/>
    </w:lvl>
  </w:abstractNum>
  <w:abstractNum w:abstractNumId="73">
    <w:nsid w:val="3DD15094"/>
    <w:multiLevelType w:val="hybridMultilevel"/>
    <w:lvl w:ilvl="0">
      <w:lvlJc w:val="left"/>
      <w:lvlText w:val="%1."/>
      <w:numFmt w:val="decimal"/>
      <w:start w:val="24"/>
    </w:lvl>
  </w:abstractNum>
  <w:abstractNum w:abstractNumId="74">
    <w:nsid w:val="3DB012B3"/>
    <w:multiLevelType w:val="hybridMultilevel"/>
    <w:lvl w:ilvl="0">
      <w:lvlJc w:val="left"/>
      <w:lvlText w:val="(%1)"/>
      <w:numFmt w:val="lowerLetter"/>
      <w:start w:val="1"/>
    </w:lvl>
  </w:abstractNum>
  <w:abstractNum w:abstractNumId="75">
    <w:nsid w:val="2708C9AF"/>
    <w:multiLevelType w:val="hybridMultilevel"/>
    <w:lvl w:ilvl="0">
      <w:lvlJc w:val="left"/>
      <w:lvlText w:val="(%1)"/>
      <w:numFmt w:val="lowerLetter"/>
      <w:start w:val="9"/>
    </w:lvl>
    <w:lvl w:ilvl="1">
      <w:lvlJc w:val="left"/>
      <w:lvlText w:val="(%2)"/>
      <w:numFmt w:val="lowerRoman"/>
      <w:start w:val="1"/>
    </w:lvl>
  </w:abstractNum>
  <w:abstractNum w:abstractNumId="76">
    <w:nsid w:val="5B25ACE2"/>
    <w:multiLevelType w:val="hybridMultilevel"/>
    <w:lvl w:ilvl="0">
      <w:lvlJc w:val="left"/>
      <w:lvlText w:val="(%1)"/>
      <w:numFmt w:val="lowerLetter"/>
      <w:start w:val="15"/>
    </w:lvl>
  </w:abstractNum>
  <w:abstractNum w:abstractNumId="77">
    <w:nsid w:val="175DFCF0"/>
    <w:multiLevelType w:val="hybridMultilevel"/>
    <w:lvl w:ilvl="0">
      <w:lvlJc w:val="left"/>
      <w:lvlText w:val="(%1)"/>
      <w:numFmt w:val="lowerLetter"/>
      <w:start w:val="17"/>
    </w:lvl>
  </w:abstractNum>
  <w:abstractNum w:abstractNumId="78">
    <w:nsid w:val="4F97E3E4"/>
    <w:multiLevelType w:val="hybridMultilevel"/>
    <w:lvl w:ilvl="0">
      <w:lvlJc w:val="left"/>
      <w:lvlText w:val="(%1)"/>
      <w:numFmt w:val="lowerLetter"/>
      <w:start w:val="24"/>
    </w:lvl>
  </w:abstractNum>
  <w:abstractNum w:abstractNumId="79">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34FD6B4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1">
    <w:nsid w:val="5915FF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56438D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3">
    <w:nsid w:val="519E3149"/>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84">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85">
    <w:nsid w:val="17A1B58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6">
    <w:nsid w:val="4DF72E4E"/>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abstractNum>
  <w:abstractNum w:abstractNumId="87">
    <w:nsid w:val="5046B5A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8">
    <w:nsid w:val="5D888A08"/>
    <w:multiLevelType w:val="hybridMultilevel"/>
    <w:lvl w:ilvl="0">
      <w:lvlJc w:val="left"/>
      <w:lvlText w:val="%1."/>
      <w:numFmt w:val="decimal"/>
      <w:start w:val="6"/>
    </w:lvl>
    <w:lvl w:ilvl="1">
      <w:lvlJc w:val="left"/>
      <w:lvlText w:val="(%2)"/>
      <w:numFmt w:val="lowerLetter"/>
      <w:start w:val="1"/>
    </w:lvl>
  </w:abstractNum>
  <w:abstractNum w:abstractNumId="89">
    <w:nsid w:val="2A082C70"/>
    <w:multiLevelType w:val="hybridMultilevel"/>
    <w:lvl w:ilvl="0">
      <w:lvlJc w:val="left"/>
      <w:lvlText w:val="%1"/>
      <w:numFmt w:val="decimal"/>
      <w:start w:val="1"/>
    </w:lvl>
    <w:lvl w:ilvl="1">
      <w:lvlJc w:val="left"/>
      <w:lvlText w:val="(%2)"/>
      <w:numFmt w:val="lowerLetter"/>
      <w:start w:val="4"/>
    </w:lvl>
  </w:abstractNum>
  <w:abstractNum w:abstractNumId="90">
    <w:nsid w:val="5EC6AFD4"/>
    <w:multiLevelType w:val="hybridMultilevel"/>
    <w:lvl w:ilvl="0">
      <w:lvlJc w:val="left"/>
      <w:lvlText w:val="%1."/>
      <w:numFmt w:val="decimal"/>
      <w:start w:val="8"/>
    </w:lvl>
    <w:lvl w:ilvl="1">
      <w:lvlJc w:val="left"/>
      <w:lvlText w:val="%2"/>
      <w:numFmt w:val="lowerLetter"/>
      <w:start w:val="1"/>
    </w:lvl>
  </w:abstractNum>
  <w:abstractNum w:abstractNumId="91">
    <w:nsid w:val="19E21BB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92">
    <w:nsid w:val="75E0858A"/>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93">
    <w:nsid w:val="57A61A29"/>
    <w:multiLevelType w:val="hybridMultilevel"/>
    <w:lvl w:ilvl="0">
      <w:lvlJc w:val="left"/>
      <w:lvlText w:val="%1."/>
      <w:numFmt w:val="decimal"/>
      <w:start w:val="17"/>
    </w:lvl>
  </w:abstractNum>
  <w:abstractNum w:abstractNumId="94">
    <w:nsid w:val="5399C654"/>
    <w:multiLevelType w:val="hybridMultilevel"/>
    <w:lvl w:ilvl="0">
      <w:lvlJc w:val="left"/>
      <w:lvlText w:val="(%1)"/>
      <w:numFmt w:val="lowerRoman"/>
      <w:start w:val="9"/>
    </w:lvl>
    <w:lvl w:ilvl="1">
      <w:lvlJc w:val="left"/>
      <w:lvlText w:val="%2."/>
      <w:numFmt w:val="decimal"/>
      <w:start w:val="22"/>
    </w:lvl>
  </w:abstractNum>
  <w:abstractNum w:abstractNumId="95">
    <w:nsid w:val="20EE1348"/>
    <w:multiLevelType w:val="hybridMultilevel"/>
    <w:lvl w:ilvl="0">
      <w:lvlJc w:val="left"/>
      <w:lvlText w:val="%1."/>
      <w:numFmt w:val="decimal"/>
      <w:start w:val="23"/>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lowerLetter"/>
      <w:start w:val="12"/>
    </w:lvl>
  </w:abstractNum>
  <w:abstractNum w:abstractNumId="98">
    <w:nsid w:val="2157F6BC"/>
    <w:multiLevelType w:val="hybridMultilevel"/>
    <w:lvl w:ilvl="0">
      <w:lvlJc w:val="left"/>
      <w:lvlText w:val="(%1)"/>
      <w:numFmt w:val="lowerLetter"/>
      <w:start w:val="21"/>
    </w:lvl>
  </w:abstractNum>
  <w:abstractNum w:abstractNumId="99">
    <w:nsid w:val="704E1DD5"/>
    <w:multiLevelType w:val="hybridMultilevel"/>
    <w:lvl w:ilvl="0">
      <w:lvlJc w:val="left"/>
      <w:lvlText w:val="•"/>
      <w:numFmt w:val="bullet"/>
      <w:start w:val="1"/>
    </w:lvl>
  </w:abstractNum>
  <w:abstractNum w:abstractNumId="100">
    <w:nsid w:val="57D2F10E"/>
    <w:multiLevelType w:val="hybridMultilevel"/>
    <w:lvl w:ilvl="0">
      <w:lvlJc w:val="left"/>
      <w:lvlText w:val="%1."/>
      <w:numFmt w:val="decimal"/>
      <w:start w:val="1"/>
    </w:lvl>
    <w:lvl w:ilvl="1">
      <w:lvlJc w:val="left"/>
      <w:lvlText w:val="(%2)"/>
      <w:numFmt w:val="lowerLetter"/>
      <w:start w:val="1"/>
    </w:lvl>
  </w:abstractNum>
  <w:abstractNum w:abstractNumId="101">
    <w:nsid w:val="BFFAE18"/>
    <w:multiLevelType w:val="hybridMultilevel"/>
    <w:lvl w:ilvl="0">
      <w:lvlJc w:val="left"/>
      <w:lvlText w:val="(%1)"/>
      <w:numFmt w:val="lowerLetter"/>
      <w:start w:val="3"/>
    </w:lvl>
    <w:lvl w:ilvl="1">
      <w:lvlJc w:val="left"/>
      <w:lvlText w:val="(%2)"/>
      <w:numFmt w:val="lowerRoman"/>
      <w:start w:val="1"/>
    </w:lvl>
  </w:abstractNum>
  <w:abstractNum w:abstractNumId="102">
    <w:nsid w:val="E3E47A8"/>
    <w:multiLevelType w:val="hybridMultilevel"/>
    <w:lvl w:ilvl="0">
      <w:lvlJc w:val="left"/>
      <w:lvlText w:val="%1."/>
      <w:numFmt w:val="decimal"/>
      <w:start w:val="3"/>
    </w:lvl>
    <w:lvl w:ilvl="1">
      <w:lvlJc w:val="left"/>
      <w:lvlText w:val="(%2)"/>
      <w:numFmt w:val="lowerLetter"/>
      <w:start w:val="1"/>
    </w:lvl>
  </w:abstractNum>
  <w:abstractNum w:abstractNumId="103">
    <w:nsid w:val="2E48F044"/>
    <w:multiLevelType w:val="hybridMultilevel"/>
    <w:lvl w:ilvl="0">
      <w:lvlJc w:val="left"/>
      <w:lvlText w:val="%1."/>
      <w:numFmt w:val="decimal"/>
      <w:start w:val="6"/>
    </w:lvl>
    <w:lvl w:ilvl="1">
      <w:lvlJc w:val="left"/>
      <w:lvlText w:val="(%2)"/>
      <w:numFmt w:val="lowerLetter"/>
      <w:start w:val="1"/>
    </w:lvl>
  </w:abstractNum>
  <w:abstractNum w:abstractNumId="104">
    <w:nsid w:val="49D0FEAC"/>
    <w:multiLevelType w:val="hybridMultilevel"/>
    <w:lvl w:ilvl="0">
      <w:lvlJc w:val="left"/>
      <w:lvlText w:val="(%1)"/>
      <w:numFmt w:val="lowerLetter"/>
      <w:start w:val="2"/>
    </w:lvl>
    <w:lvl w:ilvl="1">
      <w:lvlJc w:val="left"/>
      <w:lvlText w:val="(%2)"/>
      <w:numFmt w:val="lowerRoman"/>
      <w:start w:val="1"/>
    </w:lvl>
  </w:abstractNum>
  <w:abstractNum w:abstractNumId="105">
    <w:nsid w:val="4BEE5A5B"/>
    <w:multiLevelType w:val="hybridMultilevel"/>
    <w:lvl w:ilvl="0">
      <w:lvlJc w:val="left"/>
      <w:lvlText w:val="(%1)"/>
      <w:numFmt w:val="upperLetter"/>
      <w:start w:val="3"/>
    </w:lvl>
  </w:abstractNum>
  <w:abstractNum w:abstractNumId="106">
    <w:nsid w:val="5551B9F3"/>
    <w:multiLevelType w:val="hybridMultilevel"/>
    <w:lvl w:ilvl="0">
      <w:lvlJc w:val="left"/>
      <w:lvlText w:val="%1"/>
      <w:numFmt w:val="decimal"/>
      <w:start w:val="1"/>
    </w:lvl>
    <w:lvl w:ilvl="1">
      <w:lvlJc w:val="left"/>
      <w:lvlText w:val="(%2)"/>
      <w:numFmt w:val="lowerLetter"/>
      <w:start w:val="3"/>
    </w:lvl>
  </w:abstractNum>
  <w:abstractNum w:abstractNumId="107">
    <w:nsid w:val="24F6AB8E"/>
    <w:multiLevelType w:val="hybridMultilevel"/>
    <w:lvl w:ilvl="0">
      <w:lvlJc w:val="left"/>
      <w:lvlText w:val="%1."/>
      <w:numFmt w:val="decimal"/>
      <w:start w:val="9"/>
    </w:lvl>
    <w:lvl w:ilvl="1">
      <w:lvlJc w:val="left"/>
      <w:lvlText w:val="(%2)"/>
      <w:numFmt w:val="lowerLetter"/>
      <w:start w:val="1"/>
    </w:lvl>
  </w:abstractNum>
  <w:abstractNum w:abstractNumId="108">
    <w:nsid w:val="634C574C"/>
    <w:multiLevelType w:val="hybridMultilevel"/>
    <w:lvl w:ilvl="0">
      <w:lvlJc w:val="left"/>
      <w:lvlText w:val="%1."/>
      <w:numFmt w:val="decimal"/>
      <w:start w:val="10"/>
    </w:lvl>
    <w:lvl w:ilvl="1">
      <w:lvlJc w:val="left"/>
      <w:lvlText w:val="(%2)"/>
      <w:numFmt w:val="lowerLetter"/>
      <w:start w:val="1"/>
    </w:lvl>
  </w:abstractNum>
  <w:abstractNum w:abstractNumId="109">
    <w:nsid w:val="24E99DD7"/>
    <w:multiLevelType w:val="hybridMultilevel"/>
    <w:lvl w:ilvl="0">
      <w:lvlJc w:val="left"/>
      <w:lvlText w:val="%1."/>
      <w:numFmt w:val="decimal"/>
      <w:start w:val="15"/>
    </w:lvl>
  </w:abstractNum>
  <w:abstractNum w:abstractNumId="110">
    <w:nsid w:val="2A31B62D"/>
    <w:multiLevelType w:val="hybridMultilevel"/>
    <w:lvl w:ilvl="0">
      <w:lvlJc w:val="left"/>
      <w:lvlText w:val="%1."/>
      <w:numFmt w:val="decimal"/>
      <w:start w:val="21"/>
    </w:lvl>
  </w:abstractNum>
  <w:abstractNum w:abstractNumId="111">
    <w:nsid w:val="1849C29B"/>
    <w:multiLevelType w:val="hybridMultilevel"/>
    <w:lvl w:ilvl="0">
      <w:lvlJc w:val="left"/>
      <w:lvlText w:val="%1."/>
      <w:numFmt w:val="decimal"/>
      <w:start w:val="24"/>
    </w:lvl>
  </w:abstractNum>
  <w:abstractNum w:abstractNumId="112">
    <w:nsid w:val="7DFF9D09"/>
    <w:multiLevelType w:val="hybridMultilevel"/>
    <w:lvl w:ilvl="0">
      <w:lvlJc w:val="left"/>
      <w:lvlText w:val="(%1)"/>
      <w:numFmt w:val="lowerRoman"/>
      <w:start w:val="6"/>
    </w:lvl>
    <w:lvl w:ilvl="1">
      <w:lvlJc w:val="left"/>
      <w:lvlText w:val="%2."/>
      <w:numFmt w:val="decimal"/>
      <w:start w:val="25"/>
    </w:lvl>
  </w:abstractNum>
  <w:abstractNum w:abstractNumId="113">
    <w:nsid w:val="754342"/>
    <w:multiLevelType w:val="hybridMultilevel"/>
    <w:lvl w:ilvl="0">
      <w:lvlJc w:val="left"/>
      <w:lvlText w:val="%1."/>
      <w:numFmt w:val="decimal"/>
      <w:start w:val="26"/>
    </w:lvl>
  </w:abstractNum>
  <w:abstractNum w:abstractNumId="114">
    <w:nsid w:val="69E7F3E5"/>
    <w:multiLevelType w:val="hybridMultilevel"/>
    <w:lvl w:ilvl="0">
      <w:lvlJc w:val="left"/>
      <w:lvlText w:val="(%1)"/>
      <w:numFmt w:val="lowerLetter"/>
      <w:start w:val="1"/>
    </w:lvl>
  </w:abstractNum>
  <w:abstractNum w:abstractNumId="115">
    <w:nsid w:val="2A6DE806"/>
    <w:multiLevelType w:val="hybridMultilevel"/>
    <w:lvl w:ilvl="0">
      <w:lvlJc w:val="left"/>
      <w:lvlText w:val="(%1)"/>
      <w:numFmt w:val="lowerLetter"/>
      <w:start w:val="9"/>
    </w:lvl>
    <w:lvl w:ilvl="1">
      <w:lvlJc w:val="left"/>
      <w:lvlText w:val="(%2)"/>
      <w:numFmt w:val="lowerRoman"/>
      <w:start w:val="1"/>
    </w:lvl>
  </w:abstractNum>
  <w:abstractNum w:abstractNumId="116">
    <w:nsid w:val="1816F8C4"/>
    <w:multiLevelType w:val="hybridMultilevel"/>
    <w:lvl w:ilvl="0">
      <w:lvlJc w:val="left"/>
      <w:lvlText w:val="(%1)"/>
      <w:numFmt w:val="lowerLetter"/>
      <w:start w:val="12"/>
    </w:lvl>
  </w:abstractNum>
  <w:abstractNum w:abstractNumId="117">
    <w:nsid w:val="37DF2233"/>
    <w:multiLevelType w:val="hybridMultilevel"/>
    <w:lvl w:ilvl="0">
      <w:lvlJc w:val="left"/>
      <w:lvlText w:val="%1"/>
      <w:numFmt w:val="lowerLetter"/>
      <w:start w:val="1"/>
    </w:lvl>
    <w:lvl w:ilvl="1">
      <w:lvlJc w:val="left"/>
      <w:lvlText w:val="(%2)"/>
      <w:numFmt w:val="lowerRoman"/>
      <w:start w:val="1"/>
    </w:lvl>
  </w:abstractNum>
  <w:abstractNum w:abstractNumId="118">
    <w:nsid w:val="7AB49DAF"/>
    <w:multiLevelType w:val="hybridMultilevel"/>
    <w:lvl w:ilvl="0">
      <w:lvlJc w:val="left"/>
      <w:lvlText w:val="(%1)"/>
      <w:numFmt w:val="lowerLetter"/>
      <w:start w:val="15"/>
    </w:lvl>
    <w:lvl w:ilvl="1">
      <w:lvlJc w:val="left"/>
      <w:lvlText w:val="%2"/>
      <w:numFmt w:val="lowerRoman"/>
      <w:start w:val="1"/>
    </w:lvl>
  </w:abstractNum>
  <w:abstractNum w:abstractNumId="119">
    <w:nsid w:val="759F82CD"/>
    <w:multiLevelType w:val="hybridMultilevel"/>
    <w:lvl w:ilvl="0">
      <w:lvlJc w:val="left"/>
      <w:lvlText w:val="(%1)"/>
      <w:numFmt w:val="lowerLetter"/>
      <w:start w:val="20"/>
    </w:lvl>
  </w:abstractNum>
  <w:abstractNum w:abstractNumId="120">
    <w:nsid w:val="61E74EA3"/>
    <w:multiLevelType w:val="hybridMultilevel"/>
    <w:lvl w:ilvl="0">
      <w:lvlJc w:val="left"/>
      <w:lvlText w:val="%1."/>
      <w:numFmt w:val="decimal"/>
      <w:start w:val="1"/>
    </w:lvl>
    <w:lvl w:ilvl="1">
      <w:lvlJc w:val="left"/>
      <w:lvlText w:val="(%2)"/>
      <w:numFmt w:val="lowerLetter"/>
      <w:start w:val="1"/>
    </w:lvl>
  </w:abstractNum>
  <w:abstractNum w:abstractNumId="121">
    <w:nsid w:val="597B4D84"/>
    <w:multiLevelType w:val="hybridMultilevel"/>
    <w:lvl w:ilvl="0">
      <w:lvlJc w:val="left"/>
      <w:lvlText w:val="(%1)"/>
      <w:numFmt w:val="lowerLetter"/>
      <w:start w:val="3"/>
    </w:lvl>
    <w:lvl w:ilvl="1">
      <w:lvlJc w:val="left"/>
      <w:lvlText w:val="(%2)"/>
      <w:numFmt w:val="lowerRoman"/>
      <w:start w:val="1"/>
    </w:lvl>
  </w:abstractNum>
  <w:abstractNum w:abstractNumId="122">
    <w:nsid w:val="F819E7F"/>
    <w:multiLevelType w:val="hybridMultilevel"/>
    <w:lvl w:ilvl="0">
      <w:lvlJc w:val="left"/>
      <w:lvlText w:val="%1."/>
      <w:numFmt w:val="decimal"/>
      <w:start w:val="3"/>
    </w:lvl>
    <w:lvl w:ilvl="1">
      <w:lvlJc w:val="left"/>
      <w:lvlText w:val="(%2)"/>
      <w:numFmt w:val="lowerLetter"/>
      <w:start w:val="1"/>
    </w:lvl>
  </w:abstractNum>
  <w:abstractNum w:abstractNumId="123">
    <w:nsid w:val="57C7D42D"/>
    <w:multiLevelType w:val="hybridMultilevel"/>
    <w:lvl w:ilvl="0">
      <w:lvlJc w:val="left"/>
      <w:lvlText w:val="%1."/>
      <w:numFmt w:val="decimal"/>
      <w:start w:val="6"/>
    </w:lvl>
    <w:lvl w:ilvl="1">
      <w:lvlJc w:val="left"/>
      <w:lvlText w:val="(%2)"/>
      <w:numFmt w:val="lowerLetter"/>
      <w:start w:val="1"/>
    </w:lvl>
  </w:abstractNum>
  <w:abstractNum w:abstractNumId="124">
    <w:nsid w:val="312167AD"/>
    <w:multiLevelType w:val="hybridMultilevel"/>
    <w:lvl w:ilvl="0">
      <w:lvlJc w:val="left"/>
      <w:lvlText w:val="(%1)"/>
      <w:numFmt w:val="lowerLetter"/>
      <w:start w:val="2"/>
    </w:lvl>
    <w:lvl w:ilvl="1">
      <w:lvlJc w:val="left"/>
      <w:lvlText w:val="(%2)"/>
      <w:numFmt w:val="lowerRoman"/>
      <w:start w:val="1"/>
    </w:lvl>
  </w:abstractNum>
  <w:abstractNum w:abstractNumId="125">
    <w:nsid w:val="631B64D4"/>
    <w:multiLevelType w:val="hybridMultilevel"/>
    <w:lvl w:ilvl="0">
      <w:lvlJc w:val="left"/>
      <w:lvlText w:val="%1"/>
      <w:numFmt w:val="upperLetter"/>
      <w:start w:val="1"/>
    </w:lvl>
    <w:lvl w:ilvl="1">
      <w:lvlJc w:val="left"/>
      <w:lvlText w:val="(%2)"/>
      <w:numFmt w:val="lowerRoman"/>
      <w:start w:val="7"/>
    </w:lvl>
  </w:abstractNum>
  <w:abstractNum w:abstractNumId="126">
    <w:nsid w:val="78B5E776"/>
    <w:multiLevelType w:val="hybridMultilevel"/>
    <w:lvl w:ilvl="0">
      <w:lvlJc w:val="left"/>
      <w:lvlText w:val="(%1)"/>
      <w:numFmt w:val="upperLetter"/>
      <w:start w:val="3"/>
    </w:lvl>
    <w:lvl w:ilvl="1">
      <w:lvlJc w:val="left"/>
      <w:lvlText w:val="%2"/>
      <w:numFmt w:val="lowerRoman"/>
      <w:start w:val="1"/>
    </w:lvl>
  </w:abstractNum>
  <w:abstractNum w:abstractNumId="127">
    <w:nsid w:val="75486E47"/>
    <w:multiLevelType w:val="hybridMultilevel"/>
    <w:lvl w:ilvl="0">
      <w:lvlJc w:val="left"/>
      <w:lvlText w:val="%1"/>
      <w:numFmt w:val="decimal"/>
      <w:start w:val="1"/>
    </w:lvl>
    <w:lvl w:ilvl="1">
      <w:lvlJc w:val="left"/>
      <w:lvlText w:val="(%2)"/>
      <w:numFmt w:val="lowerLetter"/>
      <w:start w:val="3"/>
    </w:lvl>
  </w:abstractNum>
  <w:abstractNum w:abstractNumId="128">
    <w:nsid w:val="6E534CDE"/>
    <w:multiLevelType w:val="hybridMultilevel"/>
    <w:lvl w:ilvl="0">
      <w:lvlJc w:val="left"/>
      <w:lvlText w:val="%1."/>
      <w:numFmt w:val="decimal"/>
      <w:start w:val="9"/>
    </w:lvl>
    <w:lvl w:ilvl="1">
      <w:lvlJc w:val="left"/>
      <w:lvlText w:val="(%2)"/>
      <w:numFmt w:val="lowerLetter"/>
      <w:start w:val="1"/>
    </w:lvl>
  </w:abstractNum>
  <w:abstractNum w:abstractNumId="129">
    <w:nsid w:val="1A0DDE32"/>
    <w:multiLevelType w:val="hybridMultilevel"/>
    <w:lvl w:ilvl="0">
      <w:lvlJc w:val="left"/>
      <w:lvlText w:val="%1"/>
      <w:numFmt w:val="decimal"/>
      <w:start w:val="1"/>
    </w:lvl>
    <w:lvl w:ilvl="1">
      <w:lvlJc w:val="left"/>
      <w:lvlText w:val="(%2)"/>
      <w:numFmt w:val="lowerLetter"/>
      <w:start w:val="4"/>
    </w:lvl>
  </w:abstractNum>
  <w:abstractNum w:abstractNumId="130">
    <w:nsid w:val="65968C1C"/>
    <w:multiLevelType w:val="hybridMultilevel"/>
    <w:lvl w:ilvl="0">
      <w:lvlJc w:val="left"/>
      <w:lvlText w:val="%1."/>
      <w:numFmt w:val="decimal"/>
      <w:start w:val="10"/>
    </w:lvl>
    <w:lvl w:ilvl="1">
      <w:lvlJc w:val="left"/>
      <w:lvlText w:val="(%2)"/>
      <w:numFmt w:val="lowerLetter"/>
      <w:start w:val="1"/>
    </w:lvl>
  </w:abstractNum>
  <w:abstractNum w:abstractNumId="131">
    <w:nsid w:val="46263D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2">
    <w:nsid w:val="260D8C4A"/>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1"/>
    </w:lvl>
  </w:abstractNum>
  <w:abstractNum w:abstractNumId="133">
    <w:nsid w:val="73D4D3C4"/>
    <w:multiLevelType w:val="hybridMultilevel"/>
    <w:lvl w:ilvl="0">
      <w:lvlJc w:val="left"/>
      <w:lvlText w:val="%1."/>
      <w:numFmt w:val="decimal"/>
      <w:start w:val="20"/>
    </w:lvl>
  </w:abstractNum>
  <w:abstractNum w:abstractNumId="134">
    <w:nsid w:val="746F2E30"/>
    <w:multiLevelType w:val="hybridMultilevel"/>
    <w:lvl w:ilvl="0">
      <w:lvlJc w:val="left"/>
      <w:lvlText w:val="%1."/>
      <w:numFmt w:val="decimal"/>
      <w:start w:val="24"/>
    </w:lvl>
  </w:abstractNum>
  <w:abstractNum w:abstractNumId="135">
    <w:nsid w:val="6FDE8AF6"/>
    <w:multiLevelType w:val="hybridMultilevel"/>
    <w:lvl w:ilvl="0">
      <w:lvlJc w:val="left"/>
      <w:lvlText w:val="%1."/>
      <w:numFmt w:val="decimal"/>
      <w:start w:val="25"/>
    </w:lvl>
  </w:abstractNum>
  <w:abstractNum w:abstractNumId="136">
    <w:nsid w:val="3FC32E20"/>
    <w:multiLevelType w:val="hybridMultilevel"/>
    <w:lvl w:ilvl="0">
      <w:lvlJc w:val="left"/>
      <w:lvlText w:val="%1."/>
      <w:numFmt w:val="decimal"/>
      <w:start w:val="26"/>
    </w:lvl>
  </w:abstractNum>
  <w:abstractNum w:abstractNumId="137">
    <w:nsid w:val="49C0E823"/>
    <w:multiLevelType w:val="hybridMultilevel"/>
    <w:lvl w:ilvl="0">
      <w:lvlJc w:val="left"/>
      <w:lvlText w:val="(%1)"/>
      <w:numFmt w:val="lowerLetter"/>
      <w:start w:val="1"/>
    </w:lvl>
  </w:abstractNum>
  <w:abstractNum w:abstractNumId="138">
    <w:nsid w:val="14D53685"/>
    <w:multiLevelType w:val="hybridMultilevel"/>
    <w:lvl w:ilvl="0">
      <w:lvlJc w:val="left"/>
      <w:lvlText w:val="(%1)"/>
      <w:numFmt w:val="lowerLetter"/>
      <w:start w:val="9"/>
    </w:lvl>
    <w:lvl w:ilvl="1">
      <w:lvlJc w:val="left"/>
      <w:lvlText w:val="(%2)"/>
      <w:numFmt w:val="lowerRoman"/>
      <w:start w:val="1"/>
    </w:lvl>
  </w:abstractNum>
  <w:abstractNum w:abstractNumId="139">
    <w:nsid w:val="230F856C"/>
    <w:multiLevelType w:val="hybridMultilevel"/>
    <w:lvl w:ilvl="0">
      <w:lvlJc w:val="left"/>
      <w:lvlText w:val="(%1)"/>
      <w:numFmt w:val="lowerLetter"/>
      <w:start w:val="13"/>
    </w:lvl>
  </w:abstractNum>
  <w:abstractNum w:abstractNumId="140">
    <w:nsid w:val="6EAA85FB"/>
    <w:multiLevelType w:val="hybridMultilevel"/>
    <w:lvl w:ilvl="0">
      <w:lvlJc w:val="left"/>
      <w:lvlText w:val="(%1)"/>
      <w:numFmt w:val="lowerLetter"/>
      <w:start w:val="14"/>
    </w:lvl>
    <w:lvl w:ilvl="1">
      <w:lvlJc w:val="left"/>
      <w:lvlText w:val="(%2)"/>
      <w:numFmt w:val="lowerRoman"/>
      <w:start w:val="1"/>
    </w:lvl>
  </w:abstractNum>
  <w:abstractNum w:abstractNumId="141">
    <w:nsid w:val="3F06ECB2"/>
    <w:multiLevelType w:val="hybridMultilevel"/>
    <w:lvl w:ilvl="0">
      <w:lvlJc w:val="left"/>
      <w:lvlText w:val="(%1)"/>
      <w:numFmt w:val="lowerLetter"/>
      <w:start w:val="20"/>
    </w:lvl>
  </w:abstractNum>
  <w:abstractNum w:abstractNumId="142">
    <w:nsid w:val="3B594807"/>
    <w:multiLevelType w:val="hybridMultilevel"/>
    <w:lvl w:ilvl="0">
      <w:lvlJc w:val="left"/>
      <w:lvlText w:val="•"/>
      <w:numFmt w:val="bullet"/>
      <w:start w:val="1"/>
    </w:lvl>
  </w:abstractNum>
  <w:abstractNum w:abstractNumId="143">
    <w:nsid w:val="6CAA2304"/>
    <w:multiLevelType w:val="hybridMultilevel"/>
    <w:lvl w:ilvl="0">
      <w:lvlJc w:val="left"/>
      <w:lvlText w:val="%1."/>
      <w:numFmt w:val="decimal"/>
      <w:start w:val="1"/>
    </w:lvl>
    <w:lvl w:ilvl="1">
      <w:lvlJc w:val="left"/>
      <w:lvlText w:val="(%2)"/>
      <w:numFmt w:val="lowerLetter"/>
      <w:start w:val="1"/>
    </w:lvl>
  </w:abstractNum>
  <w:abstractNum w:abstractNumId="144">
    <w:nsid w:val="3F7C2FF4"/>
    <w:multiLevelType w:val="hybridMultilevel"/>
    <w:lvl w:ilvl="0">
      <w:lvlJc w:val="left"/>
      <w:lvlText w:val="%1"/>
      <w:numFmt w:val="decimal"/>
      <w:start w:val="1"/>
    </w:lvl>
    <w:lvl w:ilvl="1">
      <w:lvlJc w:val="left"/>
      <w:lvlText w:val="(%2)"/>
      <w:numFmt w:val="lowerLetter"/>
      <w:start w:val="3"/>
    </w:lvl>
  </w:abstractNum>
  <w:abstractNum w:abstractNumId="145">
    <w:nsid w:val="25413BEC"/>
    <w:multiLevelType w:val="hybridMultilevel"/>
    <w:lvl w:ilvl="0">
      <w:lvlJc w:val="left"/>
      <w:lvlText w:val="%1."/>
      <w:numFmt w:val="decimal"/>
      <w:start w:val="3"/>
    </w:lvl>
    <w:lvl w:ilvl="1">
      <w:lvlJc w:val="left"/>
      <w:lvlText w:val="(%2)"/>
      <w:numFmt w:val="lowerLetter"/>
      <w:start w:val="1"/>
    </w:lvl>
  </w:abstractNum>
  <w:abstractNum w:abstractNumId="146">
    <w:nsid w:val="17180B0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7">
    <w:nsid w:val="579328B9"/>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148">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9">
    <w:nsid w:val="11CCA8B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50">
    <w:nsid w:val="4D32AB8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51">
    <w:nsid w:val="3F07ACC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52">
    <w:nsid w:val="6B47F63E"/>
    <w:multiLevelType w:val="hybridMultilevel"/>
    <w:lvl w:ilvl="0">
      <w:lvlJc w:val="left"/>
      <w:lvlText w:val="%1."/>
      <w:numFmt w:val="decimal"/>
      <w:start w:val="13"/>
    </w:lvl>
    <w:lvl w:ilvl="1">
      <w:lvlJc w:val="left"/>
      <w:lvlText w:val="%2"/>
      <w:numFmt w:val="decimal"/>
      <w:start w:val="1"/>
    </w:lvl>
    <w:lvl w:ilvl="2">
      <w:lvlJc w:val="left"/>
      <w:lvlText w:val="(%3)"/>
      <w:numFmt w:val="lowerLetter"/>
      <w:start w:val="1"/>
    </w:lvl>
  </w:abstractNum>
  <w:abstractNum w:abstractNumId="153">
    <w:nsid w:val="5CB44A05"/>
    <w:multiLevelType w:val="hybridMultilevel"/>
    <w:lvl w:ilvl="0">
      <w:lvlJc w:val="left"/>
      <w:lvlText w:val="%1."/>
      <w:numFmt w:val="decimal"/>
      <w:start w:val="14"/>
    </w:lvl>
  </w:abstractNum>
  <w:abstractNum w:abstractNumId="154">
    <w:nsid w:val="16CF80F1"/>
    <w:multiLevelType w:val="hybridMultilevel"/>
    <w:lvl w:ilvl="0">
      <w:lvlJc w:val="left"/>
      <w:lvlText w:val="%1."/>
      <w:numFmt w:val="decimal"/>
      <w:start w:val="19"/>
    </w:lvl>
  </w:abstractNum>
  <w:abstractNum w:abstractNumId="155">
    <w:nsid w:val="1C695DEC"/>
    <w:multiLevelType w:val="hybridMultilevel"/>
    <w:lvl w:ilvl="0">
      <w:lvlJc w:val="left"/>
      <w:lvlText w:val="%1."/>
      <w:numFmt w:val="decimal"/>
      <w:start w:val="22"/>
    </w:lvl>
  </w:abstractNum>
  <w:abstractNum w:abstractNumId="156">
    <w:nsid w:val="3FCFAED9"/>
    <w:multiLevelType w:val="hybridMultilevel"/>
    <w:lvl w:ilvl="0">
      <w:lvlJc w:val="left"/>
      <w:lvlText w:val="%1"/>
      <w:numFmt w:val="upperLetter"/>
      <w:start w:val="1"/>
    </w:lvl>
    <w:lvl w:ilvl="1">
      <w:lvlJc w:val="left"/>
      <w:lvlText w:val="(%2)"/>
      <w:numFmt w:val="lowerLetter"/>
      <w:start w:val="1"/>
    </w:lvl>
  </w:abstractNum>
  <w:abstractNum w:abstractNumId="157">
    <w:nsid w:val="F856867"/>
    <w:multiLevelType w:val="hybridMultilevel"/>
    <w:lvl w:ilvl="0">
      <w:lvlJc w:val="left"/>
      <w:lvlText w:val="(%1)"/>
      <w:numFmt w:val="upperLetter"/>
      <w:start w:val="1"/>
    </w:lvl>
    <w:lvl w:ilvl="1">
      <w:lvlJc w:val="left"/>
      <w:lvlText w:val="%2"/>
      <w:numFmt w:val="lowerLetter"/>
      <w:start w:val="1"/>
    </w:lvl>
  </w:abstractNum>
  <w:abstractNum w:abstractNumId="158">
    <w:nsid w:val="11B1CC33"/>
    <w:multiLevelType w:val="hybridMultilevel"/>
    <w:lvl w:ilvl="0">
      <w:lvlJc w:val="left"/>
      <w:lvlText w:val="(%1)"/>
      <w:numFmt w:val="upperLetter"/>
      <w:start w:val="4"/>
    </w:lvl>
    <w:lvl w:ilvl="1">
      <w:lvlJc w:val="left"/>
      <w:lvlText w:val="(%2)"/>
      <w:numFmt w:val="lowerLetter"/>
      <w:start w:val="6"/>
    </w:lvl>
  </w:abstractNum>
  <w:abstractNum w:abstractNumId="159">
    <w:nsid w:val="2E22FBB7"/>
    <w:multiLevelType w:val="hybridMultilevel"/>
    <w:lvl w:ilvl="0">
      <w:lvlJc w:val="left"/>
      <w:lvlText w:val="(%1)"/>
      <w:numFmt w:val="lowerLetter"/>
      <w:start w:val="9"/>
    </w:lvl>
    <w:lvl w:ilvl="1">
      <w:lvlJc w:val="left"/>
      <w:lvlText w:val="(%2)"/>
      <w:numFmt w:val="lowerRoman"/>
      <w:start w:val="1"/>
    </w:lvl>
  </w:abstractNum>
  <w:abstractNum w:abstractNumId="160">
    <w:nsid w:val="29934699"/>
    <w:multiLevelType w:val="hybridMultilevel"/>
    <w:lvl w:ilvl="0">
      <w:lvlJc w:val="left"/>
      <w:lvlText w:val="(%1)"/>
      <w:numFmt w:val="lowerLetter"/>
      <w:start w:val="14"/>
    </w:lvl>
    <w:lvl w:ilvl="1">
      <w:lvlJc w:val="left"/>
      <w:lvlText w:val="(%2)"/>
      <w:numFmt w:val="lowerRoman"/>
      <w:start w:val="1"/>
    </w:lvl>
  </w:abstractNum>
  <w:abstractNum w:abstractNumId="161">
    <w:nsid w:val="77485850"/>
    <w:multiLevelType w:val="hybridMultilevel"/>
    <w:lvl w:ilvl="0">
      <w:lvlJc w:val="left"/>
      <w:lvlText w:val="(%1)"/>
      <w:numFmt w:val="lowerLetter"/>
      <w:start w:val="20"/>
    </w:lvl>
  </w:abstractNum>
  <w:abstractNum w:abstractNumId="162">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63">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4">
    <w:nsid w:val="6B1D2C14"/>
    <w:multiLevelType w:val="hybridMultilevel"/>
    <w:lvl w:ilvl="0">
      <w:lvlJc w:val="left"/>
      <w:lvlText w:val="(%1)"/>
      <w:numFmt w:val="lowerLetter"/>
      <w:start w:val="2"/>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lowerLetter"/>
      <w:start w:val="2"/>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2019-12-09T13:51:51Z</dcterms:created>
  <dcterms:modified xsi:type="dcterms:W3CDTF">2019-12-09T13:51:51Z</dcterms:modified>
</cp:coreProperties>
</file>