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2"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182"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18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1307 Point Street, Baltimore, Maryland 21231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$0.20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5"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4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($0.20 par value), as of the latest practicable date, July 30, 2025, is 219,715,241.</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investment products ($1,861.7 million at June 30, 2025 and $1,555.6 million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1,989.0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at December 31, 2024,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investment products ($80.6 million at June 30, 2025 and $46.2 million at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December 31, 2024,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88"/>
        </w:trPr>
        <w:tc>
          <w:tcPr>
            <w:tcW w:w="8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$0.20 par value—authorized 750,000,000; issued 219,902,000 shares at June 30,</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 and 222,966,000 at December 31, 2024</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6/30/2025</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6/30/2025</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6/30/2024</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1,567.6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3,166.0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3,105.2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advisory fees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services, and other fees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2,332.2</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1,420.5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 Inc.</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4540"/>
        <w:spacing w:after="0" w:line="296" w:lineRule="auto"/>
        <w:rPr>
          <w:sz w:val="20"/>
          <w:szCs w:val="20"/>
          <w:color w:val="auto"/>
        </w:rPr>
      </w:pPr>
      <w:r>
        <w:rPr>
          <w:rFonts w:ascii="Arial" w:cs="Arial" w:eastAsia="Arial" w:hAnsi="Arial"/>
          <w:sz w:val="18"/>
          <w:szCs w:val="18"/>
          <w:b w:val="1"/>
          <w:bCs w:val="1"/>
          <w:color w:val="auto"/>
        </w:rPr>
        <w:t>UNAUDITED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760" w:type="dxa"/>
            <w:vAlign w:val="bottom"/>
            <w:tcBorders>
              <w:bottom w:val="single" w:sz="8" w:color="auto"/>
            </w:tcBorders>
            <w:gridSpan w:val="2"/>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760" w:type="dxa"/>
            <w:vAlign w:val="bottom"/>
            <w:tcBorders>
              <w:bottom w:val="single" w:sz="8" w:color="auto"/>
            </w:tcBorders>
            <w:gridSpan w:val="2"/>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67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6/30/2025</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6"/>
                <w:szCs w:val="16"/>
                <w:color w:val="auto"/>
              </w:rPr>
            </w:pPr>
          </w:p>
        </w:tc>
        <w:tc>
          <w:tcPr>
            <w:tcW w:w="1380" w:type="dxa"/>
            <w:vAlign w:val="bottom"/>
          </w:tcPr>
          <w:p>
            <w:pPr>
              <w:jc w:val="right"/>
              <w:ind w:right="308"/>
              <w:spacing w:after="0"/>
              <w:rPr>
                <w:sz w:val="20"/>
                <w:szCs w:val="20"/>
                <w:color w:val="auto"/>
              </w:rPr>
            </w:pPr>
            <w:r>
              <w:rPr>
                <w:rFonts w:ascii="Arial" w:cs="Arial" w:eastAsia="Arial" w:hAnsi="Arial"/>
                <w:sz w:val="14"/>
                <w:szCs w:val="14"/>
                <w:b w:val="1"/>
                <w:bCs w:val="1"/>
                <w:color w:val="auto"/>
              </w:rPr>
              <w:t>6/30/2025</w:t>
            </w: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6/30/2024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9951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1">
            <w:col w:w="11020"/>
          </w:cols>
          <w:pgMar w:left="320" w:top="931" w:right="559" w:bottom="1440" w:gutter="0" w:footer="0" w:header="0"/>
        </w:sectPr>
      </w:pPr>
    </w:p>
    <w:p>
      <w:pPr>
        <w:spacing w:after="0" w:line="10"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951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investment products -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9516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43" w:lineRule="exact"/>
        <w:rPr>
          <w:sz w:val="20"/>
          <w:szCs w:val="20"/>
          <w:color w:val="auto"/>
        </w:rPr>
      </w:pPr>
    </w:p>
    <w:p>
      <w:pPr>
        <w:ind w:left="220" w:right="200"/>
        <w:spacing w:after="0" w:line="281" w:lineRule="auto"/>
        <w:rPr>
          <w:sz w:val="20"/>
          <w:szCs w:val="20"/>
          <w:color w:val="auto"/>
        </w:rPr>
      </w:pPr>
      <w:r>
        <w:rPr>
          <w:rFonts w:ascii="Arial" w:cs="Arial" w:eastAsia="Arial" w:hAnsi="Arial"/>
          <w:sz w:val="18"/>
          <w:szCs w:val="18"/>
          <w:color w:val="auto"/>
        </w:rPr>
        <w:t>Reclassification gains recognized in non-operating income upon deconsolidation of certain investment products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951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income taxes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deferred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9516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comprehensive income (loss)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99516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pacing w:after="0" w:line="43" w:lineRule="exact"/>
        <w:rPr>
          <w:sz w:val="20"/>
          <w:szCs w:val="20"/>
          <w:color w:val="auto"/>
        </w:rPr>
      </w:pPr>
    </w:p>
    <w:p>
      <w:pPr>
        <w:ind w:left="140" w:right="420"/>
        <w:spacing w:after="0" w:line="281" w:lineRule="auto"/>
        <w:rPr>
          <w:sz w:val="20"/>
          <w:szCs w:val="20"/>
          <w:color w:val="auto"/>
        </w:rPr>
      </w:pPr>
      <w:r>
        <w:rPr>
          <w:rFonts w:ascii="Arial" w:cs="Arial" w:eastAsia="Arial" w:hAnsi="Arial"/>
          <w:sz w:val="18"/>
          <w:szCs w:val="18"/>
          <w:color w:val="auto"/>
        </w:rPr>
        <w:t>Less: comprehensive income (loss) attributable to redeemable non-controlling interests</w:t>
      </w:r>
    </w:p>
    <w:p>
      <w:pPr>
        <w:spacing w:after="0" w:line="1" w:lineRule="exact"/>
        <w:rPr>
          <w:sz w:val="20"/>
          <w:szCs w:val="20"/>
          <w:color w:val="auto"/>
        </w:rPr>
      </w:pPr>
    </w:p>
    <w:p>
      <w:pPr>
        <w:ind w:left="20"/>
        <w:spacing w:after="0"/>
        <w:tabs>
          <w:tab w:leader="none" w:pos="5400" w:val="left"/>
        </w:tabs>
        <w:rPr>
          <w:sz w:val="20"/>
          <w:szCs w:val="20"/>
          <w:color w:val="auto"/>
        </w:rPr>
      </w:pPr>
      <w:r>
        <w:rPr>
          <w:rFonts w:ascii="Arial" w:cs="Arial" w:eastAsia="Arial" w:hAnsi="Arial"/>
          <w:sz w:val="18"/>
          <w:szCs w:val="18"/>
          <w:color w:val="auto"/>
        </w:rPr>
        <w:t>Comprehensive income attributable to T. Rowe Price Group, Inc.</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556.1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w:t>
            </w:r>
          </w:p>
        </w:tc>
      </w:tr>
      <w:tr>
        <w:trPr>
          <w:trHeight w:val="794"/>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8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54"/>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54"/>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571.3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1,075.8</w:t>
            </w:r>
          </w:p>
        </w:tc>
      </w:tr>
      <w:tr>
        <w:trPr>
          <w:trHeight w:val="482"/>
        </w:trPr>
        <w:tc>
          <w:tcPr>
            <w:tcW w:w="640" w:type="dxa"/>
            <w:vAlign w:val="bottom"/>
          </w:tcPr>
          <w:p>
            <w:pPr>
              <w:jc w:val="right"/>
              <w:ind w:right="90"/>
              <w:spacing w:after="0"/>
              <w:rPr>
                <w:sz w:val="20"/>
                <w:szCs w:val="20"/>
                <w:color w:val="auto"/>
              </w:rPr>
            </w:pPr>
            <w:r>
              <w:rPr>
                <w:rFonts w:ascii="Arial" w:cs="Arial" w:eastAsia="Arial" w:hAnsi="Arial"/>
                <w:sz w:val="18"/>
                <w:szCs w:val="18"/>
                <w:color w:val="auto"/>
              </w:rPr>
              <w:t>58.8</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640" w:type="dxa"/>
            <w:vAlign w:val="bottom"/>
          </w:tcPr>
          <w:p>
            <w:pPr>
              <w:jc w:val="right"/>
              <w:ind w:right="90"/>
              <w:spacing w:after="0"/>
              <w:rPr>
                <w:sz w:val="20"/>
                <w:szCs w:val="20"/>
                <w:color w:val="auto"/>
              </w:rPr>
            </w:pPr>
            <w:r>
              <w:rPr>
                <w:rFonts w:ascii="Arial" w:cs="Arial" w:eastAsia="Arial" w:hAnsi="Arial"/>
                <w:sz w:val="18"/>
                <w:szCs w:val="18"/>
                <w:color w:val="auto"/>
                <w:w w:val="97"/>
              </w:rPr>
              <w:t>512.5</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1,055.5</w:t>
            </w:r>
          </w:p>
        </w:tc>
      </w:tr>
      <w:tr>
        <w:trPr>
          <w:trHeight w:val="21"/>
        </w:trPr>
        <w:tc>
          <w:tcPr>
            <w:tcW w:w="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-33655</wp:posOffset>
            </wp:positionV>
            <wp:extent cx="840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-7620</wp:posOffset>
            </wp:positionV>
            <wp:extent cx="840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-187960</wp:posOffset>
            </wp:positionV>
            <wp:extent cx="8401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-668020</wp:posOffset>
            </wp:positionV>
            <wp:extent cx="8401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-2176780</wp:posOffset>
            </wp:positionV>
            <wp:extent cx="8401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680"/>
            <w:col w:w="4820"/>
          </w:cols>
          <w:pgMar w:left="320" w:top="931" w:right="55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31" w:right="5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6/30/2024</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1,061.2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176"/>
        </w:trPr>
        <w:tc>
          <w:tcPr>
            <w:tcW w:w="8240" w:type="dxa"/>
            <w:vAlign w:val="bottom"/>
          </w:tcPr>
          <w:p>
            <w:pPr>
              <w:ind w:left="300"/>
              <w:spacing w:after="0" w:line="176" w:lineRule="exact"/>
              <w:rPr>
                <w:sz w:val="20"/>
                <w:szCs w:val="20"/>
                <w:color w:val="auto"/>
              </w:rPr>
            </w:pPr>
            <w:r>
              <w:rPr>
                <w:rFonts w:ascii="Arial" w:cs="Arial" w:eastAsia="Arial" w:hAnsi="Arial"/>
                <w:sz w:val="18"/>
                <w:szCs w:val="18"/>
                <w:color w:val="auto"/>
              </w:rPr>
              <w:t>Net redemptions in investment products used to economically hedge deferred compensation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240" w:type="dxa"/>
            <w:vAlign w:val="bottom"/>
          </w:tcPr>
          <w:p>
            <w:pPr>
              <w:ind w:left="30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change in securities held by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cash of investment products upon consolidation (deconsolidation)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 to common stockholders and equity-unit 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contributions (distributions) to non-controlling interests in consolidated entities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of consolidated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$63.1 million at December 31, 2024,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$77.2 million at December 31, 2023, held by consolidated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$71.6 million at June 30, 2025, and $73.9 million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3,130.5</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June 30, 2024, held by consolidated investment products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4800"/>
        <w:spacing w:after="0" w:line="296"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gridSpan w:val="14"/>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Three months ended 6/30/2025</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left="29"/>
              <w:spacing w:after="0" w:line="115"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center"/>
              <w:ind w:left="9"/>
              <w:spacing w:after="0"/>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left="69"/>
              <w:spacing w:after="0" w:line="122" w:lineRule="exact"/>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ind w:left="69"/>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Common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8"/>
              </w:rPr>
              <w:t>attributable</w:t>
            </w:r>
          </w:p>
        </w:tc>
        <w:tc>
          <w:tcPr>
            <w:tcW w:w="80" w:type="dxa"/>
            <w:vAlign w:val="bottom"/>
          </w:tcPr>
          <w:p>
            <w:pPr>
              <w:spacing w:after="0"/>
              <w:rPr>
                <w:sz w:val="11"/>
                <w:szCs w:val="11"/>
                <w:color w:val="auto"/>
              </w:rPr>
            </w:pPr>
          </w:p>
        </w:tc>
        <w:tc>
          <w:tcPr>
            <w:tcW w:w="900" w:type="dxa"/>
            <w:vAlign w:val="bottom"/>
            <w:gridSpan w:val="5"/>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capital in</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37"/>
              <w:spacing w:after="0" w:line="122" w:lineRule="exact"/>
              <w:rPr>
                <w:sz w:val="20"/>
                <w:szCs w:val="20"/>
                <w:color w:val="auto"/>
              </w:rPr>
            </w:pPr>
            <w:r>
              <w:rPr>
                <w:rFonts w:ascii="Arial" w:cs="Arial" w:eastAsia="Arial" w:hAnsi="Arial"/>
                <w:sz w:val="13"/>
                <w:szCs w:val="13"/>
                <w:b w:val="1"/>
                <w:bCs w:val="1"/>
                <w:color w:val="auto"/>
                <w:w w:val="94"/>
              </w:rPr>
              <w:t>to T. Rowe</w:t>
            </w:r>
          </w:p>
        </w:tc>
        <w:tc>
          <w:tcPr>
            <w:tcW w:w="80" w:type="dxa"/>
            <w:vAlign w:val="bottom"/>
          </w:tcPr>
          <w:p>
            <w:pPr>
              <w:spacing w:after="0"/>
              <w:rPr>
                <w:sz w:val="10"/>
                <w:szCs w:val="10"/>
                <w:color w:val="auto"/>
              </w:rPr>
            </w:pPr>
          </w:p>
        </w:tc>
        <w:tc>
          <w:tcPr>
            <w:tcW w:w="90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7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6"/>
              </w:rPr>
              <w:t>permanent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88"/>
              <w:spacing w:after="0" w:line="122" w:lineRule="exact"/>
              <w:rPr>
                <w:sz w:val="20"/>
                <w:szCs w:val="20"/>
                <w:color w:val="auto"/>
              </w:rPr>
            </w:pPr>
            <w:r>
              <w:rPr>
                <w:rFonts w:ascii="Arial" w:cs="Arial" w:eastAsia="Arial" w:hAnsi="Arial"/>
                <w:sz w:val="13"/>
                <w:szCs w:val="13"/>
                <w:b w:val="1"/>
                <w:bCs w:val="1"/>
                <w:color w:val="auto"/>
              </w:rPr>
              <w:t>non-</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3"/>
            <w:vMerge w:val="restart"/>
          </w:tcPr>
          <w:p>
            <w:pPr>
              <w:jc w:val="right"/>
              <w:ind w:right="17"/>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80" w:type="dxa"/>
            <w:vAlign w:val="bottom"/>
          </w:tcPr>
          <w:p>
            <w:pPr>
              <w:spacing w:after="0"/>
              <w:rPr>
                <w:sz w:val="10"/>
                <w:szCs w:val="10"/>
                <w:color w:val="auto"/>
              </w:rPr>
            </w:pPr>
          </w:p>
        </w:tc>
        <w:tc>
          <w:tcPr>
            <w:tcW w:w="900" w:type="dxa"/>
            <w:vAlign w:val="bottom"/>
            <w:gridSpan w:val="5"/>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840" w:type="dxa"/>
            <w:vAlign w:val="bottom"/>
            <w:gridSpan w:val="4"/>
          </w:tcPr>
          <w:p>
            <w:pPr>
              <w:ind w:left="20"/>
              <w:spacing w:after="0" w:line="122" w:lineRule="exact"/>
              <w:rPr>
                <w:sz w:val="20"/>
                <w:szCs w:val="20"/>
                <w:color w:val="auto"/>
              </w:rPr>
            </w:pPr>
            <w:r>
              <w:rPr>
                <w:rFonts w:ascii="Arial" w:cs="Arial" w:eastAsia="Arial" w:hAnsi="Arial"/>
                <w:sz w:val="13"/>
                <w:szCs w:val="13"/>
                <w:b w:val="1"/>
                <w:bCs w:val="1"/>
                <w:color w:val="auto"/>
                <w:w w:val="94"/>
              </w:rPr>
              <w:t>stockholders’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right"/>
              <w:ind w:right="8"/>
              <w:spacing w:after="0" w:line="122" w:lineRule="exact"/>
              <w:rPr>
                <w:sz w:val="20"/>
                <w:szCs w:val="20"/>
                <w:color w:val="auto"/>
              </w:rPr>
            </w:pPr>
            <w:r>
              <w:rPr>
                <w:rFonts w:ascii="Arial" w:cs="Arial" w:eastAsia="Arial" w:hAnsi="Arial"/>
                <w:sz w:val="13"/>
                <w:szCs w:val="13"/>
                <w:b w:val="1"/>
                <w:bCs w:val="1"/>
                <w:color w:val="auto"/>
              </w:rPr>
              <w:t>controlling</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9"/>
              </w:rPr>
              <w:t>stock</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w w:val="97"/>
              </w:rPr>
              <w:t>Inc.</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221,061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160.2</w:t>
            </w:r>
          </w:p>
        </w:tc>
        <w:tc>
          <w:tcPr>
            <w:tcW w:w="4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$ 10,242.2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10,394.7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10,555.1</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977.2</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503.7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Dividends declared ($1.27 per share)</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color w:val="auto"/>
              </w:rPr>
              <w:t>(286.1)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(286.1)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8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Restricted shares withheld for taxes, net of shares</w:t>
            </w: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issued</w:t>
            </w:r>
          </w:p>
        </w:tc>
        <w:tc>
          <w:tcPr>
            <w:tcW w:w="7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tcPr>
          <w:p>
            <w:pPr>
              <w:ind w:left="120"/>
              <w:spacing w:after="0"/>
              <w:rPr>
                <w:sz w:val="20"/>
                <w:szCs w:val="20"/>
                <w:color w:val="auto"/>
              </w:rPr>
            </w:pPr>
            <w:r>
              <w:rPr>
                <w:rFonts w:ascii="Arial" w:cs="Arial" w:eastAsia="Arial" w:hAnsi="Arial"/>
                <w:sz w:val="14"/>
                <w:szCs w:val="14"/>
                <w:color w:val="auto"/>
              </w:rPr>
              <w:t>Net shares issued upon vesting of restricted stock units</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Common shares repurchased</w:t>
            </w:r>
          </w:p>
        </w:tc>
        <w:tc>
          <w:tcPr>
            <w:tcW w:w="820" w:type="dxa"/>
            <w:vAlign w:val="bottom"/>
            <w:gridSpan w:val="4"/>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(108.3)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(108.6)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contributions to non-controlling interests in</w:t>
            </w:r>
          </w:p>
        </w:tc>
        <w:tc>
          <w:tcPr>
            <w:tcW w:w="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deconsolidations of T. Rowe Price investment</w:t>
            </w:r>
          </w:p>
        </w:tc>
        <w:tc>
          <w:tcPr>
            <w:tcW w:w="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3"/>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gridSpan w:val="3"/>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Balances at June 30, 2025</w:t>
            </w:r>
          </w:p>
        </w:tc>
        <w:tc>
          <w:tcPr>
            <w:tcW w:w="6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219,902</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44.0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99.8</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9"/>
              </w:rPr>
              <w:t>$ 10,461.3</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(44.6)</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10,560.5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153.3</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10,713.8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1,099.1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700" w:type="dxa"/>
            <w:vAlign w:val="bottom"/>
            <w:gridSpan w:val="5"/>
          </w:tcPr>
          <w:p>
            <w:pPr>
              <w:spacing w:after="0"/>
              <w:rPr>
                <w:sz w:val="24"/>
                <w:szCs w:val="24"/>
                <w:color w:val="auto"/>
              </w:rPr>
            </w:pPr>
          </w:p>
        </w:tc>
        <w:tc>
          <w:tcPr>
            <w:tcW w:w="86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160" w:type="dxa"/>
            <w:vAlign w:val="bottom"/>
            <w:tcBorders>
              <w:bottom w:val="single" w:sz="8" w:color="auto"/>
            </w:tcBorders>
            <w:gridSpan w:val="12"/>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 6/30/2024</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89"/>
              <w:spacing w:after="0" w:line="126"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jc w:val="center"/>
              <w:spacing w:after="0" w:line="126"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center"/>
              <w:ind w:right="169"/>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9"/>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1020" w:type="dxa"/>
            <w:vAlign w:val="bottom"/>
            <w:gridSpan w:val="6"/>
            <w:vMerge w:val="restart"/>
          </w:tcPr>
          <w:p>
            <w:pPr>
              <w:jc w:val="right"/>
              <w:ind w:right="188"/>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5"/>
              </w:rPr>
              <w:t>Common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100" w:type="dxa"/>
            <w:vAlign w:val="bottom"/>
          </w:tcPr>
          <w:p>
            <w:pPr>
              <w:spacing w:after="0"/>
              <w:rPr>
                <w:sz w:val="10"/>
                <w:szCs w:val="10"/>
                <w:color w:val="auto"/>
              </w:rPr>
            </w:pPr>
          </w:p>
        </w:tc>
        <w:tc>
          <w:tcPr>
            <w:tcW w:w="8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740" w:type="dxa"/>
            <w:vAlign w:val="bottom"/>
            <w:gridSpan w:val="6"/>
            <w:vMerge w:val="restart"/>
          </w:tcPr>
          <w:p>
            <w:pPr>
              <w:jc w:val="right"/>
              <w:ind w:right="140"/>
              <w:spacing w:after="0"/>
              <w:rPr>
                <w:sz w:val="20"/>
                <w:szCs w:val="20"/>
                <w:color w:val="auto"/>
              </w:rPr>
            </w:pPr>
            <w:r>
              <w:rPr>
                <w:rFonts w:ascii="Arial" w:cs="Arial" w:eastAsia="Arial" w:hAnsi="Arial"/>
                <w:sz w:val="13"/>
                <w:szCs w:val="13"/>
                <w:b w:val="1"/>
                <w:bCs w:val="1"/>
                <w:color w:val="auto"/>
              </w:rPr>
              <w:t>Common</w:t>
            </w:r>
          </w:p>
        </w:tc>
        <w:tc>
          <w:tcPr>
            <w:tcW w:w="740" w:type="dxa"/>
            <w:vAlign w:val="bottom"/>
            <w:gridSpan w:val="6"/>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capital in</w:t>
            </w:r>
          </w:p>
        </w:tc>
        <w:tc>
          <w:tcPr>
            <w:tcW w:w="4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4"/>
          </w:tcPr>
          <w:p>
            <w:pPr>
              <w:jc w:val="center"/>
              <w:ind w:right="49"/>
              <w:spacing w:after="0" w:line="135" w:lineRule="exact"/>
              <w:rPr>
                <w:sz w:val="20"/>
                <w:szCs w:val="20"/>
                <w:color w:val="auto"/>
              </w:rPr>
            </w:pPr>
            <w:r>
              <w:rPr>
                <w:rFonts w:ascii="Arial" w:cs="Arial" w:eastAsia="Arial" w:hAnsi="Arial"/>
                <w:sz w:val="13"/>
                <w:szCs w:val="13"/>
                <w:b w:val="1"/>
                <w:bCs w:val="1"/>
                <w:color w:val="auto"/>
                <w:w w:val="94"/>
              </w:rPr>
              <w:t>to T. Rowe</w:t>
            </w:r>
          </w:p>
        </w:tc>
        <w:tc>
          <w:tcPr>
            <w:tcW w:w="100" w:type="dxa"/>
            <w:vAlign w:val="bottom"/>
          </w:tcPr>
          <w:p>
            <w:pPr>
              <w:spacing w:after="0"/>
              <w:rPr>
                <w:sz w:val="11"/>
                <w:szCs w:val="11"/>
                <w:color w:val="auto"/>
              </w:rPr>
            </w:pPr>
          </w:p>
        </w:tc>
        <w:tc>
          <w:tcPr>
            <w:tcW w:w="8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interests in</w:t>
            </w:r>
          </w:p>
        </w:tc>
        <w:tc>
          <w:tcPr>
            <w:tcW w:w="80" w:type="dxa"/>
            <w:vAlign w:val="bottom"/>
          </w:tcPr>
          <w:p>
            <w:pPr>
              <w:spacing w:after="0"/>
              <w:rPr>
                <w:sz w:val="11"/>
                <w:szCs w:val="11"/>
                <w:color w:val="auto"/>
              </w:rPr>
            </w:pPr>
          </w:p>
        </w:tc>
        <w:tc>
          <w:tcPr>
            <w:tcW w:w="860" w:type="dxa"/>
            <w:vAlign w:val="bottom"/>
            <w:gridSpan w:val="4"/>
          </w:tcPr>
          <w:p>
            <w:pPr>
              <w:jc w:val="right"/>
              <w:ind w:right="49"/>
              <w:spacing w:after="0" w:line="135" w:lineRule="exact"/>
              <w:rPr>
                <w:sz w:val="20"/>
                <w:szCs w:val="20"/>
                <w:color w:val="auto"/>
              </w:rPr>
            </w:pPr>
            <w:r>
              <w:rPr>
                <w:rFonts w:ascii="Arial" w:cs="Arial" w:eastAsia="Arial" w:hAnsi="Arial"/>
                <w:sz w:val="13"/>
                <w:szCs w:val="13"/>
                <w:b w:val="1"/>
                <w:bCs w:val="1"/>
                <w:color w:val="auto"/>
              </w:rPr>
              <w:t>permanent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non-</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shares</w:t>
            </w:r>
          </w:p>
        </w:tc>
        <w:tc>
          <w:tcPr>
            <w:tcW w:w="740" w:type="dxa"/>
            <w:vAlign w:val="bottom"/>
            <w:gridSpan w:val="6"/>
            <w:vMerge w:val="continue"/>
          </w:tcPr>
          <w:p>
            <w:pPr>
              <w:spacing w:after="0"/>
              <w:rPr>
                <w:sz w:val="10"/>
                <w:szCs w:val="10"/>
                <w:color w:val="auto"/>
              </w:rPr>
            </w:pPr>
          </w:p>
        </w:tc>
        <w:tc>
          <w:tcPr>
            <w:tcW w:w="740" w:type="dxa"/>
            <w:vAlign w:val="bottom"/>
            <w:gridSpan w:val="6"/>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excess of</w:t>
            </w:r>
          </w:p>
        </w:tc>
        <w:tc>
          <w:tcPr>
            <w:tcW w:w="4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4"/>
            <w:vMerge w:val="restart"/>
          </w:tcPr>
          <w:p>
            <w:pPr>
              <w:jc w:val="right"/>
              <w:ind w:right="29"/>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80" w:type="dxa"/>
            <w:vAlign w:val="bottom"/>
          </w:tcPr>
          <w:p>
            <w:pPr>
              <w:spacing w:after="0"/>
              <w:rPr>
                <w:sz w:val="10"/>
                <w:szCs w:val="10"/>
                <w:color w:val="auto"/>
              </w:rPr>
            </w:pPr>
          </w:p>
        </w:tc>
        <w:tc>
          <w:tcPr>
            <w:tcW w:w="86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100" w:type="dxa"/>
            <w:vAlign w:val="bottom"/>
          </w:tcPr>
          <w:p>
            <w:pPr>
              <w:spacing w:after="0"/>
              <w:rPr>
                <w:sz w:val="10"/>
                <w:szCs w:val="10"/>
                <w:color w:val="auto"/>
              </w:rPr>
            </w:pPr>
          </w:p>
        </w:tc>
        <w:tc>
          <w:tcPr>
            <w:tcW w:w="8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1020" w:type="dxa"/>
            <w:vAlign w:val="bottom"/>
            <w:gridSpan w:val="6"/>
          </w:tcPr>
          <w:p>
            <w:pPr>
              <w:jc w:val="right"/>
              <w:ind w:right="228"/>
              <w:spacing w:after="0" w:line="122" w:lineRule="exact"/>
              <w:rPr>
                <w:sz w:val="20"/>
                <w:szCs w:val="20"/>
                <w:color w:val="auto"/>
              </w:rPr>
            </w:pPr>
            <w:r>
              <w:rPr>
                <w:rFonts w:ascii="Arial" w:cs="Arial" w:eastAsia="Arial" w:hAnsi="Arial"/>
                <w:sz w:val="13"/>
                <w:szCs w:val="13"/>
                <w:b w:val="1"/>
                <w:bCs w:val="1"/>
                <w:color w:val="auto"/>
              </w:rPr>
              <w:t>controlling</w:t>
            </w:r>
          </w:p>
        </w:tc>
        <w:tc>
          <w:tcPr>
            <w:tcW w:w="0" w:type="dxa"/>
            <w:vAlign w:val="bottom"/>
          </w:tcPr>
          <w:p>
            <w:pPr>
              <w:spacing w:after="0"/>
              <w:rPr>
                <w:sz w:val="1"/>
                <w:szCs w:val="1"/>
                <w:color w:val="auto"/>
              </w:rPr>
            </w:pPr>
          </w:p>
        </w:tc>
      </w:tr>
      <w:tr>
        <w:trPr>
          <w:trHeight w:val="175"/>
        </w:trPr>
        <w:tc>
          <w:tcPr>
            <w:tcW w:w="4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earnings</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169"/>
              <w:spacing w:after="0"/>
              <w:rPr>
                <w:sz w:val="20"/>
                <w:szCs w:val="20"/>
                <w:color w:val="auto"/>
              </w:rPr>
            </w:pPr>
            <w:r>
              <w:rPr>
                <w:rFonts w:ascii="Arial" w:cs="Arial" w:eastAsia="Arial" w:hAnsi="Arial"/>
                <w:sz w:val="13"/>
                <w:szCs w:val="13"/>
                <w:b w:val="1"/>
                <w:bCs w:val="1"/>
                <w:color w:val="auto"/>
                <w:w w:val="97"/>
              </w:rPr>
              <w:t>Inc.</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8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equity</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3"/>
                <w:szCs w:val="13"/>
                <w:b w:val="1"/>
                <w:bCs w:val="1"/>
                <w:color w:val="auto"/>
                <w:w w:val="95"/>
              </w:rPr>
              <w:t>interests</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223,494</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5"/>
              </w:rPr>
              <w:t>$ 9,364.8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9,784.1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205.4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9,989.5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center"/>
              <w:ind w:left="29"/>
              <w:spacing w:after="0"/>
              <w:rPr>
                <w:sz w:val="20"/>
                <w:szCs w:val="20"/>
                <w:color w:val="auto"/>
              </w:rPr>
            </w:pPr>
            <w:r>
              <w:rPr>
                <w:rFonts w:ascii="Arial" w:cs="Arial" w:eastAsia="Arial" w:hAnsi="Arial"/>
                <w:sz w:val="14"/>
                <w:szCs w:val="14"/>
                <w:color w:val="auto"/>
                <w:w w:val="97"/>
              </w:rPr>
              <w:t>(2.4)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Dividends declared ($1.24 per share)</w:t>
            </w:r>
          </w:p>
        </w:tc>
        <w:tc>
          <w:tcPr>
            <w:tcW w:w="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80" w:type="dxa"/>
            <w:vAlign w:val="bottom"/>
            <w:gridSpan w:val="2"/>
          </w:tcPr>
          <w:p>
            <w:pPr>
              <w:ind w:left="100"/>
              <w:spacing w:after="0"/>
              <w:rPr>
                <w:sz w:val="20"/>
                <w:szCs w:val="20"/>
                <w:color w:val="auto"/>
              </w:rPr>
            </w:pPr>
            <w:r>
              <w:rPr>
                <w:rFonts w:ascii="Arial" w:cs="Arial" w:eastAsia="Arial" w:hAnsi="Arial"/>
                <w:sz w:val="14"/>
                <w:szCs w:val="14"/>
                <w:color w:val="auto"/>
              </w:rPr>
              <w:t>Shares issued upon option exercises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368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Restricted shares issued, net of shares withheld for</w:t>
            </w:r>
          </w:p>
        </w:tc>
        <w:tc>
          <w:tcPr>
            <w:tcW w:w="6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taxes</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8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Net shares issued upon vesting of restricted stock</w:t>
            </w: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80" w:type="dxa"/>
            <w:vAlign w:val="bottom"/>
            <w:gridSpan w:val="2"/>
          </w:tcPr>
          <w:p>
            <w:pPr>
              <w:ind w:left="100"/>
              <w:spacing w:after="0"/>
              <w:rPr>
                <w:sz w:val="20"/>
                <w:szCs w:val="20"/>
                <w:color w:val="auto"/>
              </w:rPr>
            </w:pPr>
            <w:r>
              <w:rPr>
                <w:rFonts w:ascii="Arial" w:cs="Arial" w:eastAsia="Arial" w:hAnsi="Arial"/>
                <w:sz w:val="14"/>
                <w:szCs w:val="14"/>
                <w:color w:val="auto"/>
              </w:rPr>
              <w:t>units</w:t>
            </w: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80" w:type="dxa"/>
            <w:vAlign w:val="bottom"/>
            <w:gridSpan w:val="2"/>
          </w:tcPr>
          <w:p>
            <w:pPr>
              <w:ind w:left="100"/>
              <w:spacing w:after="0"/>
              <w:rPr>
                <w:sz w:val="20"/>
                <w:szCs w:val="20"/>
                <w:color w:val="auto"/>
              </w:rPr>
            </w:pPr>
            <w:r>
              <w:rPr>
                <w:rFonts w:ascii="Arial" w:cs="Arial" w:eastAsia="Arial" w:hAnsi="Arial"/>
                <w:sz w:val="14"/>
                <w:szCs w:val="14"/>
                <w:color w:val="auto"/>
              </w:rPr>
              <w:t>Restricted stock units issued as dividend equivalents</w:t>
            </w:r>
          </w:p>
        </w:tc>
        <w:tc>
          <w:tcPr>
            <w:tcW w:w="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2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Net contributions to non-controlling interests in</w:t>
            </w:r>
          </w:p>
        </w:tc>
        <w:tc>
          <w:tcPr>
            <w:tcW w:w="60" w:type="dxa"/>
            <w:vAlign w:val="bottom"/>
          </w:tcPr>
          <w:p>
            <w:pPr>
              <w:spacing w:after="0"/>
              <w:rPr>
                <w:sz w:val="13"/>
                <w:szCs w:val="13"/>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consolidated entities</w:t>
            </w:r>
          </w:p>
        </w:tc>
        <w:tc>
          <w:tcPr>
            <w:tcW w:w="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Net subscriptions into T. Rowe Price investment</w:t>
            </w:r>
          </w:p>
        </w:tc>
        <w:tc>
          <w:tcPr>
            <w:tcW w:w="6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Net deconsolidations of T. Rowe Price investment</w:t>
            </w:r>
          </w:p>
        </w:tc>
        <w:tc>
          <w:tcPr>
            <w:tcW w:w="60" w:type="dxa"/>
            <w:vAlign w:val="bottom"/>
          </w:tcPr>
          <w:p>
            <w:pPr>
              <w:spacing w:after="0"/>
              <w:rPr>
                <w:sz w:val="13"/>
                <w:szCs w:val="13"/>
                <w:color w:val="auto"/>
              </w:rPr>
            </w:pPr>
          </w:p>
        </w:tc>
        <w:tc>
          <w:tcPr>
            <w:tcW w:w="6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(68.1)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products</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June 30, 2024</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222,612</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5"/>
              </w:rPr>
              <w:t>$ 9,564.6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9,928.7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205.3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 w:name="page7"/>
    <w:bookmarkEnd w:id="6"/>
    <w:p>
      <w:pPr>
        <w:ind w:right="4760"/>
        <w:spacing w:after="0" w:line="296"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6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gridSpan w:val="8"/>
            <w:shd w:val="clear" w:color="auto" w:fill="CCEEFF"/>
          </w:tcPr>
          <w:p>
            <w:pPr>
              <w:ind w:left="460"/>
              <w:spacing w:after="0"/>
              <w:rPr>
                <w:sz w:val="20"/>
                <w:szCs w:val="20"/>
                <w:color w:val="auto"/>
              </w:rPr>
            </w:pPr>
            <w:r>
              <w:rPr>
                <w:rFonts w:ascii="Arial" w:cs="Arial" w:eastAsia="Arial" w:hAnsi="Arial"/>
                <w:sz w:val="13"/>
                <w:szCs w:val="13"/>
                <w:b w:val="1"/>
                <w:bCs w:val="1"/>
                <w:color w:val="auto"/>
              </w:rPr>
              <w:t>Six months ended 6/30/2025</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equity</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4"/>
              </w:rPr>
              <w:t>to T. Rowe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permanent</w:t>
            </w: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40" w:type="dxa"/>
            <w:vAlign w:val="bottom"/>
            <w:gridSpan w:val="3"/>
            <w:vMerge w:val="continue"/>
          </w:tcPr>
          <w:p>
            <w:pPr>
              <w:spacing w:after="0"/>
              <w:rPr>
                <w:sz w:val="10"/>
                <w:szCs w:val="10"/>
                <w:color w:val="auto"/>
              </w:rPr>
            </w:pP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6"/>
                <w:szCs w:val="16"/>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6"/>
                <w:szCs w:val="16"/>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Dividends declared ($2.54 per share)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60" w:type="dxa"/>
            <w:vAlign w:val="bottom"/>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66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Restricted shares issued, net of shares withheld for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shares issued upon vesting of restricted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20"/>
              <w:spacing w:after="0"/>
              <w:rPr>
                <w:sz w:val="20"/>
                <w:szCs w:val="20"/>
                <w:color w:val="auto"/>
              </w:rPr>
            </w:pPr>
            <w:r>
              <w:rPr>
                <w:rFonts w:ascii="Arial" w:cs="Arial" w:eastAsia="Arial" w:hAnsi="Arial"/>
                <w:sz w:val="14"/>
                <w:szCs w:val="14"/>
                <w:color w:val="auto"/>
              </w:rPr>
              <w:t>units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60" w:type="dxa"/>
            <w:vAlign w:val="bottom"/>
          </w:tcPr>
          <w:p>
            <w:pPr>
              <w:ind w:left="120"/>
              <w:spacing w:after="0"/>
              <w:rPr>
                <w:sz w:val="20"/>
                <w:szCs w:val="20"/>
                <w:color w:val="auto"/>
              </w:rPr>
            </w:pPr>
            <w:r>
              <w:rPr>
                <w:rFonts w:ascii="Arial" w:cs="Arial" w:eastAsia="Arial" w:hAnsi="Arial"/>
                <w:sz w:val="14"/>
                <w:szCs w:val="14"/>
                <w:color w:val="auto"/>
              </w:rPr>
              <w:t>Restricted stock units issued as dividend equivalents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distributions to non-controlling interests in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subscriptions into T. Rowe Price investment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1,099.1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3"/>
          </w:tcPr>
          <w:p>
            <w:pPr>
              <w:spacing w:after="0" w:line="20" w:lineRule="exact"/>
              <w:rPr>
                <w:sz w:val="1"/>
                <w:szCs w:val="1"/>
                <w:color w:val="auto"/>
              </w:rPr>
            </w:pPr>
          </w:p>
        </w:tc>
        <w:tc>
          <w:tcPr>
            <w:tcW w:w="9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gridSpan w:val="8"/>
            <w:shd w:val="clear" w:color="auto" w:fill="CCEEFF"/>
          </w:tcPr>
          <w:p>
            <w:pPr>
              <w:ind w:left="460"/>
              <w:spacing w:after="0"/>
              <w:rPr>
                <w:sz w:val="20"/>
                <w:szCs w:val="20"/>
                <w:color w:val="auto"/>
              </w:rPr>
            </w:pPr>
            <w:r>
              <w:rPr>
                <w:rFonts w:ascii="Arial" w:cs="Arial" w:eastAsia="Arial" w:hAnsi="Arial"/>
                <w:sz w:val="13"/>
                <w:szCs w:val="13"/>
                <w:b w:val="1"/>
                <w:bCs w:val="1"/>
                <w:color w:val="auto"/>
              </w:rPr>
              <w:t>Six months ended 6/30/2024</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equity</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4"/>
              </w:rPr>
              <w:t>to T. Rowe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6"/>
              </w:rPr>
              <w:t>permanent</w:t>
            </w: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shares</w:t>
            </w:r>
          </w:p>
        </w:tc>
        <w:tc>
          <w:tcPr>
            <w:tcW w:w="740" w:type="dxa"/>
            <w:vAlign w:val="bottom"/>
            <w:gridSpan w:val="3"/>
            <w:vMerge w:val="continue"/>
          </w:tcPr>
          <w:p>
            <w:pPr>
              <w:spacing w:after="0"/>
              <w:rPr>
                <w:sz w:val="10"/>
                <w:szCs w:val="10"/>
                <w:color w:val="auto"/>
              </w:rPr>
            </w:pP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6"/>
                <w:szCs w:val="16"/>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6"/>
                <w:szCs w:val="16"/>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223,938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9,076.1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9,505.1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4"/>
                <w:szCs w:val="14"/>
                <w:color w:val="auto"/>
              </w:rPr>
              <w:t>Dividends declared ($2.48 per share)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66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Restricted shares issued, net of shares withheld for</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shares issued upon vesting of restricted stock</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120"/>
              <w:spacing w:after="0"/>
              <w:rPr>
                <w:sz w:val="20"/>
                <w:szCs w:val="20"/>
                <w:color w:val="auto"/>
              </w:rPr>
            </w:pPr>
            <w:r>
              <w:rPr>
                <w:rFonts w:ascii="Arial" w:cs="Arial" w:eastAsia="Arial" w:hAnsi="Arial"/>
                <w:sz w:val="14"/>
                <w:szCs w:val="14"/>
                <w:color w:val="auto"/>
              </w:rPr>
              <w:t>units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60" w:type="dxa"/>
            <w:vAlign w:val="bottom"/>
          </w:tcPr>
          <w:p>
            <w:pPr>
              <w:ind w:left="120"/>
              <w:spacing w:after="0"/>
              <w:rPr>
                <w:sz w:val="20"/>
                <w:szCs w:val="20"/>
                <w:color w:val="auto"/>
              </w:rPr>
            </w:pPr>
            <w:r>
              <w:rPr>
                <w:rFonts w:ascii="Arial" w:cs="Arial" w:eastAsia="Arial" w:hAnsi="Arial"/>
                <w:sz w:val="14"/>
                <w:szCs w:val="14"/>
                <w:color w:val="auto"/>
              </w:rPr>
              <w:t>Restricted stock units issued as dividend equivalents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contributions to non-controlling interests in</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subscriptions into T. Rowe Price investment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unaudited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We are reporting performance-based advisory fees in a separate line of the consolidated income statement to increase transparency. As such, investment advisory fees for prior periods were recast to reflect the new presentation and ensure comparability.</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unaudited financial information contained in these consolidated financial statements should be read in conjunction with the consolidated financial statements contained in our 2024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ENACTED U.S. LEGISLATION.</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July 4, 2025, the One Big Beautiful Bill Act (“OBBBA”) was enacted the U.S. The OBBBA contains significant changes and modifications to federal and international tax provisions including 100% bonus depreciation and domestic research cost expensing. We are currently evaluating the impact of the legislation on our estimated annual effective tax rate. We believe that the impact of the OBBBA’s provisions will not be material to our financial position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2023-09 - </w:t>
      </w:r>
      <w:r>
        <w:rPr>
          <w:rFonts w:ascii="Arial" w:cs="Arial" w:eastAsia="Arial" w:hAnsi="Arial"/>
          <w:sz w:val="18"/>
          <w:szCs w:val="18"/>
          <w:i w:val="1"/>
          <w:iCs w:val="1"/>
          <w:color w:val="auto"/>
        </w:rPr>
        <w:t>Income Taxes (Topic 740) -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requires public entities, on an annual basis, to provide disclosure of specific categories in the rate reconciliation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of income taxes paid disaggregated by jurisdiction. This amendment is effective for our 2025 annual disclosures. We do not believe the additional disclosure requirements will have a material impact on our consolidated financial statements.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November 2024, the FASB issued Accounting Standards Update No. 2024-03 </w:t>
      </w:r>
      <w:r>
        <w:rPr>
          <w:rFonts w:ascii="Arial" w:cs="Arial" w:eastAsia="Arial" w:hAnsi="Arial"/>
          <w:sz w:val="18"/>
          <w:szCs w:val="18"/>
          <w:i w:val="1"/>
          <w:iCs w:val="1"/>
          <w:color w:val="auto"/>
        </w:rPr>
        <w:t>- Income Statement- Reporting Comprehensive Income-Expense Disaggregation Disclosures (Subtopic 220-4): Disaggregation of Income Statement Expenses</w:t>
      </w:r>
      <w:r>
        <w:rPr>
          <w:rFonts w:ascii="Arial" w:cs="Arial" w:eastAsia="Arial" w:hAnsi="Arial"/>
          <w:sz w:val="18"/>
          <w:szCs w:val="18"/>
          <w:color w:val="auto"/>
        </w:rPr>
        <w:t>, which requires disclosures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and disaggregation of certain expenses included in the income statement. The guidance is effective for the firm on January 1, 2027, and allows for either a prospective or retrospective approach on adoption. We are currently evaluating the impact that the adoption will have on our financial statements and have not yet determined our transition approach.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p>
      <w:pPr>
        <w:jc w:val="both"/>
        <w:ind w:right="38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revenues earned in the three- and six-month periods ended June 30, 2025 and 2024, are included in the table below along with details of investment advisory revenues earned from clients by their underlying asset class. We also included average assets under management by asset class, on which we earn investment advisory fees.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20" w:type="dxa"/>
            <w:vAlign w:val="bottom"/>
            <w:tcBorders>
              <w:right w:val="single" w:sz="8" w:color="auto"/>
            </w:tcBorders>
            <w:gridSpan w:val="5"/>
            <w:shd w:val="clear" w:color="auto" w:fill="CCEEFF"/>
          </w:tcPr>
          <w:p>
            <w:pPr>
              <w:ind w:left="4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shd w:val="clear" w:color="auto" w:fill="CCEEFF"/>
          </w:tcPr>
          <w:p>
            <w:pPr>
              <w:spacing w:after="0"/>
              <w:rPr>
                <w:sz w:val="16"/>
                <w:szCs w:val="16"/>
                <w:color w:val="auto"/>
              </w:rPr>
            </w:pPr>
          </w:p>
        </w:tc>
        <w:tc>
          <w:tcPr>
            <w:tcW w:w="2520" w:type="dxa"/>
            <w:vAlign w:val="bottom"/>
            <w:gridSpan w:val="4"/>
            <w:shd w:val="clear" w:color="auto" w:fill="CCEEFF"/>
          </w:tcPr>
          <w:p>
            <w:pPr>
              <w:jc w:val="right"/>
              <w:ind w:right="691"/>
              <w:spacing w:after="0"/>
              <w:rPr>
                <w:sz w:val="20"/>
                <w:szCs w:val="20"/>
                <w:color w:val="auto"/>
              </w:rPr>
            </w:pPr>
            <w:r>
              <w:rPr>
                <w:rFonts w:ascii="Arial" w:cs="Arial" w:eastAsia="Arial" w:hAnsi="Arial"/>
                <w:sz w:val="13"/>
                <w:szCs w:val="13"/>
                <w:b w:val="1"/>
                <w:bCs w:val="1"/>
                <w:color w:val="auto"/>
              </w:rPr>
              <w:t>Six months ended</w:t>
            </w: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6/30/2025</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CCEEFF"/>
              <w:right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6/30/2024</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947.5</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1,880.0</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874.5</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1,567.6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1,568.8</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3,105.2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advisory fees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Capital allocation-based income (loss)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services, and other fees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1,733.3</w:t>
            </w:r>
          </w:p>
        </w:tc>
        <w:tc>
          <w:tcPr>
            <w:tcW w:w="1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3,483.5</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Fixed income, including money market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Multi-asset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r>
      <w:tr>
        <w:trPr>
          <w:trHeight w:val="230"/>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Alternatives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AUM</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1,534.0</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Total net revenues earned from sponsored investment products totaled $1,435.2 million and $1,429.4 million for the three months ended June 30, 2025 and 2024, respectively. Total net revenues earned during the six months ended June 30, 2025 and 2024 aggregate $2,906.5 million and $2,873.0 million, respectively. Accounts receivable from these products totaled $595.2 million at June 30, 2025 and $602.0 million at December 31, 2024.</w:t>
      </w:r>
    </w:p>
    <w:p>
      <w:pPr>
        <w:spacing w:after="0" w:line="2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8.7% at June 30, 2025 and March 31, 2025, and 8.8% at December 31, 2024 of our assets under management.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consolidated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Deferred compensation liabilities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992.8</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liabilities economic hedges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3,000.5</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investment partnerships held at fair value are valued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During the three- and six- months ended June 30, 2025, net gains on investments included $112.4 million and $85.1 million, respectively, of net unrealized gains related to investments carried at fair value that were still held at June 30, 2025. For the same periods of 2024, net gains on investments included $20.0 million and $85.0 million, respectively, of net unrealized gains related to investments carried at fair value that were still held at June 30, 2024.</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six months ended June 30, 2025 and 2024,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unaudited consolidated balance sheets and statements of income as of the dates the products were deconsolidated is detailed below.</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2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40" w:type="dxa"/>
            <w:vAlign w:val="bottom"/>
            <w:gridSpan w:val="4"/>
            <w:shd w:val="clear" w:color="auto" w:fill="CCEEFF"/>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6/30/2025</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6/30/2024</w:t>
            </w: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 of consolidated investment products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175"/>
        </w:trPr>
        <w:tc>
          <w:tcPr>
            <w:tcW w:w="5740" w:type="dxa"/>
            <w:vAlign w:val="bottom"/>
          </w:tcPr>
          <w:p>
            <w:pPr>
              <w:ind w:left="20"/>
              <w:spacing w:after="0" w:line="176" w:lineRule="exact"/>
              <w:rPr>
                <w:sz w:val="20"/>
                <w:szCs w:val="20"/>
                <w:color w:val="auto"/>
              </w:rPr>
            </w:pPr>
            <w:r>
              <w:rPr>
                <w:rFonts w:ascii="Arial" w:cs="Arial" w:eastAsia="Arial" w:hAnsi="Arial"/>
                <w:sz w:val="18"/>
                <w:szCs w:val="18"/>
                <w:color w:val="auto"/>
              </w:rPr>
              <w:t>Net increase (decrease) in liabilities of consolidated investment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fair value and equity method investments at June 30, 2025 and December 31, 2024 include interests in variable interest entities that we do not consolidate as we are not deemed the primary beneficiary. Our maximum risk of loss related to our involvement with these entities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6/30/2025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949.8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unfunded capital commitments, totaling $203.0 million at June 30, 2025 and $202.5 million at December 31, 2024, related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as of June 30, 2025 and December 31, 2024,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6/30/2025</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160.7</w:t>
            </w:r>
          </w:p>
        </w:tc>
      </w:tr>
      <w:tr>
        <w:trPr>
          <w:trHeight w:val="20"/>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is debt associated with our investments in affiliated collateralized loan obligations (“CLOs”). The debt relates to outstanding repurchase agreements of €39.4 million at June 30, 2025 and € 56.9 million at December 31, 2024 (equivalent to $ 46.4 million at June 30, 2025 and $59.1 million at December 31, 2024 at the respective EUR spot rates) that are collateralized by the CLO investments and reported in accounts payable and accrued expenses in our consolidated balance sheets. These repurchase agreements bear interest at rates based on EURIBOR plus the initial margin, which equals all-in rates ranging from 1.15% to 11.11% as of June 30, 2025. The debt matures on various dates through 2035 or if the investments are paid back in full or cancelled, whichever is sooner.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27" w:lineRule="exact"/>
        <w:rPr>
          <w:sz w:val="20"/>
          <w:szCs w:val="20"/>
          <w:color w:val="auto"/>
        </w:rPr>
      </w:pPr>
    </w:p>
    <w:p>
      <w:pPr>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right="30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consolidated balance sheets using fair value measurements determined based on the differing levels of inputs. This table excludes investments held by the consolidated investment products which are presented separately in our unaudited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6/30/2025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12/31/2024</w:t>
            </w:r>
          </w:p>
        </w:tc>
      </w:tr>
      <w:tr>
        <w:trPr>
          <w:trHeight w:val="195"/>
        </w:trPr>
        <w:tc>
          <w:tcPr>
            <w:tcW w:w="6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2</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2,752.7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 economic hedges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3,770.9</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or using the measurement alternative. The carrying value of these investments as disclosed in Note 3 were $77.7 million at June 30, 2025, and $62.5 million at December 31,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INVESTMENT PRODUCTS.</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investment products that we consolidate in our consolidated financial statements are generally those products we provided initial seed capital at the time of their formation and have a controlling interest. Our U.S. mutual funds and certain other products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12/31/2024</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$0.9 million at June 30, 2025, and $4.9 million at December 31, 2024, of investments in T. Rowe Price money market mutual funds.</w:t>
      </w:r>
    </w:p>
    <w:p>
      <w:pPr>
        <w:spacing w:after="0" w:line="3" w:lineRule="exact"/>
        <w:rPr>
          <w:rFonts w:ascii="Arial" w:cs="Arial" w:eastAsia="Arial" w:hAnsi="Arial"/>
          <w:sz w:val="16"/>
          <w:szCs w:val="16"/>
          <w:i w:val="1"/>
          <w:iCs w:val="1"/>
          <w:color w:val="auto"/>
          <w:vertAlign w:val="superscript"/>
        </w:rPr>
      </w:pPr>
    </w:p>
    <w:p>
      <w:pPr>
        <w:ind w:left="140" w:hanging="132"/>
        <w:spacing w:after="0" w:line="229"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$15.4 million at June 30, 2025, and $9.3 million at December 31, 2024, of other T. Rowe Price investment products.</w:t>
      </w:r>
    </w:p>
    <w:p>
      <w:pPr>
        <w:spacing w:after="0" w:line="21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right="60"/>
        <w:spacing w:after="0" w:line="262"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unrelated third-party investors as net income attributable to redeemable non-controlling interests.</w:t>
      </w:r>
    </w:p>
    <w:p>
      <w:pPr>
        <w:spacing w:after="0" w:line="2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operating results of the consolidated investment products for the three- and six- months ended June 30, 2025 and 2024, are reflected in our unaudited consolidated statements of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8"/>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6/30/2024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30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8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30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center"/>
              <w:ind w:left="356"/>
              <w:spacing w:after="0"/>
              <w:rPr>
                <w:sz w:val="20"/>
                <w:szCs w:val="20"/>
                <w:color w:val="auto"/>
              </w:rPr>
            </w:pPr>
            <w:r>
              <w:rPr>
                <w:rFonts w:ascii="Arial" w:cs="Arial" w:eastAsia="Arial" w:hAnsi="Arial"/>
                <w:sz w:val="18"/>
                <w:szCs w:val="18"/>
                <w:color w:val="auto"/>
                <w:w w:val="97"/>
              </w:rPr>
              <w:t>(0.1)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ind w:left="48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center"/>
              <w:ind w:left="293"/>
              <w:spacing w:after="0"/>
              <w:rPr>
                <w:sz w:val="20"/>
                <w:szCs w:val="20"/>
                <w:color w:val="auto"/>
              </w:rPr>
            </w:pPr>
            <w:r>
              <w:rPr>
                <w:rFonts w:ascii="Arial" w:cs="Arial" w:eastAsia="Arial" w:hAnsi="Arial"/>
                <w:sz w:val="18"/>
                <w:szCs w:val="18"/>
                <w:color w:val="auto"/>
                <w:w w:val="97"/>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376"/>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313"/>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(loss) attributable to T. Rowe Price</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center"/>
              <w:ind w:left="376"/>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center"/>
              <w:ind w:left="313"/>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Group, Inc.</w:t>
            </w:r>
          </w:p>
        </w:tc>
        <w:tc>
          <w:tcPr>
            <w:tcW w:w="20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376"/>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313"/>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0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8"/>
            <w:shd w:val="clear" w:color="auto" w:fill="CCEEFF"/>
          </w:tcPr>
          <w:p>
            <w:pPr>
              <w:ind w:left="2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6/30/2025</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4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42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4260" w:type="dxa"/>
            <w:vAlign w:val="bottom"/>
          </w:tcPr>
          <w:p>
            <w:pPr>
              <w:ind w:left="20"/>
              <w:spacing w:after="0" w:line="163" w:lineRule="exact"/>
              <w:rPr>
                <w:sz w:val="20"/>
                <w:szCs w:val="20"/>
                <w:color w:val="auto"/>
              </w:rPr>
            </w:pPr>
            <w:r>
              <w:rPr>
                <w:rFonts w:ascii="Arial" w:cs="Arial" w:eastAsia="Arial" w:hAnsi="Arial"/>
                <w:sz w:val="18"/>
                <w:szCs w:val="18"/>
                <w:color w:val="auto"/>
              </w:rPr>
              <w:t>Operating expenses reflected in net operating</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ind w:left="396"/>
              <w:spacing w:after="0"/>
              <w:rPr>
                <w:sz w:val="20"/>
                <w:szCs w:val="20"/>
                <w:color w:val="auto"/>
              </w:rPr>
            </w:pPr>
            <w:r>
              <w:rPr>
                <w:rFonts w:ascii="Arial" w:cs="Arial" w:eastAsia="Arial" w:hAnsi="Arial"/>
                <w:sz w:val="18"/>
                <w:szCs w:val="18"/>
                <w:color w:val="auto"/>
                <w:w w:val="97"/>
              </w:rPr>
              <w:t>(0.3)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500"/>
              <w:spacing w:after="0"/>
              <w:rPr>
                <w:sz w:val="20"/>
                <w:szCs w:val="20"/>
                <w:color w:val="auto"/>
              </w:rPr>
            </w:pPr>
            <w:r>
              <w:rPr>
                <w:rFonts w:ascii="Arial" w:cs="Arial" w:eastAsia="Arial" w:hAnsi="Arial"/>
                <w:sz w:val="18"/>
                <w:szCs w:val="18"/>
                <w:color w:val="auto"/>
                <w:w w:val="97"/>
              </w:rPr>
              <w:t>(3.4)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center"/>
              <w:ind w:left="333"/>
              <w:spacing w:after="0"/>
              <w:rPr>
                <w:sz w:val="20"/>
                <w:szCs w:val="20"/>
                <w:color w:val="auto"/>
              </w:rPr>
            </w:pPr>
            <w:r>
              <w:rPr>
                <w:rFonts w:ascii="Arial" w:cs="Arial" w:eastAsia="Arial" w:hAnsi="Arial"/>
                <w:sz w:val="18"/>
                <w:szCs w:val="18"/>
                <w:color w:val="auto"/>
                <w:w w:val="97"/>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253"/>
              <w:spacing w:after="0"/>
              <w:rPr>
                <w:sz w:val="20"/>
                <w:szCs w:val="20"/>
                <w:color w:val="auto"/>
              </w:rPr>
            </w:pPr>
            <w:r>
              <w:rPr>
                <w:rFonts w:ascii="Arial" w:cs="Arial" w:eastAsia="Arial" w:hAnsi="Arial"/>
                <w:sz w:val="18"/>
                <w:szCs w:val="18"/>
                <w:color w:val="auto"/>
              </w:rPr>
              <w:t>80.8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253"/>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26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attributable to T. Rowe Price</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46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center"/>
              <w:ind w:left="253"/>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Group, Inc.</w:t>
            </w:r>
          </w:p>
        </w:tc>
        <w:tc>
          <w:tcPr>
            <w:tcW w:w="2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left="253"/>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253"/>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consolidated financial statements, we eliminated operating expenses of $1.4 million and $0.5 million for the three months ended June 30, 2025 and 2024, respectively, against the investment advisory and administrative fees earned from these products. Operating expenses eliminated for the six months ended June 30, 2025 and 2024, were $2.8 million and $ 1.7 million, respectively. The net investment income (loss) reflected in non-operating income (loss) includes dividend and interest income as well as realized and unrealized gains and losses on the underlying securities held by the consolidated investment products.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 w:name="page14"/>
    <w:bookmarkEnd w:id="13"/>
    <w:p>
      <w:pPr>
        <w:ind w:right="92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consolidated statements of cash flows for the six months ended June 30, 2025 and 2024.</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equivalents of consolidated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For the six months ended June 30, 2025, the net cash provided by (used in) financing activities includes $111.6 million of net subscriptions we made into the consolidated investment products, net of dividends received. For the six months ended June 30, 2024, the net cash provided by (used in) financing activities included $16.4 million of net redemptions we made from the consolidated investment products, net of dividends received. These cash flows were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determine the fair value of investments held by consolidated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14" w:lineRule="exact"/>
        <w:rPr>
          <w:sz w:val="20"/>
          <w:szCs w:val="20"/>
          <w:color w:val="auto"/>
        </w:rPr>
      </w:pPr>
    </w:p>
    <w:p>
      <w:pPr>
        <w:ind w:left="740" w:right="20" w:hanging="728"/>
        <w:spacing w:after="0" w:line="234"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2"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June 30, 2025 and December 31, 2024.</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6/30/2025</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12/31/2024</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608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1,173.5</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1"/>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6/30/2025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 - trade name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Indefinite-lived intangible asset - investment advisory agreement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Amortization and impairment expense for the definite-lived intangible assets was $23.5 million and $47.9 million for the three- and six-months ended June 30, 2025, respectively. For the three- and six- months ended June 30, 2024, amortization and impairment expense for the definite-lived intangible assets was $ 27.2 million and $52.7 million, respectively. Estimated amortization expense for the definite-lived intangible assets for the five succeeding years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Remaining 2025</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2027</w:t>
            </w:r>
          </w:p>
        </w:tc>
        <w:tc>
          <w:tcPr>
            <w:tcW w:w="4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5720" w:type="dxa"/>
            <w:vAlign w:val="bottom"/>
          </w:tcPr>
          <w:p>
            <w:pPr>
              <w:ind w:left="140"/>
              <w:spacing w:after="0"/>
              <w:rPr>
                <w:sz w:val="20"/>
                <w:szCs w:val="20"/>
                <w:color w:val="auto"/>
              </w:rPr>
            </w:pPr>
            <w:r>
              <w:rPr>
                <w:rFonts w:ascii="Arial" w:cs="Arial" w:eastAsia="Arial" w:hAnsi="Arial"/>
                <w:sz w:val="18"/>
                <w:szCs w:val="18"/>
                <w:color w:val="auto"/>
              </w:rPr>
              <w:t>2029</w:t>
            </w:r>
          </w:p>
        </w:tc>
        <w:tc>
          <w:tcPr>
            <w:tcW w:w="4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evaluate the carrying amount of goodwill and indefinite-lived intangible assets for possible impairment on an annual basis in the fourth quarter or if triggering events occur that require us to evaluate for impairment earlier. No triggering event occurred for goodwill in 2025, while we recorded an immaterial impairment related to the indefinite-lived investment advisory agreement intangible asset for the three months ended June 30,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INCENTIVE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661,377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292,187</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stock units during the six months ended June 30,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6,001,579</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(21,304)</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(122,769)</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June 30,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5,879,017</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Nonvested at June 30, 2025 includes performance-based restricted stock units of 359,941. These nonvested performance-based restricted stock units include 102,345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2025. Estimated future compensation expense will change to reflect future grants of restricted stock awards and units, future option grants, changes in the probability of performance thresholds being met, and adjustments for actual forfeitures.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Third quarter 2025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through 2030</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r>
      <w:tr>
        <w:trPr>
          <w:trHeight w:val="21"/>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FUND UNITS.</w:t>
      </w:r>
    </w:p>
    <w:p>
      <w:pPr>
        <w:spacing w:after="0" w:line="252"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Below is a roll forward of the restricted fund units liability which is reported in deferred compensation liabilities on the unaudited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grant date value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market appreciation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74" w:hanging="1074"/>
        <w:spacing w:after="0"/>
        <w:tabs>
          <w:tab w:leader="none" w:pos="1074" w:val="left"/>
        </w:tabs>
        <w:numPr>
          <w:ilvl w:val="0"/>
          <w:numId w:val="6"/>
        </w:numPr>
        <w:rPr>
          <w:rFonts w:ascii="Arial" w:cs="Arial" w:eastAsia="Arial" w:hAnsi="Arial"/>
          <w:sz w:val="17"/>
          <w:szCs w:val="17"/>
          <w:color w:val="auto"/>
        </w:rPr>
      </w:pPr>
      <w:r>
        <w:rPr>
          <w:rFonts w:ascii="Arial" w:cs="Arial" w:eastAsia="Arial" w:hAnsi="Arial"/>
          <w:sz w:val="17"/>
          <w:szCs w:val="17"/>
          <w:color w:val="auto"/>
        </w:rPr>
        <w:t>14.7</w:t>
      </w:r>
    </w:p>
    <w:p>
      <w:pPr>
        <w:spacing w:after="0" w:line="43"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22.9</w:t>
      </w:r>
    </w:p>
    <w:p>
      <w:pPr>
        <w:spacing w:after="0" w:line="34" w:lineRule="exact"/>
        <w:rPr>
          <w:rFonts w:ascii="Arial" w:cs="Arial" w:eastAsia="Arial" w:hAnsi="Arial"/>
          <w:sz w:val="17"/>
          <w:szCs w:val="17"/>
          <w:color w:val="auto"/>
        </w:rPr>
      </w:pPr>
    </w:p>
    <w:p>
      <w:pPr>
        <w:ind w:left="1174"/>
        <w:spacing w:after="0"/>
        <w:rPr>
          <w:rFonts w:ascii="Arial" w:cs="Arial" w:eastAsia="Arial" w:hAnsi="Arial"/>
          <w:sz w:val="17"/>
          <w:szCs w:val="17"/>
          <w:color w:val="auto"/>
        </w:rPr>
      </w:pPr>
      <w:r>
        <w:rPr>
          <w:rFonts w:ascii="Arial" w:cs="Arial" w:eastAsia="Arial" w:hAnsi="Arial"/>
          <w:sz w:val="17"/>
          <w:szCs w:val="17"/>
          <w:color w:val="auto"/>
        </w:rPr>
        <w:t>2.3</w:t>
      </w:r>
    </w:p>
    <w:p>
      <w:pPr>
        <w:spacing w:after="0" w:line="38" w:lineRule="exact"/>
        <w:rPr>
          <w:sz w:val="20"/>
          <w:szCs w:val="20"/>
          <w:color w:val="auto"/>
        </w:rPr>
      </w:pPr>
    </w:p>
    <w:p>
      <w:pPr>
        <w:ind w:left="1074" w:hanging="1074"/>
        <w:spacing w:after="0"/>
        <w:tabs>
          <w:tab w:leader="none" w:pos="1074" w:val="left"/>
        </w:tabs>
        <w:numPr>
          <w:ilvl w:val="0"/>
          <w:numId w:val="7"/>
        </w:numPr>
        <w:rPr>
          <w:rFonts w:ascii="Arial" w:cs="Arial" w:eastAsia="Arial" w:hAnsi="Arial"/>
          <w:sz w:val="17"/>
          <w:szCs w:val="17"/>
          <w:color w:val="auto"/>
        </w:rPr>
      </w:pPr>
      <w:r>
        <w:rPr>
          <w:rFonts w:ascii="Arial" w:cs="Arial" w:eastAsia="Arial" w:hAnsi="Arial"/>
          <w:sz w:val="17"/>
          <w:szCs w:val="17"/>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601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26" w:space="720"/>
            <w:col w:w="1494"/>
          </w:cols>
          <w:pgMar w:left="320" w:top="890" w:right="339" w:bottom="1440" w:gutter="0" w:footer="0" w:header="0"/>
          <w:type w:val="continuous"/>
        </w:sectPr>
      </w:pP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restricted fund units outstanding at June 30, 2025. Estimated future compensation expense will change to reflect future grants, changes in the market value of the restricted fund units which is based on selected hypothetical investments, and adjustments for actual forfeitures. The grants outstanding will vest by 2029.</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Third quarter 2025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2025</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through 2029</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Group, Inc.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6/30/2024</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allocated to outstanding restricted stock and stock</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 holders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changes in currency translation adjustments included in accumulated other comprehensive income (loss) for the three months ended June 30, 2025 and 2024 are presented in the table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Three months ended 6/30/2025</w:t>
            </w:r>
          </w:p>
        </w:tc>
        <w:tc>
          <w:tcPr>
            <w:tcW w:w="14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Three months ended 6/30/2024</w:t>
            </w: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1"/>
                <w:szCs w:val="11"/>
                <w:color w:val="auto"/>
              </w:rPr>
            </w:pPr>
          </w:p>
        </w:tc>
        <w:tc>
          <w:tcPr>
            <w:tcW w:w="11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2"/>
                <w:szCs w:val="12"/>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1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other comprehensive income (loss) in the table above excludes other comprehensive gains of $7.9 million and $0.4 million for the three months ended June 30, 2025 and 2024, respectively, related to redeemable non-controlling interests held in our consolidated products.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7" w:name="page18"/>
    <w:bookmarkEnd w:id="17"/>
    <w:p>
      <w:pPr>
        <w:ind w:right="140"/>
        <w:spacing w:after="0" w:line="287"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six months ended June 30, 2025 and 2024, are presented in the table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Six months ended 6/30/2025</w:t>
            </w:r>
          </w:p>
        </w:tc>
        <w:tc>
          <w:tcPr>
            <w:tcW w:w="16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Six months ended 6/30/2024</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6"/>
                <w:szCs w:val="16"/>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other comprehensive income (loss) in the table above excludes net gains of $11.0 million for the 2025 period and net losses of $1.2 million for the 2024 period of other comprehensive income (loss) related to redeemable non-controlling interests held in our consolidated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REPORTING.</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one reportable segment: investment management services. We derive our revenue and net income globally and manage business activities on a consolidated basis.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derive our revenues and net income from investment advisory services provided to individual and institutional investors. We also provide certain ancillary administrative services, including mutual fund transfer agent, fund and portfolio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chief operating decision maker (CODM) is the chief executive officer. The CODM utilizes consolidated net income attributable to T. Rowe Price as reported on the consolidated income statement and certain non-GAAP metrics to assess performance and allocate resources. Based on these metrics, the CODM decides either to reinvest profits into the business based on our strategic priorities and/or return cash to stockholders through dividends and share repurchases.</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determined there are no significant segment expenses that require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 has committed $330 million for investment in future OHA product launches through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is contingent</w:t>
      </w:r>
    </w:p>
    <w:p>
      <w:pPr>
        <w:spacing w:after="0" w:line="2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in 2026 and 2027 upon satisfying or exceeding certain defined revenue targets. These defined revenue targets will be evaluated on a cumulative basis from 2022 through 2026. About 22% of the earnout is conditioned upon continued service with T. Rowe Price Group, Inc. and was excluded from the purchase consideration and deemed compensatory. The fair value of the earnout is remeasured each reporting period and was valued at zero as of June 30, 2025 and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reviewed the consolidated balance sheet of T. Rowe Price Group, Inc. and subsidiaries (the Company) as of June 30, 2025, the related consolidated statements of income, comprehensive income, and stockholders’ equity for the three-month and six- month periods ended June 30, 2025 and 2024, the related consolidated statements of cash flows for the six-month periods ended June 30, 2025 and 2024,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income, comprehensive income, stockholders’ equity, and cash flows for the year then ended (not presented herein); and in our report dated February 14, 2025, we expressed an unqualified opinion on those consolidated financial statements. In our opinion, the information set forth in the accompanying consolidated balance sheet as of December 31, 2024,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globally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affect our revenues and results of operations.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investment management industry is evolving, facing challenging trends such as passive investments taking market share from traditional active strategies; continued downward fee pressure; demand for new investment vehicles to meet client needs; and an ever-changing regulatory landscape. In this regard, we have ample liquidity and resources that allow us to take advantage of attractive growth opportunities. Furthermore, we have developed a broad and ongoing plan to align our expense growth with anticipated revenue growth. As a result, we have initiated certain actions to reduce expense growth, realign resources, and invest in existing and future capabilities, while also helping to offset ongoing inflationary pressures on compensation and contractual spending. These investments include hiring investment professionals, distribution professionals, adopting new technologies, and offering new products to provide our clients with strong investment management expertise and services.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Major U.S. stock market indexes rose in the second quarter. Equities plunged at the beginning of April in response to the U.S. reciprocal</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tariffs. However, the market rallied starting April 9, when the U.S. declared a 90-day pause on these tariffs for many countries. Equities continued to rise throughout May and June, as the U.S. and China agreed to a 90-day reduction in reciprocal and retaliatory tariffs while</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negotiating a trade deal. Stocks also overcame a short-lived spike in oil prices in June and a multi-day exchange of missile and drone attacks between Israel and Iran. As the quarter ended, investors were optimistic that trade deals with U.S. trading partners would be announced soon and hopeful that the Federal Reserve would resume lowering interest rates at some point in the months ahead.</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Developed non-U.S. equity markets outperformed U.S. shares in U.S. dollar terms. In Europe, equity markets were broadly positive, helped in part by short-term interest rate cuts. UK shares lagged. Developed Asian markets were also broadly positive in dollar terms, with Japanese stocks gaining more than 11%.</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Stocks in emerging markets also outperformed U.S. stocks in U.S. dollar terms. In the emerging Europe, Middle East, and Africa (EMEA) region, markets were broadly positive in dollar terms, though stocks in Türkiye (Turkey) lagged with a 3% gain. In emerging Asia, markets were also broadly positive in dollar terms. Equities in South Korea and Taiwan far outperformed the region, while Chinese stocks trailed with modest gains. In Latin America, markets were mostly positive in dollar terms.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0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6/30/2025</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6/30/2025</w:t>
            </w:r>
          </w:p>
        </w:tc>
      </w:tr>
      <w:tr>
        <w:trPr>
          <w:trHeight w:val="224"/>
        </w:trPr>
        <w:tc>
          <w:tcPr>
            <w:tcW w:w="8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6.2%</w:t>
            </w:r>
          </w:p>
        </w:tc>
      </w:tr>
      <w:tr>
        <w:trPr>
          <w:trHeight w:val="230"/>
        </w:trPr>
        <w:tc>
          <w:tcPr>
            <w:tcW w:w="8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5.5%</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19.9%</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15.6%</w:t>
            </w:r>
          </w:p>
        </w:tc>
      </w:tr>
    </w:tbl>
    <w:p>
      <w:pPr>
        <w:spacing w:after="0" w:line="87" w:lineRule="exact"/>
        <w:rPr>
          <w:sz w:val="20"/>
          <w:szCs w:val="20"/>
          <w:color w:val="auto"/>
        </w:rPr>
      </w:pPr>
    </w:p>
    <w:p>
      <w:pPr>
        <w:ind w:left="180" w:hanging="132"/>
        <w:spacing w:after="0"/>
        <w:tabs>
          <w:tab w:leader="none" w:pos="18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19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Global bond returns were mostly positive in the second quarter of 2025. In the U.S., Treasury bill yields were little changed, as the Federal Reserve kept the federal funds target rate in the 4.25% to 4.50% range. Intermediate-term U.S. Treasury yields generally declined, but the 10-year U.S. Treasury note yield increased from 4.23% to 4.24%. The 30-year U.S. Treasury bond yield increased to a greater degree amid concerns about U.S. debts and budget deficits, and as Moody’s downgraded U.S. sovereign debt from AAA to AA1 in May.</w:t>
      </w:r>
    </w:p>
    <w:p>
      <w:pPr>
        <w:spacing w:after="0" w:line="20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In the investment-grade universe, sector performance was broadly positive. Non-agency commercial mortgage-backed securities and corporate bonds performed best, while asset-backed and mortgage-backed securities produced milder gains. Treasuries lagged. Tax-free municipal bonds trailed the broad taxable bond market, but high yield corporate bonds produced strong gains and outperformed investment-grade bonds.</w:t>
      </w:r>
    </w:p>
    <w:p>
      <w:pPr>
        <w:spacing w:after="0" w:line="201"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Bonds in developed non-U.S. markets produced positive returns in U.S. dollar terms in the second quarter, as major non-U.S. currencies appreciated versus the U.S. dollar. In the eurozone, longer-term bond yields declined in many countries, as the European Central Bank (ECB) reduced its benchmark interest rates twice in the second quarter. In the UK, longer-term bond yields also decreased, as the Bank of England reduced its benchmark interest rate, the Bank Rate, from 4.50% to 4.25% in May. The euro rose more than 8% versus the U.S.</w:t>
      </w:r>
    </w:p>
    <w:p>
      <w:pPr>
        <w:ind w:right="100"/>
        <w:spacing w:after="0" w:line="226" w:lineRule="auto"/>
        <w:rPr>
          <w:sz w:val="20"/>
          <w:szCs w:val="20"/>
          <w:color w:val="auto"/>
        </w:rPr>
      </w:pPr>
      <w:r>
        <w:rPr>
          <w:rFonts w:ascii="Arial" w:cs="Arial" w:eastAsia="Arial" w:hAnsi="Arial"/>
          <w:sz w:val="18"/>
          <w:szCs w:val="18"/>
          <w:color w:val="auto"/>
        </w:rPr>
        <w:t>dollar, while the British pound rose about 6%. In Japan, long-term government bond yields were little changed, as the Bank of Japan kept its benchmark interest rate at 0.50%. The yen rose about 3.5% versus the U.S. dollar. Emerging markets bonds produced positive returns in</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U.S. dollar terms. Bonds denominated in local currencies strongly outperformed dollar-denominated bonds in U.S. dollar terms, as most developing markets currencies appreciated versus the dollar.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bond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Six months ended</w:t>
            </w:r>
          </w:p>
        </w:tc>
      </w:tr>
      <w:tr>
        <w:trPr>
          <w:trHeight w:val="20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6/30/2025</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6/30/2025</w:t>
            </w:r>
          </w:p>
        </w:tc>
      </w:tr>
      <w:tr>
        <w:trPr>
          <w:trHeight w:val="224"/>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4.0%</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3.3%</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4.3%</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(0.4)%</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7.3%</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10.0%</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3.6%</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4.6%</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UBS Leveraged Loan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Assets under management ended the second quarter of 2025 at $1,676.8 billion, an increase of $110.5 billion from March 31, 2025. The increase in assets under management during the second quarter of 2025 was driven by market appreciation and income, net of distributions not reinvested, of $125.4 billion, offset by net cash outflows of $14.9 billion.</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six months ended June 30, 2025, the increase in assets under management was driven by market appreciation, net of distributions not reinvested, of $93.7 billion, offset by net cash outflows of $23.5 billion.</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detail changes in our assets under management, by asset class, during the three- and six-month periods ended June 30, 2025:</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6/30/2025</w:t>
            </w: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gridSpan w:val="6"/>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Six months ended 6/30/2025</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160" w:type="dxa"/>
            <w:vAlign w:val="bottom"/>
          </w:tcPr>
          <w:p>
            <w:pPr>
              <w:spacing w:after="0"/>
              <w:rPr>
                <w:sz w:val="12"/>
                <w:szCs w:val="12"/>
                <w:color w:val="auto"/>
              </w:rPr>
            </w:pPr>
          </w:p>
        </w:tc>
        <w:tc>
          <w:tcPr>
            <w:tcW w:w="7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(1)</w:t>
            </w: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(1)</w:t>
            </w: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8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Assets under</w:t>
            </w: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management at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773.4</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544.4</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1,566.3</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829.7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188.1</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536.0</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1,606.6</w:t>
            </w:r>
          </w:p>
        </w:tc>
        <w:tc>
          <w:tcPr>
            <w:tcW w:w="0" w:type="dxa"/>
            <w:vAlign w:val="bottom"/>
          </w:tcPr>
          <w:p>
            <w:pPr>
              <w:spacing w:after="0"/>
              <w:rPr>
                <w:sz w:val="1"/>
                <w:szCs w:val="1"/>
                <w:color w:val="auto"/>
              </w:rPr>
            </w:pPr>
          </w:p>
        </w:tc>
      </w:tr>
      <w:tr>
        <w:trPr>
          <w:trHeight w:val="209"/>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beginning of period $</w:t>
            </w: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4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4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8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prior to manager-</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driven distributions</w:t>
            </w: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Arial" w:cs="Arial" w:eastAsia="Arial" w:hAnsi="Arial"/>
                <w:sz w:val="14"/>
                <w:szCs w:val="14"/>
                <w:color w:val="auto"/>
              </w:rPr>
              <w:t>Manager-driven</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128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3"/>
        </w:trPr>
        <w:tc>
          <w:tcPr>
            <w:tcW w:w="1280" w:type="dxa"/>
            <w:vAlign w:val="bottom"/>
          </w:tcPr>
          <w:p>
            <w:pPr>
              <w:ind w:left="20"/>
              <w:spacing w:after="0" w:line="153" w:lineRule="exact"/>
              <w:rPr>
                <w:sz w:val="20"/>
                <w:szCs w:val="20"/>
                <w:color w:val="auto"/>
              </w:rPr>
            </w:pPr>
            <w:r>
              <w:rPr>
                <w:rFonts w:ascii="Arial" w:cs="Arial" w:eastAsia="Arial" w:hAnsi="Arial"/>
                <w:sz w:val="14"/>
                <w:szCs w:val="14"/>
                <w:color w:val="auto"/>
              </w:rPr>
              <w:t>Net market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20"/>
              <w:spacing w:after="0" w:line="145" w:lineRule="exact"/>
              <w:rPr>
                <w:sz w:val="20"/>
                <w:szCs w:val="20"/>
                <w:color w:val="auto"/>
              </w:rPr>
            </w:pPr>
            <w:r>
              <w:rPr>
                <w:rFonts w:ascii="Arial" w:cs="Arial" w:eastAsia="Arial" w:hAnsi="Arial"/>
                <w:sz w:val="14"/>
                <w:szCs w:val="14"/>
                <w:color w:val="auto"/>
              </w:rPr>
              <w:t>appreciation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ind w:left="20"/>
              <w:spacing w:after="0" w:line="137" w:lineRule="exact"/>
              <w:rPr>
                <w:sz w:val="20"/>
                <w:szCs w:val="20"/>
                <w:color w:val="auto"/>
              </w:rPr>
            </w:pPr>
            <w:r>
              <w:rPr>
                <w:rFonts w:ascii="Arial" w:cs="Arial" w:eastAsia="Arial" w:hAnsi="Arial"/>
                <w:sz w:val="14"/>
                <w:szCs w:val="14"/>
                <w:color w:val="auto"/>
              </w:rPr>
              <w:t>(depreciation) and</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125.4</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40.9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01"/>
        </w:trPr>
        <w:tc>
          <w:tcPr>
            <w:tcW w:w="128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4"/>
                <w:szCs w:val="14"/>
                <w:color w:val="auto"/>
              </w:rPr>
              <w:t>income</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Change during the</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85"/>
        </w:trPr>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80" w:type="dxa"/>
            <w:vAlign w:val="bottom"/>
          </w:tcPr>
          <w:p>
            <w:pPr>
              <w:ind w:left="20"/>
              <w:spacing w:after="0" w:line="133" w:lineRule="exact"/>
              <w:rPr>
                <w:sz w:val="20"/>
                <w:szCs w:val="20"/>
                <w:color w:val="auto"/>
              </w:rPr>
            </w:pPr>
            <w:r>
              <w:rPr>
                <w:rFonts w:ascii="Arial" w:cs="Arial" w:eastAsia="Arial" w:hAnsi="Arial"/>
                <w:sz w:val="14"/>
                <w:szCs w:val="14"/>
                <w:color w:val="auto"/>
              </w:rPr>
              <w:t>Assets under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ind w:left="20"/>
              <w:spacing w:after="0" w:line="145" w:lineRule="exact"/>
              <w:rPr>
                <w:sz w:val="20"/>
                <w:szCs w:val="20"/>
                <w:color w:val="auto"/>
              </w:rPr>
            </w:pPr>
            <w:r>
              <w:rPr>
                <w:rFonts w:ascii="Arial" w:cs="Arial" w:eastAsia="Arial" w:hAnsi="Arial"/>
                <w:sz w:val="14"/>
                <w:szCs w:val="14"/>
                <w:color w:val="auto"/>
              </w:rPr>
              <w:t>management at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838.5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583.3</w:t>
            </w:r>
          </w:p>
        </w:tc>
        <w:tc>
          <w:tcPr>
            <w:tcW w:w="80" w:type="dxa"/>
            <w:vAlign w:val="bottom"/>
          </w:tcPr>
          <w:p>
            <w:pPr>
              <w:spacing w:after="0"/>
              <w:rPr>
                <w:sz w:val="12"/>
                <w:szCs w:val="12"/>
                <w:color w:val="auto"/>
              </w:rPr>
            </w:pPr>
          </w:p>
        </w:tc>
        <w:tc>
          <w:tcPr>
            <w:tcW w:w="7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1,676.8</w:t>
            </w:r>
          </w:p>
        </w:tc>
        <w:tc>
          <w:tcPr>
            <w:tcW w:w="120" w:type="dxa"/>
            <w:vAlign w:val="bottom"/>
            <w:tcBorders>
              <w:right w:val="single" w:sz="8" w:color="auto"/>
            </w:tcBorders>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838.5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583.3</w:t>
            </w:r>
          </w:p>
        </w:tc>
        <w:tc>
          <w:tcPr>
            <w:tcW w:w="80" w:type="dxa"/>
            <w:vAlign w:val="bottom"/>
          </w:tcPr>
          <w:p>
            <w:pPr>
              <w:spacing w:after="0"/>
              <w:rPr>
                <w:sz w:val="12"/>
                <w:szCs w:val="12"/>
                <w:color w:val="auto"/>
              </w:rPr>
            </w:pPr>
          </w:p>
        </w:tc>
        <w:tc>
          <w:tcPr>
            <w:tcW w:w="66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1,676.8</w:t>
            </w:r>
          </w:p>
        </w:tc>
        <w:tc>
          <w:tcPr>
            <w:tcW w:w="0" w:type="dxa"/>
            <w:vAlign w:val="bottom"/>
          </w:tcPr>
          <w:p>
            <w:pPr>
              <w:spacing w:after="0"/>
              <w:rPr>
                <w:sz w:val="1"/>
                <w:szCs w:val="1"/>
                <w:color w:val="auto"/>
              </w:rPr>
            </w:pPr>
          </w:p>
        </w:tc>
      </w:tr>
      <w:tr>
        <w:trPr>
          <w:trHeight w:val="167"/>
        </w:trPr>
        <w:tc>
          <w:tcPr>
            <w:tcW w:w="1280" w:type="dxa"/>
            <w:vAlign w:val="bottom"/>
          </w:tcPr>
          <w:p>
            <w:pPr>
              <w:ind w:left="20"/>
              <w:spacing w:after="0"/>
              <w:rPr>
                <w:sz w:val="20"/>
                <w:szCs w:val="20"/>
                <w:color w:val="auto"/>
              </w:rPr>
            </w:pPr>
            <w:r>
              <w:rPr>
                <w:rFonts w:ascii="Arial" w:cs="Arial" w:eastAsia="Arial" w:hAnsi="Arial"/>
                <w:sz w:val="14"/>
                <w:szCs w:val="14"/>
                <w:color w:val="auto"/>
              </w:rPr>
              <w:t>June 30, 2025</w:t>
            </w:r>
          </w:p>
        </w:tc>
        <w:tc>
          <w:tcPr>
            <w:tcW w:w="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1" w:lineRule="exact"/>
        <w:rPr>
          <w:rFonts w:ascii="Arial" w:cs="Arial" w:eastAsia="Arial" w:hAnsi="Arial"/>
          <w:sz w:val="16"/>
          <w:szCs w:val="16"/>
          <w:i w:val="1"/>
          <w:iCs w:val="1"/>
          <w:color w:val="auto"/>
          <w:vertAlign w:val="superscript"/>
        </w:rPr>
      </w:pPr>
    </w:p>
    <w:p>
      <w:pPr>
        <w:ind w:left="180" w:right="40" w:hanging="172"/>
        <w:spacing w:after="0" w:line="241" w:lineRule="auto"/>
        <w:tabs>
          <w:tab w:leader="none" w:pos="157" w:val="left"/>
        </w:tabs>
        <w:numPr>
          <w:ilvl w:val="0"/>
          <w:numId w:val="9"/>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were $18.6 billion at June 30, 2025, $17.1 billion at March 31, 2025, and $16.2 billion at December 31, 2024, and are not reflected in fee basis AUM above.</w:t>
      </w:r>
    </w:p>
    <w:p>
      <w:pPr>
        <w:ind w:left="140" w:hanging="132"/>
        <w:spacing w:after="0" w:line="228"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three- and six-month periods ended June 30, 2025 of $0.4 billion and $0.9 billion, respectively.</w:t>
      </w:r>
    </w:p>
    <w:p>
      <w:pPr>
        <w:spacing w:after="0" w:line="23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Investment advisory clients outside the United States account for 8.7% of our assets under management at June 30, 2025, 8.7% at March 31, 2025, and 8.8% at December 31, 2024.</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Assets under management in our target date retirement portfolios, which are included in the multi-asset totals shown above, were $520.3 billion at June 30, 2025, $484.2 billion at March 31, 2025, and $475.6 billion at December 31, 2024. Net flows into these portfolios were $1.7 billion and $8.0 billion in the three- and six-month periods ended June 30, 2025, respectively.</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provide strategic investment advice solutions to certain portfolios. These advice solutions, primarily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June 30, 2025, total assets in these solutions were $623 billion, of which $592 billion are included in our reported assets under management in the tables above.</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provide participant accounting and plan administration for retirement plans that primarily invest in the firm's U.S. mutual funds, collective investment trusts and funds outside of the firm's complex. As of June 30, 2025, our assets under administration were $302 billion, of which $170 billion are assets we manage.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3" w:name="page24"/>
    <w:bookmarkEnd w:id="23"/>
    <w:p>
      <w:pPr>
        <w:spacing w:after="0" w:line="191" w:lineRule="auto"/>
        <w:framePr w:w="540" w:h="147" w:wrap="auto" w:vAnchor="page" w:hAnchor="page" w:x="520" w:y="10577"/>
        <w:rPr>
          <w:rFonts w:ascii="Arial" w:cs="Arial" w:eastAsia="Arial" w:hAnsi="Arial"/>
          <w:sz w:val="16"/>
          <w:szCs w:val="16"/>
          <w:color w:val="auto"/>
        </w:rPr>
      </w:pPr>
      <w:r>
        <w:rPr>
          <w:rFonts w:ascii="Arial" w:cs="Arial" w:eastAsia="Arial" w:hAnsi="Arial"/>
          <w:sz w:val="16"/>
          <w:szCs w:val="16"/>
          <w:color w:val="auto"/>
        </w:rPr>
        <w:t>Equity</w:t>
      </w:r>
    </w:p>
    <w:p>
      <w:pPr>
        <w:spacing w:after="0" w:line="191" w:lineRule="auto"/>
        <w:framePr w:w="1060" w:h="147" w:wrap="auto" w:vAnchor="page" w:hAnchor="page" w:x="520" w:y="10793"/>
        <w:rPr>
          <w:rFonts w:ascii="Arial" w:cs="Arial" w:eastAsia="Arial" w:hAnsi="Arial"/>
          <w:sz w:val="16"/>
          <w:szCs w:val="16"/>
          <w:color w:val="auto"/>
        </w:rPr>
      </w:pPr>
      <w:r>
        <w:rPr>
          <w:rFonts w:ascii="Arial" w:cs="Arial" w:eastAsia="Arial" w:hAnsi="Arial"/>
          <w:sz w:val="16"/>
          <w:szCs w:val="16"/>
          <w:color w:val="auto"/>
        </w:rPr>
        <w:t>Fixed Income</w:t>
      </w:r>
    </w:p>
    <w:p>
      <w:pPr>
        <w:spacing w:after="0" w:line="191" w:lineRule="auto"/>
        <w:framePr w:w="1160" w:h="147" w:wrap="auto" w:vAnchor="page" w:hAnchor="page" w:x="520" w:y="11009"/>
        <w:rPr>
          <w:rFonts w:ascii="Arial" w:cs="Arial" w:eastAsia="Arial" w:hAnsi="Arial"/>
          <w:sz w:val="16"/>
          <w:szCs w:val="16"/>
          <w:color w:val="auto"/>
        </w:rPr>
      </w:pPr>
      <w:r>
        <w:rPr>
          <w:rFonts w:ascii="Arial" w:cs="Arial" w:eastAsia="Arial" w:hAnsi="Arial"/>
          <w:sz w:val="16"/>
          <w:szCs w:val="16"/>
          <w:color w:val="auto"/>
        </w:rPr>
        <w:t>All Composites</w:t>
      </w:r>
    </w:p>
    <w:p>
      <w:pPr>
        <w:spacing w:after="0" w:line="191" w:lineRule="auto"/>
        <w:framePr w:w="540" w:h="147" w:wrap="auto" w:vAnchor="page" w:hAnchor="page" w:x="4860" w:y="10348"/>
        <w:rPr>
          <w:rFonts w:ascii="Arial" w:cs="Arial" w:eastAsia="Arial" w:hAnsi="Arial"/>
          <w:sz w:val="16"/>
          <w:szCs w:val="16"/>
          <w:color w:val="auto"/>
        </w:rPr>
      </w:pPr>
      <w:r>
        <w:rPr>
          <w:rFonts w:ascii="Arial" w:cs="Arial" w:eastAsia="Arial" w:hAnsi="Arial"/>
          <w:sz w:val="16"/>
          <w:szCs w:val="16"/>
          <w:color w:val="auto"/>
        </w:rPr>
        <w:t>1 year</w:t>
      </w:r>
    </w:p>
    <w:p>
      <w:pPr>
        <w:spacing w:after="0" w:line="203" w:lineRule="auto"/>
        <w:framePr w:w="400" w:h="147" w:wrap="auto" w:vAnchor="page" w:hAnchor="page" w:x="4920" w:y="10577"/>
        <w:rPr>
          <w:rFonts w:ascii="Arial" w:cs="Arial" w:eastAsia="Arial" w:hAnsi="Arial"/>
          <w:sz w:val="15"/>
          <w:szCs w:val="15"/>
          <w:color w:val="auto"/>
        </w:rPr>
      </w:pPr>
      <w:r>
        <w:rPr>
          <w:rFonts w:ascii="Arial" w:cs="Arial" w:eastAsia="Arial" w:hAnsi="Arial"/>
          <w:sz w:val="15"/>
          <w:szCs w:val="15"/>
          <w:color w:val="auto"/>
        </w:rPr>
        <w:t>17%</w:t>
      </w:r>
    </w:p>
    <w:p>
      <w:pPr>
        <w:spacing w:after="0" w:line="203" w:lineRule="auto"/>
        <w:framePr w:w="400" w:h="147" w:wrap="auto" w:vAnchor="page" w:hAnchor="page" w:x="4920" w:y="10793"/>
        <w:rPr>
          <w:rFonts w:ascii="Arial" w:cs="Arial" w:eastAsia="Arial" w:hAnsi="Arial"/>
          <w:sz w:val="15"/>
          <w:szCs w:val="15"/>
          <w:color w:val="auto"/>
        </w:rPr>
      </w:pPr>
      <w:r>
        <w:rPr>
          <w:rFonts w:ascii="Arial" w:cs="Arial" w:eastAsia="Arial" w:hAnsi="Arial"/>
          <w:sz w:val="15"/>
          <w:szCs w:val="15"/>
          <w:color w:val="auto"/>
        </w:rPr>
        <w:t>56%</w:t>
      </w:r>
    </w:p>
    <w:p>
      <w:pPr>
        <w:spacing w:after="0" w:line="203" w:lineRule="auto"/>
        <w:framePr w:w="400" w:h="147" w:wrap="auto" w:vAnchor="page" w:hAnchor="page" w:x="4920" w:y="11009"/>
        <w:rPr>
          <w:rFonts w:ascii="Arial" w:cs="Arial" w:eastAsia="Arial" w:hAnsi="Arial"/>
          <w:sz w:val="15"/>
          <w:szCs w:val="15"/>
          <w:color w:val="auto"/>
        </w:rPr>
      </w:pPr>
      <w:r>
        <w:rPr>
          <w:rFonts w:ascii="Arial" w:cs="Arial" w:eastAsia="Arial" w:hAnsi="Arial"/>
          <w:sz w:val="15"/>
          <w:szCs w:val="15"/>
          <w:color w:val="auto"/>
        </w:rPr>
        <w:t>24%</w:t>
      </w:r>
    </w:p>
    <w:p>
      <w:pPr>
        <w:spacing w:after="0" w:line="213" w:lineRule="auto"/>
        <w:framePr w:w="5100" w:h="379" w:wrap="auto" w:vAnchor="page" w:hAnchor="page" w:x="300" w:y="8644"/>
        <w:rPr>
          <w:rFonts w:ascii="Arial" w:cs="Arial" w:eastAsia="Arial" w:hAnsi="Arial"/>
          <w:sz w:val="16"/>
          <w:szCs w:val="16"/>
          <w:color w:val="auto"/>
        </w:rPr>
      </w:pPr>
      <w:r>
        <w:rPr>
          <w:rFonts w:ascii="Arial" w:cs="Arial" w:eastAsia="Arial" w:hAnsi="Arial"/>
          <w:sz w:val="16"/>
          <w:szCs w:val="16"/>
          <w:b w:val="1"/>
          <w:bCs w:val="1"/>
          <w:color w:val="auto"/>
        </w:rPr>
        <w:t>% of U.S. funds AUM that outperformed passive peer median</w:t>
      </w:r>
      <w:r>
        <w:rPr>
          <w:rFonts w:ascii="Arial" w:cs="Arial" w:eastAsia="Arial" w:hAnsi="Arial"/>
          <w:sz w:val="21"/>
          <w:szCs w:val="21"/>
          <w:b w:val="1"/>
          <w:bCs w:val="1"/>
          <w:color w:val="auto"/>
          <w:vertAlign w:val="superscript"/>
        </w:rPr>
        <w:t>(2),(4)</w:t>
      </w:r>
      <w:r>
        <w:rPr>
          <w:rFonts w:ascii="Arial" w:cs="Arial" w:eastAsia="Arial" w:hAnsi="Arial"/>
          <w:sz w:val="16"/>
          <w:szCs w:val="16"/>
          <w:b w:val="1"/>
          <w:bCs w:val="1"/>
          <w:color w:val="auto"/>
        </w:rPr>
        <w:t xml:space="preserve"> </w:t>
      </w:r>
      <w:r>
        <w:rPr>
          <w:rFonts w:ascii="Arial" w:cs="Arial" w:eastAsia="Arial" w:hAnsi="Arial"/>
          <w:sz w:val="16"/>
          <w:szCs w:val="16"/>
          <w:color w:val="auto"/>
        </w:rPr>
        <w:t>1 year</w:t>
      </w:r>
    </w:p>
    <w:p>
      <w:pPr>
        <w:spacing w:after="0" w:line="203" w:lineRule="auto"/>
        <w:framePr w:w="540" w:h="147" w:wrap="auto" w:vAnchor="page" w:hAnchor="page" w:x="520" w:y="9106"/>
        <w:rPr>
          <w:rFonts w:ascii="Arial" w:cs="Arial" w:eastAsia="Arial" w:hAnsi="Arial"/>
          <w:sz w:val="16"/>
          <w:szCs w:val="16"/>
          <w:color w:val="auto"/>
        </w:rPr>
      </w:pPr>
      <w:r>
        <w:rPr>
          <w:rFonts w:ascii="Arial" w:cs="Arial" w:eastAsia="Arial" w:hAnsi="Arial"/>
          <w:sz w:val="16"/>
          <w:szCs w:val="16"/>
          <w:color w:val="auto"/>
        </w:rPr>
        <w:t>Equity</w:t>
      </w:r>
    </w:p>
    <w:p>
      <w:pPr>
        <w:spacing w:after="0" w:line="203" w:lineRule="auto"/>
        <w:framePr w:w="400" w:h="147" w:wrap="auto" w:vAnchor="page" w:hAnchor="page" w:x="4920" w:y="9106"/>
        <w:rPr>
          <w:rFonts w:ascii="Arial" w:cs="Arial" w:eastAsia="Arial" w:hAnsi="Arial"/>
          <w:sz w:val="15"/>
          <w:szCs w:val="15"/>
          <w:color w:val="auto"/>
        </w:rPr>
      </w:pPr>
      <w:r>
        <w:rPr>
          <w:rFonts w:ascii="Arial" w:cs="Arial" w:eastAsia="Arial" w:hAnsi="Arial"/>
          <w:sz w:val="15"/>
          <w:szCs w:val="15"/>
          <w:color w:val="auto"/>
        </w:rPr>
        <w:t>24%</w:t>
      </w:r>
    </w:p>
    <w:p>
      <w:pPr>
        <w:spacing w:after="0" w:line="203" w:lineRule="auto"/>
        <w:framePr w:w="1060" w:h="147" w:wrap="auto" w:vAnchor="page" w:hAnchor="page" w:x="520" w:y="9322"/>
        <w:rPr>
          <w:rFonts w:ascii="Arial" w:cs="Arial" w:eastAsia="Arial" w:hAnsi="Arial"/>
          <w:sz w:val="16"/>
          <w:szCs w:val="16"/>
          <w:color w:val="auto"/>
        </w:rPr>
      </w:pPr>
      <w:r>
        <w:rPr>
          <w:rFonts w:ascii="Arial" w:cs="Arial" w:eastAsia="Arial" w:hAnsi="Arial"/>
          <w:sz w:val="16"/>
          <w:szCs w:val="16"/>
          <w:color w:val="auto"/>
        </w:rPr>
        <w:t>Fixed Income</w:t>
      </w:r>
    </w:p>
    <w:p>
      <w:pPr>
        <w:spacing w:after="0" w:line="203" w:lineRule="auto"/>
        <w:framePr w:w="400" w:h="147" w:wrap="auto" w:vAnchor="page" w:hAnchor="page" w:x="4920" w:y="9322"/>
        <w:rPr>
          <w:rFonts w:ascii="Arial" w:cs="Arial" w:eastAsia="Arial" w:hAnsi="Arial"/>
          <w:sz w:val="15"/>
          <w:szCs w:val="15"/>
          <w:color w:val="auto"/>
        </w:rPr>
      </w:pPr>
      <w:r>
        <w:rPr>
          <w:rFonts w:ascii="Arial" w:cs="Arial" w:eastAsia="Arial" w:hAnsi="Arial"/>
          <w:sz w:val="15"/>
          <w:szCs w:val="15"/>
          <w:color w:val="auto"/>
        </w:rPr>
        <w:t>47%</w:t>
      </w:r>
    </w:p>
    <w:p>
      <w:pPr>
        <w:spacing w:after="0" w:line="203" w:lineRule="auto"/>
        <w:framePr w:w="880" w:h="147" w:wrap="auto" w:vAnchor="page" w:hAnchor="page" w:x="520" w:y="9538"/>
        <w:rPr>
          <w:rFonts w:ascii="Arial" w:cs="Arial" w:eastAsia="Arial" w:hAnsi="Arial"/>
          <w:sz w:val="16"/>
          <w:szCs w:val="16"/>
          <w:color w:val="auto"/>
        </w:rPr>
      </w:pPr>
      <w:r>
        <w:rPr>
          <w:rFonts w:ascii="Arial" w:cs="Arial" w:eastAsia="Arial" w:hAnsi="Arial"/>
          <w:sz w:val="16"/>
          <w:szCs w:val="16"/>
          <w:color w:val="auto"/>
        </w:rPr>
        <w:t>Multi-Asset</w:t>
      </w:r>
    </w:p>
    <w:p>
      <w:pPr>
        <w:spacing w:after="0" w:line="203" w:lineRule="auto"/>
        <w:framePr w:w="300" w:h="147" w:wrap="auto" w:vAnchor="page" w:hAnchor="page" w:x="4980" w:y="9538"/>
        <w:rPr>
          <w:rFonts w:ascii="Arial" w:cs="Arial" w:eastAsia="Arial" w:hAnsi="Arial"/>
          <w:sz w:val="15"/>
          <w:szCs w:val="15"/>
          <w:color w:val="auto"/>
        </w:rPr>
      </w:pPr>
      <w:r>
        <w:rPr>
          <w:rFonts w:ascii="Arial" w:cs="Arial" w:eastAsia="Arial" w:hAnsi="Arial"/>
          <w:sz w:val="15"/>
          <w:szCs w:val="15"/>
          <w:color w:val="auto"/>
        </w:rPr>
        <w:t>0%</w:t>
      </w:r>
    </w:p>
    <w:p>
      <w:pPr>
        <w:spacing w:after="0" w:line="203" w:lineRule="auto"/>
        <w:framePr w:w="760" w:h="147" w:wrap="auto" w:vAnchor="page" w:hAnchor="page" w:x="520" w:y="9754"/>
        <w:rPr>
          <w:rFonts w:ascii="Arial" w:cs="Arial" w:eastAsia="Arial" w:hAnsi="Arial"/>
          <w:sz w:val="16"/>
          <w:szCs w:val="16"/>
          <w:color w:val="auto"/>
        </w:rPr>
      </w:pPr>
      <w:r>
        <w:rPr>
          <w:rFonts w:ascii="Arial" w:cs="Arial" w:eastAsia="Arial" w:hAnsi="Arial"/>
          <w:sz w:val="16"/>
          <w:szCs w:val="16"/>
          <w:color w:val="auto"/>
        </w:rPr>
        <w:t>All Funds</w:t>
      </w:r>
    </w:p>
    <w:p>
      <w:pPr>
        <w:spacing w:after="0" w:line="203" w:lineRule="auto"/>
        <w:framePr w:w="400" w:h="147" w:wrap="auto" w:vAnchor="page" w:hAnchor="page" w:x="4920" w:y="9754"/>
        <w:rPr>
          <w:rFonts w:ascii="Arial" w:cs="Arial" w:eastAsia="Arial" w:hAnsi="Arial"/>
          <w:sz w:val="15"/>
          <w:szCs w:val="15"/>
          <w:color w:val="auto"/>
        </w:rPr>
      </w:pPr>
      <w:r>
        <w:rPr>
          <w:rFonts w:ascii="Arial" w:cs="Arial" w:eastAsia="Arial" w:hAnsi="Arial"/>
          <w:sz w:val="15"/>
          <w:szCs w:val="15"/>
          <w:color w:val="auto"/>
        </w:rPr>
        <w:t>20%</w:t>
      </w:r>
    </w:p>
    <w:p>
      <w:pPr>
        <w:spacing w:after="0" w:line="188" w:lineRule="auto"/>
        <w:framePr w:w="4360" w:h="163" w:wrap="auto" w:vAnchor="page" w:hAnchor="page" w:x="300" w:y="10116"/>
        <w:rPr>
          <w:rFonts w:ascii="Arial" w:cs="Arial" w:eastAsia="Arial" w:hAnsi="Arial"/>
          <w:sz w:val="14"/>
          <w:szCs w:val="14"/>
          <w:b w:val="1"/>
          <w:bCs w:val="1"/>
          <w:color w:val="auto"/>
        </w:rPr>
      </w:pPr>
      <w:r>
        <w:rPr>
          <w:rFonts w:ascii="Arial" w:cs="Arial" w:eastAsia="Arial" w:hAnsi="Arial"/>
          <w:sz w:val="14"/>
          <w:szCs w:val="14"/>
          <w:b w:val="1"/>
          <w:bCs w:val="1"/>
          <w:color w:val="auto"/>
        </w:rPr>
        <w:t>% of composites AUM that outperformed benchmarks</w:t>
      </w:r>
      <w:r>
        <w:rPr>
          <w:rFonts w:ascii="Arial" w:cs="Arial" w:eastAsia="Arial" w:hAnsi="Arial"/>
          <w:sz w:val="18"/>
          <w:szCs w:val="18"/>
          <w:b w:val="1"/>
          <w:bCs w:val="1"/>
          <w:color w:val="auto"/>
          <w:vertAlign w:val="superscript"/>
        </w:rPr>
        <w:t>(5)</w:t>
      </w:r>
    </w:p>
    <w:p>
      <w:pPr>
        <w:spacing w:after="0" w:line="191" w:lineRule="auto"/>
        <w:framePr w:w="540" w:h="147" w:wrap="auto" w:vAnchor="page" w:hAnchor="page" w:x="520" w:y="7688"/>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91" w:lineRule="auto"/>
        <w:framePr w:w="1060" w:h="147" w:wrap="auto" w:vAnchor="page" w:hAnchor="page" w:x="520" w:y="7904"/>
        <w:rPr>
          <w:rFonts w:ascii="Arial" w:cs="Arial" w:eastAsia="Arial" w:hAnsi="Arial"/>
          <w:sz w:val="16"/>
          <w:szCs w:val="16"/>
          <w:b w:val="1"/>
          <w:bCs w:val="1"/>
          <w:color w:val="auto"/>
        </w:rPr>
      </w:pPr>
      <w:r>
        <w:rPr>
          <w:rFonts w:ascii="Arial" w:cs="Arial" w:eastAsia="Arial" w:hAnsi="Arial"/>
          <w:sz w:val="16"/>
          <w:szCs w:val="16"/>
          <w:b w:val="1"/>
          <w:bCs w:val="1"/>
          <w:color w:val="auto"/>
        </w:rPr>
        <w:t>Fixed Income</w:t>
      </w:r>
    </w:p>
    <w:p>
      <w:pPr>
        <w:spacing w:after="0" w:line="191" w:lineRule="auto"/>
        <w:framePr w:w="880" w:h="147" w:wrap="auto" w:vAnchor="page" w:hAnchor="page" w:x="520" w:y="8120"/>
        <w:rPr>
          <w:rFonts w:ascii="Arial" w:cs="Arial" w:eastAsia="Arial" w:hAnsi="Arial"/>
          <w:sz w:val="16"/>
          <w:szCs w:val="16"/>
          <w:b w:val="1"/>
          <w:bCs w:val="1"/>
          <w:color w:val="auto"/>
        </w:rPr>
      </w:pPr>
      <w:r>
        <w:rPr>
          <w:rFonts w:ascii="Arial" w:cs="Arial" w:eastAsia="Arial" w:hAnsi="Arial"/>
          <w:sz w:val="16"/>
          <w:szCs w:val="16"/>
          <w:b w:val="1"/>
          <w:bCs w:val="1"/>
          <w:color w:val="auto"/>
        </w:rPr>
        <w:t>Multi-Asset</w:t>
      </w:r>
    </w:p>
    <w:p>
      <w:pPr>
        <w:spacing w:after="0" w:line="191" w:lineRule="auto"/>
        <w:framePr w:w="760" w:h="147" w:wrap="auto" w:vAnchor="page" w:hAnchor="page" w:x="520" w:y="8336"/>
        <w:rPr>
          <w:rFonts w:ascii="Arial" w:cs="Arial" w:eastAsia="Arial" w:hAnsi="Arial"/>
          <w:sz w:val="16"/>
          <w:szCs w:val="16"/>
          <w:b w:val="1"/>
          <w:bCs w:val="1"/>
          <w:color w:val="auto"/>
        </w:rPr>
      </w:pPr>
      <w:r>
        <w:rPr>
          <w:rFonts w:ascii="Arial" w:cs="Arial" w:eastAsia="Arial" w:hAnsi="Arial"/>
          <w:sz w:val="16"/>
          <w:szCs w:val="16"/>
          <w:b w:val="1"/>
          <w:bCs w:val="1"/>
          <w:color w:val="auto"/>
        </w:rPr>
        <w:t>All Funds</w:t>
      </w:r>
    </w:p>
    <w:p>
      <w:pPr>
        <w:spacing w:after="0" w:line="203" w:lineRule="auto"/>
        <w:framePr w:w="400" w:h="147" w:wrap="auto" w:vAnchor="page" w:hAnchor="page" w:x="4920" w:y="7688"/>
        <w:rPr>
          <w:rFonts w:ascii="Arial" w:cs="Arial" w:eastAsia="Arial" w:hAnsi="Arial"/>
          <w:sz w:val="15"/>
          <w:szCs w:val="15"/>
          <w:b w:val="1"/>
          <w:bCs w:val="1"/>
          <w:color w:val="auto"/>
        </w:rPr>
      </w:pPr>
      <w:r>
        <w:rPr>
          <w:rFonts w:ascii="Arial" w:cs="Arial" w:eastAsia="Arial" w:hAnsi="Arial"/>
          <w:sz w:val="15"/>
          <w:szCs w:val="15"/>
          <w:b w:val="1"/>
          <w:bCs w:val="1"/>
          <w:color w:val="auto"/>
        </w:rPr>
        <w:t>48%</w:t>
      </w:r>
    </w:p>
    <w:p>
      <w:pPr>
        <w:spacing w:after="0" w:line="203" w:lineRule="auto"/>
        <w:framePr w:w="400" w:h="147" w:wrap="auto" w:vAnchor="page" w:hAnchor="page" w:x="4920" w:y="7904"/>
        <w:rPr>
          <w:rFonts w:ascii="Arial" w:cs="Arial" w:eastAsia="Arial" w:hAnsi="Arial"/>
          <w:sz w:val="15"/>
          <w:szCs w:val="15"/>
          <w:b w:val="1"/>
          <w:bCs w:val="1"/>
          <w:color w:val="auto"/>
        </w:rPr>
      </w:pPr>
      <w:r>
        <w:rPr>
          <w:rFonts w:ascii="Arial" w:cs="Arial" w:eastAsia="Arial" w:hAnsi="Arial"/>
          <w:sz w:val="15"/>
          <w:szCs w:val="15"/>
          <w:b w:val="1"/>
          <w:bCs w:val="1"/>
          <w:color w:val="auto"/>
        </w:rPr>
        <w:t>69%</w:t>
      </w:r>
    </w:p>
    <w:p>
      <w:pPr>
        <w:spacing w:after="0" w:line="203" w:lineRule="auto"/>
        <w:framePr w:w="400" w:h="147" w:wrap="auto" w:vAnchor="page" w:hAnchor="page" w:x="4920" w:y="8120"/>
        <w:rPr>
          <w:rFonts w:ascii="Arial" w:cs="Arial" w:eastAsia="Arial" w:hAnsi="Arial"/>
          <w:sz w:val="15"/>
          <w:szCs w:val="15"/>
          <w:b w:val="1"/>
          <w:bCs w:val="1"/>
          <w:color w:val="auto"/>
        </w:rPr>
      </w:pPr>
      <w:r>
        <w:rPr>
          <w:rFonts w:ascii="Arial" w:cs="Arial" w:eastAsia="Arial" w:hAnsi="Arial"/>
          <w:sz w:val="15"/>
          <w:szCs w:val="15"/>
          <w:b w:val="1"/>
          <w:bCs w:val="1"/>
          <w:color w:val="auto"/>
        </w:rPr>
        <w:t>10%</w:t>
      </w:r>
    </w:p>
    <w:p>
      <w:pPr>
        <w:spacing w:after="0" w:line="203" w:lineRule="auto"/>
        <w:framePr w:w="400" w:h="147" w:wrap="auto" w:vAnchor="page" w:hAnchor="page" w:x="4920" w:y="8336"/>
        <w:rPr>
          <w:rFonts w:ascii="Arial" w:cs="Arial" w:eastAsia="Arial" w:hAnsi="Arial"/>
          <w:sz w:val="15"/>
          <w:szCs w:val="15"/>
          <w:b w:val="1"/>
          <w:bCs w:val="1"/>
          <w:color w:val="auto"/>
        </w:rPr>
      </w:pPr>
      <w:r>
        <w:rPr>
          <w:rFonts w:ascii="Arial" w:cs="Arial" w:eastAsia="Arial" w:hAnsi="Arial"/>
          <w:sz w:val="15"/>
          <w:szCs w:val="15"/>
          <w:b w:val="1"/>
          <w:bCs w:val="1"/>
          <w:color w:val="auto"/>
        </w:rPr>
        <w:t>41%</w:t>
      </w:r>
    </w:p>
    <w:p>
      <w:pPr>
        <w:spacing w:after="0" w:line="191" w:lineRule="auto"/>
        <w:framePr w:w="2260" w:h="147" w:wrap="auto" w:vAnchor="page" w:hAnchor="page" w:x="300" w:y="7027"/>
        <w:rPr>
          <w:rFonts w:ascii="Arial" w:cs="Arial" w:eastAsia="Arial" w:hAnsi="Arial"/>
          <w:sz w:val="16"/>
          <w:szCs w:val="16"/>
          <w:b w:val="1"/>
          <w:bCs w:val="1"/>
          <w:color w:val="auto"/>
        </w:rPr>
      </w:pPr>
      <w:r>
        <w:rPr>
          <w:rFonts w:ascii="Arial" w:cs="Arial" w:eastAsia="Arial" w:hAnsi="Arial"/>
          <w:sz w:val="16"/>
          <w:szCs w:val="16"/>
          <w:b w:val="1"/>
          <w:bCs w:val="1"/>
          <w:color w:val="auto"/>
        </w:rPr>
        <w:t>AUM Weighted Performance</w:t>
      </w:r>
    </w:p>
    <w:p>
      <w:pPr>
        <w:spacing w:after="0" w:line="213" w:lineRule="auto"/>
        <w:framePr w:w="5100" w:h="379" w:wrap="auto" w:vAnchor="page" w:hAnchor="page" w:x="300" w:y="7227"/>
        <w:rPr>
          <w:rFonts w:ascii="Arial" w:cs="Arial" w:eastAsia="Arial" w:hAnsi="Arial"/>
          <w:sz w:val="16"/>
          <w:szCs w:val="16"/>
          <w:color w:val="auto"/>
        </w:rPr>
      </w:pPr>
      <w:r>
        <w:rPr>
          <w:rFonts w:ascii="Arial" w:cs="Arial" w:eastAsia="Arial" w:hAnsi="Arial"/>
          <w:sz w:val="16"/>
          <w:szCs w:val="16"/>
          <w:b w:val="1"/>
          <w:bCs w:val="1"/>
          <w:color w:val="auto"/>
        </w:rPr>
        <w:t>% of U.S. funds AUM that outperformed Morningstar median</w:t>
      </w:r>
      <w:r>
        <w:rPr>
          <w:rFonts w:ascii="Arial" w:cs="Arial" w:eastAsia="Arial" w:hAnsi="Arial"/>
          <w:sz w:val="21"/>
          <w:szCs w:val="21"/>
          <w:b w:val="1"/>
          <w:bCs w:val="1"/>
          <w:color w:val="auto"/>
          <w:vertAlign w:val="superscript"/>
        </w:rPr>
        <w:t>(2),(3)</w:t>
      </w:r>
      <w:r>
        <w:rPr>
          <w:rFonts w:ascii="Arial" w:cs="Arial" w:eastAsia="Arial" w:hAnsi="Arial"/>
          <w:sz w:val="16"/>
          <w:szCs w:val="16"/>
          <w:b w:val="1"/>
          <w:bCs w:val="1"/>
          <w:color w:val="auto"/>
        </w:rPr>
        <w:t xml:space="preserve"> </w:t>
      </w:r>
      <w:r>
        <w:rPr>
          <w:rFonts w:ascii="Arial" w:cs="Arial" w:eastAsia="Arial" w:hAnsi="Arial"/>
          <w:sz w:val="16"/>
          <w:szCs w:val="16"/>
          <w:color w:val="auto"/>
        </w:rPr>
        <w:t>1 year</w:t>
      </w:r>
    </w:p>
    <w:p>
      <w:pPr>
        <w:spacing w:after="0" w:line="191" w:lineRule="auto"/>
        <w:framePr w:w="540" w:h="147" w:wrap="auto" w:vAnchor="page" w:hAnchor="page" w:x="520" w:y="5852"/>
        <w:rPr>
          <w:rFonts w:ascii="Arial" w:cs="Arial" w:eastAsia="Arial" w:hAnsi="Arial"/>
          <w:sz w:val="16"/>
          <w:szCs w:val="16"/>
          <w:color w:val="auto"/>
        </w:rPr>
      </w:pPr>
      <w:r>
        <w:rPr>
          <w:rFonts w:ascii="Arial" w:cs="Arial" w:eastAsia="Arial" w:hAnsi="Arial"/>
          <w:sz w:val="16"/>
          <w:szCs w:val="16"/>
          <w:color w:val="auto"/>
        </w:rPr>
        <w:t>Equity</w:t>
      </w:r>
    </w:p>
    <w:p>
      <w:pPr>
        <w:spacing w:after="0" w:line="191" w:lineRule="auto"/>
        <w:framePr w:w="1060" w:h="147" w:wrap="auto" w:vAnchor="page" w:hAnchor="page" w:x="520" w:y="6068"/>
        <w:rPr>
          <w:rFonts w:ascii="Arial" w:cs="Arial" w:eastAsia="Arial" w:hAnsi="Arial"/>
          <w:sz w:val="16"/>
          <w:szCs w:val="16"/>
          <w:color w:val="auto"/>
        </w:rPr>
      </w:pPr>
      <w:r>
        <w:rPr>
          <w:rFonts w:ascii="Arial" w:cs="Arial" w:eastAsia="Arial" w:hAnsi="Arial"/>
          <w:sz w:val="16"/>
          <w:szCs w:val="16"/>
          <w:color w:val="auto"/>
        </w:rPr>
        <w:t>Fixed Income</w:t>
      </w:r>
    </w:p>
    <w:p>
      <w:pPr>
        <w:spacing w:after="0" w:line="191" w:lineRule="auto"/>
        <w:framePr w:w="1160" w:h="147" w:wrap="auto" w:vAnchor="page" w:hAnchor="page" w:x="520" w:y="6284"/>
        <w:rPr>
          <w:rFonts w:ascii="Arial" w:cs="Arial" w:eastAsia="Arial" w:hAnsi="Arial"/>
          <w:sz w:val="16"/>
          <w:szCs w:val="16"/>
          <w:color w:val="auto"/>
        </w:rPr>
      </w:pPr>
      <w:r>
        <w:rPr>
          <w:rFonts w:ascii="Arial" w:cs="Arial" w:eastAsia="Arial" w:hAnsi="Arial"/>
          <w:sz w:val="16"/>
          <w:szCs w:val="16"/>
          <w:color w:val="auto"/>
        </w:rPr>
        <w:t>All Composites</w:t>
      </w:r>
    </w:p>
    <w:p>
      <w:pPr>
        <w:spacing w:after="0" w:line="191" w:lineRule="auto"/>
        <w:framePr w:w="540" w:h="147" w:wrap="auto" w:vAnchor="page" w:hAnchor="page" w:x="4860" w:y="5623"/>
        <w:rPr>
          <w:rFonts w:ascii="Arial" w:cs="Arial" w:eastAsia="Arial" w:hAnsi="Arial"/>
          <w:sz w:val="16"/>
          <w:szCs w:val="16"/>
          <w:color w:val="auto"/>
        </w:rPr>
      </w:pPr>
      <w:r>
        <w:rPr>
          <w:rFonts w:ascii="Arial" w:cs="Arial" w:eastAsia="Arial" w:hAnsi="Arial"/>
          <w:sz w:val="16"/>
          <w:szCs w:val="16"/>
          <w:color w:val="auto"/>
        </w:rPr>
        <w:t>1 year</w:t>
      </w:r>
    </w:p>
    <w:p>
      <w:pPr>
        <w:spacing w:after="0" w:line="203" w:lineRule="auto"/>
        <w:framePr w:w="400" w:h="147" w:wrap="auto" w:vAnchor="page" w:hAnchor="page" w:x="4920" w:y="5852"/>
        <w:rPr>
          <w:rFonts w:ascii="Arial" w:cs="Arial" w:eastAsia="Arial" w:hAnsi="Arial"/>
          <w:sz w:val="15"/>
          <w:szCs w:val="15"/>
          <w:color w:val="auto"/>
        </w:rPr>
      </w:pPr>
      <w:r>
        <w:rPr>
          <w:rFonts w:ascii="Arial" w:cs="Arial" w:eastAsia="Arial" w:hAnsi="Arial"/>
          <w:sz w:val="15"/>
          <w:szCs w:val="15"/>
          <w:color w:val="auto"/>
        </w:rPr>
        <w:t>17%</w:t>
      </w:r>
    </w:p>
    <w:p>
      <w:pPr>
        <w:spacing w:after="0" w:line="203" w:lineRule="auto"/>
        <w:framePr w:w="400" w:h="147" w:wrap="auto" w:vAnchor="page" w:hAnchor="page" w:x="4920" w:y="6068"/>
        <w:rPr>
          <w:rFonts w:ascii="Arial" w:cs="Arial" w:eastAsia="Arial" w:hAnsi="Arial"/>
          <w:sz w:val="15"/>
          <w:szCs w:val="15"/>
          <w:color w:val="auto"/>
        </w:rPr>
      </w:pPr>
      <w:r>
        <w:rPr>
          <w:rFonts w:ascii="Arial" w:cs="Arial" w:eastAsia="Arial" w:hAnsi="Arial"/>
          <w:sz w:val="15"/>
          <w:szCs w:val="15"/>
          <w:color w:val="auto"/>
        </w:rPr>
        <w:t>54%</w:t>
      </w:r>
    </w:p>
    <w:p>
      <w:pPr>
        <w:spacing w:after="0" w:line="203" w:lineRule="auto"/>
        <w:framePr w:w="400" w:h="147" w:wrap="auto" w:vAnchor="page" w:hAnchor="page" w:x="4920" w:y="6284"/>
        <w:rPr>
          <w:rFonts w:ascii="Arial" w:cs="Arial" w:eastAsia="Arial" w:hAnsi="Arial"/>
          <w:sz w:val="15"/>
          <w:szCs w:val="15"/>
          <w:color w:val="auto"/>
        </w:rPr>
      </w:pPr>
      <w:r>
        <w:rPr>
          <w:rFonts w:ascii="Arial" w:cs="Arial" w:eastAsia="Arial" w:hAnsi="Arial"/>
          <w:sz w:val="15"/>
          <w:szCs w:val="15"/>
          <w:color w:val="auto"/>
        </w:rPr>
        <w:t>33%</w:t>
      </w:r>
    </w:p>
    <w:p>
      <w:pPr>
        <w:spacing w:after="0" w:line="191" w:lineRule="auto"/>
        <w:framePr w:w="540" w:h="147" w:wrap="auto" w:vAnchor="page" w:hAnchor="page" w:x="520" w:y="4381"/>
        <w:rPr>
          <w:rFonts w:ascii="Arial" w:cs="Arial" w:eastAsia="Arial" w:hAnsi="Arial"/>
          <w:sz w:val="16"/>
          <w:szCs w:val="16"/>
          <w:color w:val="auto"/>
        </w:rPr>
      </w:pPr>
      <w:r>
        <w:rPr>
          <w:rFonts w:ascii="Arial" w:cs="Arial" w:eastAsia="Arial" w:hAnsi="Arial"/>
          <w:sz w:val="16"/>
          <w:szCs w:val="16"/>
          <w:color w:val="auto"/>
        </w:rPr>
        <w:t>Equity</w:t>
      </w:r>
    </w:p>
    <w:p>
      <w:pPr>
        <w:spacing w:after="0" w:line="191" w:lineRule="auto"/>
        <w:framePr w:w="1060" w:h="147" w:wrap="auto" w:vAnchor="page" w:hAnchor="page" w:x="520" w:y="4597"/>
        <w:rPr>
          <w:rFonts w:ascii="Arial" w:cs="Arial" w:eastAsia="Arial" w:hAnsi="Arial"/>
          <w:sz w:val="16"/>
          <w:szCs w:val="16"/>
          <w:color w:val="auto"/>
        </w:rPr>
      </w:pPr>
      <w:r>
        <w:rPr>
          <w:rFonts w:ascii="Arial" w:cs="Arial" w:eastAsia="Arial" w:hAnsi="Arial"/>
          <w:sz w:val="16"/>
          <w:szCs w:val="16"/>
          <w:color w:val="auto"/>
        </w:rPr>
        <w:t>Fixed Income</w:t>
      </w:r>
    </w:p>
    <w:p>
      <w:pPr>
        <w:spacing w:after="0" w:line="191" w:lineRule="auto"/>
        <w:framePr w:w="880" w:h="147" w:wrap="auto" w:vAnchor="page" w:hAnchor="page" w:x="520" w:y="4813"/>
        <w:rPr>
          <w:rFonts w:ascii="Arial" w:cs="Arial" w:eastAsia="Arial" w:hAnsi="Arial"/>
          <w:sz w:val="16"/>
          <w:szCs w:val="16"/>
          <w:color w:val="auto"/>
        </w:rPr>
      </w:pPr>
      <w:r>
        <w:rPr>
          <w:rFonts w:ascii="Arial" w:cs="Arial" w:eastAsia="Arial" w:hAnsi="Arial"/>
          <w:sz w:val="16"/>
          <w:szCs w:val="16"/>
          <w:color w:val="auto"/>
        </w:rPr>
        <w:t>Multi-Asset</w:t>
      </w:r>
    </w:p>
    <w:p>
      <w:pPr>
        <w:spacing w:after="0" w:line="191" w:lineRule="auto"/>
        <w:framePr w:w="760" w:h="147" w:wrap="auto" w:vAnchor="page" w:hAnchor="page" w:x="520" w:y="5029"/>
        <w:rPr>
          <w:rFonts w:ascii="Arial" w:cs="Arial" w:eastAsia="Arial" w:hAnsi="Arial"/>
          <w:sz w:val="16"/>
          <w:szCs w:val="16"/>
          <w:color w:val="auto"/>
        </w:rPr>
      </w:pPr>
      <w:r>
        <w:rPr>
          <w:rFonts w:ascii="Arial" w:cs="Arial" w:eastAsia="Arial" w:hAnsi="Arial"/>
          <w:sz w:val="16"/>
          <w:szCs w:val="16"/>
          <w:color w:val="auto"/>
        </w:rPr>
        <w:t>All Funds</w:t>
      </w:r>
    </w:p>
    <w:p>
      <w:pPr>
        <w:spacing w:after="0" w:line="183" w:lineRule="auto"/>
        <w:framePr w:w="3940" w:h="149" w:wrap="auto" w:vAnchor="page" w:hAnchor="page" w:x="300" w:y="5404"/>
        <w:rPr>
          <w:rFonts w:ascii="Arial" w:cs="Arial" w:eastAsia="Arial" w:hAnsi="Arial"/>
          <w:sz w:val="13"/>
          <w:szCs w:val="13"/>
          <w:b w:val="1"/>
          <w:bCs w:val="1"/>
          <w:color w:val="auto"/>
        </w:rPr>
      </w:pPr>
      <w:r>
        <w:rPr>
          <w:rFonts w:ascii="Arial" w:cs="Arial" w:eastAsia="Arial" w:hAnsi="Arial"/>
          <w:sz w:val="13"/>
          <w:szCs w:val="13"/>
          <w:b w:val="1"/>
          <w:bCs w:val="1"/>
          <w:color w:val="auto"/>
        </w:rPr>
        <w:t>% of composites that outperformed benchmarks</w:t>
      </w:r>
      <w:r>
        <w:rPr>
          <w:rFonts w:ascii="Arial" w:cs="Arial" w:eastAsia="Arial" w:hAnsi="Arial"/>
          <w:sz w:val="17"/>
          <w:szCs w:val="17"/>
          <w:b w:val="1"/>
          <w:bCs w:val="1"/>
          <w:color w:val="auto"/>
          <w:vertAlign w:val="superscript"/>
        </w:rPr>
        <w:t>(5)</w:t>
      </w:r>
    </w:p>
    <w:p>
      <w:pPr>
        <w:spacing w:after="0" w:line="191" w:lineRule="auto"/>
        <w:framePr w:w="540" w:h="147" w:wrap="auto" w:vAnchor="page" w:hAnchor="page" w:x="4860" w:y="4151"/>
        <w:rPr>
          <w:rFonts w:ascii="Arial" w:cs="Arial" w:eastAsia="Arial" w:hAnsi="Arial"/>
          <w:sz w:val="16"/>
          <w:szCs w:val="16"/>
          <w:b w:val="1"/>
          <w:bCs w:val="1"/>
          <w:color w:val="auto"/>
        </w:rPr>
      </w:pPr>
      <w:r>
        <w:rPr>
          <w:rFonts w:ascii="Arial" w:cs="Arial" w:eastAsia="Arial" w:hAnsi="Arial"/>
          <w:sz w:val="16"/>
          <w:szCs w:val="16"/>
          <w:b w:val="1"/>
          <w:bCs w:val="1"/>
          <w:color w:val="auto"/>
        </w:rPr>
        <w:t>1 year</w:t>
      </w:r>
    </w:p>
    <w:p>
      <w:pPr>
        <w:spacing w:after="0" w:line="203" w:lineRule="auto"/>
        <w:framePr w:w="400" w:h="147" w:wrap="auto" w:vAnchor="page" w:hAnchor="page" w:x="4920" w:y="4381"/>
        <w:rPr>
          <w:rFonts w:ascii="Arial" w:cs="Arial" w:eastAsia="Arial" w:hAnsi="Arial"/>
          <w:sz w:val="15"/>
          <w:szCs w:val="15"/>
          <w:b w:val="1"/>
          <w:bCs w:val="1"/>
          <w:color w:val="auto"/>
        </w:rPr>
      </w:pPr>
      <w:r>
        <w:rPr>
          <w:rFonts w:ascii="Arial" w:cs="Arial" w:eastAsia="Arial" w:hAnsi="Arial"/>
          <w:sz w:val="15"/>
          <w:szCs w:val="15"/>
          <w:b w:val="1"/>
          <w:bCs w:val="1"/>
          <w:color w:val="auto"/>
        </w:rPr>
        <w:t>29%</w:t>
      </w:r>
    </w:p>
    <w:p>
      <w:pPr>
        <w:spacing w:after="0" w:line="203" w:lineRule="auto"/>
        <w:framePr w:w="400" w:h="147" w:wrap="auto" w:vAnchor="page" w:hAnchor="page" w:x="4920" w:y="4597"/>
        <w:rPr>
          <w:rFonts w:ascii="Arial" w:cs="Arial" w:eastAsia="Arial" w:hAnsi="Arial"/>
          <w:sz w:val="15"/>
          <w:szCs w:val="15"/>
          <w:b w:val="1"/>
          <w:bCs w:val="1"/>
          <w:color w:val="auto"/>
        </w:rPr>
      </w:pPr>
      <w:r>
        <w:rPr>
          <w:rFonts w:ascii="Arial" w:cs="Arial" w:eastAsia="Arial" w:hAnsi="Arial"/>
          <w:sz w:val="15"/>
          <w:szCs w:val="15"/>
          <w:b w:val="1"/>
          <w:bCs w:val="1"/>
          <w:color w:val="auto"/>
        </w:rPr>
        <w:t>33%</w:t>
      </w:r>
    </w:p>
    <w:p>
      <w:pPr>
        <w:spacing w:after="0" w:line="203" w:lineRule="auto"/>
        <w:framePr w:w="300" w:h="147" w:wrap="auto" w:vAnchor="page" w:hAnchor="page" w:x="4980" w:y="4813"/>
        <w:rPr>
          <w:rFonts w:ascii="Arial" w:cs="Arial" w:eastAsia="Arial" w:hAnsi="Arial"/>
          <w:sz w:val="15"/>
          <w:szCs w:val="15"/>
          <w:b w:val="1"/>
          <w:bCs w:val="1"/>
          <w:color w:val="auto"/>
        </w:rPr>
      </w:pPr>
      <w:r>
        <w:rPr>
          <w:rFonts w:ascii="Arial" w:cs="Arial" w:eastAsia="Arial" w:hAnsi="Arial"/>
          <w:sz w:val="15"/>
          <w:szCs w:val="15"/>
          <w:b w:val="1"/>
          <w:bCs w:val="1"/>
          <w:color w:val="auto"/>
        </w:rPr>
        <w:t>8%</w:t>
      </w:r>
    </w:p>
    <w:p>
      <w:pPr>
        <w:spacing w:after="0" w:line="203" w:lineRule="auto"/>
        <w:framePr w:w="400" w:h="147" w:wrap="auto" w:vAnchor="page" w:hAnchor="page" w:x="4920" w:y="5029"/>
        <w:rPr>
          <w:rFonts w:ascii="Arial" w:cs="Arial" w:eastAsia="Arial" w:hAnsi="Arial"/>
          <w:sz w:val="15"/>
          <w:szCs w:val="15"/>
          <w:b w:val="1"/>
          <w:bCs w:val="1"/>
          <w:color w:val="auto"/>
        </w:rPr>
      </w:pPr>
      <w:r>
        <w:rPr>
          <w:rFonts w:ascii="Arial" w:cs="Arial" w:eastAsia="Arial" w:hAnsi="Arial"/>
          <w:sz w:val="15"/>
          <w:szCs w:val="15"/>
          <w:b w:val="1"/>
          <w:bCs w:val="1"/>
          <w:color w:val="auto"/>
        </w:rPr>
        <w:t>22%</w:t>
      </w:r>
    </w:p>
    <w:p>
      <w:pPr>
        <w:spacing w:after="0" w:line="191" w:lineRule="auto"/>
        <w:framePr w:w="540" w:h="147" w:wrap="auto" w:vAnchor="page" w:hAnchor="page" w:x="520" w:y="2963"/>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91" w:lineRule="auto"/>
        <w:framePr w:w="1060" w:h="147" w:wrap="auto" w:vAnchor="page" w:hAnchor="page" w:x="520" w:y="3179"/>
        <w:rPr>
          <w:rFonts w:ascii="Arial" w:cs="Arial" w:eastAsia="Arial" w:hAnsi="Arial"/>
          <w:sz w:val="16"/>
          <w:szCs w:val="16"/>
          <w:b w:val="1"/>
          <w:bCs w:val="1"/>
          <w:color w:val="auto"/>
        </w:rPr>
      </w:pPr>
      <w:r>
        <w:rPr>
          <w:rFonts w:ascii="Arial" w:cs="Arial" w:eastAsia="Arial" w:hAnsi="Arial"/>
          <w:sz w:val="16"/>
          <w:szCs w:val="16"/>
          <w:b w:val="1"/>
          <w:bCs w:val="1"/>
          <w:color w:val="auto"/>
        </w:rPr>
        <w:t>Fixed Income</w:t>
      </w:r>
    </w:p>
    <w:p>
      <w:pPr>
        <w:spacing w:after="0" w:line="191" w:lineRule="auto"/>
        <w:framePr w:w="880" w:h="147" w:wrap="auto" w:vAnchor="page" w:hAnchor="page" w:x="520" w:y="3395"/>
        <w:rPr>
          <w:rFonts w:ascii="Arial" w:cs="Arial" w:eastAsia="Arial" w:hAnsi="Arial"/>
          <w:sz w:val="16"/>
          <w:szCs w:val="16"/>
          <w:b w:val="1"/>
          <w:bCs w:val="1"/>
          <w:color w:val="auto"/>
        </w:rPr>
      </w:pPr>
      <w:r>
        <w:rPr>
          <w:rFonts w:ascii="Arial" w:cs="Arial" w:eastAsia="Arial" w:hAnsi="Arial"/>
          <w:sz w:val="16"/>
          <w:szCs w:val="16"/>
          <w:b w:val="1"/>
          <w:bCs w:val="1"/>
          <w:color w:val="auto"/>
        </w:rPr>
        <w:t>Multi-Asset</w:t>
      </w:r>
    </w:p>
    <w:p>
      <w:pPr>
        <w:spacing w:after="0" w:line="191" w:lineRule="auto"/>
        <w:framePr w:w="760" w:h="147" w:wrap="auto" w:vAnchor="page" w:hAnchor="page" w:x="520" w:y="3611"/>
        <w:rPr>
          <w:rFonts w:ascii="Arial" w:cs="Arial" w:eastAsia="Arial" w:hAnsi="Arial"/>
          <w:sz w:val="16"/>
          <w:szCs w:val="16"/>
          <w:b w:val="1"/>
          <w:bCs w:val="1"/>
          <w:color w:val="auto"/>
        </w:rPr>
      </w:pPr>
      <w:r>
        <w:rPr>
          <w:rFonts w:ascii="Arial" w:cs="Arial" w:eastAsia="Arial" w:hAnsi="Arial"/>
          <w:sz w:val="16"/>
          <w:szCs w:val="16"/>
          <w:b w:val="1"/>
          <w:bCs w:val="1"/>
          <w:color w:val="auto"/>
        </w:rPr>
        <w:t>All Funds</w:t>
      </w:r>
    </w:p>
    <w:p>
      <w:pPr>
        <w:spacing w:after="0" w:line="183" w:lineRule="auto"/>
        <w:framePr w:w="4640" w:h="149" w:wrap="auto" w:vAnchor="page" w:hAnchor="page" w:x="300" w:y="3933"/>
        <w:rPr>
          <w:rFonts w:ascii="Arial" w:cs="Arial" w:eastAsia="Arial" w:hAnsi="Arial"/>
          <w:sz w:val="13"/>
          <w:szCs w:val="13"/>
          <w:b w:val="1"/>
          <w:bCs w:val="1"/>
          <w:color w:val="auto"/>
        </w:rPr>
      </w:pPr>
      <w:r>
        <w:rPr>
          <w:rFonts w:ascii="Arial" w:cs="Arial" w:eastAsia="Arial" w:hAnsi="Arial"/>
          <w:sz w:val="13"/>
          <w:szCs w:val="13"/>
          <w:b w:val="1"/>
          <w:bCs w:val="1"/>
          <w:color w:val="auto"/>
        </w:rPr>
        <w:t>% of U.S. funds that outperformed passive peer median</w:t>
      </w:r>
      <w:r>
        <w:rPr>
          <w:rFonts w:ascii="Arial" w:cs="Arial" w:eastAsia="Arial" w:hAnsi="Arial"/>
          <w:sz w:val="17"/>
          <w:szCs w:val="17"/>
          <w:b w:val="1"/>
          <w:bCs w:val="1"/>
          <w:color w:val="auto"/>
          <w:vertAlign w:val="superscript"/>
        </w:rPr>
        <w:t>(2),(4)</w:t>
      </w:r>
    </w:p>
    <w:p>
      <w:pPr>
        <w:spacing w:after="0" w:line="191" w:lineRule="auto"/>
        <w:framePr w:w="540" w:h="147" w:wrap="auto" w:vAnchor="page" w:hAnchor="page" w:x="4860" w:y="2734"/>
        <w:rPr>
          <w:rFonts w:ascii="Arial" w:cs="Arial" w:eastAsia="Arial" w:hAnsi="Arial"/>
          <w:sz w:val="16"/>
          <w:szCs w:val="16"/>
          <w:b w:val="1"/>
          <w:bCs w:val="1"/>
          <w:color w:val="auto"/>
        </w:rPr>
      </w:pPr>
      <w:r>
        <w:rPr>
          <w:rFonts w:ascii="Arial" w:cs="Arial" w:eastAsia="Arial" w:hAnsi="Arial"/>
          <w:sz w:val="16"/>
          <w:szCs w:val="16"/>
          <w:b w:val="1"/>
          <w:bCs w:val="1"/>
          <w:color w:val="auto"/>
        </w:rPr>
        <w:t>1 year</w:t>
      </w:r>
    </w:p>
    <w:p>
      <w:pPr>
        <w:spacing w:after="0" w:line="203" w:lineRule="auto"/>
        <w:framePr w:w="400" w:h="147" w:wrap="auto" w:vAnchor="page" w:hAnchor="page" w:x="4920" w:y="2963"/>
        <w:rPr>
          <w:rFonts w:ascii="Arial" w:cs="Arial" w:eastAsia="Arial" w:hAnsi="Arial"/>
          <w:sz w:val="15"/>
          <w:szCs w:val="15"/>
          <w:b w:val="1"/>
          <w:bCs w:val="1"/>
          <w:color w:val="auto"/>
        </w:rPr>
      </w:pPr>
      <w:r>
        <w:rPr>
          <w:rFonts w:ascii="Arial" w:cs="Arial" w:eastAsia="Arial" w:hAnsi="Arial"/>
          <w:sz w:val="15"/>
          <w:szCs w:val="15"/>
          <w:b w:val="1"/>
          <w:bCs w:val="1"/>
          <w:color w:val="auto"/>
        </w:rPr>
        <w:t>31%</w:t>
      </w:r>
    </w:p>
    <w:p>
      <w:pPr>
        <w:spacing w:after="0" w:line="203" w:lineRule="auto"/>
        <w:framePr w:w="400" w:h="147" w:wrap="auto" w:vAnchor="page" w:hAnchor="page" w:x="4920" w:y="3179"/>
        <w:rPr>
          <w:rFonts w:ascii="Arial" w:cs="Arial" w:eastAsia="Arial" w:hAnsi="Arial"/>
          <w:sz w:val="15"/>
          <w:szCs w:val="15"/>
          <w:b w:val="1"/>
          <w:bCs w:val="1"/>
          <w:color w:val="auto"/>
        </w:rPr>
      </w:pPr>
      <w:r>
        <w:rPr>
          <w:rFonts w:ascii="Arial" w:cs="Arial" w:eastAsia="Arial" w:hAnsi="Arial"/>
          <w:sz w:val="15"/>
          <w:szCs w:val="15"/>
          <w:b w:val="1"/>
          <w:bCs w:val="1"/>
          <w:color w:val="auto"/>
        </w:rPr>
        <w:t>53%</w:t>
      </w:r>
    </w:p>
    <w:p>
      <w:pPr>
        <w:spacing w:after="0" w:line="203" w:lineRule="auto"/>
        <w:framePr w:w="400" w:h="147" w:wrap="auto" w:vAnchor="page" w:hAnchor="page" w:x="4920" w:y="3395"/>
        <w:rPr>
          <w:rFonts w:ascii="Arial" w:cs="Arial" w:eastAsia="Arial" w:hAnsi="Arial"/>
          <w:sz w:val="15"/>
          <w:szCs w:val="15"/>
          <w:b w:val="1"/>
          <w:bCs w:val="1"/>
          <w:color w:val="auto"/>
        </w:rPr>
      </w:pPr>
      <w:r>
        <w:rPr>
          <w:rFonts w:ascii="Arial" w:cs="Arial" w:eastAsia="Arial" w:hAnsi="Arial"/>
          <w:sz w:val="15"/>
          <w:szCs w:val="15"/>
          <w:b w:val="1"/>
          <w:bCs w:val="1"/>
          <w:color w:val="auto"/>
        </w:rPr>
        <w:t>25%</w:t>
      </w:r>
    </w:p>
    <w:p>
      <w:pPr>
        <w:spacing w:after="0" w:line="203" w:lineRule="auto"/>
        <w:framePr w:w="400" w:h="147" w:wrap="auto" w:vAnchor="page" w:hAnchor="page" w:x="4920" w:y="3611"/>
        <w:rPr>
          <w:rFonts w:ascii="Arial" w:cs="Arial" w:eastAsia="Arial" w:hAnsi="Arial"/>
          <w:sz w:val="15"/>
          <w:szCs w:val="15"/>
          <w:b w:val="1"/>
          <w:bCs w:val="1"/>
          <w:color w:val="auto"/>
        </w:rPr>
      </w:pPr>
      <w:r>
        <w:rPr>
          <w:rFonts w:ascii="Arial" w:cs="Arial" w:eastAsia="Arial" w:hAnsi="Arial"/>
          <w:sz w:val="15"/>
          <w:szCs w:val="15"/>
          <w:b w:val="1"/>
          <w:bCs w:val="1"/>
          <w:color w:val="auto"/>
        </w:rPr>
        <w:t>35%</w:t>
      </w:r>
    </w:p>
    <w:p>
      <w:pPr>
        <w:spacing w:after="0" w:line="180" w:lineRule="auto"/>
        <w:framePr w:w="2900" w:h="173" w:wrap="auto" w:vAnchor="page" w:hAnchor="page" w:x="280" w:y="898"/>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INVESTMENT PERFORMANCE.</w:t>
      </w:r>
      <w:r>
        <w:rPr>
          <w:rFonts w:ascii="Arial" w:cs="Arial" w:eastAsia="Arial" w:hAnsi="Arial"/>
          <w:sz w:val="20"/>
          <w:szCs w:val="20"/>
          <w:b w:val="1"/>
          <w:bCs w:val="1"/>
          <w:i w:val="1"/>
          <w:iCs w:val="1"/>
          <w:color w:val="auto"/>
          <w:vertAlign w:val="superscript"/>
        </w:rPr>
        <w:t>(1)</w:t>
      </w:r>
    </w:p>
    <w:p>
      <w:pPr>
        <w:spacing w:after="0" w:line="235" w:lineRule="auto"/>
        <w:framePr w:w="11080" w:h="811" w:wrap="auto" w:vAnchor="page" w:hAnchor="page" w:x="280" w:y="1368"/>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w:t>
      </w:r>
      <w:r>
        <w:rPr>
          <w:rFonts w:ascii="Arial" w:cs="Arial" w:eastAsia="Arial" w:hAnsi="Arial"/>
          <w:sz w:val="18"/>
          <w:szCs w:val="18"/>
          <w:b w:val="1"/>
          <w:bCs w:val="1"/>
          <w:color w:val="auto"/>
        </w:rPr>
        <w:t>trong investment performance and brand awareness is a key driver to attracting and retaining assets—and to our long-term success. 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performance disclosures include specific asset classes, assets under management weighted performance, U.S. fund performance against passive peers, and composite performance against benchmarks. The following tables present investment performance for the one-, three-, five-, and 10-years ended June 30, 2025. Past performance is not a reliable indicator of future performance.</w:t>
      </w:r>
    </w:p>
    <w:p>
      <w:pPr>
        <w:spacing w:after="0" w:line="183" w:lineRule="auto"/>
        <w:framePr w:w="4600" w:h="149" w:wrap="auto" w:vAnchor="page" w:hAnchor="page" w:x="300" w:y="2515"/>
        <w:rPr>
          <w:rFonts w:ascii="Arial" w:cs="Arial" w:eastAsia="Arial" w:hAnsi="Arial"/>
          <w:sz w:val="13"/>
          <w:szCs w:val="13"/>
          <w:b w:val="1"/>
          <w:bCs w:val="1"/>
          <w:color w:val="auto"/>
        </w:rPr>
      </w:pPr>
      <w:r>
        <w:rPr>
          <w:rFonts w:ascii="Arial" w:cs="Arial" w:eastAsia="Arial" w:hAnsi="Arial"/>
          <w:sz w:val="13"/>
          <w:szCs w:val="13"/>
          <w:b w:val="1"/>
          <w:bCs w:val="1"/>
          <w:color w:val="auto"/>
        </w:rPr>
        <w:t>% of U.S. funds that outperformed Morningstar median</w:t>
      </w:r>
      <w:r>
        <w:rPr>
          <w:rFonts w:ascii="Arial" w:cs="Arial" w:eastAsia="Arial" w:hAnsi="Arial"/>
          <w:sz w:val="17"/>
          <w:szCs w:val="17"/>
          <w:b w:val="1"/>
          <w:bCs w:val="1"/>
          <w:color w:val="auto"/>
          <w:vertAlign w:val="superscript"/>
        </w:rPr>
        <w:t>(2),(3)</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35" w:lineRule="exact"/>
        <w:rPr>
          <w:rFonts w:ascii="Arial" w:cs="Arial" w:eastAsia="Arial" w:hAnsi="Arial"/>
          <w:sz w:val="13"/>
          <w:szCs w:val="13"/>
          <w:b w:val="1"/>
          <w:bCs w:val="1"/>
          <w:color w:val="auto"/>
        </w:rPr>
      </w:pPr>
    </w:p>
    <w:tbl>
      <w:tblPr>
        <w:tblLayout w:type="fixed"/>
        <w:tblInd w:w="0" w:type="dxa"/>
        <w:tblCellMar>
          <w:top w:w="0" w:type="dxa"/>
          <w:left w:w="0" w:type="dxa"/>
          <w:bottom w:w="0" w:type="dxa"/>
          <w:right w:w="0" w:type="dxa"/>
        </w:tblCellMar>
      </w:tblP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57%</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0"/>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57%</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54%</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0"/>
        </w:trPr>
        <w:tc>
          <w:tcPr>
            <w:tcW w:w="39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45%</w:t>
            </w:r>
          </w:p>
        </w:tc>
        <w:tc>
          <w:tcPr>
            <w:tcW w:w="100" w:type="dxa"/>
            <w:vAlign w:val="bottom"/>
          </w:tcPr>
          <w:p>
            <w:pPr>
              <w:spacing w:after="0" w:line="20" w:lineRule="exact"/>
              <w:rPr>
                <w:sz w:val="1"/>
                <w:szCs w:val="1"/>
                <w:color w:val="auto"/>
              </w:rPr>
            </w:pPr>
          </w:p>
        </w:tc>
        <w:tc>
          <w:tcPr>
            <w:tcW w:w="176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45%</w:t>
            </w:r>
          </w:p>
        </w:tc>
      </w:tr>
      <w:tr>
        <w:trPr>
          <w:trHeight w:val="0"/>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0"/>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48%</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r>
      <w:tr>
        <w:trPr>
          <w:trHeight w:val="0"/>
        </w:trPr>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34%</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28%</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54%</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14"/>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42%</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r>
    </w:tbl>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383" w:lineRule="exact"/>
        <w:rPr>
          <w:rFonts w:ascii="Arial" w:cs="Arial" w:eastAsia="Arial" w:hAnsi="Arial"/>
          <w:sz w:val="13"/>
          <w:szCs w:val="13"/>
          <w:b w:val="1"/>
          <w:bCs w:val="1"/>
          <w:color w:val="auto"/>
        </w:rPr>
      </w:pPr>
    </w:p>
    <w:tbl>
      <w:tblPr>
        <w:tblLayout w:type="fixed"/>
        <w:tblInd w:w="0" w:type="dxa"/>
        <w:tblCellMar>
          <w:top w:w="0" w:type="dxa"/>
          <w:left w:w="0" w:type="dxa"/>
          <w:bottom w:w="0" w:type="dxa"/>
          <w:right w:w="0" w:type="dxa"/>
        </w:tblCellMar>
      </w:tblP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0"/>
        </w:trPr>
        <w:tc>
          <w:tcPr>
            <w:tcW w:w="39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line="20" w:lineRule="exact"/>
              <w:rPr>
                <w:sz w:val="1"/>
                <w:szCs w:val="1"/>
                <w:color w:val="auto"/>
              </w:rPr>
            </w:pPr>
          </w:p>
        </w:tc>
        <w:tc>
          <w:tcPr>
            <w:tcW w:w="176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73%</w:t>
            </w:r>
          </w:p>
        </w:tc>
      </w:tr>
      <w:tr>
        <w:trPr>
          <w:trHeight w:val="0"/>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76%</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84%</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79%</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93%</w:t>
            </w:r>
          </w:p>
        </w:tc>
      </w:tr>
      <w:tr>
        <w:trPr>
          <w:trHeight w:val="0"/>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0"/>
        </w:trPr>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48%</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72%</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74%</w:t>
            </w:r>
          </w:p>
        </w:tc>
      </w:tr>
      <w:tr>
        <w:trPr>
          <w:trHeight w:val="0"/>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93%</w:t>
            </w:r>
          </w:p>
        </w:tc>
      </w:tr>
      <w:tr>
        <w:trPr>
          <w:trHeight w:val="0"/>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line="20" w:lineRule="exact"/>
              <w:rPr>
                <w:sz w:val="1"/>
                <w:szCs w:val="1"/>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line="20" w:lineRule="exact"/>
              <w:rPr>
                <w:sz w:val="1"/>
                <w:szCs w:val="1"/>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0"/>
        </w:trPr>
        <w:tc>
          <w:tcPr>
            <w:tcW w:w="394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0"/>
        </w:trPr>
        <w:tc>
          <w:tcPr>
            <w:tcW w:w="39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line="20" w:lineRule="exact"/>
              <w:rPr>
                <w:sz w:val="1"/>
                <w:szCs w:val="1"/>
                <w:color w:val="auto"/>
              </w:rPr>
            </w:pPr>
          </w:p>
        </w:tc>
        <w:tc>
          <w:tcPr>
            <w:tcW w:w="174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line="20" w:lineRule="exact"/>
              <w:rPr>
                <w:sz w:val="1"/>
                <w:szCs w:val="1"/>
                <w:color w:val="auto"/>
              </w:rPr>
            </w:pPr>
          </w:p>
        </w:tc>
        <w:tc>
          <w:tcPr>
            <w:tcW w:w="1760" w:type="dxa"/>
            <w:vAlign w:val="bottom"/>
            <w:shd w:val="clear" w:color="auto" w:fill="000000"/>
          </w:tcPr>
          <w:p>
            <w:pPr>
              <w:jc w:val="center"/>
              <w:spacing w:after="0"/>
              <w:rPr>
                <w:sz w:val="20"/>
                <w:szCs w:val="20"/>
                <w:color w:val="auto"/>
              </w:rPr>
            </w:pPr>
            <w:r>
              <w:rPr>
                <w:rFonts w:ascii="Arial" w:cs="Arial" w:eastAsia="Arial" w:hAnsi="Arial"/>
                <w:sz w:val="16"/>
                <w:szCs w:val="16"/>
                <w:color w:val="auto"/>
                <w:w w:val="99"/>
              </w:rPr>
              <w:t>39%</w:t>
            </w:r>
          </w:p>
        </w:tc>
      </w:tr>
      <w:tr>
        <w:trPr>
          <w:trHeight w:val="184"/>
        </w:trPr>
        <w:tc>
          <w:tcPr>
            <w:tcW w:w="7520" w:type="dxa"/>
            <w:vAlign w:val="bottom"/>
            <w:gridSpan w:val="4"/>
            <w:shd w:val="clear" w:color="auto" w:fill="CCEEFF"/>
          </w:tcPr>
          <w:p>
            <w:pPr>
              <w:jc w:val="center"/>
              <w:ind w:left="5719"/>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5"/>
        </w:trPr>
        <w:tc>
          <w:tcPr>
            <w:tcW w:w="7520" w:type="dxa"/>
            <w:vAlign w:val="bottom"/>
            <w:gridSpan w:val="4"/>
          </w:tcPr>
          <w:p>
            <w:pPr>
              <w:jc w:val="center"/>
              <w:ind w:left="5719"/>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41%</w:t>
            </w:r>
          </w:p>
        </w:tc>
      </w:tr>
    </w:tbl>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60" w:lineRule="exact"/>
        <w:rPr>
          <w:rFonts w:ascii="Arial" w:cs="Arial" w:eastAsia="Arial" w:hAnsi="Arial"/>
          <w:sz w:val="13"/>
          <w:szCs w:val="13"/>
          <w:b w:val="1"/>
          <w:bCs w:val="1"/>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right="60"/>
        <w:spacing w:after="0" w:line="237" w:lineRule="auto"/>
        <w:rPr>
          <w:sz w:val="20"/>
          <w:szCs w:val="20"/>
          <w:color w:val="auto"/>
        </w:rPr>
      </w:pPr>
      <w:r>
        <w:rPr>
          <w:rFonts w:ascii="Arial" w:cs="Arial" w:eastAsia="Arial" w:hAnsi="Arial"/>
          <w:sz w:val="18"/>
          <w:szCs w:val="18"/>
          <w:color w:val="auto"/>
        </w:rPr>
        <w:t>As of June 30, 2025, 67 of 142 (47.2%)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58%</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June 30, 2025 with an overall rating of 4 or 5 stars.</w:t>
      </w:r>
    </w:p>
    <w:p>
      <w:pPr>
        <w:spacing w:after="0" w:line="19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U.S. mutual funds, ETFs, and composites.</w:t>
      </w:r>
    </w:p>
    <w:p>
      <w:pPr>
        <w:ind w:right="200" w:firstLine="8"/>
        <w:spacing w:after="0" w:line="252" w:lineRule="auto"/>
        <w:tabs>
          <w:tab w:leader="none" w:pos="122" w:val="left"/>
        </w:tabs>
        <w:numPr>
          <w:ilvl w:val="0"/>
          <w:numId w:val="10"/>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2025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60" w:firstLine="8"/>
        <w:spacing w:after="0" w:line="224" w:lineRule="auto"/>
        <w:tabs>
          <w:tab w:leader="none" w:pos="135" w:val="left"/>
        </w:tabs>
        <w:numPr>
          <w:ilvl w:val="0"/>
          <w:numId w:val="1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outperformed the Morningstar category median. The bottom chart reflects the percentage of T. Rowe Price funds AUM that has outperformed for the time periods indicated. Total AUM included for this analysis includes $327B for 1 year, $320B for 3 years, $318B for 5 years, and $317B for 10 years.</w:t>
      </w:r>
    </w:p>
    <w:p>
      <w:pPr>
        <w:ind w:firstLine="8"/>
        <w:spacing w:after="0" w:line="219" w:lineRule="auto"/>
        <w:tabs>
          <w:tab w:leader="none" w:pos="135" w:val="left"/>
        </w:tabs>
        <w:numPr>
          <w:ilvl w:val="0"/>
          <w:numId w:val="10"/>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a retail fund. This analysis compares T. Rowe Price active funds with the applicable universe of passive/index open-end funds and ETFs of peer firms. The top chart reflects the percentage of T. Rowe Price funds with 1 year, 3 year, 5 year, and 10 year track record that outperformed the passive peer universe. The bottom chart reflects the percentage of T. Rowe Price funds AUM that has outperformed for the time periods indicated. Total AUM included for this analysis includes $275B for 1 year, $264B for 3 years, $262B for 5 years, and $254B for 10 years.</w:t>
      </w:r>
    </w:p>
    <w:p>
      <w:pPr>
        <w:spacing w:after="0" w:line="204" w:lineRule="auto"/>
        <w:rPr>
          <w:rFonts w:ascii="Arial" w:cs="Arial" w:eastAsia="Arial" w:hAnsi="Arial"/>
          <w:sz w:val="15"/>
          <w:szCs w:val="15"/>
          <w:i w:val="1"/>
          <w:iCs w:val="1"/>
          <w:color w:val="auto"/>
          <w:vertAlign w:val="superscript"/>
        </w:rPr>
      </w:pPr>
      <w:r>
        <w:rPr>
          <w:rFonts w:ascii="Arial" w:cs="Arial" w:eastAsia="Arial" w:hAnsi="Arial"/>
          <w:sz w:val="16"/>
          <w:szCs w:val="16"/>
          <w:i w:val="1"/>
          <w:iCs w:val="1"/>
          <w:color w:val="auto"/>
          <w:vertAlign w:val="superscript"/>
        </w:rPr>
        <w:t>(5)</w:t>
      </w:r>
      <w:r>
        <w:rPr>
          <w:rFonts w:ascii="Arial" w:cs="Arial" w:eastAsia="Arial" w:hAnsi="Arial"/>
          <w:sz w:val="13"/>
          <w:szCs w:val="13"/>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$1,486B for 1 year, $1,480B for 3 years, $1,475B for 5 years, and $1,429B for 10 years.</w:t>
      </w:r>
    </w:p>
    <w:p>
      <w:pPr>
        <w:spacing w:after="0" w:line="2" w:lineRule="exact"/>
        <w:rPr>
          <w:rFonts w:ascii="Arial" w:cs="Arial" w:eastAsia="Arial" w:hAnsi="Arial"/>
          <w:sz w:val="15"/>
          <w:szCs w:val="15"/>
          <w:i w:val="1"/>
          <w:iCs w:val="1"/>
          <w:color w:val="auto"/>
          <w:vertAlign w:val="superscript"/>
        </w:rPr>
      </w:pPr>
    </w:p>
    <w:p>
      <w:pPr>
        <w:jc w:val="both"/>
        <w:ind w:right="120" w:firstLine="8"/>
        <w:spacing w:after="0" w:line="228" w:lineRule="auto"/>
        <w:tabs>
          <w:tab w:leader="none" w:pos="135" w:val="left"/>
        </w:tabs>
        <w:numPr>
          <w:ilvl w:val="0"/>
          <w:numId w:val="1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six-month periods ended June 30, 2025 and 2024 on a U.S. GAAP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4894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5"/>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Q2 2025 vs. Q2 2024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YTD 2025 vs. YTD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3"/>
          </w:tcPr>
          <w:p>
            <w:pPr>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6/30/2024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line="216" w:lineRule="exact"/>
              <w:rPr>
                <w:sz w:val="20"/>
                <w:szCs w:val="20"/>
                <w:color w:val="auto"/>
              </w:rPr>
            </w:pPr>
            <w:r>
              <w:rPr>
                <w:rFonts w:ascii="Arial" w:cs="Arial" w:eastAsia="Arial" w:hAnsi="Arial"/>
                <w:sz w:val="16"/>
                <w:szCs w:val="16"/>
                <w:color w:val="auto"/>
              </w:rPr>
              <w:t>Investment advisory fees</w:t>
            </w:r>
            <w:r>
              <w:rPr>
                <w:rFonts w:ascii="Arial" w:cs="Arial" w:eastAsia="Arial" w:hAnsi="Arial"/>
                <w:sz w:val="21"/>
                <w:szCs w:val="21"/>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1,567.6</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1,568.8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3,166.0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3,105.2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Performance-based advisory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fees</w:t>
            </w:r>
            <w:r>
              <w:rPr>
                <w:rFonts w:ascii="Arial" w:cs="Arial" w:eastAsia="Arial" w:hAnsi="Arial"/>
                <w:sz w:val="21"/>
                <w:szCs w:val="21"/>
                <w:color w:val="auto"/>
                <w:vertAlign w:val="superscript"/>
              </w:rPr>
              <w:t>(2)</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line="162" w:lineRule="exact"/>
              <w:rPr>
                <w:sz w:val="20"/>
                <w:szCs w:val="20"/>
                <w:color w:val="auto"/>
              </w:rPr>
            </w:pPr>
            <w:r>
              <w:rPr>
                <w:rFonts w:ascii="Arial" w:cs="Arial" w:eastAsia="Arial" w:hAnsi="Arial"/>
                <w:sz w:val="16"/>
                <w:szCs w:val="16"/>
                <w:color w:val="auto"/>
              </w:rPr>
              <w:t>Capital allocation-based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38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3"/>
          </w:tcPr>
          <w:p>
            <w:pPr>
              <w:spacing w:after="0" w:line="216"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(3)</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1,245.0</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2,412.6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2,332.2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Non-operating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1380" w:type="dxa"/>
            <w:vAlign w:val="bottom"/>
            <w:gridSpan w:val="2"/>
          </w:tcPr>
          <w:p>
            <w:pPr>
              <w:ind w:left="900"/>
              <w:spacing w:after="0"/>
              <w:rPr>
                <w:sz w:val="20"/>
                <w:szCs w:val="20"/>
                <w:color w:val="auto"/>
              </w:rPr>
            </w:pPr>
            <w:r>
              <w:rPr>
                <w:rFonts w:ascii="Arial" w:cs="Arial" w:eastAsia="Arial" w:hAnsi="Arial"/>
                <w:sz w:val="16"/>
                <w:szCs w:val="16"/>
                <w:color w:val="auto"/>
              </w:rPr>
              <w:t>n/m</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Net income to T. Rowe Price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505.2</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Group</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line="162"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6.2 %</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Weighted average common</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dilution</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basis</w:t>
            </w:r>
            <w:r>
              <w:rPr>
                <w:rFonts w:ascii="Arial" w:cs="Arial" w:eastAsia="Arial" w:hAnsi="Arial"/>
                <w:sz w:val="20"/>
                <w:szCs w:val="20"/>
                <w:b w:val="1"/>
                <w:bCs w:val="1"/>
                <w:color w:val="auto"/>
                <w:vertAlign w:val="superscript"/>
              </w:rPr>
              <w:t>(4)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1,147.2</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1,105.8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2,282.3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2,177.2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Operating expenses, excluding</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accrued carried interest related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1,133.9</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1,097.3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2,265.1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2,150.2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compensation</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614.4</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1,255.0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1,347.3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3"/>
          </w:tcPr>
          <w:p>
            <w:pPr>
              <w:spacing w:after="0" w:line="162" w:lineRule="exact"/>
              <w:rPr>
                <w:sz w:val="20"/>
                <w:szCs w:val="20"/>
                <w:color w:val="auto"/>
              </w:rPr>
            </w:pPr>
            <w:r>
              <w:rPr>
                <w:rFonts w:ascii="Arial" w:cs="Arial" w:eastAsia="Arial" w:hAnsi="Arial"/>
                <w:sz w:val="16"/>
                <w:szCs w:val="16"/>
                <w:color w:val="auto"/>
              </w:rPr>
              <w:t>Net income to T. Rowe Price</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506.8</w:t>
            </w:r>
          </w:p>
        </w:tc>
        <w:tc>
          <w:tcPr>
            <w:tcW w:w="100" w:type="dxa"/>
            <w:vAlign w:val="bottom"/>
          </w:tcPr>
          <w:p>
            <w:pPr>
              <w:spacing w:after="0"/>
              <w:rPr>
                <w:sz w:val="14"/>
                <w:szCs w:val="14"/>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519.7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1,016.1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1,068.2</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Group</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gridSpan w:val="3"/>
          </w:tcPr>
          <w:p>
            <w:pPr>
              <w:spacing w:after="0"/>
              <w:rPr>
                <w:sz w:val="4"/>
                <w:szCs w:val="4"/>
                <w:color w:val="auto"/>
              </w:rPr>
            </w:pPr>
          </w:p>
        </w:tc>
        <w:tc>
          <w:tcPr>
            <w:tcW w:w="2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54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Assets under management (AUM) (in billions)</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Average AUM</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1,588.8</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1,534.0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1,509.2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Ending AUM</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Investment advisory annualized effective fee rate (EFR) (in bps)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ind w:left="20"/>
              <w:spacing w:after="0"/>
              <w:rPr>
                <w:sz w:val="20"/>
                <w:szCs w:val="20"/>
                <w:color w:val="auto"/>
              </w:rPr>
            </w:pPr>
            <w:r>
              <w:rPr>
                <w:rFonts w:ascii="Arial" w:cs="Arial" w:eastAsia="Arial" w:hAnsi="Arial"/>
                <w:sz w:val="16"/>
                <w:szCs w:val="16"/>
                <w:color w:val="auto"/>
              </w:rPr>
              <w:t>EFR without performance-</w:t>
            </w: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color w:val="auto"/>
              </w:rPr>
              <w:t>39.6</w:t>
            </w: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41.1</w:t>
            </w:r>
          </w:p>
        </w:tc>
        <w:tc>
          <w:tcPr>
            <w:tcW w:w="1120" w:type="dxa"/>
            <w:vAlign w:val="bottom"/>
            <w:vMerge w:val="restart"/>
          </w:tcPr>
          <w:p>
            <w:pPr>
              <w:jc w:val="right"/>
              <w:ind w:right="319"/>
              <w:spacing w:after="0"/>
              <w:rPr>
                <w:sz w:val="20"/>
                <w:szCs w:val="20"/>
                <w:color w:val="auto"/>
              </w:rPr>
            </w:pPr>
            <w:r>
              <w:rPr>
                <w:rFonts w:ascii="Arial" w:cs="Arial" w:eastAsia="Arial" w:hAnsi="Arial"/>
                <w:sz w:val="16"/>
                <w:szCs w:val="16"/>
                <w:color w:val="auto"/>
              </w:rPr>
              <w:t>(1.5)</w:t>
            </w:r>
          </w:p>
        </w:tc>
        <w:tc>
          <w:tcPr>
            <w:tcW w:w="1280" w:type="dxa"/>
            <w:vAlign w:val="bottom"/>
            <w:vMerge w:val="restart"/>
          </w:tcPr>
          <w:p>
            <w:pPr>
              <w:jc w:val="right"/>
              <w:ind w:right="319"/>
              <w:spacing w:after="0"/>
              <w:rPr>
                <w:sz w:val="20"/>
                <w:szCs w:val="20"/>
                <w:color w:val="auto"/>
              </w:rPr>
            </w:pPr>
            <w:r>
              <w:rPr>
                <w:rFonts w:ascii="Arial" w:cs="Arial" w:eastAsia="Arial" w:hAnsi="Arial"/>
                <w:sz w:val="16"/>
                <w:szCs w:val="16"/>
                <w:color w:val="auto"/>
              </w:rPr>
              <w:t>(3.6)%</w:t>
            </w:r>
          </w:p>
        </w:tc>
        <w:tc>
          <w:tcPr>
            <w:tcW w:w="1080" w:type="dxa"/>
            <w:vAlign w:val="bottom"/>
            <w:vMerge w:val="restart"/>
          </w:tcPr>
          <w:p>
            <w:pPr>
              <w:jc w:val="right"/>
              <w:ind w:right="279"/>
              <w:spacing w:after="0"/>
              <w:rPr>
                <w:sz w:val="20"/>
                <w:szCs w:val="20"/>
                <w:color w:val="auto"/>
              </w:rPr>
            </w:pPr>
            <w:r>
              <w:rPr>
                <w:rFonts w:ascii="Arial" w:cs="Arial" w:eastAsia="Arial" w:hAnsi="Arial"/>
                <w:sz w:val="16"/>
                <w:szCs w:val="16"/>
                <w:color w:val="auto"/>
              </w:rPr>
              <w:t>39.8</w:t>
            </w: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color w:val="auto"/>
              </w:rPr>
              <w:t>41.4</w:t>
            </w:r>
          </w:p>
        </w:tc>
        <w:tc>
          <w:tcPr>
            <w:tcW w:w="1120" w:type="dxa"/>
            <w:vAlign w:val="bottom"/>
            <w:vMerge w:val="restart"/>
          </w:tcPr>
          <w:p>
            <w:pPr>
              <w:jc w:val="right"/>
              <w:ind w:right="319"/>
              <w:spacing w:after="0"/>
              <w:rPr>
                <w:sz w:val="20"/>
                <w:szCs w:val="20"/>
                <w:color w:val="auto"/>
              </w:rPr>
            </w:pPr>
            <w:r>
              <w:rPr>
                <w:rFonts w:ascii="Arial" w:cs="Arial" w:eastAsia="Arial" w:hAnsi="Arial"/>
                <w:sz w:val="16"/>
                <w:szCs w:val="16"/>
                <w:color w:val="auto"/>
              </w:rPr>
              <w:t>(1.6)</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based fees</w:t>
            </w:r>
          </w:p>
        </w:tc>
        <w:tc>
          <w:tcPr>
            <w:tcW w:w="10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EFR with performance-based</w:t>
            </w:r>
          </w:p>
        </w:tc>
        <w:tc>
          <w:tcPr>
            <w:tcW w:w="10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39.7</w:t>
            </w:r>
          </w:p>
        </w:tc>
        <w:tc>
          <w:tcPr>
            <w:tcW w:w="10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41.6</w:t>
            </w:r>
          </w:p>
        </w:tc>
        <w:tc>
          <w:tcPr>
            <w:tcW w:w="11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(1.9)</w:t>
            </w:r>
          </w:p>
        </w:tc>
        <w:tc>
          <w:tcPr>
            <w:tcW w:w="128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(4.6)%</w:t>
            </w:r>
          </w:p>
        </w:tc>
        <w:tc>
          <w:tcPr>
            <w:tcW w:w="10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40.0</w:t>
            </w:r>
          </w:p>
        </w:tc>
        <w:tc>
          <w:tcPr>
            <w:tcW w:w="10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41.8</w:t>
            </w:r>
          </w:p>
        </w:tc>
        <w:tc>
          <w:tcPr>
            <w:tcW w:w="11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rPr>
              <w:t>(1.8)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fees</w:t>
            </w:r>
          </w:p>
        </w:tc>
        <w:tc>
          <w:tcPr>
            <w:tcW w:w="10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40" w:hanging="132"/>
        <w:spacing w:after="0" w:line="22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2024 performance-based advisory fees are reported separately from investment advisory fees to align with the presentation in 2025.</w:t>
      </w:r>
    </w:p>
    <w:p>
      <w:pPr>
        <w:ind w:left="140" w:hanging="132"/>
        <w:spacing w:after="0" w:line="22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ind w:left="140" w:hanging="132"/>
        <w:spacing w:after="0" w:line="229"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June 30, 2025</w:t>
      </w:r>
    </w:p>
    <w:p>
      <w:pPr>
        <w:spacing w:after="0" w:line="252"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More than 90% of our net revenues are related to investment advisory fees. Total net revenues were $1,723.3 million in the second quarter of 2025, a 0.6% decrease compared to $1,733.3 million in the 2024 quarter. The decrease was primarily driven by a decrease in performance-based advisory fees.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6" w:name="page27"/>
    <w:bookmarkEnd w:id="26"/>
    <w:p>
      <w:pPr>
        <w:ind w:right="16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$1,245.0 million in the second quarter of 2025, a 6.5% increase over the comparable 2024</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operating expenses were $1,147.2 million, a 3.7% increase over the comparable 2024 period.</w:t>
      </w:r>
    </w:p>
    <w:p>
      <w:pPr>
        <w:spacing w:after="0" w:line="18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Compared to the second quarter of 2024, over 65% of the increase in U.S. GAAP operating expenses was due to increases in deferred compensation liabilities from higher markets. Additionally, higher compensation and related benefits, as well as increased technology, occupancy, and facilities costs, contributed to the rise in U.S. GAAP operating expenses and were the main drivers of the increase in non-GAAP operating expenses over the 2024 quarter. As mentioned earlier, we exclude the market-related impacts on deferred compensation liabilities from our non-GAAP operating expenses measures because these liabilities are economically hedged.</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2025 was 27.8% on a U.S. GAAP basis, compared to 32.6% earned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decrease was driven by operating expense growth outpacing net revenue growth primarily due to higher market-related increases in deferred compensation liabilities.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$2.24 for the second quarter of 2025 compared to $2.11 for the second quarter of 2024.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investment gains partially offset by lower operating income compared to the 2024 period. A lower effective tax rate and fewer weighted average shares outstanding also contributed to the increase.</w:t>
      </w:r>
    </w:p>
    <w:p>
      <w:pPr>
        <w:spacing w:after="0" w:line="19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 non-GAAP basis, diluted earnings per share was $ 2.24 for the second quarter of 2025 as compared to $2.26 for the second quarter of 2024. The decrease was primarily due to lower adjusted operating income partially offset by a lower adjusted tax rate and higher adjusted investment gains compared to the 2024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June 30, 2025</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More than 90% of our net revenues for the six months ended June 30, 2025 are related to investment advisory fees. Total net revenues were $3,487.2 million in the six months ended June 30, 2025, a 0.1% increase over $3,483.5 million in the 2024 period. The increase was primarily driven by a 2.0% increase in investment advisory fee revenue as average assets under management increased by 6.3% and a $9.3 million increase in non-advisory revenues, partially offset by a $48.8 million decrease in capital allocation-based income (change in accrued carried interest) earned from investments in certain affiliated funds and a $17.6 million decrease in performance-based advisory fees.</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$2,412.6 million in the six months ended June 30, 2025, compared with $2,332.2 million in the 2024 period.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basis, our operating expenses for the six months ended June 30, 2025, increased 4.8% to $2,282.3 million compared to the 2024 period.</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Compared to the six months ended June 30, 2024, the increase in U.S. GAAP and non-GAAP operating expenses was mainly due to higher technology and facility costs, compensation and related benefits costs, distribution and servicing costs, and general, administrative and other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June 30, 2025 was 30.8% on a U.S. GAAP basis, compared to 33.1% earned in the 2024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driven by operating expense growth outpacing net revenue growth.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7" w:name="page28"/>
    <w:bookmarkEnd w:id="27"/>
    <w:p>
      <w:pPr>
        <w:ind w:right="260"/>
        <w:spacing w:after="0" w:line="26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$4.38 for the six months ended June 30, 2025, compared to $4.60 for 2024 period. On a non-GAAP basis,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diluted earnings per share was $4.47 for the six months ended June 30, 2025, compared to $4.64 for the 2024 period. The decreases were primarily due to lower operating income partially offset by higher investment gains.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5083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Q2 2025 vs. Q2 2024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YTD 2025 vs. YTD 2024</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6/30/2024</w:t>
            </w:r>
          </w:p>
        </w:tc>
        <w:tc>
          <w:tcPr>
            <w:tcW w:w="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6/30/2024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6"/>
                <w:szCs w:val="16"/>
                <w:b w:val="1"/>
                <w:bCs w:val="1"/>
                <w:color w:val="auto"/>
              </w:rPr>
              <w:t>Investment advisory fees</w:t>
            </w:r>
            <w:r>
              <w:rPr>
                <w:rFonts w:ascii="Arial" w:cs="Arial" w:eastAsia="Arial" w:hAnsi="Arial"/>
                <w:sz w:val="21"/>
                <w:szCs w:val="21"/>
                <w:b w:val="1"/>
                <w:bCs w:val="1"/>
                <w:color w:val="auto"/>
                <w:vertAlign w:val="superscript"/>
              </w:rPr>
              <w:t>(2)</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947.5</w:t>
            </w:r>
          </w:p>
        </w:tc>
        <w:tc>
          <w:tcPr>
            <w:tcW w:w="80" w:type="dxa"/>
            <w:vAlign w:val="bottom"/>
          </w:tcPr>
          <w:p>
            <w:pPr>
              <w:spacing w:after="0"/>
              <w:rPr>
                <w:sz w:val="18"/>
                <w:szCs w:val="18"/>
                <w:color w:val="auto"/>
              </w:rPr>
            </w:pP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1,882.8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1,880.0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Fixed income, including</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Performance-based advisory</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(17.6)</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fees</w:t>
            </w:r>
            <w:r>
              <w:rPr>
                <w:rFonts w:ascii="Arial" w:cs="Arial" w:eastAsia="Arial" w:hAnsi="Arial"/>
                <w:sz w:val="21"/>
                <w:szCs w:val="21"/>
                <w:b w:val="1"/>
                <w:bCs w:val="1"/>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Capital allocation-based</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40"/>
              <w:spacing w:after="0" w:line="162" w:lineRule="exact"/>
              <w:rPr>
                <w:sz w:val="20"/>
                <w:szCs w:val="20"/>
                <w:color w:val="auto"/>
              </w:rPr>
            </w:pPr>
            <w:r>
              <w:rPr>
                <w:rFonts w:ascii="Arial" w:cs="Arial" w:eastAsia="Arial" w:hAnsi="Arial"/>
                <w:sz w:val="16"/>
                <w:szCs w:val="16"/>
                <w:color w:val="auto"/>
              </w:rPr>
              <w:t>Change in accrued carried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35.2 %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and impairments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Administrative, distribution,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services, and other fees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fees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Distribution and servicing fees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 xml:space="preserve">Average AUM </w:t>
            </w:r>
            <w:r>
              <w:rPr>
                <w:rFonts w:ascii="Arial" w:cs="Arial" w:eastAsia="Arial" w:hAnsi="Arial"/>
                <w:sz w:val="14"/>
                <w:szCs w:val="14"/>
                <w:b w:val="1"/>
                <w:bCs w:val="1"/>
                <w:color w:val="auto"/>
              </w:rPr>
              <w:t>(in billions):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162"/>
        </w:trPr>
        <w:tc>
          <w:tcPr>
            <w:tcW w:w="2380" w:type="dxa"/>
            <w:vAlign w:val="bottom"/>
          </w:tcPr>
          <w:p>
            <w:pPr>
              <w:ind w:left="140"/>
              <w:spacing w:after="0" w:line="162" w:lineRule="exact"/>
              <w:rPr>
                <w:sz w:val="20"/>
                <w:szCs w:val="20"/>
                <w:color w:val="auto"/>
              </w:rPr>
            </w:pPr>
            <w:r>
              <w:rPr>
                <w:rFonts w:ascii="Arial" w:cs="Arial" w:eastAsia="Arial" w:hAnsi="Arial"/>
                <w:sz w:val="16"/>
                <w:szCs w:val="16"/>
                <w:color w:val="auto"/>
              </w:rPr>
              <w:t>Fixed income, including</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13.3 %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money market</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10.7 %</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Investment advisory annualized effective fee rate (EFR) (in bps)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ind w:left="20"/>
              <w:spacing w:after="0"/>
              <w:rPr>
                <w:sz w:val="20"/>
                <w:szCs w:val="20"/>
                <w:color w:val="auto"/>
              </w:rPr>
            </w:pPr>
            <w:r>
              <w:rPr>
                <w:rFonts w:ascii="Arial" w:cs="Arial" w:eastAsia="Arial" w:hAnsi="Arial"/>
                <w:sz w:val="16"/>
                <w:szCs w:val="16"/>
                <w:color w:val="auto"/>
              </w:rPr>
              <w:t>EFR without performance-based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4"/>
        </w:trPr>
        <w:tc>
          <w:tcPr>
            <w:tcW w:w="2380" w:type="dxa"/>
            <w:vAlign w:val="bottom"/>
          </w:tcPr>
          <w:p>
            <w:pPr>
              <w:ind w:left="20"/>
              <w:spacing w:after="0"/>
              <w:rPr>
                <w:sz w:val="20"/>
                <w:szCs w:val="20"/>
                <w:color w:val="auto"/>
              </w:rPr>
            </w:pPr>
            <w:r>
              <w:rPr>
                <w:rFonts w:ascii="Arial" w:cs="Arial" w:eastAsia="Arial" w:hAnsi="Arial"/>
                <w:sz w:val="16"/>
                <w:szCs w:val="16"/>
                <w:color w:val="auto"/>
              </w:rPr>
              <w:t>fees</w:t>
            </w: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EFR with performance-based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4"/>
        </w:trPr>
        <w:tc>
          <w:tcPr>
            <w:tcW w:w="2380" w:type="dxa"/>
            <w:vAlign w:val="bottom"/>
          </w:tcPr>
          <w:p>
            <w:pPr>
              <w:ind w:left="20"/>
              <w:spacing w:after="0"/>
              <w:rPr>
                <w:sz w:val="20"/>
                <w:szCs w:val="20"/>
                <w:color w:val="auto"/>
              </w:rPr>
            </w:pPr>
            <w:r>
              <w:rPr>
                <w:rFonts w:ascii="Arial" w:cs="Arial" w:eastAsia="Arial" w:hAnsi="Arial"/>
                <w:sz w:val="16"/>
                <w:szCs w:val="16"/>
                <w:color w:val="auto"/>
              </w:rPr>
              <w:t>fees</w:t>
            </w: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40" w:hanging="132"/>
        <w:spacing w:after="0"/>
        <w:tabs>
          <w:tab w:leader="none" w:pos="14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2024 performance-based advisory fees are reported separately from investment advisory fees to align with the 2025 presentation.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2025 decreased 0.1% over the comparable 2024 quarter while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$54.8 billion, or 3.6%, to $1,588.8 billion. For the six months ended June 30, 2025, investment advisory revenues increased 2.0% over the comparable 2024 period as average assets under management increased $95.3 billion, or 6.3%, to $1,604.5 billion.</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average annualized effective fee rate earned for the three- and six-month periods ended June 30, 2025 declined from the comparable 2024 periods as market movements and client flows and transfers shifted assets under management toward lower-fee asset classes and products.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u w:val="single" w:color="auto"/>
          <w:color w:val="auto"/>
        </w:rPr>
        <w:t>Performance-based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2025 and 2024 were earned primarily from alternative strategies, and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and alternative strategies for the six months ended June 30, 2025 and 2024.</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change in accrued carried interest along with acquisition-related amortization and impairments.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2025, the change in accrued carried interest increased net revenues by $36.5 million compared to $27.0 million in the 2024 period. For the six months ended June 30, 2025, the change in accrued carried interest decreased net revenues by $45.7 million compared to $86.5 million for the 2024 period. The change in accrued carried interest for both the second quarter and six month periods compared to the 2024 periods was due to relative market impacts and performance.</w:t>
      </w:r>
    </w:p>
    <w:p>
      <w:pPr>
        <w:spacing w:after="0" w:line="20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recognized in compensation and related costs with the unpaid amount reported as non-controlling interest on the unaudited consolidated balance sheets.</w:t>
      </w:r>
    </w:p>
    <w:p>
      <w:pPr>
        <w:spacing w:after="0" w:line="19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Administrative, distribution, services,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2025 were $149.7 million, an increase of $2.1 million, or 1.4%,</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comparable 2024 quarter. For the six months ended June 30, 2025, these fees were $306.0 million, an increase of $9.3 million, or 3.1%, from the 2024 period. The increases for both periods were primarily due to higher average assets on which we earn revenue for non-discretionary advisory services and higher recordkeeping fees. For the second quarter of 2025, these increases were partially offset by the timing of costs to be reimbursed by the firm's U.S. mutual funds compared to the 2024 period. The offsetting expense is recognized in product and recordkeeping related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investment products. The corresponding expenses recognized by these products, and consolidated in our financial statements, were also eliminated from operating expenses. For the second quarter, we eliminated net revenue of $1.4 million in 2025 and $0.5 million in 2024. For the six months ended June 30, we eliminated net revenue of $2.8 million in 2025 and $1.7 million in 2024.</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Q2 2025 vs. Q2 2024</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2025 vs. YTD 2024</w:t>
            </w: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2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Compensation, benefits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635.8</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1,306.7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retention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Capital allocation-based income</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Deferred compensation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4"/>
                <w:szCs w:val="14"/>
                <w:color w:val="auto"/>
              </w:rPr>
            </w:pPr>
          </w:p>
        </w:tc>
        <w:tc>
          <w:tcPr>
            <w:tcW w:w="1300" w:type="dxa"/>
            <w:vAlign w:val="bottom"/>
            <w:tcBorders>
              <w:right w:val="single" w:sz="8" w:color="auto"/>
            </w:tcBorders>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360" w:type="dxa"/>
            <w:vAlign w:val="bottom"/>
            <w:tcBorders>
              <w:top w:val="single" w:sz="8" w:color="CCEEFF"/>
            </w:tcBorders>
            <w:shd w:val="clear" w:color="auto" w:fill="CCEEFF"/>
          </w:tcPr>
          <w:p>
            <w:pPr>
              <w:ind w:left="140"/>
              <w:spacing w:after="0" w:line="143" w:lineRule="exact"/>
              <w:rPr>
                <w:sz w:val="20"/>
                <w:szCs w:val="20"/>
                <w:color w:val="auto"/>
              </w:rPr>
            </w:pPr>
            <w:r>
              <w:rPr>
                <w:rFonts w:ascii="Arial" w:cs="Arial" w:eastAsia="Arial" w:hAnsi="Arial"/>
                <w:sz w:val="16"/>
                <w:szCs w:val="16"/>
                <w:color w:val="auto"/>
              </w:rPr>
              <w:t>Total compensation and</w:t>
            </w: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727.7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661.1</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1,392.2</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1,370.1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costs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6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Product and recordkeeping</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Technology, occupancy, and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facility costs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General, administrative, and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5"/>
        </w:trPr>
        <w:tc>
          <w:tcPr>
            <w:tcW w:w="23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Acquisition-related amortization</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impairment costs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2,412.6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0"/>
              <w:spacing w:after="0" w:line="162" w:lineRule="exact"/>
              <w:rPr>
                <w:sz w:val="20"/>
                <w:szCs w:val="20"/>
                <w:color w:val="auto"/>
              </w:rPr>
            </w:pPr>
            <w:r>
              <w:rPr>
                <w:rFonts w:ascii="Arial" w:cs="Arial" w:eastAsia="Arial" w:hAnsi="Arial"/>
                <w:sz w:val="16"/>
                <w:szCs w:val="16"/>
                <w:color w:val="auto"/>
              </w:rPr>
              <w:t>Total adjusted operating</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1,147.2</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1,105.8</w:t>
            </w:r>
          </w:p>
        </w:tc>
        <w:tc>
          <w:tcPr>
            <w:tcW w:w="100" w:type="dxa"/>
            <w:vAlign w:val="bottom"/>
          </w:tcPr>
          <w:p>
            <w:pPr>
              <w:spacing w:after="0"/>
              <w:rPr>
                <w:sz w:val="14"/>
                <w:szCs w:val="14"/>
                <w:color w:val="auto"/>
              </w:rPr>
            </w:pPr>
          </w:p>
        </w:tc>
        <w:tc>
          <w:tcPr>
            <w:tcW w:w="26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2,282.3</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2,177.2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34"/>
        </w:trPr>
        <w:tc>
          <w:tcPr>
            <w:tcW w:w="23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1"/>
                <w:szCs w:val="21"/>
                <w:color w:val="auto"/>
                <w:vertAlign w:val="superscript"/>
              </w:rPr>
              <w:t>(2)</w:t>
            </w: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60" w:hanging="152"/>
        <w:spacing w:after="0"/>
        <w:tabs>
          <w:tab w:leader="none" w:pos="16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3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$ 648.8 million in the second quarter of 2025, an increase of $13.0 million, or 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2024 quarter. For the six months ended June 30, 2025, these costs were $1,306.7 million, an increase of $41.6 million, or 3.3%, compared to the 2024 period. The increases in both periods were primarily due to higher salaries and related benefits, as base salaries modestly increased in January 2024 and we saw higher healthcare costs, and higher stock-based compensation. These increases were partially offset by lower other employee related costs compared to the 2024 periods. For the second quarter of 2025, a lower bonus accrual also partially offset the increase compared to the 2024 period.</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firm employed 8,063 associates at June 30, 2025, a decrease of 0.3% from 8,084 associates at March 31, 2025, a decrease of 1.2% from the end of 2024, and an increase of 1.7% from June 30, 2024.</w:t>
      </w:r>
    </w:p>
    <w:p>
      <w:pPr>
        <w:spacing w:after="0" w:line="180"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i w:val="1"/>
          <w:iCs w:val="1"/>
          <w:u w:val="single" w:color="auto"/>
          <w:color w:val="auto"/>
        </w:rPr>
        <w:t>Distribution and servicing costs</w:t>
      </w:r>
      <w:r>
        <w:rPr>
          <w:rFonts w:ascii="Arial" w:cs="Arial" w:eastAsia="Arial" w:hAnsi="Arial"/>
          <w:sz w:val="17"/>
          <w:szCs w:val="17"/>
          <w:i w:val="1"/>
          <w:iCs w:val="1"/>
          <w:color w:val="auto"/>
        </w:rPr>
        <w:t xml:space="preserve"> </w:t>
      </w:r>
      <w:r>
        <w:rPr>
          <w:rFonts w:ascii="Arial" w:cs="Arial" w:eastAsia="Arial" w:hAnsi="Arial"/>
          <w:sz w:val="17"/>
          <w:szCs w:val="17"/>
          <w:color w:val="auto"/>
        </w:rPr>
        <w:t>were $92.5 million for the second quarter of 2025, an increase of $ 4.8 million, or 5.5%, from $87.7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2024 quarter. For the six months ended June 30, 2025, these costs were $186.1 million, an increase of $16.5 million, or</w:t>
      </w:r>
    </w:p>
    <w:p>
      <w:pPr>
        <w:ind w:right="140"/>
        <w:spacing w:after="0" w:line="266" w:lineRule="auto"/>
        <w:rPr>
          <w:sz w:val="20"/>
          <w:szCs w:val="20"/>
          <w:color w:val="auto"/>
        </w:rPr>
      </w:pPr>
      <w:r>
        <w:rPr>
          <w:rFonts w:ascii="Arial" w:cs="Arial" w:eastAsia="Arial" w:hAnsi="Arial"/>
          <w:sz w:val="18"/>
          <w:szCs w:val="18"/>
          <w:color w:val="auto"/>
        </w:rPr>
        <w:t>9.7%, from $169.6 million recognized in the comparable 2024 period. The increases in both periods were primarily driven by higher average assets under management distributed through intermediaries.</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costs in this expense category include amounts paid to third-party intermediaries that source the assets of certain share classes of our U.S. mutual funds, ETFs, and our international products, such as our Japanese ITMs and SICAVs. These costs are offset entirely by the distribution revenue we earn and report in net revenues: 12b-1 revenue is recognized in administrative, distribution, services, and other fees for the Advisor and R share classes of the U.S. mutual funds and investment advisory fee revenue for our international products and ETFs.</w:t>
      </w:r>
    </w:p>
    <w:p>
      <w:pPr>
        <w:spacing w:after="0" w:line="19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$74.8 million in the second quarter of 2025, an increase of $1.8 million, or 2.5%,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$73.0 million in the 2024 quarter. For the six months ended June 30, 2025, these costs were $158.6 million, an increase of $10.6 million, or</w:t>
      </w:r>
    </w:p>
    <w:p>
      <w:pPr>
        <w:spacing w:after="0" w:line="250" w:lineRule="auto"/>
        <w:rPr>
          <w:sz w:val="20"/>
          <w:szCs w:val="20"/>
          <w:color w:val="auto"/>
        </w:rPr>
      </w:pPr>
      <w:r>
        <w:rPr>
          <w:rFonts w:ascii="Arial" w:cs="Arial" w:eastAsia="Arial" w:hAnsi="Arial"/>
          <w:sz w:val="18"/>
          <w:szCs w:val="18"/>
          <w:color w:val="auto"/>
        </w:rPr>
        <w:t>7.2%, from $148.0 million recognized in the comparable 2024 period. The increases in both periods were primarily due to higher custody fees related to our trust products and recordkeeping fees.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$179.4 million in the second quarter of 2025, an increase of $18.5 million, or 11.5%,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$160.9 million recognized in the 2024 quarter. For the six months ended June 30, 2025, these costs were $347.0 million, an increase of $36.2 million, or 11.6%, compared with the 2024 period. The increases in both periods were primarily due to higher technology costs, including hosted solutions and depreciation. Also contributing to the increase was higher occupancy and facility costs related to the firm’s new corporate headquarters, which was occupied in March 2025, and a non-recurring cost benefit related to the firm's UK facility in the first quarter of 2024.</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$109.5 million in the second quarter of 2025, an increase of $0.8 million, or 0.7%,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$108.7 million recognized in the 2024 quarter. For the six months ended June 30, 2025, these costs were $212.8 million, an increase of $11.5 million, or 5.7%, compared with the 2024 period. The increases in both periods were primarily due to higher professional fees and information services partially offset by lower external research fees.</w:t>
      </w:r>
    </w:p>
    <w:p>
      <w:pPr>
        <w:spacing w:after="0" w:line="19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 to the indefinite- and definite-lived intangible assets identified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recognized, at fair value, on acquisition date. For the second quarter of 2025, we recognized $31.2 million in amortization and impairments related to the definite and indefinite-lived intangible assets, compared to $43.9 million in the 2024 quarter. For the six months ended June 30, 2025, we recognized $59.9 million in amortization and impairments related to the definite and indefinite-lived intangible assets, compared to $73.8 million, in the 2024 period. The 2024 periods include impairments charges totaling $18.0 million on definite and indefinite-lived intangible assets. The decreases in both periods were primarily driven by lower impairment charges related to certain</w:t>
      </w:r>
    </w:p>
    <w:p>
      <w:pPr>
        <w:spacing w:after="0" w:line="1" w:lineRule="exact"/>
        <w:rPr>
          <w:sz w:val="20"/>
          <w:szCs w:val="20"/>
          <w:color w:val="auto"/>
        </w:rPr>
      </w:pPr>
    </w:p>
    <w:p>
      <w:pPr>
        <w:ind w:right="860"/>
        <w:spacing w:after="0" w:line="237" w:lineRule="auto"/>
        <w:rPr>
          <w:sz w:val="20"/>
          <w:szCs w:val="20"/>
          <w:color w:val="auto"/>
        </w:rPr>
      </w:pPr>
      <w:r>
        <w:rPr>
          <w:rFonts w:ascii="Arial" w:cs="Arial" w:eastAsia="Arial" w:hAnsi="Arial"/>
          <w:sz w:val="18"/>
          <w:szCs w:val="18"/>
          <w:color w:val="auto"/>
        </w:rPr>
        <w:t>indefinite-lived intangible assets. If conditions that led us to recognize impairment charges worsen, additional impairments may be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Non-operating income for the second quarter of 2025 was $235.5 million compared to $80.3 million in the 2024 quarter. The following table details the components of non-operating income for both the three- and six-month periods ended June 30, 2025 and 2024.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6/30/2024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6/30/2025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6/30/2024</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61.7</w:t>
            </w:r>
          </w:p>
        </w:tc>
      </w:tr>
      <w:tr>
        <w:trPr>
          <w:trHeight w:val="209"/>
        </w:trPr>
        <w:tc>
          <w:tcPr>
            <w:tcW w:w="60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38.8</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seed capital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39.1</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Total cash, discretionary, and seed investments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100.8</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recognized upon deconsolidation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64.5</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gains (losses) from non-consolidated investment products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165.3</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34.2</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199.5</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gains (losses) on consolidated investment products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80.8</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(losses), including foreign currency gains (losses)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269.2</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6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Adjusted non-operating income (loss)</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63.2</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0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Higher investment gains earned by our investment portfolio during the three- and six-month periods ended June 30, 2025 compared to the 2024 periods were primarily due to higher cash and investment holdings coupled with stronger overall market returns.</w:t>
      </w:r>
    </w:p>
    <w:p>
      <w:pPr>
        <w:spacing w:after="0" w:line="18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table above shows the net investment income of the underlying portfolios of the consolidated investment products, not just the income from our ownership share. The table below displays how consolidated investment products affected the individual lines of our unaudited consolidated income statements and the portion attributable to our interest.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3"/>
        </w:trPr>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2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6/30/2025</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6/30/2025</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6/30/2024</w:t>
            </w: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7"/>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02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Net income (loss) attributable to our interest in the consolidated investment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ind w:left="51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20" w:type="dxa"/>
            <w:vAlign w:val="bottom"/>
          </w:tcPr>
          <w:p>
            <w:pPr>
              <w:ind w:left="20"/>
              <w:spacing w:after="0" w:line="183"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00" w:type="dxa"/>
            <w:vAlign w:val="bottom"/>
          </w:tcPr>
          <w:p>
            <w:pPr>
              <w:spacing w:after="0"/>
              <w:rPr>
                <w:sz w:val="15"/>
                <w:szCs w:val="15"/>
                <w:color w:val="auto"/>
              </w:rPr>
            </w:pPr>
          </w:p>
        </w:tc>
        <w:tc>
          <w:tcPr>
            <w:tcW w:w="1020" w:type="dxa"/>
            <w:vAlign w:val="bottom"/>
            <w:vMerge w:val="restart"/>
          </w:tcPr>
          <w:p>
            <w:pPr>
              <w:jc w:val="right"/>
              <w:ind w:right="15"/>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center"/>
              <w:ind w:left="5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GAAP effective tax rate for the second quarter of 2025 was 22.1% compared with 24.8% in the second quarter of 2024. These quarterly rates were the result of an overall year-to-date rate of 23.1% for 2025 and 24.1% for 2024. The following table reconciles the statutory federal income tax rate to our effective tax rate on a U.S. GAAP basis for the six months ended June 30,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6/30/2025</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6/30/2024</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effective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9"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The adjusted effective tax rate primarily adjusts for the impact of the consolidated investment products, including the net income attributable to the redeemable non-controlling interests. The decrease in the year-to-date 2025 U.S. GAAP and adjusted effective tax rates compared to 2024 was primarily due to the reversal of a valuation allowance related to U.S. foreign tax credit carryovers.</w:t>
      </w:r>
    </w:p>
    <w:p>
      <w:pPr>
        <w:spacing w:after="0" w:line="1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currently estimate that our effective tax rate for the full year 2025, on a U.S. GAAP basis, will be in the range of 23.5% to 27.5%. On an adjusted basis, the range is 24.0% to 27.0%</w:t>
      </w:r>
      <w:r>
        <w:rPr>
          <w:rFonts w:ascii="Arial" w:cs="Arial" w:eastAsia="Arial" w:hAnsi="Arial"/>
          <w:sz w:val="17"/>
          <w:szCs w:val="17"/>
          <w:color w:val="auto"/>
        </w:rPr>
        <w:t>.</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effective tax rate will continue to experience volatility in future periods due to tax benefits recognized from stock-based compensation being influenced by market fluctuations in our stock price, and changes in deferred tax asset valuation allowances, primarily in foreign jurisdictions, being impacted by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right="80"/>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707199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6/30/2025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45002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p>
      <w:pPr>
        <w:spacing w:after="0" w:line="352" w:lineRule="exact"/>
        <w:rPr>
          <w:sz w:val="20"/>
          <w:szCs w:val="20"/>
          <w:color w:val="auto"/>
        </w:rPr>
      </w:pPr>
    </w:p>
    <w:p>
      <w:pPr>
        <w:ind w:left="4280"/>
        <w:spacing w:after="0"/>
        <w:tabs>
          <w:tab w:leader="none" w:pos="530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spacing w:after="0" w:line="2" w:lineRule="exact"/>
        <w:rPr>
          <w:sz w:val="20"/>
          <w:szCs w:val="20"/>
          <w:color w:val="auto"/>
        </w:rPr>
      </w:pPr>
    </w:p>
    <w:p>
      <w:pPr>
        <w:ind w:left="4300"/>
        <w:spacing w:after="0"/>
        <w:tabs>
          <w:tab w:leader="none" w:pos="5500" w:val="left"/>
          <w:tab w:leader="none" w:pos="646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6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60" w:type="dxa"/>
            <w:vAlign w:val="bottom"/>
          </w:tcPr>
          <w:p>
            <w:pPr>
              <w:jc w:val="center"/>
              <w:ind w:right="8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(5)</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00"/>
          </w:cols>
          <w:pgMar w:left="320" w:top="890" w:right="379"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1,245.0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157.7</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505.2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5"/>
        </w:trPr>
        <w:tc>
          <w:tcPr>
            <w:tcW w:w="406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0.07</w:t>
            </w:r>
          </w:p>
        </w:tc>
      </w:tr>
      <w:tr>
        <w:trPr>
          <w:trHeight w:val="163"/>
        </w:trPr>
        <w:tc>
          <w:tcPr>
            <w:tcW w:w="406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r>
      <w:tr>
        <w:trPr>
          <w:trHeight w:val="216"/>
        </w:trPr>
        <w:tc>
          <w:tcPr>
            <w:tcW w:w="40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0.11</w:t>
            </w: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22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Basis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231140</wp:posOffset>
            </wp:positionV>
            <wp:extent cx="707199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34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6/30/2024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45002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p>
      <w:pPr>
        <w:spacing w:after="0" w:line="340" w:lineRule="exact"/>
        <w:rPr>
          <w:sz w:val="20"/>
          <w:szCs w:val="20"/>
          <w:color w:val="auto"/>
        </w:rPr>
      </w:pPr>
    </w:p>
    <w:p>
      <w:pPr>
        <w:ind w:left="4280"/>
        <w:spacing w:after="0"/>
        <w:tabs>
          <w:tab w:leader="none" w:pos="530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ind w:left="4300"/>
        <w:spacing w:after="0"/>
        <w:tabs>
          <w:tab w:leader="none" w:pos="5500" w:val="left"/>
          <w:tab w:leader="none" w:pos="646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60" w:type="dxa"/>
            <w:vAlign w:val="bottom"/>
          </w:tcPr>
          <w:p>
            <w:pPr>
              <w:jc w:val="center"/>
              <w:ind w:right="88"/>
              <w:spacing w:after="0" w:line="137"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37"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201"/>
        </w:trPr>
        <w:tc>
          <w:tcPr>
            <w:tcW w:w="960" w:type="dxa"/>
            <w:vAlign w:val="bottom"/>
          </w:tcPr>
          <w:p>
            <w:pPr>
              <w:jc w:val="center"/>
              <w:ind w:right="88"/>
              <w:spacing w:after="0" w:line="201"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(5)</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line="201"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00"/>
          </w:cols>
          <w:pgMar w:left="320" w:top="890" w:right="379"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1,168.6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159.7</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483.4</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5"/>
        </w:trPr>
        <w:tc>
          <w:tcPr>
            <w:tcW w:w="406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0.05</w:t>
            </w:r>
          </w:p>
        </w:tc>
      </w:tr>
      <w:tr>
        <w:trPr>
          <w:trHeight w:val="163"/>
        </w:trPr>
        <w:tc>
          <w:tcPr>
            <w:tcW w:w="406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r>
      <w:tr>
        <w:trPr>
          <w:trHeight w:val="216"/>
        </w:trPr>
        <w:tc>
          <w:tcPr>
            <w:tcW w:w="40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0.15</w:t>
            </w: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0.24</w:t>
            </w: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(0.08)</w:t>
            </w:r>
          </w:p>
        </w:tc>
      </w:tr>
      <w:tr>
        <w:trPr>
          <w:trHeight w:val="22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Basis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89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35" w:name="page36"/>
    <w:bookmarkEnd w:id="35"/>
    <w:p>
      <w:pPr>
        <w:ind w:right="20"/>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02056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0560" cy="128905"/>
                    </a:xfrm>
                    <a:prstGeom prst="rect">
                      <a:avLst/>
                    </a:prstGeom>
                    <a:noFill/>
                  </pic:spPr>
                </pic:pic>
              </a:graphicData>
            </a:graphic>
          </wp:anchor>
        </w:drawing>
      </w:r>
    </w:p>
    <w:p>
      <w:pPr>
        <w:spacing w:after="0" w:line="21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Six months ended 6/30/2025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23495</wp:posOffset>
            </wp:positionV>
            <wp:extent cx="44488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p>
      <w:pPr>
        <w:spacing w:after="0" w:line="352" w:lineRule="exact"/>
        <w:rPr>
          <w:sz w:val="20"/>
          <w:szCs w:val="20"/>
          <w:color w:val="auto"/>
        </w:rPr>
      </w:pPr>
    </w:p>
    <w:p>
      <w:pPr>
        <w:ind w:left="4240"/>
        <w:spacing w:after="0"/>
        <w:tabs>
          <w:tab w:leader="none" w:pos="5240" w:val="left"/>
          <w:tab w:leader="none" w:pos="636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spacing w:after="0" w:line="2" w:lineRule="exact"/>
        <w:rPr>
          <w:sz w:val="20"/>
          <w:szCs w:val="20"/>
          <w:color w:val="auto"/>
        </w:rPr>
      </w:pPr>
    </w:p>
    <w:p>
      <w:pPr>
        <w:ind w:left="4260"/>
        <w:spacing w:after="0"/>
        <w:tabs>
          <w:tab w:leader="none" w:pos="5440" w:val="left"/>
          <w:tab w:leader="none" w:pos="638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4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rPr>
              <w:t>(benefit) for</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40" w:type="dxa"/>
            <w:vAlign w:val="bottom"/>
          </w:tcPr>
          <w:p>
            <w:pPr>
              <w:jc w:val="center"/>
              <w:ind w:right="6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(5)</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00" w:type="dxa"/>
            <w:vAlign w:val="bottom"/>
          </w:tcPr>
          <w:p>
            <w:pPr>
              <w:jc w:val="center"/>
              <w:ind w:left="6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60" w:space="260"/>
            <w:col w:w="3600"/>
          </w:cols>
          <w:pgMar w:left="32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2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Six months ended 6/30/2024</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(benefit) for</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 T.</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Rowe Price</w:t>
            </w:r>
          </w:p>
        </w:tc>
        <w:tc>
          <w:tcPr>
            <w:tcW w:w="104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(5)</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Group, Inc.</w:t>
            </w:r>
          </w:p>
        </w:tc>
        <w:tc>
          <w:tcPr>
            <w:tcW w:w="180" w:type="dxa"/>
            <w:vAlign w:val="bottom"/>
          </w:tcPr>
          <w:p>
            <w:pPr>
              <w:spacing w:after="0"/>
              <w:rPr>
                <w:sz w:val="16"/>
                <w:szCs w:val="16"/>
                <w:color w:val="auto"/>
              </w:rPr>
            </w:pPr>
          </w:p>
        </w:tc>
        <w:tc>
          <w:tcPr>
            <w:tcW w:w="86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(6)</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3"/>
        </w:trPr>
        <w:tc>
          <w:tcPr>
            <w:tcW w:w="4060" w:type="dxa"/>
            <w:vAlign w:val="bottom"/>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2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right="20" w:hanging="332"/>
        <w:spacing w:after="0" w:line="241" w:lineRule="auto"/>
        <w:tabs>
          <w:tab w:leader="none" w:pos="341"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of intangible assets, the recurring fair value remeasurements of the contingent consideration liability, if any,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hanging="332"/>
        <w:spacing w:after="0" w:line="242" w:lineRule="auto"/>
        <w:tabs>
          <w:tab w:leader="none" w:pos="341"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eliminates the compensation expense impact from market valuation changes in deferred compensation liabilities, including the supplemental savings plan and, starting in the fourth quarter of 2024, restricted fund units, and the related net gains (losses) on investments used as economic hedges against the related liabilities. The liabilities are adjusted based on the performance of hypothetical investments selected by participants. We use investment products to economically hedge the market risk associated with the supplemental savings plan liability and the expected settlement value of unvested restricted fund units. We believe it is useful to offset the non-operating investment income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36" w:name="page37"/>
    <w:bookmarkEnd w:id="36"/>
    <w:p>
      <w:pPr>
        <w:ind w:left="340" w:right="440"/>
        <w:spacing w:after="0" w:line="286" w:lineRule="auto"/>
        <w:rPr>
          <w:sz w:val="20"/>
          <w:szCs w:val="20"/>
          <w:color w:val="auto"/>
        </w:rPr>
      </w:pPr>
      <w:r>
        <w:rPr>
          <w:rFonts w:ascii="Arial" w:cs="Arial" w:eastAsia="Arial" w:hAnsi="Arial"/>
          <w:sz w:val="16"/>
          <w:szCs w:val="16"/>
          <w:color w:val="auto"/>
        </w:rPr>
        <w:t>(loss) of the hedges against the related compensation expense and remove the net impact to help the reader's ability to understand the firm's core operating results and to increase comparability period to period.</w:t>
      </w:r>
    </w:p>
    <w:p>
      <w:pPr>
        <w:spacing w:after="0" w:line="196" w:lineRule="exact"/>
        <w:rPr>
          <w:sz w:val="20"/>
          <w:szCs w:val="20"/>
          <w:color w:val="auto"/>
        </w:rPr>
      </w:pPr>
    </w:p>
    <w:p>
      <w:pPr>
        <w:ind w:left="340" w:right="40" w:hanging="332"/>
        <w:spacing w:after="0" w:line="242" w:lineRule="auto"/>
        <w:tabs>
          <w:tab w:leader="none" w:pos="341"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We believe this adjustment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right="80" w:hanging="332"/>
        <w:spacing w:after="0" w:line="238" w:lineRule="auto"/>
        <w:tabs>
          <w:tab w:leader="none" w:pos="329"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considered part of our core operations. We believe adjusting for the remaining non-operating income (loss) helps the reader’s ability to understand the firm's core operating results and increases comparability period to period. Additionally, we do not emphasize this portion of non-operating income (loss) when assessing the firm's performance.</w:t>
      </w:r>
    </w:p>
    <w:p>
      <w:pPr>
        <w:spacing w:after="0" w:line="220" w:lineRule="exact"/>
        <w:rPr>
          <w:rFonts w:ascii="Arial" w:cs="Arial" w:eastAsia="Arial" w:hAnsi="Arial"/>
          <w:sz w:val="22"/>
          <w:szCs w:val="22"/>
          <w:color w:val="auto"/>
          <w:vertAlign w:val="superscript"/>
        </w:rPr>
      </w:pPr>
    </w:p>
    <w:p>
      <w:pPr>
        <w:ind w:left="340" w:right="200" w:hanging="332"/>
        <w:spacing w:after="0" w:line="236" w:lineRule="auto"/>
        <w:tabs>
          <w:tab w:leader="none" w:pos="341"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24.0% in 2025 and 24.3% in 2024. As such, the non-GAAP effective tax rate for the second quarter was 23.4% in 2025 and 24.6% in 2024.</w:t>
      </w:r>
    </w:p>
    <w:p>
      <w:pPr>
        <w:spacing w:after="0" w:line="218" w:lineRule="exact"/>
        <w:rPr>
          <w:rFonts w:ascii="Arial" w:cs="Arial" w:eastAsia="Arial" w:hAnsi="Arial"/>
          <w:sz w:val="22"/>
          <w:szCs w:val="22"/>
          <w:color w:val="auto"/>
          <w:vertAlign w:val="superscript"/>
        </w:rPr>
      </w:pPr>
    </w:p>
    <w:p>
      <w:pPr>
        <w:jc w:val="both"/>
        <w:ind w:left="340" w:right="180" w:hanging="332"/>
        <w:spacing w:after="0" w:line="239" w:lineRule="auto"/>
        <w:tabs>
          <w:tab w:leader="none" w:pos="341"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Inc.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4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460" w:type="dxa"/>
            <w:vAlign w:val="bottom"/>
            <w:gridSpan w:val="3"/>
            <w:shd w:val="clear" w:color="auto" w:fill="CCEEFF"/>
          </w:tcPr>
          <w:p>
            <w:pPr>
              <w:jc w:val="right"/>
              <w:ind w:right="6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6/30/2025</w:t>
            </w:r>
          </w:p>
        </w:tc>
        <w:tc>
          <w:tcPr>
            <w:tcW w:w="2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6/30/2024</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6/30/2025</w:t>
            </w: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6/30/2024</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1,068.2</w:t>
            </w:r>
          </w:p>
        </w:tc>
        <w:tc>
          <w:tcPr>
            <w:tcW w:w="0" w:type="dxa"/>
            <w:vAlign w:val="bottom"/>
          </w:tcPr>
          <w:p>
            <w:pPr>
              <w:spacing w:after="0"/>
              <w:rPr>
                <w:sz w:val="1"/>
                <w:szCs w:val="1"/>
                <w:color w:val="auto"/>
              </w:rPr>
            </w:pPr>
          </w:p>
        </w:tc>
      </w:tr>
      <w:tr>
        <w:trPr>
          <w:trHeight w:val="162"/>
        </w:trPr>
        <w:tc>
          <w:tcPr>
            <w:tcW w:w="4960" w:type="dxa"/>
            <w:vAlign w:val="bottom"/>
          </w:tcPr>
          <w:p>
            <w:pPr>
              <w:ind w:left="20"/>
              <w:spacing w:after="0" w:line="162" w:lineRule="exact"/>
              <w:rPr>
                <w:sz w:val="20"/>
                <w:szCs w:val="20"/>
                <w:color w:val="auto"/>
              </w:rPr>
            </w:pPr>
            <w:r>
              <w:rPr>
                <w:rFonts w:ascii="Arial" w:cs="Arial" w:eastAsia="Arial" w:hAnsi="Arial"/>
                <w:sz w:val="16"/>
                <w:szCs w:val="16"/>
                <w:color w:val="auto"/>
              </w:rPr>
              <w:t>Less: adjusted net income allocated to outstanding restricted stock</w:t>
            </w: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26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stock unit holders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1,039.1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6/30/2025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3,058.9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2,649.8</w:t>
            </w: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3,106.9</w:t>
            </w: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discretionary investment portfolio is primarily comprised of short duration bond funds, which typically yield higher than money market rates. Our subsidiaries outside the United States held cash and discretionary investments of $741.7 million at June 30, 2025 and $653.9 million at December 31, 2024. Given the availability of our financial resources and cash expected to be generated through future operations, we do not maintain an available external source of additional liquidity.</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140"/>
        <w:spacing w:after="0" w:line="268" w:lineRule="auto"/>
        <w:rPr>
          <w:sz w:val="20"/>
          <w:szCs w:val="20"/>
          <w:color w:val="auto"/>
        </w:rPr>
      </w:pPr>
      <w:r>
        <w:rPr>
          <w:rFonts w:ascii="Arial" w:cs="Arial" w:eastAsia="Arial" w:hAnsi="Arial"/>
          <w:sz w:val="18"/>
          <w:szCs w:val="18"/>
          <w:color w:val="auto"/>
        </w:rPr>
        <w:t>The cash and investment presentation on the unaudited consolidated balance sheet is based on the accounting treatment for the cash equivalent or investment item. The following table details how T. Rowe Price Group, Inc.’s interests in cash and investments relate to where they are presented on the unaudited consolidated balance sheet as of June 30, 2025.</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00"/>
              <w:spacing w:after="0" w:line="139" w:lineRule="exact"/>
              <w:rPr>
                <w:sz w:val="20"/>
                <w:szCs w:val="20"/>
                <w:color w:val="auto"/>
              </w:rPr>
            </w:pPr>
            <w:r>
              <w:rPr>
                <w:rFonts w:ascii="Arial" w:cs="Arial" w:eastAsia="Arial" w:hAnsi="Arial"/>
                <w:sz w:val="14"/>
                <w:szCs w:val="14"/>
                <w:b w:val="1"/>
                <w:bCs w:val="1"/>
                <w:color w:val="auto"/>
              </w:rPr>
              <w:t>consolidated</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Cash and cash</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300"/>
              <w:spacing w:after="0" w:line="158" w:lineRule="exact"/>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0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3,808.4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1,101.2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1,123.7</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2,166.1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6,033.4</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Group, Inc.</w:t>
            </w: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 Inc.</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7,227.2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1,099.1</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consolidated balance sheet at June 30,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3,359.9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1,907.5</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8,326.3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40" w:hanging="172"/>
        <w:spacing w:after="0" w:line="266" w:lineRule="auto"/>
        <w:tabs>
          <w:tab w:leader="none" w:pos="158"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investment products are generally those products we provided seed capital at the time of their formation and we have a controlling interest. These products generally represent U.S. mutual funds, ETFs, and funds regulated outside the U.S. The $808.4 million represents the total value at June 30, 2025 of our interest in the consolidated investment products. The total net assets of the T. Rowe Price investment products at June 30, 2025 of $1,907.5 million includes assets of $1,989.0 million, less liabilities of $81.5 million as reflected in our unaudited consolidated balance sheets.</w:t>
      </w:r>
    </w:p>
    <w:p>
      <w:pPr>
        <w:ind w:left="160" w:hanging="152"/>
        <w:spacing w:after="0" w:line="204" w:lineRule="auto"/>
        <w:tabs>
          <w:tab w:leader="none" w:pos="160" w:val="left"/>
        </w:tabs>
        <w:numPr>
          <w:ilvl w:val="0"/>
          <w:numId w:val="1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$153.3 million of non-controlling interests in consolidated entities held by related parties, and we cannot sell in order to obtain cash for general operations.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unaudited consolidated balance sheet includes the cash, investments, and other assets and liabilities of our consolidated investment products, which includes any redeemable non-controlling interests held by third-party investors. While we can redeem our net interest in these investment products at any time, we cannot directly access or sell their assets for general operations, and their assets are not available to our general creditors. Our interest typically serves as initial seed capital and is reclassified as discretionary when management decides the seed capital is no longer needed. We evaluate these discretionary investment products and aim to liquidate our interest without affecting the product or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2025 by 2.4% to $1.27 per common share from $ 1.24 per common share. Further, we expended $ 326.1 million in the first half of 2025 to repurchase 3.4 million shares of our outstanding common stock, at an average price of $97.30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Since the end of 2022, we have returned over $3.7 billion to stockholders through stock repurchases and regular quarterly dividends, as follows:</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5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5"/>
        </w:trPr>
        <w:tc>
          <w:tcPr>
            <w:tcW w:w="65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Six months ended 6/30/2025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2025 to be about $282 million of which over 80%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following table summarizes the cash flows for the six months ended June 30, 2025 and 2024, that are attributable to T. Rowe Price Group, Inc., our consolidated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6/30/2025</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10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7"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9"/>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39" w:lineRule="exact"/>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40"/>
              <w:spacing w:after="0" w:line="139" w:lineRule="exact"/>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Inc.</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740" w:type="dxa"/>
            <w:vAlign w:val="bottom"/>
            <w:gridSpan w:val="2"/>
            <w:vMerge w:val="continue"/>
            <w:shd w:val="clear" w:color="auto" w:fill="CCEEFF"/>
          </w:tcPr>
          <w:p>
            <w:pPr>
              <w:spacing w:after="0"/>
              <w:rPr>
                <w:sz w:val="16"/>
                <w:szCs w:val="16"/>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9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Group, Inc.</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(40.1)</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1,061.2</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(54.4)</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164"/>
        </w:trPr>
        <w:tc>
          <w:tcPr>
            <w:tcW w:w="3820" w:type="dxa"/>
            <w:vAlign w:val="bottom"/>
          </w:tcPr>
          <w:p>
            <w:pPr>
              <w:ind w:left="140"/>
              <w:spacing w:after="0" w:line="164" w:lineRule="exact"/>
              <w:rPr>
                <w:sz w:val="20"/>
                <w:szCs w:val="20"/>
                <w:color w:val="auto"/>
              </w:rPr>
            </w:pPr>
            <w:r>
              <w:rPr>
                <w:rFonts w:ascii="Arial" w:cs="Arial" w:eastAsia="Arial" w:hAnsi="Arial"/>
                <w:sz w:val="18"/>
                <w:szCs w:val="18"/>
                <w:color w:val="auto"/>
              </w:rPr>
              <w:t>Adjustments to reconcile net income (loss) to</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line="181"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amortization and impairments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and impairment of acquisition-</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116.4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non-cash adjustments</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redemptions in T. Rowe Price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20"/>
              <w:spacing w:after="0" w:line="181" w:lineRule="exact"/>
              <w:rPr>
                <w:sz w:val="20"/>
                <w:szCs w:val="20"/>
                <w:color w:val="auto"/>
              </w:rPr>
            </w:pPr>
            <w:r>
              <w:rPr>
                <w:rFonts w:ascii="Arial" w:cs="Arial" w:eastAsia="Arial" w:hAnsi="Arial"/>
                <w:sz w:val="18"/>
                <w:szCs w:val="18"/>
                <w:color w:val="auto"/>
              </w:rPr>
              <w:t>investment products used to economically</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hedge deferred compensation liabilities</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investment products</w:t>
            </w:r>
          </w:p>
        </w:tc>
        <w:tc>
          <w:tcPr>
            <w:tcW w:w="16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(11.8)</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0"/>
              <w:spacing w:after="0" w:line="181" w:lineRule="exact"/>
              <w:rPr>
                <w:sz w:val="20"/>
                <w:szCs w:val="20"/>
                <w:color w:val="auto"/>
              </w:rPr>
            </w:pPr>
            <w:r>
              <w:rPr>
                <w:rFonts w:ascii="Arial" w:cs="Arial" w:eastAsia="Arial" w:hAnsi="Arial"/>
                <w:sz w:val="18"/>
                <w:szCs w:val="18"/>
                <w:color w:val="auto"/>
              </w:rPr>
              <w:t>cash equivalents of consolidated investment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2,649.8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2,066.6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year</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3,130.5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activities attributable to T. Rowe Price Group, Inc. provided cash flows of $ 1,446.4 million during the first half of 2025, a decrease of $24.0 million from $1,470.4 million provided during the 2024 period. The decrease was primarily driven by a $61.5 million decrease in net income and a $30.3 million decrease in cash flows related to timing differences in the cash settlement of our assets and liabilities. These decreases in operating cash flows were offset in part by a $37.1 million increase in the add-back for non-cash items as detailed in the table above. Additionally, in 2025, net redemptions from certain investment products that economically hedge our deferred compensation liabilities were $30.7 million higher as compared to the 2024 period.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interim operating cash flows does not include the cash impact of variable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investing activities attributable to T. Rowe Price Group, Inc. totaled $144.9 million in 2025 compared with $75.7 million in 2024. In 2025, we decreased our property and equipment expenditures by $61.6 million and decreased other investing activity by $20.9 million compared to the 2024 period. Partially offsetting these decreases was lower net proceeds from the sale of sponsored investment products. During 2025, we had net proceeds from the sale of investments of $20.3 million compared to $172.0 million during the 2024 period. We eliminate our capital in our consolidated investment products in preparing our consolidated statements of cash flows. The remaining change in reported cash flows from investing activities of $12.0 million is related to the net cash removed from our unaudited consolidated balance sheet from consolidating and deconsolidating investment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Net cash used in financing activities attributable to T. Rowe Price Group, Inc. totaled $892.4 million in 2025 compared with $746.4 million in 2024. During 2025, we used $328.3 million to repurchase 3.4 million shares compared to $195.5 million to repurchase 1.7 million shares in</w:t>
      </w:r>
    </w:p>
    <w:p>
      <w:pPr>
        <w:ind w:right="380"/>
        <w:spacing w:after="0" w:line="258" w:lineRule="auto"/>
        <w:rPr>
          <w:sz w:val="20"/>
          <w:szCs w:val="20"/>
          <w:color w:val="auto"/>
        </w:rPr>
      </w:pPr>
      <w:r>
        <w:rPr>
          <w:rFonts w:ascii="Arial" w:cs="Arial" w:eastAsia="Arial" w:hAnsi="Arial"/>
          <w:sz w:val="18"/>
          <w:szCs w:val="18"/>
          <w:color w:val="auto"/>
        </w:rPr>
        <w:t>2024. The $5.4 million increase in dividends paid in 2025 was a result of the 2.4% increase in our quarterly dividend per share over prior year. The remaining change in reported cash flows from financing activities was primarily attributable to a $34.2 million increase in net subscriptions from redeemable non-controlling interest holders of our consolidated investment products during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consolidated balance sheets, the revenues and expenses in our unaudited consolidated statements of income, and the information that is contained in our significant accounting policies and notes to the unaudited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2024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Note 1 - The Company and Basis of Preparation note within Item 1. Financial Statements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Group, Inc.,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tax rate, dividends, stock repurchases, investments, new products and services, capital expenditures, changes in our effective fee rate, and potential transactions; legal or regulatory developments; geopolitical instability; interest rates and currency fluctuations; our expectations regarding financial markets and other industry or market conditions. Readers are cautioned that any forward-looking information provided by or on behalf of T. Rowe Price Group, Inc. is not a guarantee of future performance. Actual results may differ materially from those in forward-looking information because of various factors including, but not limited to, those discussed below and in Item 1A, Risk Factors, included in our Form 10-K Annual Report for 2024.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ability to attract and retain investors’ assets under our management is dependent on investor sentiment and confidence, including changes in sentiment and confidence that may result from U.S. trade policies, market volatility and economic outlook;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dependent on fees earned under contracts with the T. Rowe Price funds and could be adversely affected if the independent directors of one or more of the T. Rowe Price funds terminated or significantly altered the terms of the investment management or related administrative</w:t>
      </w:r>
    </w:p>
    <w:p>
      <w:pPr>
        <w:spacing w:after="0" w:line="1" w:lineRule="exact"/>
        <w:rPr>
          <w:sz w:val="20"/>
          <w:szCs w:val="20"/>
          <w:color w:val="auto"/>
        </w:rPr>
      </w:pPr>
    </w:p>
    <w:p>
      <w:pPr>
        <w:ind w:right="540"/>
        <w:spacing w:after="0" w:line="242" w:lineRule="auto"/>
        <w:rPr>
          <w:sz w:val="20"/>
          <w:szCs w:val="20"/>
          <w:color w:val="auto"/>
        </w:rPr>
      </w:pPr>
      <w:r>
        <w:rPr>
          <w:rFonts w:ascii="Arial" w:cs="Arial" w:eastAsia="Arial" w:hAnsi="Arial"/>
          <w:sz w:val="18"/>
          <w:szCs w:val="18"/>
          <w:color w:val="auto"/>
        </w:rPr>
        <w:t>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w:t>
      </w:r>
    </w:p>
    <w:p>
      <w:pPr>
        <w:spacing w:after="0" w:line="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timing of the assumption of all third party research payments, unanticipated costs that may be incurred to protect investor accounts and the goodwill of our clients; and disruptions of services, including those provided by third parties, such as fund and product recordkeeping,</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18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2025. Based on that evaluation, our principal executive and principal financial officers have concluded that our disclosure controls and procedures as of June 30, 2025,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2025, and has concluded that there was no change during the second quarter of 2025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2025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3"/>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April 1</w:t>
            </w:r>
          </w:p>
        </w:tc>
        <w:tc>
          <w:tcPr>
            <w:tcW w:w="1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April 30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754,746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15,485,865</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May 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15,225,865</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June 1</w:t>
            </w: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June 30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15,025,865</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1,210,000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2025, 17,708 were related to shares surrendered in connection with employee stock option exercises and 2,701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Maximum Number of</w:t>
            </w: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520" w:type="dxa"/>
            <w:vAlign w:val="bottom"/>
            <w:gridSpan w:val="2"/>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8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right"/>
              <w:ind w:right="19"/>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52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Purchased at 4/1/2025</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6/30/2025</w:t>
            </w:r>
          </w:p>
        </w:tc>
        <w:tc>
          <w:tcPr>
            <w:tcW w:w="0" w:type="dxa"/>
            <w:vAlign w:val="bottom"/>
          </w:tcPr>
          <w:p>
            <w:pPr>
              <w:spacing w:after="0"/>
              <w:rPr>
                <w:sz w:val="1"/>
                <w:szCs w:val="1"/>
                <w:color w:val="auto"/>
              </w:rPr>
            </w:pPr>
          </w:p>
        </w:tc>
      </w:tr>
      <w:tr>
        <w:trPr>
          <w:trHeight w:val="223"/>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March 2020</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1,235,865</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(1,210,000)</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25,865</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2024</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16,235,865</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(1,210,000)</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15,025,865</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filed herewith, except for Exhibit 32 that is furnished herewith.</w:t>
      </w:r>
    </w:p>
    <w:p>
      <w:pPr>
        <w:sectPr>
          <w:pgSz w:w="11900" w:h="16838" w:orient="portrait"/>
          <w:cols w:equalWidth="0" w:num="1">
            <w:col w:w="11200"/>
          </w:cols>
          <w:pgMar w:left="320" w:top="890" w:right="37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20"/>
        <w:spacing w:after="0" w:line="256" w:lineRule="auto"/>
        <w:rPr>
          <w:rFonts w:ascii="Arial" w:cs="Arial" w:eastAsia="Arial" w:hAnsi="Arial"/>
          <w:sz w:val="18"/>
          <w:szCs w:val="18"/>
          <w:color w:val="auto"/>
        </w:rPr>
      </w:pPr>
      <w:hyperlink r:id="rId78">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8">
        <w:r>
          <w:rPr>
            <w:rFonts w:ascii="Arial" w:cs="Arial" w:eastAsia="Arial" w:hAnsi="Arial"/>
            <w:sz w:val="18"/>
            <w:szCs w:val="18"/>
            <w:color w:val="auto"/>
          </w:rPr>
          <w:t>reference from Form 10-Q Quarterly Report filed on July 25, 2018.)</w:t>
        </w:r>
      </w:hyperlink>
    </w:p>
    <w:p>
      <w:pPr>
        <w:spacing w:after="0" w:line="31" w:lineRule="exact"/>
        <w:rPr>
          <w:sz w:val="20"/>
          <w:szCs w:val="20"/>
          <w:color w:val="auto"/>
        </w:rPr>
      </w:pPr>
    </w:p>
    <w:p>
      <w:pPr>
        <w:ind w:right="380"/>
        <w:spacing w:after="0" w:line="256" w:lineRule="auto"/>
        <w:rPr>
          <w:rFonts w:ascii="Arial" w:cs="Arial" w:eastAsia="Arial" w:hAnsi="Arial"/>
          <w:sz w:val="18"/>
          <w:szCs w:val="18"/>
          <w:color w:val="auto"/>
        </w:rPr>
      </w:pPr>
      <w:hyperlink r:id="rId79">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79">
        <w:r>
          <w:rPr>
            <w:rFonts w:ascii="Arial" w:cs="Arial" w:eastAsia="Arial" w:hAnsi="Arial"/>
            <w:sz w:val="18"/>
            <w:szCs w:val="18"/>
            <w:color w:val="auto"/>
          </w:rPr>
          <w:t>Form 10-K Annual Report filed on February 11, 2021.)</w:t>
        </w:r>
      </w:hyperlink>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 Inc.’s unaudited consolidated interim financial statements and notes that are included in this Form 10-Q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60" w:space="640"/>
            <w:col w:w="980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4" w:name="page45"/>
    <w:bookmarkEnd w:id="4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120"/>
          </w:cols>
          <w:pgMar w:left="320" w:top="890"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15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August 1,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color w:val="auto"/>
        </w:rPr>
        <w:t>Re: Registration Statements No. 033-7012, No. 333-59714, No. 333-120882, No. 333-120883, No. 333-142092, No. 333-167317, No. 333-180904, No. 333-199560, No. 333-212705 , No. 333-217483, No. 333-238319, and No. 333-273601</w:t>
      </w:r>
      <w:r>
        <w:rPr>
          <w:rFonts w:ascii="Arial" w:cs="Arial" w:eastAsia="Arial" w:hAnsi="Arial"/>
          <w:sz w:val="18"/>
          <w:szCs w:val="18"/>
          <w:b w:val="1"/>
          <w:bCs w:val="1"/>
          <w:color w:val="0E32E1"/>
        </w:rPr>
        <w:t>.</w:t>
      </w:r>
    </w:p>
    <w:p>
      <w:pPr>
        <w:spacing w:after="0" w:line="16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August 1, 2025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1133" w:right="339" w:bottom="1440" w:gutter="0" w:footer="0" w:header="0"/>
        </w:sectPr>
      </w:pPr>
    </w:p>
    <w:bookmarkStart w:id="46" w:name="page47"/>
    <w:bookmarkEnd w:id="46"/>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August 1,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7" w:name="page48"/>
    <w:bookmarkEnd w:id="47"/>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August 1,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8" w:name="page49"/>
    <w:bookmarkEnd w:id="48"/>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2025,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August 1,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6"/>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78" Type="http://schemas.openxmlformats.org/officeDocument/2006/relationships/hyperlink" Target="https://www.sec.gov/Archives/edgar/data/1113169/000111316918000018/articlesofrestatementfin.htm" TargetMode="External"/><Relationship Id="rId79"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2025-08-01T11:27:30Z</dcterms:created>
  <dcterms:modified xsi:type="dcterms:W3CDTF">2025-08-01T11:27:30Z</dcterms:modified>
</cp:coreProperties>
</file>