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279"/>
        <w:spacing w:after="0"/>
        <w:rPr>
          <w:sz w:val="20"/>
          <w:szCs w:val="20"/>
          <w:color w:val="auto"/>
        </w:rPr>
      </w:pPr>
      <w:r>
        <w:rPr>
          <w:rFonts w:ascii="Arial" w:cs="Arial" w:eastAsia="Arial" w:hAnsi="Arial"/>
          <w:sz w:val="17"/>
          <w:szCs w:val="17"/>
          <w:b w:val="1"/>
          <w:bCs w:val="1"/>
          <w:color w:val="auto"/>
        </w:rPr>
        <w:t>UNITED STATES</w:t>
      </w:r>
    </w:p>
    <w:p>
      <w:pPr>
        <w:spacing w:after="0" w:line="22" w:lineRule="exact"/>
        <w:rPr>
          <w:sz w:val="24"/>
          <w:szCs w:val="24"/>
          <w:color w:val="auto"/>
        </w:rPr>
      </w:pPr>
    </w:p>
    <w:p>
      <w:pPr>
        <w:jc w:val="center"/>
        <w:ind w:right="-279"/>
        <w:spacing w:after="0"/>
        <w:rPr>
          <w:sz w:val="20"/>
          <w:szCs w:val="20"/>
          <w:color w:val="auto"/>
        </w:rPr>
      </w:pPr>
      <w:r>
        <w:rPr>
          <w:rFonts w:ascii="Arial" w:cs="Arial" w:eastAsia="Arial" w:hAnsi="Arial"/>
          <w:sz w:val="17"/>
          <w:szCs w:val="17"/>
          <w:b w:val="1"/>
          <w:bCs w:val="1"/>
          <w:color w:val="auto"/>
        </w:rPr>
        <w:t>SECURITIES AND EXCHANGE COMMISSION</w:t>
      </w:r>
    </w:p>
    <w:p>
      <w:pPr>
        <w:spacing w:after="0" w:line="6" w:lineRule="exact"/>
        <w:rPr>
          <w:sz w:val="24"/>
          <w:szCs w:val="24"/>
          <w:color w:val="auto"/>
        </w:rPr>
      </w:pPr>
    </w:p>
    <w:p>
      <w:pPr>
        <w:jc w:val="center"/>
        <w:ind w:right="-279"/>
        <w:spacing w:after="0"/>
        <w:rPr>
          <w:sz w:val="20"/>
          <w:szCs w:val="20"/>
          <w:color w:val="auto"/>
        </w:rPr>
      </w:pPr>
      <w:r>
        <w:rPr>
          <w:rFonts w:ascii="Arial" w:cs="Arial" w:eastAsia="Arial" w:hAnsi="Arial"/>
          <w:sz w:val="17"/>
          <w:szCs w:val="17"/>
          <w:b w:val="1"/>
          <w:bCs w:val="1"/>
          <w:color w:val="auto"/>
        </w:rPr>
        <w:t>Washington, D.C. 20549</w:t>
      </w:r>
    </w:p>
    <w:p>
      <w:pPr>
        <w:spacing w:after="0" w:line="17" w:lineRule="exact"/>
        <w:rPr>
          <w:sz w:val="24"/>
          <w:szCs w:val="24"/>
          <w:color w:val="auto"/>
        </w:rPr>
      </w:pPr>
    </w:p>
    <w:p>
      <w:pPr>
        <w:ind w:left="4360"/>
        <w:spacing w:after="0"/>
        <w:rPr>
          <w:sz w:val="20"/>
          <w:szCs w:val="20"/>
          <w:color w:val="auto"/>
        </w:rPr>
      </w:pPr>
      <w:r>
        <w:rPr>
          <w:rFonts w:ascii="Arial" w:cs="Arial" w:eastAsia="Arial" w:hAnsi="Arial"/>
          <w:sz w:val="17"/>
          <w:szCs w:val="17"/>
          <w:color w:val="auto"/>
        </w:rPr>
        <w:t>___________________________</w:t>
      </w:r>
    </w:p>
    <w:p>
      <w:pPr>
        <w:spacing w:after="0" w:line="173" w:lineRule="exact"/>
        <w:rPr>
          <w:sz w:val="24"/>
          <w:szCs w:val="24"/>
          <w:color w:val="auto"/>
        </w:rPr>
      </w:pPr>
    </w:p>
    <w:p>
      <w:pPr>
        <w:jc w:val="center"/>
        <w:ind w:right="-279"/>
        <w:spacing w:after="0"/>
        <w:rPr>
          <w:sz w:val="20"/>
          <w:szCs w:val="20"/>
          <w:color w:val="auto"/>
        </w:rPr>
      </w:pPr>
      <w:r>
        <w:rPr>
          <w:rFonts w:ascii="Arial" w:cs="Arial" w:eastAsia="Arial" w:hAnsi="Arial"/>
          <w:sz w:val="20"/>
          <w:szCs w:val="20"/>
          <w:b w:val="1"/>
          <w:bCs w:val="1"/>
          <w:color w:val="auto"/>
        </w:rPr>
        <w:t>FORM 8-K</w:t>
      </w:r>
    </w:p>
    <w:p>
      <w:pPr>
        <w:spacing w:after="0" w:line="203" w:lineRule="exact"/>
        <w:rPr>
          <w:sz w:val="24"/>
          <w:szCs w:val="24"/>
          <w:color w:val="auto"/>
        </w:rPr>
      </w:pPr>
    </w:p>
    <w:p>
      <w:pPr>
        <w:jc w:val="center"/>
        <w:ind w:right="-279"/>
        <w:spacing w:after="0"/>
        <w:rPr>
          <w:sz w:val="20"/>
          <w:szCs w:val="20"/>
          <w:color w:val="auto"/>
        </w:rPr>
      </w:pPr>
      <w:r>
        <w:rPr>
          <w:rFonts w:ascii="Arial" w:cs="Arial" w:eastAsia="Arial" w:hAnsi="Arial"/>
          <w:sz w:val="17"/>
          <w:szCs w:val="17"/>
          <w:b w:val="1"/>
          <w:bCs w:val="1"/>
          <w:color w:val="auto"/>
        </w:rPr>
        <w:t>CURRENT REPORT</w:t>
      </w:r>
    </w:p>
    <w:p>
      <w:pPr>
        <w:spacing w:after="0" w:line="22" w:lineRule="exact"/>
        <w:rPr>
          <w:sz w:val="24"/>
          <w:szCs w:val="24"/>
          <w:color w:val="auto"/>
        </w:rPr>
      </w:pPr>
    </w:p>
    <w:p>
      <w:pPr>
        <w:jc w:val="center"/>
        <w:ind w:right="-279"/>
        <w:spacing w:after="0"/>
        <w:rPr>
          <w:sz w:val="20"/>
          <w:szCs w:val="20"/>
          <w:color w:val="auto"/>
        </w:rPr>
      </w:pPr>
      <w:r>
        <w:rPr>
          <w:rFonts w:ascii="Arial" w:cs="Arial" w:eastAsia="Arial" w:hAnsi="Arial"/>
          <w:sz w:val="17"/>
          <w:szCs w:val="17"/>
          <w:b w:val="1"/>
          <w:bCs w:val="1"/>
          <w:color w:val="auto"/>
        </w:rPr>
        <w:t>Pursuant to Section 13 of the Securities Exchange Act of 1934</w:t>
      </w:r>
    </w:p>
    <w:p>
      <w:pPr>
        <w:spacing w:after="0" w:line="183" w:lineRule="exact"/>
        <w:rPr>
          <w:sz w:val="24"/>
          <w:szCs w:val="24"/>
          <w:color w:val="auto"/>
        </w:rPr>
      </w:pPr>
    </w:p>
    <w:p>
      <w:pPr>
        <w:jc w:val="center"/>
        <w:ind w:right="-279"/>
        <w:spacing w:after="0"/>
        <w:rPr>
          <w:sz w:val="20"/>
          <w:szCs w:val="20"/>
          <w:color w:val="auto"/>
        </w:rPr>
      </w:pPr>
      <w:r>
        <w:rPr>
          <w:rFonts w:ascii="Arial" w:cs="Arial" w:eastAsia="Arial" w:hAnsi="Arial"/>
          <w:sz w:val="14"/>
          <w:szCs w:val="14"/>
          <w:b w:val="1"/>
          <w:bCs w:val="1"/>
          <w:color w:val="auto"/>
        </w:rPr>
        <w:t xml:space="preserve">Date of Report (Date of earliest event reported): </w:t>
      </w:r>
      <w:r>
        <w:rPr>
          <w:rFonts w:ascii="Arial" w:cs="Arial" w:eastAsia="Arial" w:hAnsi="Arial"/>
          <w:sz w:val="15"/>
          <w:szCs w:val="15"/>
          <w:b w:val="1"/>
          <w:bCs w:val="1"/>
          <w:color w:val="auto"/>
        </w:rPr>
        <w:t>May 15, 2026</w:t>
      </w:r>
    </w:p>
    <w:p>
      <w:pPr>
        <w:spacing w:after="0" w:line="201" w:lineRule="exact"/>
        <w:rPr>
          <w:sz w:val="24"/>
          <w:szCs w:val="24"/>
          <w:color w:val="auto"/>
        </w:rPr>
      </w:pPr>
    </w:p>
    <w:p>
      <w:pPr>
        <w:jc w:val="center"/>
        <w:ind w:right="-279"/>
        <w:spacing w:after="0"/>
        <w:rPr>
          <w:sz w:val="20"/>
          <w:szCs w:val="20"/>
          <w:color w:val="auto"/>
        </w:rPr>
      </w:pPr>
      <w:r>
        <w:rPr>
          <w:rFonts w:ascii="Arial" w:cs="Arial" w:eastAsia="Arial" w:hAnsi="Arial"/>
          <w:sz w:val="31"/>
          <w:szCs w:val="31"/>
          <w:b w:val="1"/>
          <w:bCs w:val="1"/>
          <w:u w:val="single" w:color="auto"/>
          <w:color w:val="auto"/>
        </w:rPr>
        <w:t>T. Rowe Price Group, Inc.</w:t>
      </w:r>
    </w:p>
    <w:p>
      <w:pPr>
        <w:spacing w:after="0" w:line="31" w:lineRule="exact"/>
        <w:rPr>
          <w:sz w:val="24"/>
          <w:szCs w:val="24"/>
          <w:color w:val="auto"/>
        </w:rPr>
      </w:pPr>
    </w:p>
    <w:p>
      <w:pPr>
        <w:jc w:val="center"/>
        <w:ind w:right="-279"/>
        <w:spacing w:after="0"/>
        <w:rPr>
          <w:sz w:val="20"/>
          <w:szCs w:val="20"/>
          <w:color w:val="auto"/>
        </w:rPr>
      </w:pPr>
      <w:r>
        <w:rPr>
          <w:rFonts w:ascii="Arial" w:cs="Arial" w:eastAsia="Arial" w:hAnsi="Arial"/>
          <w:sz w:val="14"/>
          <w:szCs w:val="14"/>
          <w:color w:val="auto"/>
        </w:rPr>
        <w:t>(Exact name of registrant as specified in its charter)</w:t>
      </w:r>
    </w:p>
    <w:p>
      <w:pPr>
        <w:spacing w:after="0" w:line="79" w:lineRule="exact"/>
        <w:rPr>
          <w:sz w:val="24"/>
          <w:szCs w:val="24"/>
          <w:color w:val="auto"/>
        </w:rPr>
      </w:pPr>
    </w:p>
    <w:tbl>
      <w:tblPr>
        <w:tblLayout w:type="fixed"/>
        <w:tblInd w:w="3260" w:type="dxa"/>
        <w:tblCellMar>
          <w:top w:w="0" w:type="dxa"/>
          <w:left w:w="0" w:type="dxa"/>
          <w:bottom w:w="0" w:type="dxa"/>
          <w:right w:w="0" w:type="dxa"/>
        </w:tblCellMar>
      </w:tblPr>
      <w:tr>
        <w:trPr>
          <w:trHeight w:val="195"/>
        </w:trPr>
        <w:tc>
          <w:tcPr>
            <w:tcW w:w="1540" w:type="dxa"/>
            <w:vAlign w:val="bottom"/>
            <w:gridSpan w:val="4"/>
          </w:tcPr>
          <w:p>
            <w:pPr>
              <w:jc w:val="center"/>
              <w:ind w:right="740"/>
              <w:spacing w:after="0"/>
              <w:rPr>
                <w:sz w:val="20"/>
                <w:szCs w:val="20"/>
                <w:color w:val="auto"/>
              </w:rPr>
            </w:pPr>
            <w:r>
              <w:rPr>
                <w:rFonts w:ascii="Times New Roman" w:cs="Times New Roman" w:eastAsia="Times New Roman" w:hAnsi="Times New Roman"/>
                <w:sz w:val="17"/>
                <w:szCs w:val="17"/>
                <w:b w:val="1"/>
                <w:bCs w:val="1"/>
                <w:color w:val="auto"/>
                <w:w w:val="98"/>
              </w:rPr>
              <w:t>Maryland</w:t>
            </w:r>
          </w:p>
        </w:tc>
        <w:tc>
          <w:tcPr>
            <w:tcW w:w="1500" w:type="dxa"/>
            <w:vAlign w:val="bottom"/>
            <w:gridSpan w:val="2"/>
          </w:tcPr>
          <w:p>
            <w:pPr>
              <w:jc w:val="center"/>
              <w:ind w:left="685"/>
              <w:spacing w:after="0"/>
              <w:rPr>
                <w:sz w:val="20"/>
                <w:szCs w:val="20"/>
                <w:color w:val="auto"/>
              </w:rPr>
            </w:pPr>
            <w:r>
              <w:rPr>
                <w:rFonts w:ascii="Times New Roman" w:cs="Times New Roman" w:eastAsia="Times New Roman" w:hAnsi="Times New Roman"/>
                <w:sz w:val="17"/>
                <w:szCs w:val="17"/>
                <w:b w:val="1"/>
                <w:bCs w:val="1"/>
                <w:color w:val="auto"/>
              </w:rPr>
              <w:t>000-32191</w:t>
            </w:r>
          </w:p>
        </w:tc>
        <w:tc>
          <w:tcPr>
            <w:tcW w:w="380" w:type="dxa"/>
            <w:vAlign w:val="bottom"/>
          </w:tcPr>
          <w:p>
            <w:pPr>
              <w:spacing w:after="0"/>
              <w:rPr>
                <w:sz w:val="17"/>
                <w:szCs w:val="17"/>
                <w:color w:val="auto"/>
              </w:rPr>
            </w:pPr>
          </w:p>
        </w:tc>
        <w:tc>
          <w:tcPr>
            <w:tcW w:w="1640" w:type="dxa"/>
            <w:vAlign w:val="bottom"/>
            <w:gridSpan w:val="3"/>
          </w:tcPr>
          <w:p>
            <w:pPr>
              <w:jc w:val="center"/>
              <w:ind w:left="745"/>
              <w:spacing w:after="0"/>
              <w:rPr>
                <w:sz w:val="20"/>
                <w:szCs w:val="20"/>
                <w:color w:val="auto"/>
              </w:rPr>
            </w:pPr>
            <w:r>
              <w:rPr>
                <w:rFonts w:ascii="Times New Roman" w:cs="Times New Roman" w:eastAsia="Times New Roman" w:hAnsi="Times New Roman"/>
                <w:sz w:val="17"/>
                <w:szCs w:val="17"/>
                <w:b w:val="1"/>
                <w:bCs w:val="1"/>
                <w:color w:val="auto"/>
                <w:w w:val="99"/>
              </w:rPr>
              <w:t>52-2264646</w:t>
            </w:r>
          </w:p>
        </w:tc>
        <w:tc>
          <w:tcPr>
            <w:tcW w:w="120" w:type="dxa"/>
            <w:vAlign w:val="bottom"/>
          </w:tcPr>
          <w:p>
            <w:pPr>
              <w:spacing w:after="0"/>
              <w:rPr>
                <w:sz w:val="17"/>
                <w:szCs w:val="17"/>
                <w:color w:val="auto"/>
              </w:rPr>
            </w:pPr>
          </w:p>
        </w:tc>
      </w:tr>
      <w:tr>
        <w:trPr>
          <w:trHeight w:val="20"/>
        </w:trPr>
        <w:tc>
          <w:tcPr>
            <w:tcW w:w="4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171"/>
        </w:trPr>
        <w:tc>
          <w:tcPr>
            <w:tcW w:w="40" w:type="dxa"/>
            <w:vAlign w:val="bottom"/>
          </w:tcPr>
          <w:p>
            <w:pPr>
              <w:spacing w:after="0"/>
              <w:rPr>
                <w:sz w:val="14"/>
                <w:szCs w:val="14"/>
                <w:color w:val="auto"/>
              </w:rPr>
            </w:pPr>
          </w:p>
        </w:tc>
        <w:tc>
          <w:tcPr>
            <w:tcW w:w="720" w:type="dxa"/>
            <w:vAlign w:val="bottom"/>
            <w:gridSpan w:val="2"/>
          </w:tcPr>
          <w:p>
            <w:pPr>
              <w:jc w:val="center"/>
              <w:spacing w:after="0"/>
              <w:rPr>
                <w:sz w:val="20"/>
                <w:szCs w:val="20"/>
                <w:color w:val="auto"/>
              </w:rPr>
            </w:pPr>
            <w:r>
              <w:rPr>
                <w:rFonts w:ascii="Times New Roman" w:cs="Times New Roman" w:eastAsia="Times New Roman" w:hAnsi="Times New Roman"/>
                <w:sz w:val="14"/>
                <w:szCs w:val="14"/>
                <w:color w:val="auto"/>
              </w:rPr>
              <w:t>(State of</w:t>
            </w:r>
          </w:p>
        </w:tc>
        <w:tc>
          <w:tcPr>
            <w:tcW w:w="780" w:type="dxa"/>
            <w:vAlign w:val="bottom"/>
          </w:tcPr>
          <w:p>
            <w:pPr>
              <w:spacing w:after="0"/>
              <w:rPr>
                <w:sz w:val="14"/>
                <w:szCs w:val="14"/>
                <w:color w:val="auto"/>
              </w:rPr>
            </w:pPr>
          </w:p>
        </w:tc>
        <w:tc>
          <w:tcPr>
            <w:tcW w:w="1880" w:type="dxa"/>
            <w:vAlign w:val="bottom"/>
            <w:gridSpan w:val="3"/>
          </w:tcPr>
          <w:p>
            <w:pPr>
              <w:jc w:val="center"/>
              <w:ind w:left="245"/>
              <w:spacing w:after="0"/>
              <w:rPr>
                <w:sz w:val="20"/>
                <w:szCs w:val="20"/>
                <w:color w:val="auto"/>
              </w:rPr>
            </w:pPr>
            <w:r>
              <w:rPr>
                <w:rFonts w:ascii="Times New Roman" w:cs="Times New Roman" w:eastAsia="Times New Roman" w:hAnsi="Times New Roman"/>
                <w:sz w:val="14"/>
                <w:szCs w:val="14"/>
                <w:color w:val="auto"/>
              </w:rPr>
              <w:t>(Commission</w:t>
            </w:r>
          </w:p>
        </w:tc>
        <w:tc>
          <w:tcPr>
            <w:tcW w:w="780" w:type="dxa"/>
            <w:vAlign w:val="bottom"/>
          </w:tcPr>
          <w:p>
            <w:pPr>
              <w:spacing w:after="0"/>
              <w:rPr>
                <w:sz w:val="14"/>
                <w:szCs w:val="14"/>
                <w:color w:val="auto"/>
              </w:rPr>
            </w:pPr>
          </w:p>
        </w:tc>
        <w:tc>
          <w:tcPr>
            <w:tcW w:w="980" w:type="dxa"/>
            <w:vAlign w:val="bottom"/>
            <w:gridSpan w:val="3"/>
          </w:tcPr>
          <w:p>
            <w:pPr>
              <w:jc w:val="center"/>
              <w:ind w:right="120"/>
              <w:spacing w:after="0"/>
              <w:rPr>
                <w:sz w:val="20"/>
                <w:szCs w:val="20"/>
                <w:color w:val="auto"/>
              </w:rPr>
            </w:pPr>
            <w:r>
              <w:rPr>
                <w:rFonts w:ascii="Times New Roman" w:cs="Times New Roman" w:eastAsia="Times New Roman" w:hAnsi="Times New Roman"/>
                <w:sz w:val="14"/>
                <w:szCs w:val="14"/>
                <w:color w:val="auto"/>
              </w:rPr>
              <w:t>(IRS Employer</w:t>
            </w:r>
          </w:p>
        </w:tc>
      </w:tr>
      <w:tr>
        <w:trPr>
          <w:trHeight w:val="184"/>
        </w:trPr>
        <w:tc>
          <w:tcPr>
            <w:tcW w:w="1540" w:type="dxa"/>
            <w:vAlign w:val="bottom"/>
            <w:gridSpan w:val="4"/>
          </w:tcPr>
          <w:p>
            <w:pPr>
              <w:jc w:val="center"/>
              <w:ind w:right="740"/>
              <w:spacing w:after="0"/>
              <w:rPr>
                <w:sz w:val="20"/>
                <w:szCs w:val="20"/>
                <w:color w:val="auto"/>
              </w:rPr>
            </w:pPr>
            <w:r>
              <w:rPr>
                <w:rFonts w:ascii="Times New Roman" w:cs="Times New Roman" w:eastAsia="Times New Roman" w:hAnsi="Times New Roman"/>
                <w:sz w:val="14"/>
                <w:szCs w:val="14"/>
                <w:color w:val="auto"/>
                <w:w w:val="99"/>
              </w:rPr>
              <w:t>incorporation)</w:t>
            </w:r>
          </w:p>
        </w:tc>
        <w:tc>
          <w:tcPr>
            <w:tcW w:w="1880" w:type="dxa"/>
            <w:vAlign w:val="bottom"/>
            <w:gridSpan w:val="3"/>
          </w:tcPr>
          <w:p>
            <w:pPr>
              <w:jc w:val="center"/>
              <w:ind w:left="285"/>
              <w:spacing w:after="0"/>
              <w:rPr>
                <w:sz w:val="20"/>
                <w:szCs w:val="20"/>
                <w:color w:val="auto"/>
              </w:rPr>
            </w:pPr>
            <w:r>
              <w:rPr>
                <w:rFonts w:ascii="Times New Roman" w:cs="Times New Roman" w:eastAsia="Times New Roman" w:hAnsi="Times New Roman"/>
                <w:sz w:val="14"/>
                <w:szCs w:val="14"/>
                <w:color w:val="auto"/>
              </w:rPr>
              <w:t>File Number)</w:t>
            </w:r>
          </w:p>
        </w:tc>
        <w:tc>
          <w:tcPr>
            <w:tcW w:w="1760" w:type="dxa"/>
            <w:vAlign w:val="bottom"/>
            <w:gridSpan w:val="4"/>
          </w:tcPr>
          <w:p>
            <w:pPr>
              <w:jc w:val="center"/>
              <w:ind w:left="625"/>
              <w:spacing w:after="0"/>
              <w:rPr>
                <w:sz w:val="20"/>
                <w:szCs w:val="20"/>
                <w:color w:val="auto"/>
              </w:rPr>
            </w:pPr>
            <w:r>
              <w:rPr>
                <w:rFonts w:ascii="Times New Roman" w:cs="Times New Roman" w:eastAsia="Times New Roman" w:hAnsi="Times New Roman"/>
                <w:sz w:val="14"/>
                <w:szCs w:val="14"/>
                <w:color w:val="auto"/>
              </w:rPr>
              <w:t>Identification No.)</w:t>
            </w:r>
          </w:p>
        </w:tc>
      </w:tr>
      <w:tr>
        <w:trPr>
          <w:trHeight w:val="506"/>
        </w:trPr>
        <w:tc>
          <w:tcPr>
            <w:tcW w:w="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620" w:type="dxa"/>
            <w:vAlign w:val="bottom"/>
            <w:tcBorders>
              <w:bottom w:val="single" w:sz="8" w:color="auto"/>
            </w:tcBorders>
            <w:gridSpan w:val="6"/>
          </w:tcPr>
          <w:p>
            <w:pPr>
              <w:spacing w:after="0"/>
              <w:rPr>
                <w:sz w:val="20"/>
                <w:szCs w:val="20"/>
                <w:color w:val="auto"/>
              </w:rPr>
            </w:pPr>
            <w:r>
              <w:rPr>
                <w:rFonts w:ascii="Arial" w:cs="Arial" w:eastAsia="Arial" w:hAnsi="Arial"/>
                <w:sz w:val="17"/>
                <w:szCs w:val="17"/>
                <w:b w:val="1"/>
                <w:bCs w:val="1"/>
                <w:color w:val="auto"/>
                <w:w w:val="99"/>
              </w:rPr>
              <w:t>1307 Point Street, Baltimore, Maryland 21231</w:t>
            </w:r>
          </w:p>
        </w:tc>
        <w:tc>
          <w:tcPr>
            <w:tcW w:w="980" w:type="dxa"/>
            <w:vAlign w:val="bottom"/>
            <w:gridSpan w:val="3"/>
          </w:tcPr>
          <w:p>
            <w:pPr>
              <w:spacing w:after="0"/>
              <w:rPr>
                <w:sz w:val="24"/>
                <w:szCs w:val="24"/>
                <w:color w:val="auto"/>
              </w:rPr>
            </w:pPr>
          </w:p>
        </w:tc>
      </w:tr>
      <w:tr>
        <w:trPr>
          <w:trHeight w:val="298"/>
        </w:trPr>
        <w:tc>
          <w:tcPr>
            <w:tcW w:w="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840" w:type="dxa"/>
            <w:vAlign w:val="bottom"/>
            <w:gridSpan w:val="5"/>
          </w:tcPr>
          <w:p>
            <w:pPr>
              <w:ind w:left="60"/>
              <w:spacing w:after="0"/>
              <w:rPr>
                <w:sz w:val="20"/>
                <w:szCs w:val="20"/>
                <w:color w:val="auto"/>
              </w:rPr>
            </w:pPr>
            <w:r>
              <w:rPr>
                <w:rFonts w:ascii="Times New Roman" w:cs="Times New Roman" w:eastAsia="Times New Roman" w:hAnsi="Times New Roman"/>
                <w:sz w:val="14"/>
                <w:szCs w:val="14"/>
                <w:color w:val="auto"/>
              </w:rPr>
              <w:t>(Address of principal executive offices)</w:t>
            </w:r>
          </w:p>
        </w:tc>
        <w:tc>
          <w:tcPr>
            <w:tcW w:w="1760" w:type="dxa"/>
            <w:vAlign w:val="bottom"/>
            <w:gridSpan w:val="4"/>
          </w:tcPr>
          <w:p>
            <w:pPr>
              <w:ind w:left="380"/>
              <w:spacing w:after="0"/>
              <w:rPr>
                <w:sz w:val="20"/>
                <w:szCs w:val="20"/>
                <w:color w:val="auto"/>
              </w:rPr>
            </w:pPr>
            <w:r>
              <w:rPr>
                <w:rFonts w:ascii="Times New Roman" w:cs="Times New Roman" w:eastAsia="Times New Roman" w:hAnsi="Times New Roman"/>
                <w:sz w:val="14"/>
                <w:szCs w:val="14"/>
                <w:color w:val="auto"/>
              </w:rPr>
              <w:t>(Zip Code)</w:t>
            </w:r>
          </w:p>
        </w:tc>
      </w:tr>
    </w:tbl>
    <w:p>
      <w:pPr>
        <w:spacing w:after="0" w:line="255" w:lineRule="exact"/>
        <w:rPr>
          <w:sz w:val="24"/>
          <w:szCs w:val="24"/>
          <w:color w:val="auto"/>
        </w:rPr>
      </w:pPr>
    </w:p>
    <w:p>
      <w:pPr>
        <w:jc w:val="center"/>
        <w:ind w:right="-279"/>
        <w:spacing w:after="0"/>
        <w:rPr>
          <w:sz w:val="20"/>
          <w:szCs w:val="20"/>
          <w:color w:val="auto"/>
        </w:rPr>
      </w:pPr>
      <w:r>
        <w:rPr>
          <w:rFonts w:ascii="Arial" w:cs="Arial" w:eastAsia="Arial" w:hAnsi="Arial"/>
          <w:sz w:val="14"/>
          <w:szCs w:val="14"/>
          <w:color w:val="auto"/>
        </w:rPr>
        <w:t xml:space="preserve">Registrant's telephone number, including area code: </w:t>
      </w:r>
      <w:r>
        <w:rPr>
          <w:rFonts w:ascii="Arial" w:cs="Arial" w:eastAsia="Arial" w:hAnsi="Arial"/>
          <w:sz w:val="16"/>
          <w:szCs w:val="16"/>
          <w:b w:val="1"/>
          <w:bCs w:val="1"/>
          <w:u w:val="single" w:color="auto"/>
          <w:color w:val="auto"/>
        </w:rPr>
        <w:t>(410) 345-2000</w:t>
      </w:r>
    </w:p>
    <w:p>
      <w:pPr>
        <w:spacing w:after="0" w:line="283" w:lineRule="exact"/>
        <w:rPr>
          <w:sz w:val="24"/>
          <w:szCs w:val="24"/>
          <w:color w:val="auto"/>
        </w:rPr>
      </w:pPr>
    </w:p>
    <w:p>
      <w:pPr>
        <w:ind w:left="3940"/>
        <w:spacing w:after="0"/>
        <w:rPr>
          <w:sz w:val="20"/>
          <w:szCs w:val="20"/>
          <w:color w:val="auto"/>
        </w:rPr>
      </w:pPr>
      <w:r>
        <w:rPr>
          <w:rFonts w:ascii="Arial" w:cs="Arial" w:eastAsia="Arial" w:hAnsi="Arial"/>
          <w:sz w:val="17"/>
          <w:szCs w:val="17"/>
          <w:b w:val="1"/>
          <w:bCs w:val="1"/>
          <w:u w:val="single" w:color="auto"/>
          <w:color w:val="auto"/>
        </w:rPr>
        <w:t>____________________________________</w:t>
      </w:r>
    </w:p>
    <w:p>
      <w:pPr>
        <w:spacing w:after="0" w:line="16" w:lineRule="exact"/>
        <w:rPr>
          <w:sz w:val="24"/>
          <w:szCs w:val="24"/>
          <w:color w:val="auto"/>
        </w:rPr>
      </w:pPr>
    </w:p>
    <w:p>
      <w:pPr>
        <w:jc w:val="center"/>
        <w:ind w:right="-279"/>
        <w:spacing w:after="0"/>
        <w:rPr>
          <w:sz w:val="20"/>
          <w:szCs w:val="20"/>
          <w:color w:val="auto"/>
        </w:rPr>
      </w:pPr>
      <w:r>
        <w:rPr>
          <w:rFonts w:ascii="Arial" w:cs="Arial" w:eastAsia="Arial" w:hAnsi="Arial"/>
          <w:sz w:val="14"/>
          <w:szCs w:val="14"/>
          <w:color w:val="auto"/>
        </w:rPr>
        <w:t>(Former Name or Former Address, if Changed Since Last Report)</w:t>
      </w:r>
    </w:p>
    <w:p>
      <w:pPr>
        <w:spacing w:after="0" w:line="186" w:lineRule="exact"/>
        <w:rPr>
          <w:sz w:val="24"/>
          <w:szCs w:val="24"/>
          <w:color w:val="auto"/>
        </w:rPr>
      </w:pPr>
    </w:p>
    <w:p>
      <w:pPr>
        <w:spacing w:after="0"/>
        <w:rPr>
          <w:sz w:val="20"/>
          <w:szCs w:val="20"/>
          <w:color w:val="auto"/>
        </w:rPr>
      </w:pPr>
      <w:r>
        <w:rPr>
          <w:rFonts w:ascii="Arial" w:cs="Arial" w:eastAsia="Arial" w:hAnsi="Arial"/>
          <w:sz w:val="14"/>
          <w:szCs w:val="14"/>
          <w:color w:val="auto"/>
        </w:rPr>
        <w:t>Check the appropriate box below if the Form 8-K filing is intended to simultaneously satisfy the filing obligation of the registrant under any of the following provisions:</w:t>
      </w:r>
    </w:p>
    <w:p>
      <w:pPr>
        <w:spacing w:after="0" w:line="200" w:lineRule="exact"/>
        <w:rPr>
          <w:sz w:val="24"/>
          <w:szCs w:val="24"/>
          <w:color w:val="auto"/>
        </w:rPr>
      </w:pPr>
    </w:p>
    <w:p>
      <w:pPr>
        <w:ind w:left="280" w:hanging="275"/>
        <w:spacing w:after="0"/>
        <w:tabs>
          <w:tab w:leader="none" w:pos="280" w:val="left"/>
        </w:tabs>
        <w:numPr>
          <w:ilvl w:val="0"/>
          <w:numId w:val="1"/>
        </w:numPr>
        <w:rPr>
          <w:rFonts w:ascii="MS PGothic" w:cs="MS PGothic" w:eastAsia="MS PGothic" w:hAnsi="MS PGothic"/>
          <w:sz w:val="14"/>
          <w:szCs w:val="14"/>
          <w:color w:val="auto"/>
        </w:rPr>
      </w:pPr>
      <w:r>
        <w:rPr>
          <w:rFonts w:ascii="Arial" w:cs="Arial" w:eastAsia="Arial" w:hAnsi="Arial"/>
          <w:sz w:val="14"/>
          <w:szCs w:val="14"/>
          <w:color w:val="auto"/>
        </w:rPr>
        <w:t>Written communications pursuant to Rule 425 under the Securities Act (17 CFR 230.425)</w:t>
      </w:r>
    </w:p>
    <w:p>
      <w:pPr>
        <w:spacing w:after="0" w:line="199" w:lineRule="exact"/>
        <w:rPr>
          <w:rFonts w:ascii="MS PGothic" w:cs="MS PGothic" w:eastAsia="MS PGothic" w:hAnsi="MS PGothic"/>
          <w:sz w:val="14"/>
          <w:szCs w:val="14"/>
          <w:color w:val="auto"/>
        </w:rPr>
      </w:pPr>
    </w:p>
    <w:p>
      <w:pPr>
        <w:ind w:left="280" w:hanging="275"/>
        <w:spacing w:after="0"/>
        <w:tabs>
          <w:tab w:leader="none" w:pos="280" w:val="left"/>
        </w:tabs>
        <w:numPr>
          <w:ilvl w:val="0"/>
          <w:numId w:val="1"/>
        </w:numPr>
        <w:rPr>
          <w:rFonts w:ascii="MS PGothic" w:cs="MS PGothic" w:eastAsia="MS PGothic" w:hAnsi="MS PGothic"/>
          <w:sz w:val="14"/>
          <w:szCs w:val="14"/>
          <w:color w:val="auto"/>
        </w:rPr>
      </w:pPr>
      <w:r>
        <w:rPr>
          <w:rFonts w:ascii="Arial" w:cs="Arial" w:eastAsia="Arial" w:hAnsi="Arial"/>
          <w:sz w:val="14"/>
          <w:szCs w:val="14"/>
          <w:color w:val="auto"/>
        </w:rPr>
        <w:t>Soliciting material pursuant to Rule 14a-12 under the Exchange Act (17 CFR 240.14a-12)</w:t>
      </w:r>
    </w:p>
    <w:p>
      <w:pPr>
        <w:spacing w:after="0" w:line="199" w:lineRule="exact"/>
        <w:rPr>
          <w:rFonts w:ascii="MS PGothic" w:cs="MS PGothic" w:eastAsia="MS PGothic" w:hAnsi="MS PGothic"/>
          <w:sz w:val="14"/>
          <w:szCs w:val="14"/>
          <w:color w:val="auto"/>
        </w:rPr>
      </w:pPr>
    </w:p>
    <w:p>
      <w:pPr>
        <w:ind w:left="280" w:hanging="275"/>
        <w:spacing w:after="0"/>
        <w:tabs>
          <w:tab w:leader="none" w:pos="280" w:val="left"/>
        </w:tabs>
        <w:numPr>
          <w:ilvl w:val="0"/>
          <w:numId w:val="1"/>
        </w:numPr>
        <w:rPr>
          <w:rFonts w:ascii="MS PGothic" w:cs="MS PGothic" w:eastAsia="MS PGothic" w:hAnsi="MS PGothic"/>
          <w:sz w:val="14"/>
          <w:szCs w:val="14"/>
          <w:color w:val="auto"/>
        </w:rPr>
      </w:pPr>
      <w:r>
        <w:rPr>
          <w:rFonts w:ascii="Arial" w:cs="Arial" w:eastAsia="Arial" w:hAnsi="Arial"/>
          <w:sz w:val="14"/>
          <w:szCs w:val="14"/>
          <w:color w:val="auto"/>
        </w:rPr>
        <w:t>Pre-commencement communications pursuant to Rule 14d-2(b) under the Exchange Act (17 CFR 240.14d-2(b))</w:t>
      </w:r>
    </w:p>
    <w:p>
      <w:pPr>
        <w:spacing w:after="0" w:line="199" w:lineRule="exact"/>
        <w:rPr>
          <w:rFonts w:ascii="MS PGothic" w:cs="MS PGothic" w:eastAsia="MS PGothic" w:hAnsi="MS PGothic"/>
          <w:sz w:val="14"/>
          <w:szCs w:val="14"/>
          <w:color w:val="auto"/>
        </w:rPr>
      </w:pPr>
    </w:p>
    <w:p>
      <w:pPr>
        <w:ind w:left="280" w:hanging="275"/>
        <w:spacing w:after="0"/>
        <w:tabs>
          <w:tab w:leader="none" w:pos="280" w:val="left"/>
        </w:tabs>
        <w:numPr>
          <w:ilvl w:val="0"/>
          <w:numId w:val="1"/>
        </w:numPr>
        <w:rPr>
          <w:rFonts w:ascii="MS PGothic" w:cs="MS PGothic" w:eastAsia="MS PGothic" w:hAnsi="MS PGothic"/>
          <w:sz w:val="14"/>
          <w:szCs w:val="14"/>
          <w:color w:val="auto"/>
        </w:rPr>
      </w:pPr>
      <w:r>
        <w:rPr>
          <w:rFonts w:ascii="Arial" w:cs="Arial" w:eastAsia="Arial" w:hAnsi="Arial"/>
          <w:sz w:val="14"/>
          <w:szCs w:val="14"/>
          <w:color w:val="auto"/>
        </w:rPr>
        <w:t>Pre-commencement communications pursuant to Rule 13e-4(c) under the Exchange Act (17 CFR 240.13e-4(c))</w:t>
      </w:r>
    </w:p>
    <w:p>
      <w:pPr>
        <w:spacing w:after="0" w:line="274" w:lineRule="exact"/>
        <w:rPr>
          <w:sz w:val="24"/>
          <w:szCs w:val="24"/>
          <w:color w:val="auto"/>
        </w:rPr>
      </w:pPr>
    </w:p>
    <w:tbl>
      <w:tblPr>
        <w:tblLayout w:type="fixed"/>
        <w:tblInd w:w="0" w:type="dxa"/>
        <w:tblCellMar>
          <w:top w:w="0" w:type="dxa"/>
          <w:left w:w="0" w:type="dxa"/>
          <w:bottom w:w="0" w:type="dxa"/>
          <w:right w:w="0" w:type="dxa"/>
        </w:tblCellMar>
      </w:tblPr>
      <w:tr>
        <w:trPr>
          <w:trHeight w:val="186"/>
        </w:trPr>
        <w:tc>
          <w:tcPr>
            <w:tcW w:w="4460" w:type="dxa"/>
            <w:vAlign w:val="bottom"/>
          </w:tcPr>
          <w:p>
            <w:pPr>
              <w:spacing w:after="0"/>
              <w:rPr>
                <w:sz w:val="20"/>
                <w:szCs w:val="20"/>
                <w:color w:val="auto"/>
              </w:rPr>
            </w:pPr>
            <w:r>
              <w:rPr>
                <w:rFonts w:ascii="Arial" w:cs="Arial" w:eastAsia="Arial" w:hAnsi="Arial"/>
                <w:sz w:val="14"/>
                <w:szCs w:val="14"/>
                <w:color w:val="auto"/>
              </w:rPr>
              <w:t>Securities registered pursuant to Section 12(b) of the Act:</w:t>
            </w:r>
          </w:p>
        </w:tc>
        <w:tc>
          <w:tcPr>
            <w:tcW w:w="1440" w:type="dxa"/>
            <w:vAlign w:val="bottom"/>
          </w:tcPr>
          <w:p>
            <w:pPr>
              <w:spacing w:after="0"/>
              <w:rPr>
                <w:sz w:val="16"/>
                <w:szCs w:val="16"/>
                <w:color w:val="auto"/>
              </w:rPr>
            </w:pPr>
          </w:p>
        </w:tc>
        <w:tc>
          <w:tcPr>
            <w:tcW w:w="3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84"/>
        </w:trPr>
        <w:tc>
          <w:tcPr>
            <w:tcW w:w="4460" w:type="dxa"/>
            <w:vAlign w:val="bottom"/>
          </w:tcPr>
          <w:p>
            <w:pPr>
              <w:jc w:val="center"/>
              <w:ind w:left="1969"/>
              <w:spacing w:after="0"/>
              <w:rPr>
                <w:sz w:val="20"/>
                <w:szCs w:val="20"/>
                <w:color w:val="auto"/>
              </w:rPr>
            </w:pPr>
            <w:r>
              <w:rPr>
                <w:rFonts w:ascii="Arial" w:cs="Arial" w:eastAsia="Arial" w:hAnsi="Arial"/>
                <w:sz w:val="14"/>
                <w:szCs w:val="14"/>
                <w:b w:val="1"/>
                <w:bCs w:val="1"/>
                <w:color w:val="auto"/>
              </w:rPr>
              <w:t>Title of each class</w:t>
            </w:r>
          </w:p>
        </w:tc>
        <w:tc>
          <w:tcPr>
            <w:tcW w:w="1440" w:type="dxa"/>
            <w:vAlign w:val="bottom"/>
          </w:tcPr>
          <w:p>
            <w:pPr>
              <w:jc w:val="center"/>
              <w:spacing w:after="0"/>
              <w:rPr>
                <w:sz w:val="20"/>
                <w:szCs w:val="20"/>
                <w:color w:val="auto"/>
              </w:rPr>
            </w:pPr>
            <w:r>
              <w:rPr>
                <w:rFonts w:ascii="Arial" w:cs="Arial" w:eastAsia="Arial" w:hAnsi="Arial"/>
                <w:sz w:val="14"/>
                <w:szCs w:val="14"/>
                <w:b w:val="1"/>
                <w:bCs w:val="1"/>
                <w:color w:val="auto"/>
              </w:rPr>
              <w:t>Trading Symbol</w:t>
            </w:r>
          </w:p>
        </w:tc>
        <w:tc>
          <w:tcPr>
            <w:tcW w:w="3160" w:type="dxa"/>
            <w:vAlign w:val="bottom"/>
          </w:tcPr>
          <w:p>
            <w:pPr>
              <w:jc w:val="center"/>
              <w:ind w:left="109"/>
              <w:spacing w:after="0"/>
              <w:rPr>
                <w:sz w:val="20"/>
                <w:szCs w:val="20"/>
                <w:color w:val="auto"/>
              </w:rPr>
            </w:pPr>
            <w:r>
              <w:rPr>
                <w:rFonts w:ascii="Arial" w:cs="Arial" w:eastAsia="Arial" w:hAnsi="Arial"/>
                <w:sz w:val="14"/>
                <w:szCs w:val="14"/>
                <w:b w:val="1"/>
                <w:bCs w:val="1"/>
                <w:color w:val="auto"/>
              </w:rPr>
              <w:t>Name of each exchange on which registered</w:t>
            </w:r>
          </w:p>
        </w:tc>
        <w:tc>
          <w:tcPr>
            <w:tcW w:w="0" w:type="dxa"/>
            <w:vAlign w:val="bottom"/>
          </w:tcPr>
          <w:p>
            <w:pPr>
              <w:spacing w:after="0"/>
              <w:rPr>
                <w:sz w:val="1"/>
                <w:szCs w:val="1"/>
                <w:color w:val="auto"/>
              </w:rPr>
            </w:pPr>
          </w:p>
        </w:tc>
      </w:tr>
      <w:tr>
        <w:trPr>
          <w:trHeight w:val="156"/>
        </w:trPr>
        <w:tc>
          <w:tcPr>
            <w:tcW w:w="4460" w:type="dxa"/>
            <w:vAlign w:val="bottom"/>
            <w:vMerge w:val="restart"/>
          </w:tcPr>
          <w:p>
            <w:pPr>
              <w:jc w:val="center"/>
              <w:ind w:left="1969"/>
              <w:spacing w:after="0"/>
              <w:rPr>
                <w:sz w:val="20"/>
                <w:szCs w:val="20"/>
                <w:color w:val="auto"/>
              </w:rPr>
            </w:pPr>
            <w:r>
              <w:rPr>
                <w:rFonts w:ascii="Arial" w:cs="Arial" w:eastAsia="Arial" w:hAnsi="Arial"/>
                <w:sz w:val="14"/>
                <w:szCs w:val="14"/>
                <w:color w:val="auto"/>
              </w:rPr>
              <w:t>Common Stock, par value $0.20</w:t>
            </w:r>
          </w:p>
        </w:tc>
        <w:tc>
          <w:tcPr>
            <w:tcW w:w="1440" w:type="dxa"/>
            <w:vAlign w:val="bottom"/>
            <w:vMerge w:val="restart"/>
          </w:tcPr>
          <w:p>
            <w:pPr>
              <w:jc w:val="center"/>
              <w:spacing w:after="0"/>
              <w:rPr>
                <w:sz w:val="20"/>
                <w:szCs w:val="20"/>
                <w:color w:val="auto"/>
              </w:rPr>
            </w:pPr>
            <w:r>
              <w:rPr>
                <w:rFonts w:ascii="Arial" w:cs="Arial" w:eastAsia="Arial" w:hAnsi="Arial"/>
                <w:sz w:val="14"/>
                <w:szCs w:val="14"/>
                <w:color w:val="auto"/>
                <w:w w:val="98"/>
              </w:rPr>
              <w:t>TROW</w:t>
            </w:r>
          </w:p>
        </w:tc>
        <w:tc>
          <w:tcPr>
            <w:tcW w:w="3160" w:type="dxa"/>
            <w:vAlign w:val="bottom"/>
          </w:tcPr>
          <w:p>
            <w:pPr>
              <w:jc w:val="center"/>
              <w:ind w:left="129"/>
              <w:spacing w:after="0" w:line="156" w:lineRule="exact"/>
              <w:rPr>
                <w:sz w:val="20"/>
                <w:szCs w:val="20"/>
                <w:color w:val="auto"/>
              </w:rPr>
            </w:pPr>
            <w:r>
              <w:rPr>
                <w:rFonts w:ascii="Arial" w:cs="Arial" w:eastAsia="Arial" w:hAnsi="Arial"/>
                <w:sz w:val="14"/>
                <w:szCs w:val="14"/>
                <w:color w:val="auto"/>
              </w:rPr>
              <w:t>The NASDAQ Stock Market LLC</w:t>
            </w:r>
          </w:p>
        </w:tc>
        <w:tc>
          <w:tcPr>
            <w:tcW w:w="0" w:type="dxa"/>
            <w:vAlign w:val="bottom"/>
          </w:tcPr>
          <w:p>
            <w:pPr>
              <w:spacing w:after="0"/>
              <w:rPr>
                <w:sz w:val="1"/>
                <w:szCs w:val="1"/>
                <w:color w:val="auto"/>
              </w:rPr>
            </w:pPr>
          </w:p>
        </w:tc>
      </w:tr>
      <w:tr>
        <w:trPr>
          <w:trHeight w:val="101"/>
        </w:trPr>
        <w:tc>
          <w:tcPr>
            <w:tcW w:w="4460" w:type="dxa"/>
            <w:vAlign w:val="bottom"/>
            <w:vMerge w:val="continue"/>
          </w:tcPr>
          <w:p>
            <w:pPr>
              <w:spacing w:after="0"/>
              <w:rPr>
                <w:sz w:val="8"/>
                <w:szCs w:val="8"/>
                <w:color w:val="auto"/>
              </w:rPr>
            </w:pPr>
          </w:p>
        </w:tc>
        <w:tc>
          <w:tcPr>
            <w:tcW w:w="1440" w:type="dxa"/>
            <w:vAlign w:val="bottom"/>
            <w:vMerge w:val="continue"/>
          </w:tcPr>
          <w:p>
            <w:pPr>
              <w:spacing w:after="0"/>
              <w:rPr>
                <w:sz w:val="8"/>
                <w:szCs w:val="8"/>
                <w:color w:val="auto"/>
              </w:rPr>
            </w:pPr>
          </w:p>
        </w:tc>
        <w:tc>
          <w:tcPr>
            <w:tcW w:w="3160" w:type="dxa"/>
            <w:vAlign w:val="bottom"/>
            <w:vMerge w:val="restart"/>
          </w:tcPr>
          <w:p>
            <w:pPr>
              <w:jc w:val="center"/>
              <w:ind w:left="109"/>
              <w:spacing w:after="0"/>
              <w:rPr>
                <w:sz w:val="20"/>
                <w:szCs w:val="20"/>
                <w:color w:val="auto"/>
              </w:rPr>
            </w:pPr>
            <w:r>
              <w:rPr>
                <w:rFonts w:ascii="Arial" w:cs="Arial" w:eastAsia="Arial" w:hAnsi="Arial"/>
                <w:sz w:val="14"/>
                <w:szCs w:val="14"/>
                <w:color w:val="auto"/>
              </w:rPr>
              <w:t>(Nasdaq Global Select Market)</w:t>
            </w:r>
          </w:p>
        </w:tc>
        <w:tc>
          <w:tcPr>
            <w:tcW w:w="0" w:type="dxa"/>
            <w:vAlign w:val="bottom"/>
          </w:tcPr>
          <w:p>
            <w:pPr>
              <w:spacing w:after="0"/>
              <w:rPr>
                <w:sz w:val="1"/>
                <w:szCs w:val="1"/>
                <w:color w:val="auto"/>
              </w:rPr>
            </w:pPr>
          </w:p>
        </w:tc>
      </w:tr>
      <w:tr>
        <w:trPr>
          <w:trHeight w:val="85"/>
        </w:trPr>
        <w:tc>
          <w:tcPr>
            <w:tcW w:w="4460" w:type="dxa"/>
            <w:vAlign w:val="bottom"/>
          </w:tcPr>
          <w:p>
            <w:pPr>
              <w:spacing w:after="0"/>
              <w:rPr>
                <w:sz w:val="7"/>
                <w:szCs w:val="7"/>
                <w:color w:val="auto"/>
              </w:rPr>
            </w:pPr>
          </w:p>
        </w:tc>
        <w:tc>
          <w:tcPr>
            <w:tcW w:w="1440" w:type="dxa"/>
            <w:vAlign w:val="bottom"/>
          </w:tcPr>
          <w:p>
            <w:pPr>
              <w:spacing w:after="0"/>
              <w:rPr>
                <w:sz w:val="7"/>
                <w:szCs w:val="7"/>
                <w:color w:val="auto"/>
              </w:rPr>
            </w:pPr>
          </w:p>
        </w:tc>
        <w:tc>
          <w:tcPr>
            <w:tcW w:w="316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bl>
    <w:p>
      <w:pPr>
        <w:spacing w:after="0" w:line="249" w:lineRule="exact"/>
        <w:rPr>
          <w:sz w:val="24"/>
          <w:szCs w:val="24"/>
          <w:color w:val="auto"/>
        </w:rPr>
      </w:pPr>
    </w:p>
    <w:p>
      <w:pPr>
        <w:spacing w:after="0" w:line="261" w:lineRule="auto"/>
        <w:rPr>
          <w:sz w:val="20"/>
          <w:szCs w:val="20"/>
          <w:color w:val="auto"/>
        </w:rPr>
      </w:pPr>
      <w:r>
        <w:rPr>
          <w:rFonts w:ascii="Arial" w:cs="Arial" w:eastAsia="Arial" w:hAnsi="Arial"/>
          <w:sz w:val="14"/>
          <w:szCs w:val="14"/>
          <w:color w:val="auto"/>
        </w:rPr>
        <w:t>Indicate by check mark whether the registrant is an emerging growth company as defined in Rule 405 of the Securities Act of 1933 (230.405 of this chapter) or Rule 12b-2 of the Securities Exchange Act of 1934 (§240.12-2 of this chapter).</w:t>
      </w:r>
    </w:p>
    <w:p>
      <w:pPr>
        <w:ind w:left="1580"/>
        <w:spacing w:after="0" w:line="161" w:lineRule="exact"/>
        <w:rPr>
          <w:sz w:val="20"/>
          <w:szCs w:val="20"/>
          <w:color w:val="auto"/>
        </w:rPr>
      </w:pPr>
      <w:r>
        <w:rPr>
          <w:rFonts w:ascii="Arial" w:cs="Arial" w:eastAsia="Arial" w:hAnsi="Arial"/>
          <w:sz w:val="14"/>
          <w:szCs w:val="14"/>
          <w:color w:val="auto"/>
        </w:rPr>
        <w:t xml:space="preserve">Emerging growth company </w:t>
      </w:r>
      <w:r>
        <w:rPr>
          <w:rFonts w:ascii="MS PGothic" w:cs="MS PGothic" w:eastAsia="MS PGothic" w:hAnsi="MS PGothic"/>
          <w:sz w:val="14"/>
          <w:szCs w:val="14"/>
          <w:color w:val="auto"/>
        </w:rPr>
        <w:t>☐</w:t>
      </w:r>
    </w:p>
    <w:p>
      <w:pPr>
        <w:spacing w:after="0" w:line="125" w:lineRule="exact"/>
        <w:rPr>
          <w:sz w:val="24"/>
          <w:szCs w:val="24"/>
          <w:color w:val="auto"/>
        </w:rPr>
      </w:pPr>
    </w:p>
    <w:p>
      <w:pPr>
        <w:ind w:right="280"/>
        <w:spacing w:after="0" w:line="188" w:lineRule="exact"/>
        <w:rPr>
          <w:sz w:val="20"/>
          <w:szCs w:val="20"/>
          <w:color w:val="auto"/>
        </w:rPr>
      </w:pPr>
      <w:r>
        <w:rPr>
          <w:rFonts w:ascii="Arial" w:cs="Arial" w:eastAsia="Arial" w:hAnsi="Arial"/>
          <w:sz w:val="14"/>
          <w:szCs w:val="14"/>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4"/>
          <w:szCs w:val="14"/>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-8890</wp:posOffset>
            </wp:positionH>
            <wp:positionV relativeFrom="paragraph">
              <wp:posOffset>532765</wp:posOffset>
            </wp:positionV>
            <wp:extent cx="7186930" cy="387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020"/>
          </w:cols>
          <w:pgMar w:left="300" w:top="819" w:right="579" w:bottom="1440" w:gutter="0" w:footer="0" w:header="0"/>
        </w:sectPr>
      </w:pPr>
    </w:p>
    <w:bookmarkStart w:id="1" w:name="page2"/>
    <w:bookmarkEnd w:id="1"/>
    <w:p>
      <w:pPr>
        <w:spacing w:after="0"/>
        <w:rPr>
          <w:sz w:val="20"/>
          <w:szCs w:val="20"/>
          <w:color w:val="auto"/>
        </w:rPr>
      </w:pPr>
      <w:r>
        <w:rPr>
          <w:rFonts w:ascii="Arial" w:cs="Arial" w:eastAsia="Arial" w:hAnsi="Arial"/>
          <w:sz w:val="17"/>
          <w:szCs w:val="17"/>
          <w:b w:val="1"/>
          <w:bCs w:val="1"/>
          <w:color w:val="auto"/>
        </w:rPr>
        <w:t>Section 5 – Corporate Governance and Management</w:t>
      </w:r>
    </w:p>
    <w:p>
      <w:pPr>
        <w:spacing w:after="0" w:line="197" w:lineRule="exact"/>
        <w:rPr>
          <w:sz w:val="20"/>
          <w:szCs w:val="20"/>
          <w:color w:val="auto"/>
        </w:rPr>
      </w:pPr>
    </w:p>
    <w:p>
      <w:pPr>
        <w:ind w:right="260"/>
        <w:spacing w:after="0" w:line="273" w:lineRule="auto"/>
        <w:rPr>
          <w:sz w:val="20"/>
          <w:szCs w:val="20"/>
          <w:color w:val="auto"/>
        </w:rPr>
      </w:pPr>
      <w:r>
        <w:rPr>
          <w:rFonts w:ascii="Arial" w:cs="Arial" w:eastAsia="Arial" w:hAnsi="Arial"/>
          <w:sz w:val="17"/>
          <w:szCs w:val="17"/>
          <w:b w:val="1"/>
          <w:bCs w:val="1"/>
          <w:color w:val="auto"/>
        </w:rPr>
        <w:t xml:space="preserve">Item 5.02. </w:t>
      </w:r>
      <w:r>
        <w:rPr>
          <w:rFonts w:ascii="Arial" w:cs="Arial" w:eastAsia="Arial" w:hAnsi="Arial"/>
          <w:sz w:val="15"/>
          <w:szCs w:val="15"/>
          <w:b w:val="1"/>
          <w:bCs w:val="1"/>
          <w:color w:val="auto"/>
        </w:rPr>
        <w:t>Departure of Directors or Certain Officers; Election of Directors; Appointment of Certain Officers; Compensatory Arrangements of Certain</w:t>
      </w:r>
      <w:r>
        <w:rPr>
          <w:rFonts w:ascii="Arial" w:cs="Arial" w:eastAsia="Arial" w:hAnsi="Arial"/>
          <w:sz w:val="17"/>
          <w:szCs w:val="17"/>
          <w:b w:val="1"/>
          <w:bCs w:val="1"/>
          <w:color w:val="auto"/>
        </w:rPr>
        <w:t xml:space="preserve"> </w:t>
      </w:r>
      <w:r>
        <w:rPr>
          <w:rFonts w:ascii="Arial" w:cs="Arial" w:eastAsia="Arial" w:hAnsi="Arial"/>
          <w:sz w:val="15"/>
          <w:szCs w:val="15"/>
          <w:b w:val="1"/>
          <w:bCs w:val="1"/>
          <w:color w:val="auto"/>
        </w:rPr>
        <w:t>Officers.</w:t>
      </w:r>
    </w:p>
    <w:p>
      <w:pPr>
        <w:spacing w:after="0" w:line="135" w:lineRule="exact"/>
        <w:rPr>
          <w:sz w:val="20"/>
          <w:szCs w:val="20"/>
          <w:color w:val="auto"/>
        </w:rPr>
      </w:pPr>
    </w:p>
    <w:p>
      <w:pPr>
        <w:spacing w:after="0" w:line="290" w:lineRule="auto"/>
        <w:rPr>
          <w:sz w:val="20"/>
          <w:szCs w:val="20"/>
          <w:color w:val="auto"/>
        </w:rPr>
      </w:pPr>
      <w:r>
        <w:rPr>
          <w:rFonts w:ascii="Arial" w:cs="Arial" w:eastAsia="Arial" w:hAnsi="Arial"/>
          <w:sz w:val="14"/>
          <w:szCs w:val="14"/>
          <w:color w:val="auto"/>
        </w:rPr>
        <w:t>On May 15, 2026, the Board of Directors (the “Board”) of T. Rowe Price Group, Inc. (the “Company”) approved the appointment of Eric L. Veiel to become the President, Co-Head of Global Investments and Chief Investment Officer of the Company, effective immediately. Mr. Sharps will remain Chief Executive Officer of the Company.</w:t>
      </w:r>
    </w:p>
    <w:p>
      <w:pPr>
        <w:spacing w:after="0" w:line="141" w:lineRule="exact"/>
        <w:rPr>
          <w:sz w:val="20"/>
          <w:szCs w:val="20"/>
          <w:color w:val="auto"/>
        </w:rPr>
      </w:pPr>
    </w:p>
    <w:p>
      <w:pPr>
        <w:spacing w:after="0"/>
        <w:rPr>
          <w:sz w:val="20"/>
          <w:szCs w:val="20"/>
          <w:color w:val="auto"/>
        </w:rPr>
      </w:pPr>
      <w:r>
        <w:rPr>
          <w:rFonts w:ascii="Arial" w:cs="Arial" w:eastAsia="Arial" w:hAnsi="Arial"/>
          <w:sz w:val="14"/>
          <w:szCs w:val="14"/>
          <w:color w:val="auto"/>
        </w:rPr>
        <w:t>A copy of the press release issued on May 18, 2026, announcing Mr. Veiel’s appointment, is attached as Exhibit 99.1 to this Current Report on Form 8-K.</w:t>
      </w:r>
    </w:p>
    <w:p>
      <w:pPr>
        <w:spacing w:after="0" w:line="19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Section 9 - Financial Statements and Exhibits.</w:t>
      </w:r>
    </w:p>
    <w:p>
      <w:pPr>
        <w:spacing w:after="0" w:line="19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Item 9.01. Financial Statements and Exhibits.</w:t>
      </w:r>
    </w:p>
    <w:p>
      <w:pPr>
        <w:spacing w:after="0" w:line="202" w:lineRule="exact"/>
        <w:rPr>
          <w:sz w:val="20"/>
          <w:szCs w:val="20"/>
          <w:color w:val="auto"/>
        </w:rPr>
      </w:pPr>
    </w:p>
    <w:p>
      <w:pPr>
        <w:spacing w:after="0"/>
        <w:rPr>
          <w:sz w:val="20"/>
          <w:szCs w:val="20"/>
          <w:color w:val="auto"/>
        </w:rPr>
      </w:pPr>
      <w:r>
        <w:rPr>
          <w:rFonts w:ascii="Arial" w:cs="Arial" w:eastAsia="Arial" w:hAnsi="Arial"/>
          <w:sz w:val="14"/>
          <w:szCs w:val="14"/>
          <w:color w:val="auto"/>
        </w:rPr>
        <w:t>(d) Exhibits.</w:t>
      </w:r>
    </w:p>
    <w:p>
      <w:pPr>
        <w:spacing w:after="0" w:line="200" w:lineRule="exact"/>
        <w:rPr>
          <w:sz w:val="20"/>
          <w:szCs w:val="20"/>
          <w:color w:val="auto"/>
        </w:rPr>
      </w:pPr>
    </w:p>
    <w:p>
      <w:pPr>
        <w:spacing w:after="0"/>
        <w:rPr>
          <w:sz w:val="20"/>
          <w:szCs w:val="20"/>
          <w:color w:val="auto"/>
        </w:rPr>
      </w:pPr>
      <w:r>
        <w:rPr>
          <w:rFonts w:ascii="Arial" w:cs="Arial" w:eastAsia="Arial" w:hAnsi="Arial"/>
          <w:sz w:val="14"/>
          <w:szCs w:val="14"/>
          <w:color w:val="auto"/>
        </w:rPr>
        <w:t>99.1 Press Release Dated May 18, 2026</w:t>
      </w:r>
    </w:p>
    <w:p>
      <w:pPr>
        <w:spacing w:after="0" w:line="20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SIGNATURES</w:t>
      </w:r>
    </w:p>
    <w:p>
      <w:pPr>
        <w:spacing w:after="0" w:line="193" w:lineRule="exact"/>
        <w:rPr>
          <w:sz w:val="20"/>
          <w:szCs w:val="20"/>
          <w:color w:val="auto"/>
        </w:rPr>
      </w:pPr>
    </w:p>
    <w:p>
      <w:pPr>
        <w:ind w:right="20"/>
        <w:spacing w:after="0" w:line="294" w:lineRule="auto"/>
        <w:rPr>
          <w:sz w:val="20"/>
          <w:szCs w:val="20"/>
          <w:color w:val="auto"/>
        </w:rPr>
      </w:pPr>
      <w:r>
        <w:rPr>
          <w:rFonts w:ascii="Arial" w:cs="Arial" w:eastAsia="Arial" w:hAnsi="Arial"/>
          <w:sz w:val="14"/>
          <w:szCs w:val="14"/>
          <w:color w:val="auto"/>
        </w:rPr>
        <w:t>Pursuant to the requirements of the Securities Exchange Act of 1934, as amended, the registrant has duly caused this report to be signed on its behalf by the undersigned hereunto duly authorized</w:t>
      </w:r>
      <w:r>
        <w:rPr>
          <w:rFonts w:ascii="Arial" w:cs="Arial" w:eastAsia="Arial" w:hAnsi="Arial"/>
          <w:sz w:val="15"/>
          <w:szCs w:val="15"/>
          <w:color w:val="auto"/>
        </w:rPr>
        <w:t>.</w:t>
      </w:r>
    </w:p>
    <w:p>
      <w:pPr>
        <w:spacing w:after="0" w:line="200" w:lineRule="exact"/>
        <w:rPr>
          <w:sz w:val="20"/>
          <w:szCs w:val="20"/>
          <w:color w:val="auto"/>
        </w:rPr>
      </w:pPr>
    </w:p>
    <w:p>
      <w:pPr>
        <w:spacing w:after="0" w:line="27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T. Rowe Price Group, Inc.</w:t>
      </w: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Arial" w:cs="Arial" w:eastAsia="Arial" w:hAnsi="Arial"/>
          <w:sz w:val="14"/>
          <w:szCs w:val="14"/>
          <w:color w:val="auto"/>
        </w:rPr>
        <w:t xml:space="preserve">By: </w:t>
      </w:r>
      <w:r>
        <w:rPr>
          <w:rFonts w:ascii="Arial" w:cs="Arial" w:eastAsia="Arial" w:hAnsi="Arial"/>
          <w:sz w:val="14"/>
          <w:szCs w:val="14"/>
          <w:u w:val="single" w:color="auto"/>
          <w:color w:val="auto"/>
        </w:rPr>
        <w:t>/s/ David Oestreicher</w:t>
      </w:r>
    </w:p>
    <w:p>
      <w:pPr>
        <w:spacing w:after="0" w:line="23" w:lineRule="exact"/>
        <w:rPr>
          <w:sz w:val="20"/>
          <w:szCs w:val="20"/>
          <w:color w:val="auto"/>
        </w:rPr>
      </w:pPr>
    </w:p>
    <w:p>
      <w:pPr>
        <w:spacing w:after="0"/>
        <w:rPr>
          <w:sz w:val="20"/>
          <w:szCs w:val="20"/>
          <w:color w:val="auto"/>
        </w:rPr>
      </w:pPr>
      <w:r>
        <w:rPr>
          <w:rFonts w:ascii="Arial" w:cs="Arial" w:eastAsia="Arial" w:hAnsi="Arial"/>
          <w:sz w:val="14"/>
          <w:szCs w:val="14"/>
          <w:color w:val="auto"/>
        </w:rPr>
        <w:t>Vice President, General Counsel and Secretary</w:t>
      </w:r>
    </w:p>
    <w:p>
      <w:pPr>
        <w:spacing w:after="0" w:line="9" w:lineRule="exact"/>
        <w:rPr>
          <w:sz w:val="20"/>
          <w:szCs w:val="20"/>
          <w:color w:val="auto"/>
        </w:rPr>
      </w:pPr>
    </w:p>
    <w:p>
      <w:pPr>
        <w:spacing w:after="0"/>
        <w:rPr>
          <w:sz w:val="20"/>
          <w:szCs w:val="20"/>
          <w:color w:val="auto"/>
        </w:rPr>
      </w:pPr>
      <w:r>
        <w:rPr>
          <w:rFonts w:ascii="Arial" w:cs="Arial" w:eastAsia="Arial" w:hAnsi="Arial"/>
          <w:sz w:val="14"/>
          <w:szCs w:val="14"/>
          <w:color w:val="auto"/>
        </w:rPr>
        <w:t>Date: May 18, 2026</w:t>
      </w:r>
    </w:p>
    <w:p>
      <w:pPr>
        <w:sectPr>
          <w:pgSz w:w="11900" w:h="16838" w:orient="portrait"/>
          <w:cols w:equalWidth="0" w:num="1">
            <w:col w:w="11260"/>
          </w:cols>
          <w:pgMar w:left="300" w:top="734" w:right="339" w:bottom="1440" w:gutter="0" w:footer="0" w:header="0"/>
        </w:sectPr>
      </w:pPr>
    </w:p>
    <w:bookmarkStart w:id="2" w:name="page3"/>
    <w:bookmarkEnd w:id="2"/>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304800</wp:posOffset>
            </wp:positionV>
            <wp:extent cx="7105650" cy="934085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05650" cy="93408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 w:name="page4"/>
    <w:bookmarkEnd w:id="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2751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 w:name="page5"/>
    <w:bookmarkEnd w:id="4"/>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2026-05-18T15:02:33Z</dcterms:created>
  <dcterms:modified xsi:type="dcterms:W3CDTF">2026-05-18T15:02:33Z</dcterms:modified>
</cp:coreProperties>
</file>