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______________________________________</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91"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______________________________________</w:t>
      </w:r>
    </w:p>
    <w:p>
      <w:pPr>
        <w:spacing w:after="0" w:line="82" w:lineRule="exact"/>
        <w:rPr>
          <w:sz w:val="24"/>
          <w:szCs w:val="24"/>
          <w:color w:val="auto"/>
        </w:rPr>
      </w:pPr>
    </w:p>
    <w:p>
      <w:pPr>
        <w:jc w:val="center"/>
        <w:ind w:left="120" w:right="60"/>
        <w:spacing w:after="0" w:line="282" w:lineRule="auto"/>
        <w:rPr>
          <w:sz w:val="20"/>
          <w:szCs w:val="20"/>
          <w:color w:val="auto"/>
        </w:rPr>
      </w:pPr>
      <w:r>
        <w:rPr>
          <w:rFonts w:ascii="Arial" w:cs="Arial" w:eastAsia="Arial" w:hAnsi="Arial"/>
          <w:sz w:val="25"/>
          <w:szCs w:val="25"/>
          <w:b w:val="1"/>
          <w:bCs w:val="1"/>
          <w:color w:val="auto"/>
        </w:rPr>
        <w:t>QUARTERLY REPORT PURSUANT TO SECTION 13 OF THE SECURITIES EXCHANGE ACT OF 1934</w:t>
      </w:r>
    </w:p>
    <w:p>
      <w:pPr>
        <w:spacing w:after="0" w:line="8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2015</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000-32191</w:t>
      </w:r>
    </w:p>
    <w:p>
      <w:pPr>
        <w:spacing w:after="0" w:line="81"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______________________________________</w:t>
      </w:r>
    </w:p>
    <w:p>
      <w:pPr>
        <w:spacing w:after="0" w:line="7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T. ROWE PRICE GROUP,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______________________________________</w:t>
      </w:r>
    </w:p>
    <w:p>
      <w:pPr>
        <w:sectPr>
          <w:pgSz w:w="11900" w:h="16838" w:orient="portrait"/>
          <w:cols w:equalWidth="0" w:num="1">
            <w:col w:w="11360"/>
          </w:cols>
          <w:pgMar w:left="240" w:top="1017" w:right="299" w:bottom="1440" w:gutter="0" w:footer="0" w:header="0"/>
        </w:sectPr>
      </w:pPr>
    </w:p>
    <w:p>
      <w:pPr>
        <w:spacing w:after="0" w:line="167" w:lineRule="exact"/>
        <w:rPr>
          <w:sz w:val="24"/>
          <w:szCs w:val="24"/>
          <w:color w:val="auto"/>
        </w:rPr>
      </w:pPr>
    </w:p>
    <w:p>
      <w:pPr>
        <w:ind w:left="236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52-2264646</w:t>
      </w:r>
    </w:p>
    <w:p>
      <w:pPr>
        <w:spacing w:after="0" w:line="81" w:lineRule="exact"/>
        <w:rPr>
          <w:sz w:val="24"/>
          <w:szCs w:val="24"/>
          <w:color w:val="auto"/>
        </w:rPr>
      </w:pPr>
    </w:p>
    <w:p>
      <w:pPr>
        <w:sectPr>
          <w:pgSz w:w="11900" w:h="16838" w:orient="portrait"/>
          <w:cols w:equalWidth="0" w:num="2">
            <w:col w:w="7460" w:space="720"/>
            <w:col w:w="3180"/>
          </w:cols>
          <w:pgMar w:left="240" w:top="1017" w:right="299" w:bottom="1440" w:gutter="0" w:footer="0" w:header="0"/>
          <w:type w:val="continuous"/>
        </w:sectPr>
      </w:pPr>
    </w:p>
    <w:p>
      <w:pPr>
        <w:ind w:left="202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93" w:lineRule="exact"/>
        <w:rPr>
          <w:sz w:val="24"/>
          <w:szCs w:val="24"/>
          <w:color w:val="auto"/>
        </w:rPr>
      </w:pPr>
    </w:p>
    <w:p>
      <w:pPr>
        <w:sectPr>
          <w:pgSz w:w="11900" w:h="16838" w:orient="portrait"/>
          <w:cols w:equalWidth="0" w:num="2">
            <w:col w:w="6800" w:space="720"/>
            <w:col w:w="3840"/>
          </w:cols>
          <w:pgMar w:left="240" w:top="1017" w:right="299" w:bottom="1440" w:gutter="0" w:footer="0" w:header="0"/>
          <w:type w:val="continuous"/>
        </w:sectPr>
      </w:pPr>
    </w:p>
    <w:p>
      <w:pPr>
        <w:jc w:val="center"/>
        <w:ind w:right="-79"/>
        <w:spacing w:after="0"/>
        <w:rPr>
          <w:sz w:val="20"/>
          <w:szCs w:val="20"/>
          <w:color w:val="auto"/>
        </w:rPr>
      </w:pPr>
      <w:r>
        <w:rPr>
          <w:rFonts w:ascii="Arial" w:cs="Arial" w:eastAsia="Arial" w:hAnsi="Arial"/>
          <w:sz w:val="18"/>
          <w:szCs w:val="18"/>
          <w:b w:val="1"/>
          <w:bCs w:val="1"/>
          <w:color w:val="auto"/>
        </w:rPr>
        <w:t>100 East Pratt Street, Baltimore, Maryland 21202</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(Address, including Zip Code, of principal executive offices)</w:t>
      </w:r>
    </w:p>
    <w:p>
      <w:pPr>
        <w:spacing w:after="0" w:line="15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(410) 345-2000</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61"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______________________________________</w:t>
      </w:r>
    </w:p>
    <w:p>
      <w:pPr>
        <w:spacing w:after="0" w:line="90" w:lineRule="exact"/>
        <w:rPr>
          <w:sz w:val="24"/>
          <w:szCs w:val="24"/>
          <w:color w:val="auto"/>
        </w:rPr>
      </w:pPr>
    </w:p>
    <w:p>
      <w:pPr>
        <w:ind w:right="260"/>
        <w:spacing w:after="0" w:line="23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of the Securities Exchange Act of 1934 during the preceding 12 months, and (2) has been subject to such filing requirements for the past 90 days.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29"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29" w:lineRule="exact"/>
        <w:rPr>
          <w:sz w:val="24"/>
          <w:szCs w:val="24"/>
          <w:color w:val="auto"/>
        </w:rPr>
      </w:pPr>
    </w:p>
    <w:p>
      <w:pPr>
        <w:ind w:right="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60"/>
          </w:cols>
          <w:pgMar w:left="240" w:top="1017" w:right="299" w:bottom="1440" w:gutter="0" w:footer="0" w:header="0"/>
          <w:type w:val="continuous"/>
        </w:sectPr>
      </w:pPr>
    </w:p>
    <w:p>
      <w:pPr>
        <w:spacing w:after="0" w:line="282"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jc w:val="center"/>
        <w:ind w:right="398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8" w:lineRule="exact"/>
        <w:rPr>
          <w:sz w:val="24"/>
          <w:szCs w:val="24"/>
          <w:color w:val="auto"/>
        </w:rPr>
      </w:pPr>
    </w:p>
    <w:p>
      <w:pPr>
        <w:sectPr>
          <w:pgSz w:w="11900" w:h="16838" w:orient="portrait"/>
          <w:cols w:equalWidth="0" w:num="2">
            <w:col w:w="5260" w:space="720"/>
            <w:col w:w="5380"/>
          </w:cols>
          <w:pgMar w:left="240" w:top="1017" w:right="299" w:bottom="1440" w:gutter="0" w:footer="0" w:header="0"/>
          <w:type w:val="continuous"/>
        </w:sectPr>
      </w:pPr>
    </w:p>
    <w:p>
      <w:pPr>
        <w:ind w:left="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5260" w:space="720"/>
            <w:col w:w="5380"/>
          </w:cols>
          <w:pgMar w:left="240" w:top="1017" w:right="299" w:bottom="1440" w:gutter="0" w:footer="0" w:header="0"/>
          <w:type w:val="continuous"/>
        </w:sectPr>
      </w:pPr>
    </w:p>
    <w:p>
      <w:pPr>
        <w:spacing w:after="0" w:line="8" w:lineRule="exact"/>
        <w:rPr>
          <w:sz w:val="24"/>
          <w:szCs w:val="24"/>
          <w:color w:val="auto"/>
        </w:rPr>
      </w:pPr>
    </w:p>
    <w:p>
      <w:pPr>
        <w:spacing w:after="0" w:line="207" w:lineRule="exact"/>
        <w:tabs>
          <w:tab w:leader="none" w:pos="890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7"/>
          <w:szCs w:val="17"/>
          <w:color w:val="auto"/>
        </w:rPr>
        <w:t xml:space="preserve"> Yes</w:t>
      </w:r>
      <w:r>
        <w:rPr>
          <w:sz w:val="20"/>
          <w:szCs w:val="20"/>
          <w:color w:val="auto"/>
        </w:rPr>
        <w:tab/>
      </w:r>
      <w:r>
        <w:rPr>
          <w:rFonts w:ascii="Arial" w:cs="Arial" w:eastAsia="Arial" w:hAnsi="Arial"/>
          <w:sz w:val="18"/>
          <w:szCs w:val="18"/>
          <w:color w:val="auto"/>
        </w:rPr>
        <w:t>x No</w:t>
      </w:r>
    </w:p>
    <w:p>
      <w:pPr>
        <w:spacing w:after="0" w:line="200"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the issuer’s common stock ($.20 par value), as of the latest practicable date, July 21, 2015, is 256,212,813</w:t>
      </w:r>
      <w:r>
        <w:rPr>
          <w:rFonts w:ascii="Arial" w:cs="Arial" w:eastAsia="Arial" w:hAnsi="Arial"/>
          <w:sz w:val="16"/>
          <w:szCs w:val="16"/>
          <w:b w:val="1"/>
          <w:bCs w:val="1"/>
          <w:color w:val="auto"/>
        </w:rPr>
        <w:t>.</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The exhibit index is at Item 6 on page 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017" w:right="29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data)</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5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12/31/2014</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4"/>
                <w:szCs w:val="14"/>
                <w:b w:val="1"/>
                <w:bCs w:val="1"/>
                <w:color w:val="auto"/>
              </w:rPr>
              <w:t>6/30/2015</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1,269.2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Accounts receivable and accrued revenue</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442.8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449.4</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sponsored funds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1,856.7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408.3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414.4</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665.7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665.7</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152.8</w:t>
            </w: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5,644.4</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5,415.5</w:t>
            </w:r>
          </w:p>
        </w:tc>
      </w:tr>
      <w:tr>
        <w:trPr>
          <w:trHeight w:val="311"/>
        </w:trPr>
        <w:tc>
          <w:tcPr>
            <w:tcW w:w="8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LIABILITIES AND STOCKHOLDERS’ EQUITY</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143.4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168.5</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compensation and related costs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267.9</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12.0</w:t>
            </w: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448.4</w:t>
            </w:r>
          </w:p>
        </w:tc>
      </w:tr>
      <w:tr>
        <w:trPr>
          <w:trHeight w:val="318"/>
        </w:trPr>
        <w:tc>
          <w:tcPr>
            <w:tcW w:w="85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324"/>
        </w:trPr>
        <w:tc>
          <w:tcPr>
            <w:tcW w:w="8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Preferred stock, undesignated, $.20 par value – authorized and unissued 20,000,000 shares</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Common stock, $.20 par value - authorized 750,000,000; issued 261,110,000 shares at December 31, 2014 and</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257,428,000 at June 30, 2015</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51.5</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Additional capital in excess of par value</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756.5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647.9</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4,141.9</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125.8</w:t>
            </w: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5,395.2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4,967.1</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5,644.4</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5,415.5</w:t>
            </w: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580" w:right="239" w:bottom="1440" w:gutter="0" w:footer="0" w:header="0"/>
        </w:sectPr>
      </w:pPr>
    </w:p>
    <w:bookmarkStart w:id="2" w:name="page3"/>
    <w:bookmarkEnd w:id="2"/>
    <w:p>
      <w:pPr>
        <w:ind w:right="5300"/>
        <w:spacing w:after="0" w:line="282" w:lineRule="auto"/>
        <w:rPr>
          <w:sz w:val="20"/>
          <w:szCs w:val="20"/>
          <w:color w:val="auto"/>
        </w:rPr>
      </w:pPr>
      <w:r>
        <w:rPr>
          <w:rFonts w:ascii="Arial" w:cs="Arial" w:eastAsia="Arial" w:hAnsi="Arial"/>
          <w:sz w:val="18"/>
          <w:szCs w:val="18"/>
          <w:b w:val="1"/>
          <w:bCs w:val="1"/>
          <w:color w:val="auto"/>
        </w:rPr>
        <w:t>UNAUDITED CONDENSED CONSOLIDATED STATEMENTS OF INCOME (in millions, except per-share amounts)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9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600" w:type="dxa"/>
            <w:vAlign w:val="bottom"/>
            <w:gridSpan w:val="5"/>
            <w:shd w:val="clear" w:color="auto" w:fill="CCEEFF"/>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shd w:val="clear" w:color="auto" w:fill="CCEEFF"/>
          </w:tcPr>
          <w:p>
            <w:pPr>
              <w:spacing w:after="0"/>
              <w:rPr>
                <w:sz w:val="22"/>
                <w:szCs w:val="22"/>
                <w:color w:val="auto"/>
              </w:rPr>
            </w:pPr>
          </w:p>
        </w:tc>
        <w:tc>
          <w:tcPr>
            <w:tcW w:w="2580" w:type="dxa"/>
            <w:vAlign w:val="bottom"/>
            <w:gridSpan w:val="4"/>
            <w:shd w:val="clear" w:color="auto" w:fill="CCEEFF"/>
          </w:tcPr>
          <w:p>
            <w:pPr>
              <w:jc w:val="right"/>
              <w:ind w:right="771"/>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490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96"/>
              </w:rPr>
              <w:t>6/30/2014</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6/30/2015</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6/30/2014</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6/30/2015</w:t>
            </w: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7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Investment advisory fees</w:t>
            </w:r>
          </w:p>
        </w:tc>
        <w:tc>
          <w:tcPr>
            <w:tcW w:w="10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855.3</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942.2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1,681.7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1,838.7</w:t>
            </w:r>
          </w:p>
        </w:tc>
      </w:tr>
      <w:tr>
        <w:trPr>
          <w:trHeight w:val="27"/>
        </w:trPr>
        <w:tc>
          <w:tcPr>
            <w:tcW w:w="4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Administrative fees</w:t>
            </w:r>
          </w:p>
        </w:tc>
        <w:tc>
          <w:tcPr>
            <w:tcW w:w="7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184.6</w:t>
            </w: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Distribution and servicing fees</w:t>
            </w: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69.1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76.1</w:t>
            </w:r>
          </w:p>
        </w:tc>
      </w:tr>
      <w:tr>
        <w:trPr>
          <w:trHeight w:val="27"/>
        </w:trPr>
        <w:tc>
          <w:tcPr>
            <w:tcW w:w="49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revenues</w:t>
            </w:r>
          </w:p>
        </w:tc>
        <w:tc>
          <w:tcPr>
            <w:tcW w:w="7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984.3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1,072.4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1,938.9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2,099.4</w:t>
            </w:r>
          </w:p>
        </w:tc>
      </w:tr>
      <w:tr>
        <w:trPr>
          <w:trHeight w:val="318"/>
        </w:trPr>
        <w:tc>
          <w:tcPr>
            <w:tcW w:w="4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7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Compensation and related costs</w:t>
            </w: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326.4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360.9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645.3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707.4</w:t>
            </w:r>
          </w:p>
        </w:tc>
      </w:tr>
      <w:tr>
        <w:trPr>
          <w:trHeight w:val="27"/>
        </w:trPr>
        <w:tc>
          <w:tcPr>
            <w:tcW w:w="4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Advertising and promotion</w:t>
            </w:r>
          </w:p>
        </w:tc>
        <w:tc>
          <w:tcPr>
            <w:tcW w:w="7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w:t>
            </w: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Distribution and servicing costs</w:t>
            </w: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69.1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76.1</w:t>
            </w:r>
          </w:p>
        </w:tc>
      </w:tr>
      <w:tr>
        <w:trPr>
          <w:trHeight w:val="27"/>
        </w:trPr>
        <w:tc>
          <w:tcPr>
            <w:tcW w:w="4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of property and equipment</w:t>
            </w:r>
          </w:p>
        </w:tc>
        <w:tc>
          <w:tcPr>
            <w:tcW w:w="7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61.3</w:t>
            </w: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Occupancy and facility costs</w:t>
            </w: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71.4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78.2</w:t>
            </w:r>
          </w:p>
        </w:tc>
      </w:tr>
      <w:tr>
        <w:trPr>
          <w:trHeight w:val="27"/>
        </w:trPr>
        <w:tc>
          <w:tcPr>
            <w:tcW w:w="4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operating expenses</w:t>
            </w:r>
          </w:p>
        </w:tc>
        <w:tc>
          <w:tcPr>
            <w:tcW w:w="7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151.3</w:t>
            </w:r>
          </w:p>
        </w:tc>
      </w:tr>
      <w:tr>
        <w:trPr>
          <w:trHeight w:val="237"/>
        </w:trPr>
        <w:tc>
          <w:tcPr>
            <w:tcW w:w="4900" w:type="dxa"/>
            <w:vAlign w:val="bottom"/>
          </w:tcPr>
          <w:p>
            <w:pPr>
              <w:ind w:left="180"/>
              <w:spacing w:after="0"/>
              <w:rPr>
                <w:sz w:val="20"/>
                <w:szCs w:val="20"/>
                <w:color w:val="auto"/>
              </w:rPr>
            </w:pPr>
            <w:r>
              <w:rPr>
                <w:rFonts w:ascii="Arial" w:cs="Arial" w:eastAsia="Arial" w:hAnsi="Arial"/>
                <w:sz w:val="18"/>
                <w:szCs w:val="18"/>
                <w:color w:val="auto"/>
              </w:rPr>
              <w:t>Total operating expenses</w:t>
            </w:r>
          </w:p>
        </w:tc>
        <w:tc>
          <w:tcPr>
            <w:tcW w:w="7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511.2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564.6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1,016.7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1,113.8</w:t>
            </w:r>
          </w:p>
        </w:tc>
      </w:tr>
      <w:tr>
        <w:trPr>
          <w:trHeight w:val="27"/>
        </w:trPr>
        <w:tc>
          <w:tcPr>
            <w:tcW w:w="49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18"/>
        </w:trPr>
        <w:tc>
          <w:tcPr>
            <w:tcW w:w="49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Net operating income</w:t>
            </w: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473.1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507.8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922.2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985.6</w:t>
            </w:r>
          </w:p>
        </w:tc>
      </w:tr>
      <w:tr>
        <w:trPr>
          <w:trHeight w:val="27"/>
        </w:trPr>
        <w:tc>
          <w:tcPr>
            <w:tcW w:w="4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324"/>
        </w:trPr>
        <w:tc>
          <w:tcPr>
            <w:tcW w:w="49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Non-operating investment income</w:t>
            </w: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59.8</w:t>
            </w:r>
          </w:p>
        </w:tc>
      </w:tr>
      <w:tr>
        <w:trPr>
          <w:trHeight w:val="27"/>
        </w:trPr>
        <w:tc>
          <w:tcPr>
            <w:tcW w:w="49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18"/>
        </w:trPr>
        <w:tc>
          <w:tcPr>
            <w:tcW w:w="49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499.2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540.8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990.4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1,045.4</w:t>
            </w:r>
          </w:p>
        </w:tc>
      </w:tr>
      <w:tr>
        <w:trPr>
          <w:trHeight w:val="27"/>
        </w:trPr>
        <w:tc>
          <w:tcPr>
            <w:tcW w:w="4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7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207.6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380.3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402.7</w:t>
            </w:r>
          </w:p>
        </w:tc>
      </w:tr>
      <w:tr>
        <w:trPr>
          <w:trHeight w:val="297"/>
        </w:trPr>
        <w:tc>
          <w:tcPr>
            <w:tcW w:w="4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7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305.8</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333.2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610.1</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642.7</w:t>
            </w:r>
          </w:p>
        </w:tc>
      </w:tr>
      <w:tr>
        <w:trPr>
          <w:trHeight w:val="311"/>
        </w:trPr>
        <w:tc>
          <w:tcPr>
            <w:tcW w:w="49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Earnings per share on common stock</w:t>
            </w: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4"/>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7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2.45</w:t>
            </w:r>
          </w:p>
        </w:tc>
      </w:tr>
      <w:tr>
        <w:trPr>
          <w:trHeight w:val="20"/>
        </w:trPr>
        <w:tc>
          <w:tcPr>
            <w:tcW w:w="4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91"/>
        </w:trPr>
        <w:tc>
          <w:tcPr>
            <w:tcW w:w="4900" w:type="dxa"/>
            <w:vAlign w:val="bottom"/>
          </w:tcPr>
          <w:p>
            <w:pPr>
              <w:ind w:left="180"/>
              <w:spacing w:after="0"/>
              <w:rPr>
                <w:sz w:val="20"/>
                <w:szCs w:val="20"/>
                <w:color w:val="auto"/>
              </w:rPr>
            </w:pPr>
            <w:r>
              <w:rPr>
                <w:rFonts w:ascii="Arial" w:cs="Arial" w:eastAsia="Arial" w:hAnsi="Arial"/>
                <w:sz w:val="18"/>
                <w:szCs w:val="18"/>
                <w:color w:val="auto"/>
              </w:rPr>
              <w:t>Diluted</w:t>
            </w:r>
          </w:p>
        </w:tc>
        <w:tc>
          <w:tcPr>
            <w:tcW w:w="10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2.39</w:t>
            </w:r>
          </w:p>
        </w:tc>
      </w:tr>
      <w:tr>
        <w:trPr>
          <w:trHeight w:val="311"/>
        </w:trPr>
        <w:tc>
          <w:tcPr>
            <w:tcW w:w="4900" w:type="dxa"/>
            <w:vAlign w:val="bottom"/>
            <w:tcBorders>
              <w:top w:val="single" w:sz="8" w:color="CCEEFF"/>
            </w:tcBorders>
            <w:shd w:val="clear" w:color="auto" w:fill="CCEEFF"/>
          </w:tcPr>
          <w:p>
            <w:pPr>
              <w:spacing w:after="0"/>
              <w:rPr>
                <w:sz w:val="24"/>
                <w:szCs w:val="24"/>
                <w:color w:val="auto"/>
              </w:rPr>
            </w:pPr>
          </w:p>
        </w:tc>
        <w:tc>
          <w:tcPr>
            <w:tcW w:w="72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11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r>
      <w:tr>
        <w:trPr>
          <w:trHeight w:val="264"/>
        </w:trPr>
        <w:tc>
          <w:tcPr>
            <w:tcW w:w="4900" w:type="dxa"/>
            <w:vAlign w:val="bottom"/>
          </w:tcPr>
          <w:p>
            <w:pPr>
              <w:ind w:left="40"/>
              <w:spacing w:after="0"/>
              <w:rPr>
                <w:sz w:val="20"/>
                <w:szCs w:val="20"/>
                <w:color w:val="auto"/>
              </w:rPr>
            </w:pPr>
            <w:r>
              <w:rPr>
                <w:rFonts w:ascii="Arial" w:cs="Arial" w:eastAsia="Arial" w:hAnsi="Arial"/>
                <w:sz w:val="18"/>
                <w:szCs w:val="18"/>
                <w:color w:val="auto"/>
              </w:rPr>
              <w:t>Dividends declared per share</w:t>
            </w:r>
          </w:p>
        </w:tc>
        <w:tc>
          <w:tcPr>
            <w:tcW w:w="72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3.04</w:t>
            </w:r>
          </w:p>
        </w:tc>
      </w:tr>
      <w:tr>
        <w:trPr>
          <w:trHeight w:val="20"/>
        </w:trPr>
        <w:tc>
          <w:tcPr>
            <w:tcW w:w="5620" w:type="dxa"/>
            <w:vAlign w:val="bottom"/>
            <w:gridSpan w:val="2"/>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662"/>
        </w:trPr>
        <w:tc>
          <w:tcPr>
            <w:tcW w:w="8580" w:type="dxa"/>
            <w:vAlign w:val="bottom"/>
            <w:gridSpan w:val="8"/>
          </w:tcPr>
          <w:p>
            <w:pPr>
              <w:ind w:left="3380"/>
              <w:spacing w:after="0"/>
              <w:rPr>
                <w:sz w:val="20"/>
                <w:szCs w:val="20"/>
                <w:color w:val="auto"/>
              </w:rPr>
            </w:pPr>
            <w:r>
              <w:rPr>
                <w:rFonts w:ascii="Arial" w:cs="Arial" w:eastAsia="Arial" w:hAnsi="Arial"/>
                <w:sz w:val="18"/>
                <w:szCs w:val="18"/>
                <w:color w:val="auto"/>
                <w:w w:val="98"/>
              </w:rPr>
              <w:t>The accompanying notes are an integral part of these statements.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24"/>
        </w:trPr>
        <w:tc>
          <w:tcPr>
            <w:tcW w:w="490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Page 3</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3" w:name="page4"/>
    <w:bookmarkEnd w:id="3"/>
    <w:p>
      <w:pPr>
        <w:ind w:right="3660"/>
        <w:spacing w:after="0" w:line="282" w:lineRule="auto"/>
        <w:rPr>
          <w:sz w:val="20"/>
          <w:szCs w:val="20"/>
          <w:color w:val="auto"/>
        </w:rPr>
      </w:pPr>
      <w:r>
        <w:rPr>
          <w:rFonts w:ascii="Arial" w:cs="Arial" w:eastAsia="Arial" w:hAnsi="Arial"/>
          <w:sz w:val="18"/>
          <w:szCs w:val="18"/>
          <w:b w:val="1"/>
          <w:bCs w:val="1"/>
          <w:color w:val="auto"/>
        </w:rPr>
        <w:t>UNAUDITED CONDENSED CONSOLIDATED STATEMENTS OF COMPREHENSIVE INCOME (in millions)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6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700" w:type="dxa"/>
            <w:vAlign w:val="bottom"/>
            <w:gridSpan w:val="5"/>
            <w:shd w:val="clear" w:color="auto" w:fill="CCEEFF"/>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shd w:val="clear" w:color="auto" w:fill="CCEEFF"/>
          </w:tcPr>
          <w:p>
            <w:pPr>
              <w:spacing w:after="0"/>
              <w:rPr>
                <w:sz w:val="22"/>
                <w:szCs w:val="22"/>
                <w:color w:val="auto"/>
              </w:rPr>
            </w:pPr>
          </w:p>
        </w:tc>
        <w:tc>
          <w:tcPr>
            <w:tcW w:w="2580" w:type="dxa"/>
            <w:vAlign w:val="bottom"/>
            <w:gridSpan w:val="4"/>
            <w:shd w:val="clear" w:color="auto" w:fill="CCEEFF"/>
          </w:tcPr>
          <w:p>
            <w:pPr>
              <w:jc w:val="right"/>
              <w:ind w:right="772"/>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6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6/30/2014</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6/30/2015</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6/30/2014</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6/30/2015</w:t>
            </w: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305.8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333.2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610.1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642.7</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unrealized holding gains on available-for-sale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w:t>
            </w:r>
          </w:p>
        </w:tc>
      </w:tr>
      <w:tr>
        <w:trPr>
          <w:trHeight w:val="229"/>
        </w:trPr>
        <w:tc>
          <w:tcPr>
            <w:tcW w:w="5620" w:type="dxa"/>
            <w:vAlign w:val="bottom"/>
          </w:tcPr>
          <w:p>
            <w:pPr>
              <w:ind w:left="260"/>
              <w:spacing w:after="0"/>
              <w:rPr>
                <w:sz w:val="20"/>
                <w:szCs w:val="20"/>
                <w:color w:val="auto"/>
              </w:rPr>
            </w:pPr>
            <w:r>
              <w:rPr>
                <w:rFonts w:ascii="Arial" w:cs="Arial" w:eastAsia="Arial" w:hAnsi="Arial"/>
                <w:sz w:val="18"/>
                <w:szCs w:val="18"/>
                <w:color w:val="auto"/>
                <w:w w:val="97"/>
              </w:rPr>
              <w:t>Reclassification adjustments recognized in non-operating investment</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620" w:type="dxa"/>
            <w:vAlign w:val="bottom"/>
          </w:tcPr>
          <w:p>
            <w:pPr>
              <w:ind w:left="260"/>
              <w:spacing w:after="0"/>
              <w:rPr>
                <w:sz w:val="20"/>
                <w:szCs w:val="20"/>
                <w:color w:val="auto"/>
              </w:rPr>
            </w:pPr>
            <w:r>
              <w:rPr>
                <w:rFonts w:ascii="Arial" w:cs="Arial" w:eastAsia="Arial" w:hAnsi="Arial"/>
                <w:sz w:val="18"/>
                <w:szCs w:val="18"/>
                <w:color w:val="auto"/>
              </w:rPr>
              <w:t>income:</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gains realized on dispositions determined using average cost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r>
      <w:tr>
        <w:trPr>
          <w:trHeight w:val="209"/>
        </w:trPr>
        <w:tc>
          <w:tcPr>
            <w:tcW w:w="5620" w:type="dxa"/>
            <w:vAlign w:val="bottom"/>
          </w:tcPr>
          <w:p>
            <w:pPr>
              <w:ind w:left="180"/>
              <w:spacing w:after="0"/>
              <w:rPr>
                <w:sz w:val="20"/>
                <w:szCs w:val="20"/>
                <w:color w:val="auto"/>
              </w:rPr>
            </w:pPr>
            <w:r>
              <w:rPr>
                <w:rFonts w:ascii="Arial" w:cs="Arial" w:eastAsia="Arial" w:hAnsi="Arial"/>
                <w:sz w:val="18"/>
                <w:szCs w:val="18"/>
                <w:color w:val="auto"/>
              </w:rPr>
              <w:t>Total net unrealized holding gains (losses) recognized in other</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comprehensive income</w:t>
            </w:r>
          </w:p>
        </w:tc>
        <w:tc>
          <w:tcPr>
            <w:tcW w:w="26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Currency translation adjustments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7"/>
        </w:trPr>
        <w:tc>
          <w:tcPr>
            <w:tcW w:w="5620" w:type="dxa"/>
            <w:vAlign w:val="bottom"/>
          </w:tcPr>
          <w:p>
            <w:pPr>
              <w:ind w:left="180"/>
              <w:spacing w:after="0"/>
              <w:rPr>
                <w:sz w:val="20"/>
                <w:szCs w:val="20"/>
                <w:color w:val="auto"/>
              </w:rPr>
            </w:pPr>
            <w:r>
              <w:rPr>
                <w:rFonts w:ascii="Arial" w:cs="Arial" w:eastAsia="Arial" w:hAnsi="Arial"/>
                <w:sz w:val="18"/>
                <w:szCs w:val="18"/>
                <w:color w:val="auto"/>
              </w:rPr>
              <w:t>Other comprehensive income (loss) before income taxes</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benefits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324.7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320.8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624.7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632.1</w:t>
            </w: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580" w:right="239" w:bottom="1440" w:gutter="0" w:footer="0" w:header="0"/>
        </w:sectPr>
      </w:pPr>
    </w:p>
    <w:bookmarkStart w:id="4" w:name="page5"/>
    <w:bookmarkEnd w:id="4"/>
    <w:p>
      <w:pPr>
        <w:ind w:right="4860"/>
        <w:spacing w:after="0" w:line="282" w:lineRule="auto"/>
        <w:rPr>
          <w:sz w:val="20"/>
          <w:szCs w:val="20"/>
          <w:color w:val="auto"/>
        </w:rPr>
      </w:pPr>
      <w:r>
        <w:rPr>
          <w:rFonts w:ascii="Arial" w:cs="Arial" w:eastAsia="Arial" w:hAnsi="Arial"/>
          <w:sz w:val="18"/>
          <w:szCs w:val="18"/>
          <w:b w:val="1"/>
          <w:bCs w:val="1"/>
          <w:color w:val="auto"/>
        </w:rPr>
        <w:t>UNAUDITED CONDENSED CONSOLIDATED STATEMENTS OF CASH FLOWS (in millions)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580" w:type="dxa"/>
            <w:vAlign w:val="bottom"/>
            <w:tcBorders>
              <w:bottom w:val="single" w:sz="8" w:color="auto"/>
            </w:tcBorders>
            <w:gridSpan w:val="4"/>
            <w:shd w:val="clear" w:color="auto" w:fill="CCEEFF"/>
          </w:tcPr>
          <w:p>
            <w:pPr>
              <w:jc w:val="right"/>
              <w:ind w:right="771"/>
              <w:spacing w:after="0"/>
              <w:rPr>
                <w:sz w:val="20"/>
                <w:szCs w:val="20"/>
                <w:color w:val="auto"/>
              </w:rPr>
            </w:pPr>
            <w:r>
              <w:rPr>
                <w:rFonts w:ascii="Arial" w:cs="Arial" w:eastAsia="Arial" w:hAnsi="Arial"/>
                <w:sz w:val="14"/>
                <w:szCs w:val="14"/>
                <w:b w:val="1"/>
                <w:bCs w:val="1"/>
                <w:color w:val="auto"/>
              </w:rPr>
              <w:t>Six months ended</w:t>
            </w:r>
          </w:p>
        </w:tc>
      </w:tr>
      <w:tr>
        <w:trPr>
          <w:trHeight w:val="258"/>
        </w:trPr>
        <w:tc>
          <w:tcPr>
            <w:tcW w:w="85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6/30/2014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6/30/2015</w:t>
            </w: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610.1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642.7</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340"/>
              <w:spacing w:after="0"/>
              <w:rPr>
                <w:sz w:val="20"/>
                <w:szCs w:val="20"/>
                <w:color w:val="auto"/>
              </w:rPr>
            </w:pPr>
            <w:r>
              <w:rPr>
                <w:rFonts w:ascii="Arial" w:cs="Arial" w:eastAsia="Arial" w:hAnsi="Arial"/>
                <w:sz w:val="18"/>
                <w:szCs w:val="18"/>
                <w:color w:val="auto"/>
              </w:rPr>
              <w:t>Depreciation and amortization of property and equipment</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61.3</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66.6</w:t>
            </w:r>
          </w:p>
        </w:tc>
      </w:tr>
      <w:tr>
        <w:trPr>
          <w:trHeight w:val="243"/>
        </w:trPr>
        <w:tc>
          <w:tcPr>
            <w:tcW w:w="8560" w:type="dxa"/>
            <w:vAlign w:val="bottom"/>
          </w:tcPr>
          <w:p>
            <w:pPr>
              <w:ind w:left="340"/>
              <w:spacing w:after="0"/>
              <w:rPr>
                <w:sz w:val="20"/>
                <w:szCs w:val="20"/>
                <w:color w:val="auto"/>
              </w:rPr>
            </w:pPr>
            <w:r>
              <w:rPr>
                <w:rFonts w:ascii="Arial" w:cs="Arial" w:eastAsia="Arial" w:hAnsi="Arial"/>
                <w:sz w:val="18"/>
                <w:szCs w:val="18"/>
                <w:color w:val="auto"/>
              </w:rPr>
              <w:t>Realized gains on dispositions of sponsored funds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(39.3)</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gains recognized on other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43"/>
        </w:trPr>
        <w:tc>
          <w:tcPr>
            <w:tcW w:w="8560" w:type="dxa"/>
            <w:vAlign w:val="bottom"/>
          </w:tcPr>
          <w:p>
            <w:pPr>
              <w:ind w:left="340"/>
              <w:spacing w:after="0"/>
              <w:rPr>
                <w:sz w:val="20"/>
                <w:szCs w:val="20"/>
                <w:color w:val="auto"/>
              </w:rPr>
            </w:pPr>
            <w:r>
              <w:rPr>
                <w:rFonts w:ascii="Arial" w:cs="Arial" w:eastAsia="Arial" w:hAnsi="Arial"/>
                <w:sz w:val="18"/>
                <w:szCs w:val="18"/>
                <w:color w:val="auto"/>
              </w:rPr>
              <w:t>Net change in trading securities held by consolidated sponsored investment portfolios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changes in assets and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166.6</w:t>
            </w:r>
          </w:p>
        </w:tc>
      </w:tr>
      <w:tr>
        <w:trPr>
          <w:trHeight w:val="237"/>
        </w:trPr>
        <w:tc>
          <w:tcPr>
            <w:tcW w:w="8560" w:type="dxa"/>
            <w:vAlign w:val="bottom"/>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725.6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886.7</w:t>
            </w:r>
          </w:p>
        </w:tc>
      </w:tr>
      <w:tr>
        <w:trPr>
          <w:trHeight w:val="27"/>
        </w:trPr>
        <w:tc>
          <w:tcPr>
            <w:tcW w:w="8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18"/>
        </w:trPr>
        <w:tc>
          <w:tcPr>
            <w:tcW w:w="85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Investments in sponsored funds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Dispositions of sponsored funds</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195.6</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to property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w:t>
            </w: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Other investing activity</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8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318"/>
        </w:trPr>
        <w:tc>
          <w:tcPr>
            <w:tcW w:w="85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(353.8)</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share issuances under stock-based compensation plans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42.0</w:t>
            </w: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Excess tax benefits from stock-based compensation plans</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16.6</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 paid</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(794.5)</w:t>
            </w:r>
          </w:p>
        </w:tc>
      </w:tr>
      <w:tr>
        <w:trPr>
          <w:trHeight w:val="237"/>
        </w:trPr>
        <w:tc>
          <w:tcPr>
            <w:tcW w:w="8560" w:type="dxa"/>
            <w:vAlign w:val="bottom"/>
          </w:tcPr>
          <w:p>
            <w:pPr>
              <w:ind w:left="18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(1,089.7)</w:t>
            </w:r>
          </w:p>
        </w:tc>
      </w:tr>
      <w:tr>
        <w:trPr>
          <w:trHeight w:val="27"/>
        </w:trPr>
        <w:tc>
          <w:tcPr>
            <w:tcW w:w="8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18"/>
        </w:trPr>
        <w:tc>
          <w:tcPr>
            <w:tcW w:w="85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change during period</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(236.9)</w:t>
            </w:r>
          </w:p>
        </w:tc>
      </w:tr>
      <w:tr>
        <w:trPr>
          <w:trHeight w:val="243"/>
        </w:trPr>
        <w:tc>
          <w:tcPr>
            <w:tcW w:w="8560" w:type="dxa"/>
            <w:vAlign w:val="bottom"/>
          </w:tcPr>
          <w:p>
            <w:pPr>
              <w:ind w:left="280"/>
              <w:spacing w:after="0"/>
              <w:rPr>
                <w:sz w:val="20"/>
                <w:szCs w:val="20"/>
                <w:color w:val="auto"/>
              </w:rPr>
            </w:pPr>
            <w:r>
              <w:rPr>
                <w:rFonts w:ascii="Arial" w:cs="Arial" w:eastAsia="Arial" w:hAnsi="Arial"/>
                <w:sz w:val="18"/>
                <w:szCs w:val="18"/>
                <w:color w:val="auto"/>
              </w:rPr>
              <w:t>At beginning of year</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1,398.0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1,506.1</w:t>
            </w:r>
          </w:p>
        </w:tc>
      </w:tr>
      <w:tr>
        <w:trPr>
          <w:trHeight w:val="27"/>
        </w:trPr>
        <w:tc>
          <w:tcPr>
            <w:tcW w:w="8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At end of period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1,704.3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1,269.2</w:t>
            </w:r>
          </w:p>
        </w:tc>
      </w:tr>
      <w:tr>
        <w:trPr>
          <w:trHeight w:val="20"/>
        </w:trPr>
        <w:tc>
          <w:tcPr>
            <w:tcW w:w="8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00"/>
          </w:cols>
          <w:pgMar w:left="240" w:top="580" w:right="259" w:bottom="1440" w:gutter="0" w:footer="0" w:header="0"/>
        </w:sectPr>
      </w:pPr>
    </w:p>
    <w:bookmarkStart w:id="5" w:name="page6"/>
    <w:bookmarkEnd w:id="5"/>
    <w:p>
      <w:pPr>
        <w:ind w:right="3840"/>
        <w:spacing w:after="0" w:line="282" w:lineRule="auto"/>
        <w:rPr>
          <w:sz w:val="20"/>
          <w:szCs w:val="20"/>
          <w:color w:val="auto"/>
        </w:rPr>
      </w:pPr>
      <w:r>
        <w:rPr>
          <w:rFonts w:ascii="Arial" w:cs="Arial" w:eastAsia="Arial" w:hAnsi="Arial"/>
          <w:sz w:val="18"/>
          <w:szCs w:val="18"/>
          <w:b w:val="1"/>
          <w:bCs w:val="1"/>
          <w:color w:val="auto"/>
        </w:rPr>
        <w:t>UNAUDITED CONDENSED CONSOLIDATED STATEMENT OF STOCKHOLDERS’ EQUITY (shares in thousands; dollars 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92"/>
              </w:rPr>
              <w:t>Common</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w w:val="93"/>
              </w:rPr>
              <w:t>Additional</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center"/>
              <w:ind w:right="93"/>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rPr>
                <w:sz w:val="12"/>
                <w:szCs w:val="12"/>
                <w:color w:val="auto"/>
              </w:rPr>
            </w:pPr>
          </w:p>
        </w:tc>
        <w:tc>
          <w:tcPr>
            <w:tcW w:w="1360" w:type="dxa"/>
            <w:vAlign w:val="bottom"/>
            <w:gridSpan w:val="2"/>
            <w:vMerge w:val="continue"/>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w w:val="92"/>
              </w:rPr>
              <w:t>Common</w:t>
            </w: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capital in</w:t>
            </w:r>
          </w:p>
        </w:tc>
        <w:tc>
          <w:tcPr>
            <w:tcW w:w="24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Retained</w:t>
            </w: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other</w:t>
            </w:r>
          </w:p>
        </w:tc>
        <w:tc>
          <w:tcPr>
            <w:tcW w:w="180" w:type="dxa"/>
            <w:vAlign w:val="bottom"/>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shares</w:t>
            </w:r>
          </w:p>
        </w:tc>
        <w:tc>
          <w:tcPr>
            <w:tcW w:w="240" w:type="dxa"/>
            <w:vAlign w:val="bottom"/>
            <w:shd w:val="clear" w:color="auto" w:fill="CCEEFF"/>
          </w:tcPr>
          <w:p>
            <w:pPr>
              <w:spacing w:after="0"/>
              <w:rPr>
                <w:sz w:val="12"/>
                <w:szCs w:val="12"/>
                <w:color w:val="auto"/>
              </w:rPr>
            </w:pPr>
          </w:p>
        </w:tc>
        <w:tc>
          <w:tcPr>
            <w:tcW w:w="114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center"/>
              <w:ind w:right="320"/>
              <w:spacing w:after="0" w:line="149" w:lineRule="exact"/>
              <w:rPr>
                <w:sz w:val="20"/>
                <w:szCs w:val="20"/>
                <w:color w:val="auto"/>
              </w:rPr>
            </w:pPr>
            <w:r>
              <w:rPr>
                <w:rFonts w:ascii="Arial" w:cs="Arial" w:eastAsia="Arial" w:hAnsi="Arial"/>
                <w:sz w:val="14"/>
                <w:szCs w:val="14"/>
                <w:b w:val="1"/>
                <w:bCs w:val="1"/>
                <w:color w:val="auto"/>
                <w:w w:val="81"/>
              </w:rPr>
              <w:t>excess of</w:t>
            </w:r>
          </w:p>
        </w:tc>
        <w:tc>
          <w:tcPr>
            <w:tcW w:w="240" w:type="dxa"/>
            <w:vAlign w:val="bottom"/>
            <w:shd w:val="clear" w:color="auto" w:fill="CCEEFF"/>
          </w:tcPr>
          <w:p>
            <w:pPr>
              <w:spacing w:after="0"/>
              <w:rPr>
                <w:sz w:val="12"/>
                <w:szCs w:val="12"/>
                <w:color w:val="auto"/>
              </w:rPr>
            </w:pPr>
          </w:p>
        </w:tc>
        <w:tc>
          <w:tcPr>
            <w:tcW w:w="112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center"/>
              <w:ind w:right="93"/>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2"/>
        </w:trPr>
        <w:tc>
          <w:tcPr>
            <w:tcW w:w="33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89"/>
              </w:rPr>
              <w:t>outstanding</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w w:val="87"/>
              </w:rPr>
              <w:t>stock</w:t>
            </w: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w w:val="91"/>
              </w:rPr>
              <w:t>par value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earnings</w:t>
            </w: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89"/>
              </w:rPr>
              <w:t>income</w:t>
            </w: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center"/>
              <w:ind w:right="93"/>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Balances at December 31, 2014</w:t>
            </w:r>
          </w:p>
        </w:tc>
        <w:tc>
          <w:tcPr>
            <w:tcW w:w="12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261,110</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756.5</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4,450.1</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8"/>
                <w:szCs w:val="18"/>
                <w:color w:val="auto"/>
              </w:rPr>
              <w:t>136.4</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5,395.2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642.7</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Other comprehensive loss, net of tax</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w:t>
            </w: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(794.7)</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6"/>
              </w:rPr>
              <w:t>Common stock-based compensation plans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activity</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issued upon option exercises</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29"/>
        </w:trPr>
        <w:tc>
          <w:tcPr>
            <w:tcW w:w="3340" w:type="dxa"/>
            <w:vAlign w:val="bottom"/>
          </w:tcPr>
          <w:p>
            <w:pPr>
              <w:ind w:left="180"/>
              <w:spacing w:after="0"/>
              <w:rPr>
                <w:sz w:val="20"/>
                <w:szCs w:val="20"/>
                <w:color w:val="auto"/>
              </w:rPr>
            </w:pPr>
            <w:r>
              <w:rPr>
                <w:rFonts w:ascii="Arial" w:cs="Arial" w:eastAsia="Arial" w:hAnsi="Arial"/>
                <w:sz w:val="18"/>
                <w:szCs w:val="18"/>
                <w:color w:val="auto"/>
              </w:rPr>
              <w:t>Restricted shares issued, net of shares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withheld for taxes</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Shares issued upon vesting of restricted</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1"/>
              </w:rPr>
              <w:t>stock units, net of shares withheld for taxes</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Forfeiture of restricted awards</w:t>
            </w:r>
          </w:p>
        </w:tc>
        <w:tc>
          <w:tcPr>
            <w:tcW w:w="12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tax benefits</w:t>
            </w: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66.6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Restricted stock units issued as dividend</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equivalents</w:t>
            </w: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Common shares repurchased</w:t>
            </w:r>
          </w:p>
        </w:tc>
        <w:tc>
          <w:tcPr>
            <w:tcW w:w="1260" w:type="dxa"/>
            <w:vAlign w:val="bottom"/>
          </w:tcPr>
          <w:p>
            <w:pPr>
              <w:jc w:val="right"/>
              <w:spacing w:after="0"/>
              <w:rPr>
                <w:sz w:val="20"/>
                <w:szCs w:val="20"/>
                <w:color w:val="auto"/>
              </w:rPr>
            </w:pPr>
            <w:r>
              <w:rPr>
                <w:rFonts w:ascii="Arial" w:cs="Arial" w:eastAsia="Arial" w:hAnsi="Arial"/>
                <w:sz w:val="18"/>
                <w:szCs w:val="18"/>
                <w:color w:val="auto"/>
              </w:rPr>
              <w:t>(4,810)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(227.9)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(384.9)</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June 30, 2015</w:t>
            </w:r>
          </w:p>
        </w:tc>
        <w:tc>
          <w:tcPr>
            <w:tcW w:w="12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257,428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51.5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647.9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4,141.9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125.8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4,967.1</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5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 AND BASIS OF PREPARATION.</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 Rowe Price Group derives its consolidated revenues and net income primarily from investment advisory services that its subsidiaries provide to individual and institutional investors in the sponsored T. Rowe Price U.S. mutual funds and other investment portfolios, including separately managed accounts, subadvised funds, and other sponsored investment portfolios. We also provide our investment advisory clients with related administrative services, including distribution, mutual fund transfer agent, accounting, and shareholder services; participant recordkeeping and transfer agent services for defined contribution retirement plans; brokerage; and trust services.</w:t>
      </w:r>
    </w:p>
    <w:p>
      <w:pPr>
        <w:spacing w:after="0" w:line="18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These unaudited condensed consolidated financial statements are prepared in accordance with accounting principles generally accepted in the United States, which require the use of estimates and reflect all adjustments that are, in the opinion of management, necessary to a fair statement of our results for the interim periods presented. All such adjustments are of a normal recurring nature. Actual results may vary from our estimates. Certain prior year amounts have been reclassified to conform to the 2015 presentation.</w:t>
      </w:r>
    </w:p>
    <w:p>
      <w:pPr>
        <w:spacing w:after="0" w:line="187"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unaudited interim financial information contained in these condensed consolidated financial statements should be read in conjunction with the consolidated financial statements contained in our 2014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INFORMATION ABOUT RECEIVABLES, REVENUES, AND SERVICES.</w:t>
      </w:r>
    </w:p>
    <w:p>
      <w:pPr>
        <w:spacing w:after="0" w:line="229"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color w:val="auto"/>
        </w:rPr>
        <w:t>Accounts receivable from our sponsored mutual funds for advisory fees and advisory-related administrative services aggregate $245.8 million at December 31, 2014, and $253.1 million at June 30, 2015.</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Revenues (in millions) from advisory services provided under agreements with our sponsored U.S. mutual funds and other investment clients include: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920" w:type="dxa"/>
            <w:vAlign w:val="bottom"/>
            <w:gridSpan w:val="5"/>
            <w:shd w:val="clear" w:color="auto" w:fill="CCEEFF"/>
          </w:tcPr>
          <w:p>
            <w:pPr>
              <w:ind w:left="6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shd w:val="clear" w:color="auto" w:fill="CCEEFF"/>
          </w:tcPr>
          <w:p>
            <w:pPr>
              <w:spacing w:after="0"/>
              <w:rPr>
                <w:sz w:val="22"/>
                <w:szCs w:val="22"/>
                <w:color w:val="auto"/>
              </w:rPr>
            </w:pPr>
          </w:p>
        </w:tc>
        <w:tc>
          <w:tcPr>
            <w:tcW w:w="2780" w:type="dxa"/>
            <w:vAlign w:val="bottom"/>
            <w:gridSpan w:val="4"/>
            <w:shd w:val="clear" w:color="auto" w:fill="CCEEFF"/>
          </w:tcPr>
          <w:p>
            <w:pPr>
              <w:jc w:val="right"/>
              <w:ind w:right="872"/>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6/30/2014</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6/30/2015</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6/30/2014</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6/30/2015</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Sponsored U.S. mutual funds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Stock and blended asset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514.7</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575.5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1,012.0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1,118.7</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Bond and money market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98.7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192.2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210.2</w:t>
            </w:r>
          </w:p>
        </w:tc>
      </w:tr>
      <w:tr>
        <w:trPr>
          <w:trHeight w:val="237"/>
        </w:trPr>
        <w:tc>
          <w:tcPr>
            <w:tcW w:w="51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613.4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683.0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1,204.2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1,328.9</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 portfolios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Stock and blended asset</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220.0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399.3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433.0</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Bond, money market, and stable value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76.8</w:t>
            </w:r>
          </w:p>
        </w:tc>
      </w:tr>
      <w:tr>
        <w:trPr>
          <w:trHeight w:val="237"/>
        </w:trPr>
        <w:tc>
          <w:tcPr>
            <w:tcW w:w="51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241.9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259.2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477.5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509.8</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855.3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942.2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1,681.7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1,838.7</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20"/>
          </w:cols>
          <w:pgMar w:left="240" w:top="5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The following table summarizes the investment portfolios and assets under management (in billions) on which we earn advisory fees.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860" w:type="dxa"/>
            <w:vAlign w:val="bottom"/>
            <w:gridSpan w:val="3"/>
            <w:shd w:val="clear" w:color="auto" w:fill="CCEEFF"/>
          </w:tcPr>
          <w:p>
            <w:pPr>
              <w:jc w:val="right"/>
              <w:ind w:right="90"/>
              <w:spacing w:after="0"/>
              <w:rPr>
                <w:sz w:val="20"/>
                <w:szCs w:val="20"/>
                <w:color w:val="auto"/>
              </w:rPr>
            </w:pPr>
            <w:r>
              <w:rPr>
                <w:rFonts w:ascii="Arial" w:cs="Arial" w:eastAsia="Arial" w:hAnsi="Arial"/>
                <w:sz w:val="14"/>
                <w:szCs w:val="14"/>
                <w:b w:val="1"/>
                <w:bCs w:val="1"/>
                <w:color w:val="auto"/>
              </w:rPr>
              <w:t>Average during</w:t>
            </w: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60" w:type="dxa"/>
            <w:vAlign w:val="bottom"/>
            <w:gridSpan w:val="4"/>
            <w:shd w:val="clear" w:color="auto" w:fill="CCEEFF"/>
          </w:tcPr>
          <w:p>
            <w:pPr>
              <w:jc w:val="right"/>
              <w:spacing w:after="0"/>
              <w:rPr>
                <w:sz w:val="20"/>
                <w:szCs w:val="20"/>
                <w:color w:val="auto"/>
              </w:rPr>
            </w:pPr>
            <w:r>
              <w:rPr>
                <w:rFonts w:ascii="Arial" w:cs="Arial" w:eastAsia="Arial" w:hAnsi="Arial"/>
                <w:sz w:val="14"/>
                <w:szCs w:val="14"/>
                <w:b w:val="1"/>
                <w:bCs w:val="1"/>
                <w:color w:val="auto"/>
              </w:rPr>
              <w:t>Average during</w:t>
            </w:r>
          </w:p>
        </w:tc>
        <w:tc>
          <w:tcPr>
            <w:tcW w:w="1020" w:type="dxa"/>
            <w:vAlign w:val="bottom"/>
            <w:shd w:val="clear" w:color="auto" w:fill="CCEEFF"/>
          </w:tcPr>
          <w:p>
            <w:pPr>
              <w:spacing w:after="0"/>
              <w:rPr>
                <w:sz w:val="23"/>
                <w:szCs w:val="23"/>
                <w:color w:val="auto"/>
              </w:rPr>
            </w:pPr>
          </w:p>
        </w:tc>
      </w:tr>
      <w:tr>
        <w:trPr>
          <w:trHeight w:val="264"/>
        </w:trPr>
        <w:tc>
          <w:tcPr>
            <w:tcW w:w="51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the second quarter of</w:t>
            </w:r>
          </w:p>
        </w:tc>
        <w:tc>
          <w:tcPr>
            <w:tcW w:w="8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the first half of</w:t>
            </w:r>
          </w:p>
        </w:tc>
        <w:tc>
          <w:tcPr>
            <w:tcW w:w="1020" w:type="dxa"/>
            <w:vAlign w:val="bottom"/>
            <w:tcBorders>
              <w:bottom w:val="single" w:sz="8" w:color="auto"/>
            </w:tcBorders>
          </w:tcPr>
          <w:p>
            <w:pPr>
              <w:spacing w:after="0"/>
              <w:rPr>
                <w:sz w:val="22"/>
                <w:szCs w:val="22"/>
                <w:color w:val="auto"/>
              </w:rPr>
            </w:pPr>
          </w:p>
        </w:tc>
      </w:tr>
      <w:tr>
        <w:trPr>
          <w:trHeight w:val="270"/>
        </w:trPr>
        <w:tc>
          <w:tcPr>
            <w:tcW w:w="514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535"/>
              <w:spacing w:after="0"/>
              <w:rPr>
                <w:sz w:val="20"/>
                <w:szCs w:val="20"/>
                <w:color w:val="auto"/>
              </w:rPr>
            </w:pPr>
            <w:r>
              <w:rPr>
                <w:rFonts w:ascii="Arial" w:cs="Arial" w:eastAsia="Arial" w:hAnsi="Arial"/>
                <w:sz w:val="14"/>
                <w:szCs w:val="14"/>
                <w:b w:val="1"/>
                <w:bCs w:val="1"/>
                <w:color w:val="auto"/>
              </w:rPr>
              <w:t>2014</w:t>
            </w:r>
          </w:p>
        </w:tc>
        <w:tc>
          <w:tcPr>
            <w:tcW w:w="12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4"/>
                <w:szCs w:val="14"/>
                <w:b w:val="1"/>
                <w:bCs w:val="1"/>
                <w:color w:val="auto"/>
              </w:rPr>
              <w:t>2015</w:t>
            </w: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Sponsored U.S. mutual funds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and blended asset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355.0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350.6</w:t>
            </w:r>
          </w:p>
        </w:tc>
        <w:tc>
          <w:tcPr>
            <w:tcW w:w="660" w:type="dxa"/>
            <w:vAlign w:val="bottom"/>
            <w:tcBorders>
              <w:bottom w:val="single" w:sz="8" w:color="CCEEFF"/>
            </w:tcBorders>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390.2</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Bond and money market</w:t>
            </w:r>
          </w:p>
        </w:tc>
        <w:tc>
          <w:tcPr>
            <w:tcW w:w="36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100.9</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107.3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106.5</w:t>
            </w: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455.9</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506.2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496.7</w:t>
            </w: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Other investment portfolios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and blended asset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198.6</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211.9</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Bond, money market, and stable value</w:t>
            </w:r>
          </w:p>
        </w:tc>
        <w:tc>
          <w:tcPr>
            <w:tcW w:w="36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62.8</w:t>
            </w: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261.3</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274.7</w:t>
            </w:r>
          </w:p>
        </w:tc>
      </w:tr>
      <w:tr>
        <w:trPr>
          <w:trHeight w:val="297"/>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717.2</w:t>
            </w:r>
          </w:p>
        </w:tc>
        <w:tc>
          <w:tcPr>
            <w:tcW w:w="12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783.6</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709.2</w:t>
            </w:r>
          </w:p>
        </w:tc>
        <w:tc>
          <w:tcPr>
            <w:tcW w:w="10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771.4</w:t>
            </w:r>
          </w:p>
        </w:tc>
      </w:tr>
      <w:tr>
        <w:trPr>
          <w:trHeight w:val="311"/>
        </w:trPr>
        <w:tc>
          <w:tcPr>
            <w:tcW w:w="51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4"/>
        </w:trPr>
        <w:tc>
          <w:tcPr>
            <w:tcW w:w="514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w w:val="91"/>
              </w:rPr>
              <w:t>As of</w:t>
            </w:r>
          </w:p>
        </w:tc>
        <w:tc>
          <w:tcPr>
            <w:tcW w:w="1020" w:type="dxa"/>
            <w:vAlign w:val="bottom"/>
            <w:tcBorders>
              <w:bottom w:val="single" w:sz="8" w:color="auto"/>
            </w:tcBorders>
          </w:tcPr>
          <w:p>
            <w:pPr>
              <w:spacing w:after="0"/>
              <w:rPr>
                <w:sz w:val="22"/>
                <w:szCs w:val="22"/>
                <w:color w:val="auto"/>
              </w:rPr>
            </w:pPr>
          </w:p>
        </w:tc>
      </w:tr>
      <w:tr>
        <w:trPr>
          <w:trHeight w:val="270"/>
        </w:trPr>
        <w:tc>
          <w:tcPr>
            <w:tcW w:w="5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4"/>
                <w:szCs w:val="14"/>
                <w:b w:val="1"/>
                <w:bCs w:val="1"/>
                <w:color w:val="auto"/>
              </w:rPr>
              <w:t>12/31/2014</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4"/>
                <w:szCs w:val="14"/>
                <w:b w:val="1"/>
                <w:bCs w:val="1"/>
                <w:color w:val="auto"/>
                <w:w w:val="89"/>
              </w:rPr>
              <w:t>6/30/2015</w:t>
            </w: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Sponsored U.S. mutual funds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and blended asset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373.0</w:t>
            </w:r>
          </w:p>
        </w:tc>
        <w:tc>
          <w:tcPr>
            <w:tcW w:w="660" w:type="dxa"/>
            <w:vAlign w:val="bottom"/>
            <w:tcBorders>
              <w:bottom w:val="single" w:sz="8" w:color="CCEEFF"/>
            </w:tcBorders>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392.9</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Bond and money market</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107.2</w:t>
            </w: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500.1</w:t>
            </w: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Other investment portfolios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and blended asset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210.0</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Bond, money market, and stable value</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62.9</w:t>
            </w: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272.9</w:t>
            </w:r>
          </w:p>
        </w:tc>
      </w:tr>
      <w:tr>
        <w:trPr>
          <w:trHeight w:val="257"/>
        </w:trPr>
        <w:tc>
          <w:tcPr>
            <w:tcW w:w="5140" w:type="dxa"/>
            <w:vAlign w:val="bottom"/>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746.8</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773.0</w:t>
            </w:r>
          </w:p>
        </w:tc>
      </w:tr>
      <w:tr>
        <w:trPr>
          <w:trHeight w:val="20"/>
        </w:trPr>
        <w:tc>
          <w:tcPr>
            <w:tcW w:w="5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Investors that we serve are primarily domiciled in the U.S.; investment advisory clients outside the U.S. account for 5.6% and 5.0% of our assets under management at December 31, 2014 and June 30, 2015,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other fees (in millions) earned from our sponsored U.S. mutual funds.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160" w:type="dxa"/>
            <w:vAlign w:val="bottom"/>
            <w:shd w:val="clear" w:color="auto" w:fill="CCEEFF"/>
          </w:tcPr>
          <w:p>
            <w:pPr>
              <w:spacing w:after="0"/>
              <w:rPr>
                <w:sz w:val="22"/>
                <w:szCs w:val="22"/>
                <w:color w:val="auto"/>
              </w:rPr>
            </w:pPr>
          </w:p>
        </w:tc>
        <w:tc>
          <w:tcPr>
            <w:tcW w:w="2660" w:type="dxa"/>
            <w:vAlign w:val="bottom"/>
            <w:tcBorders>
              <w:bottom w:val="single" w:sz="8" w:color="auto"/>
            </w:tcBorders>
            <w:gridSpan w:val="4"/>
            <w:shd w:val="clear" w:color="auto" w:fill="CCEEFF"/>
          </w:tcPr>
          <w:p>
            <w:pPr>
              <w:jc w:val="right"/>
              <w:ind w:right="37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2780" w:type="dxa"/>
            <w:vAlign w:val="bottom"/>
            <w:tcBorders>
              <w:bottom w:val="single" w:sz="8" w:color="auto"/>
            </w:tcBorders>
            <w:gridSpan w:val="4"/>
            <w:shd w:val="clear" w:color="auto" w:fill="CCEEFF"/>
          </w:tcPr>
          <w:p>
            <w:pPr>
              <w:jc w:val="right"/>
              <w:ind w:right="876"/>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16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6/30/2014</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6/30/2015</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6/30/2014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6/30/2015</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Administrative fees</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73.7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74.6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150.6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Distribution and servicing fees</w:t>
            </w:r>
          </w:p>
        </w:tc>
        <w:tc>
          <w:tcPr>
            <w:tcW w:w="1060" w:type="dxa"/>
            <w:vAlign w:val="bottom"/>
          </w:tcPr>
          <w:p>
            <w:pPr>
              <w:jc w:val="right"/>
              <w:ind w:right="859"/>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35.4</w:t>
            </w:r>
          </w:p>
        </w:tc>
        <w:tc>
          <w:tcPr>
            <w:tcW w:w="120" w:type="dxa"/>
            <w:vAlign w:val="bottom"/>
          </w:tcPr>
          <w:p>
            <w:pPr>
              <w:spacing w:after="0"/>
              <w:rPr>
                <w:sz w:val="21"/>
                <w:szCs w:val="21"/>
                <w:color w:val="auto"/>
              </w:rPr>
            </w:pPr>
          </w:p>
        </w:tc>
        <w:tc>
          <w:tcPr>
            <w:tcW w:w="1040" w:type="dxa"/>
            <w:vAlign w:val="bottom"/>
          </w:tcPr>
          <w:p>
            <w:pPr>
              <w:jc w:val="right"/>
              <w:ind w:right="836"/>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38.6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76.1</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20"/>
          </w:cols>
          <w:pgMar w:left="240" w:top="58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3– INVESTMENTS IN SPONSORED FUNDS - AVAILABLE-FOR-SALE.</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make investments in our sponsored funds for general corporate investment purposes or to provide seed capital for newly formed funds. These sponsored funds (in millions) are voting interest entities and include: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37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vMerge w:val="restart"/>
            <w:shd w:val="clear" w:color="auto" w:fill="CCEEFF"/>
          </w:tcPr>
          <w:p>
            <w:pPr>
              <w:jc w:val="right"/>
              <w:ind w:right="354"/>
              <w:spacing w:after="0"/>
              <w:rPr>
                <w:sz w:val="20"/>
                <w:szCs w:val="20"/>
                <w:color w:val="auto"/>
              </w:rPr>
            </w:pPr>
            <w:r>
              <w:rPr>
                <w:rFonts w:ascii="Arial" w:cs="Arial" w:eastAsia="Arial" w:hAnsi="Arial"/>
                <w:sz w:val="14"/>
                <w:szCs w:val="14"/>
                <w:b w:val="1"/>
                <w:bCs w:val="1"/>
                <w:color w:val="auto"/>
              </w:rPr>
              <w:t>Aggregate</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78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Unrealized holding</w:t>
            </w: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vMerge w:val="restart"/>
            <w:shd w:val="clear" w:color="auto" w:fill="CCEEFF"/>
          </w:tcPr>
          <w:p>
            <w:pPr>
              <w:jc w:val="right"/>
              <w:ind w:right="334"/>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84"/>
        </w:trPr>
        <w:tc>
          <w:tcPr>
            <w:tcW w:w="4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37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2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20" w:type="dxa"/>
            <w:vAlign w:val="bottom"/>
            <w:gridSpan w:val="2"/>
            <w:vMerge w:val="restart"/>
            <w:shd w:val="clear" w:color="auto" w:fill="CCEEFF"/>
          </w:tcPr>
          <w:p>
            <w:pPr>
              <w:ind w:left="220"/>
              <w:spacing w:after="0"/>
              <w:rPr>
                <w:sz w:val="20"/>
                <w:szCs w:val="20"/>
                <w:color w:val="auto"/>
              </w:rPr>
            </w:pPr>
            <w:r>
              <w:rPr>
                <w:rFonts w:ascii="Arial" w:cs="Arial" w:eastAsia="Arial" w:hAnsi="Arial"/>
                <w:sz w:val="14"/>
                <w:szCs w:val="14"/>
                <w:b w:val="1"/>
                <w:bCs w:val="1"/>
                <w:color w:val="auto"/>
              </w:rPr>
              <w:t>gains</w:t>
            </w:r>
          </w:p>
        </w:tc>
        <w:tc>
          <w:tcPr>
            <w:tcW w:w="560" w:type="dxa"/>
            <w:vAlign w:val="bottom"/>
            <w:shd w:val="clear" w:color="auto" w:fill="CCEEFF"/>
          </w:tcPr>
          <w:p>
            <w:pPr>
              <w:spacing w:after="0"/>
              <w:rPr>
                <w:sz w:val="7"/>
                <w:szCs w:val="7"/>
                <w:color w:val="auto"/>
              </w:rPr>
            </w:pPr>
          </w:p>
        </w:tc>
        <w:tc>
          <w:tcPr>
            <w:tcW w:w="10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losses</w:t>
            </w:r>
          </w:p>
        </w:tc>
        <w:tc>
          <w:tcPr>
            <w:tcW w:w="280" w:type="dxa"/>
            <w:vAlign w:val="bottom"/>
            <w:shd w:val="clear" w:color="auto" w:fill="CCEEFF"/>
          </w:tcPr>
          <w:p>
            <w:pPr>
              <w:spacing w:after="0"/>
              <w:rPr>
                <w:sz w:val="7"/>
                <w:szCs w:val="7"/>
                <w:color w:val="auto"/>
              </w:rPr>
            </w:pPr>
          </w:p>
        </w:tc>
        <w:tc>
          <w:tcPr>
            <w:tcW w:w="12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554"/>
              <w:spacing w:after="0"/>
              <w:rPr>
                <w:sz w:val="20"/>
                <w:szCs w:val="20"/>
                <w:color w:val="auto"/>
              </w:rPr>
            </w:pPr>
            <w:r>
              <w:rPr>
                <w:rFonts w:ascii="Arial" w:cs="Arial" w:eastAsia="Arial" w:hAnsi="Arial"/>
                <w:sz w:val="14"/>
                <w:szCs w:val="14"/>
                <w:b w:val="1"/>
                <w:bCs w:val="1"/>
                <w:color w:val="auto"/>
              </w:rPr>
              <w:t>cost</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5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5160" w:type="dxa"/>
            <w:vAlign w:val="bottom"/>
            <w:gridSpan w:val="4"/>
          </w:tcPr>
          <w:p>
            <w:pPr>
              <w:ind w:left="40"/>
              <w:spacing w:after="0" w:line="196" w:lineRule="exact"/>
              <w:rPr>
                <w:sz w:val="20"/>
                <w:szCs w:val="20"/>
                <w:color w:val="auto"/>
              </w:rPr>
            </w:pPr>
            <w:r>
              <w:rPr>
                <w:rFonts w:ascii="Arial" w:cs="Arial" w:eastAsia="Arial" w:hAnsi="Arial"/>
                <w:sz w:val="18"/>
                <w:szCs w:val="18"/>
                <w:color w:val="auto"/>
              </w:rPr>
              <w:t>December 31, 2014</w:t>
            </w: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3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Stock and blended asset funds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505.4</w:t>
            </w:r>
          </w:p>
        </w:tc>
        <w:tc>
          <w:tcPr>
            <w:tcW w:w="4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732.6</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Bond funds</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1,107.9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1,151.4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1,613.3</w:t>
            </w:r>
          </w:p>
        </w:tc>
        <w:tc>
          <w:tcPr>
            <w:tcW w:w="4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283.4</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1,884.0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16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June 30, 2015</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37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Stock and blended asset funds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422.9</w:t>
            </w:r>
          </w:p>
        </w:tc>
        <w:tc>
          <w:tcPr>
            <w:tcW w:w="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224.7</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647.2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Bond funds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1,180.5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1,209.5</w:t>
            </w:r>
          </w:p>
        </w:tc>
        <w:tc>
          <w:tcPr>
            <w:tcW w:w="0" w:type="dxa"/>
            <w:vAlign w:val="bottom"/>
          </w:tcPr>
          <w:p>
            <w:pPr>
              <w:spacing w:after="0"/>
              <w:rPr>
                <w:sz w:val="1"/>
                <w:szCs w:val="1"/>
                <w:color w:val="auto"/>
              </w:rPr>
            </w:pPr>
          </w:p>
        </w:tc>
      </w:tr>
      <w:tr>
        <w:trPr>
          <w:trHeight w:val="257"/>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1,603.4</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265.0</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1,856.7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unrealized holding losses are attributable to 12 fund holdings with an aggregate fair value of $788.5 million at December 31, 2014, and 13 fund holdings with an aggregate fair value of $403.4 million at June 30, 2015. These unrealized losses are considered temporary.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OTHER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These investments (in millions) include: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34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4"/>
                <w:szCs w:val="14"/>
                <w:b w:val="1"/>
                <w:bCs w:val="1"/>
                <w:color w:val="auto"/>
              </w:rPr>
              <w:t>12/31/2014</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4"/>
                <w:szCs w:val="14"/>
                <w:b w:val="1"/>
                <w:bCs w:val="1"/>
                <w:color w:val="auto"/>
              </w:rPr>
              <w:t>6/30/2015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Cost method investments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64.9</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method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26% interest in UTI Asset Management Company Limited (India)</w:t>
            </w: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134.1</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Sponsored fund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investments</w:t>
            </w: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5.5</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held as trading</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Sponsored fund investments</w:t>
            </w: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9.5</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Securities held by consolidated sponsored investment portfolios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U.S. Treasury note</w:t>
            </w: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408.3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414.4</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securities held by consolidated sponsored investment portfolios, sponsored fund investments held as trading, and the sponsored fund investments treated as equity method investments relate to investment portfolios in which we provided initial seed capital at the time of its formation. We have determined at December 31, 2014 and June 30, 2015, that these investment portfolios are voting interest entities and, as a result, have consolidated those sponsored portfolios in which we own a majority of the voting interest.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420"/>
          </w:cols>
          <w:pgMar w:left="240" w:top="5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5–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determine the fair value of our investments using the following broad levels of inputs as defined by related accounting standards: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23" w:lineRule="exact"/>
        <w:rPr>
          <w:sz w:val="20"/>
          <w:szCs w:val="20"/>
          <w:color w:val="auto"/>
        </w:rPr>
      </w:pPr>
    </w:p>
    <w:p>
      <w:pPr>
        <w:ind w:left="1300" w:right="400" w:hanging="323"/>
        <w:spacing w:after="0" w:line="265" w:lineRule="auto"/>
        <w:rPr>
          <w:sz w:val="20"/>
          <w:szCs w:val="20"/>
          <w:color w:val="auto"/>
        </w:rPr>
      </w:pPr>
      <w:r>
        <w:rPr>
          <w:rFonts w:ascii="Arial" w:cs="Arial" w:eastAsia="Arial" w:hAnsi="Arial"/>
          <w:sz w:val="17"/>
          <w:szCs w:val="17"/>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ind w:left="1300" w:right="180" w:hanging="323"/>
        <w:spacing w:after="0" w:line="261"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We do not value any investments using Level 3 inputs.</w:t>
      </w:r>
    </w:p>
    <w:p>
      <w:pPr>
        <w:spacing w:after="0" w:line="130"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These levels are not necessarily an indication of the risk or liquidity associated with our investments. There have been no material transfers between the levels. The following table summarizes our investments (in millions) that are recognized in our condensed consolidated balance sheets using fair value measurements determined based on the differing levels of inputs.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9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32"/>
              <w:spacing w:after="0"/>
              <w:rPr>
                <w:sz w:val="20"/>
                <w:szCs w:val="20"/>
                <w:color w:val="auto"/>
              </w:rPr>
            </w:pPr>
            <w:r>
              <w:rPr>
                <w:rFonts w:ascii="Arial" w:cs="Arial" w:eastAsia="Arial" w:hAnsi="Arial"/>
                <w:sz w:val="14"/>
                <w:szCs w:val="14"/>
                <w:b w:val="1"/>
                <w:bCs w:val="1"/>
                <w:color w:val="auto"/>
              </w:rPr>
              <w:t>Level 2</w:t>
            </w:r>
          </w:p>
        </w:tc>
      </w:tr>
      <w:tr>
        <w:trPr>
          <w:trHeight w:val="196"/>
        </w:trPr>
        <w:tc>
          <w:tcPr>
            <w:tcW w:w="8340" w:type="dxa"/>
            <w:vAlign w:val="bottom"/>
            <w:gridSpan w:val="4"/>
          </w:tcPr>
          <w:p>
            <w:pPr>
              <w:ind w:left="40"/>
              <w:spacing w:after="0" w:line="196" w:lineRule="exact"/>
              <w:rPr>
                <w:sz w:val="20"/>
                <w:szCs w:val="20"/>
                <w:color w:val="auto"/>
              </w:rPr>
            </w:pPr>
            <w:r>
              <w:rPr>
                <w:rFonts w:ascii="Arial" w:cs="Arial" w:eastAsia="Arial" w:hAnsi="Arial"/>
                <w:sz w:val="18"/>
                <w:szCs w:val="18"/>
                <w:color w:val="auto"/>
              </w:rPr>
              <w:t>December 31, 2014</w:t>
            </w: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6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5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Investments in sponsored funds - available-for-sale</w:t>
            </w:r>
          </w:p>
        </w:tc>
        <w:tc>
          <w:tcPr>
            <w:tcW w:w="32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1,884.0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Investments held as trading</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52.2</w:t>
            </w:r>
          </w:p>
        </w:tc>
      </w:tr>
      <w:tr>
        <w:trPr>
          <w:trHeight w:val="297"/>
        </w:trPr>
        <w:tc>
          <w:tcPr>
            <w:tcW w:w="834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3,257.5</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52.2</w:t>
            </w:r>
          </w:p>
        </w:tc>
      </w:tr>
      <w:tr>
        <w:trPr>
          <w:trHeight w:val="284"/>
        </w:trPr>
        <w:tc>
          <w:tcPr>
            <w:tcW w:w="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9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03"/>
        </w:trPr>
        <w:tc>
          <w:tcPr>
            <w:tcW w:w="83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June 30, 2015</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6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5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Investments in sponsored funds - available-for-sale</w:t>
            </w:r>
          </w:p>
        </w:tc>
        <w:tc>
          <w:tcPr>
            <w:tcW w:w="32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1,856.7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Investments held as trading</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55.9</w:t>
            </w:r>
          </w:p>
        </w:tc>
      </w:tr>
      <w:tr>
        <w:trPr>
          <w:trHeight w:val="257"/>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2,926.9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55.9</w:t>
            </w:r>
          </w:p>
        </w:tc>
      </w:tr>
      <w:tr>
        <w:trPr>
          <w:trHeight w:val="20"/>
        </w:trPr>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DIVIDENDS.</w:t>
      </w:r>
    </w:p>
    <w:p>
      <w:pPr>
        <w:spacing w:after="0" w:line="22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Regular cash dividends declared per share during the first six months of 2014 and 2015 were $.88 and $1.04 respectively. On February 19, 2015, the Board of Directors also declared a special cash dividend of $2.00 per share, payable on April 23, 2015 to stockholders of record as of the close of business on April 9,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COMMON SHARE REPURCHASES.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At June 30, 2015, a liability of $31.1 million is included in accounts payable and accrued expenses for common stock repurchases that settled by July 7, 2015.</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EFFECT OF SPECIAL CASH DIVIDEND.</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As a result of the special cash dividend declared by the Board of Directors in February 2015, the anti-dilution provisions of our employee long-term incentive plans and non-employee director plans (collectively the LTI Plans) require an automatic adjustment to neutralize the effect of the special dividend. On the special dividend's ex-dividend date (April 7, 2015), the number of shares authorized and the number of stock options outstanding and their exercise price were adjusted resulting in an increase of 749,578 stock options outstanding on the ex-dividend date, and no incremental compensation expense.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20"/>
          </w:cols>
          <w:pgMar w:left="240" w:top="58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STOCK OPTIONS.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summarizes the status of and changes in our stock option grants during the first half of 2015. All numbers have been adjusted to reflect the effect of the special dividend as noted above.</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jc w:val="center"/>
              <w:ind w:right="196"/>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83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center"/>
              <w:ind w:right="196"/>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340" w:type="dxa"/>
            <w:vAlign w:val="bottom"/>
            <w:shd w:val="clear" w:color="auto" w:fill="CCEEFF"/>
          </w:tcPr>
          <w:p>
            <w:pPr>
              <w:spacing w:after="0"/>
              <w:rPr>
                <w:sz w:val="12"/>
                <w:szCs w:val="12"/>
                <w:color w:val="auto"/>
              </w:rPr>
            </w:pPr>
          </w:p>
        </w:tc>
        <w:tc>
          <w:tcPr>
            <w:tcW w:w="1500" w:type="dxa"/>
            <w:vAlign w:val="bottom"/>
            <w:vMerge w:val="restart"/>
            <w:shd w:val="clear" w:color="auto" w:fill="CCEEFF"/>
          </w:tcPr>
          <w:p>
            <w:pPr>
              <w:jc w:val="right"/>
              <w:ind w:right="412"/>
              <w:spacing w:after="0"/>
              <w:rPr>
                <w:sz w:val="20"/>
                <w:szCs w:val="20"/>
                <w:color w:val="auto"/>
              </w:rPr>
            </w:pPr>
            <w:r>
              <w:rPr>
                <w:rFonts w:ascii="Arial" w:cs="Arial" w:eastAsia="Arial" w:hAnsi="Arial"/>
                <w:sz w:val="14"/>
                <w:szCs w:val="14"/>
                <w:b w:val="1"/>
                <w:bCs w:val="1"/>
                <w:color w:val="auto"/>
              </w:rPr>
              <w:t>Options</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center"/>
              <w:ind w:right="196"/>
              <w:spacing w:after="0" w:line="149" w:lineRule="exact"/>
              <w:rPr>
                <w:sz w:val="20"/>
                <w:szCs w:val="20"/>
                <w:color w:val="auto"/>
              </w:rPr>
            </w:pPr>
            <w:r>
              <w:rPr>
                <w:rFonts w:ascii="Arial" w:cs="Arial" w:eastAsia="Arial" w:hAnsi="Arial"/>
                <w:sz w:val="14"/>
                <w:szCs w:val="14"/>
                <w:b w:val="1"/>
                <w:bCs w:val="1"/>
                <w:color w:val="auto"/>
                <w:w w:val="85"/>
              </w:rPr>
              <w:t>exercise</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spacing w:after="0"/>
              <w:rPr>
                <w:sz w:val="16"/>
                <w:szCs w:val="16"/>
                <w:color w:val="auto"/>
              </w:rPr>
            </w:pPr>
          </w:p>
        </w:tc>
        <w:tc>
          <w:tcPr>
            <w:tcW w:w="15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center"/>
              <w:ind w:right="196"/>
              <w:spacing w:after="0"/>
              <w:rPr>
                <w:sz w:val="20"/>
                <w:szCs w:val="20"/>
                <w:color w:val="auto"/>
              </w:rPr>
            </w:pPr>
            <w:r>
              <w:rPr>
                <w:rFonts w:ascii="Arial" w:cs="Arial" w:eastAsia="Arial" w:hAnsi="Arial"/>
                <w:sz w:val="14"/>
                <w:szCs w:val="14"/>
                <w:b w:val="1"/>
                <w:bCs w:val="1"/>
                <w:color w:val="auto"/>
                <w:w w:val="95"/>
              </w:rPr>
              <w:t>price</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Outstanding at December 31, 2014</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30,463,211</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55.63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Semiannual grants</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1,979,081</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80.95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New hire grants</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9,735</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79.19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Non-employee director grants</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8,700</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82.40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Pr>
          <w:p>
            <w:pPr>
              <w:jc w:val="right"/>
              <w:spacing w:after="0"/>
              <w:rPr>
                <w:sz w:val="20"/>
                <w:szCs w:val="20"/>
                <w:color w:val="auto"/>
              </w:rPr>
            </w:pPr>
            <w:r>
              <w:rPr>
                <w:rFonts w:ascii="Arial" w:cs="Arial" w:eastAsia="Arial" w:hAnsi="Arial"/>
                <w:sz w:val="18"/>
                <w:szCs w:val="18"/>
                <w:color w:val="auto"/>
              </w:rPr>
              <w:t>(1,591,893)</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45.01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(314,795)</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68.22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Expired</w:t>
            </w:r>
          </w:p>
        </w:tc>
        <w:tc>
          <w:tcPr>
            <w:tcW w:w="1500" w:type="dxa"/>
            <w:vAlign w:val="bottom"/>
          </w:tcPr>
          <w:p>
            <w:pPr>
              <w:jc w:val="right"/>
              <w:spacing w:after="0"/>
              <w:rPr>
                <w:sz w:val="20"/>
                <w:szCs w:val="20"/>
                <w:color w:val="auto"/>
              </w:rPr>
            </w:pPr>
            <w:r>
              <w:rPr>
                <w:rFonts w:ascii="Arial" w:cs="Arial" w:eastAsia="Arial" w:hAnsi="Arial"/>
                <w:sz w:val="18"/>
                <w:szCs w:val="18"/>
                <w:color w:val="auto"/>
              </w:rPr>
              <w:t>(658)</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63.66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2015</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30,553,381</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57.71</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340" w:type="dxa"/>
            <w:vAlign w:val="bottom"/>
          </w:tcPr>
          <w:p>
            <w:pPr>
              <w:ind w:left="40"/>
              <w:spacing w:after="0"/>
              <w:rPr>
                <w:sz w:val="20"/>
                <w:szCs w:val="20"/>
                <w:color w:val="auto"/>
              </w:rPr>
            </w:pPr>
            <w:r>
              <w:rPr>
                <w:rFonts w:ascii="Arial" w:cs="Arial" w:eastAsia="Arial" w:hAnsi="Arial"/>
                <w:sz w:val="18"/>
                <w:szCs w:val="18"/>
                <w:color w:val="auto"/>
              </w:rPr>
              <w:t>Exercisable at June 30, 2015</w:t>
            </w: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17,498,513</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49.41</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RESTRICTED SHARES AND STOCK UNITS.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status of and changes in our nonvested restricted shares and restricted stock units during the first half of 2015.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shd w:val="clear" w:color="auto" w:fill="CCEEFF"/>
          </w:tcPr>
          <w:p>
            <w:pPr>
              <w:spacing w:after="0"/>
              <w:rPr>
                <w:sz w:val="14"/>
                <w:szCs w:val="14"/>
                <w:color w:val="auto"/>
              </w:rPr>
            </w:pPr>
          </w:p>
        </w:tc>
        <w:tc>
          <w:tcPr>
            <w:tcW w:w="162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b w:val="1"/>
                <w:bCs w:val="1"/>
                <w:color w:val="auto"/>
              </w:rPr>
              <w:t>Restricted</w:t>
            </w:r>
          </w:p>
        </w:tc>
        <w:tc>
          <w:tcPr>
            <w:tcW w:w="14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3"/>
              </w:rPr>
              <w:t>Restricted</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ind w:right="94"/>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9"/>
        </w:trPr>
        <w:tc>
          <w:tcPr>
            <w:tcW w:w="6740" w:type="dxa"/>
            <w:vAlign w:val="bottom"/>
            <w:shd w:val="clear" w:color="auto" w:fill="CCEEFF"/>
          </w:tcPr>
          <w:p>
            <w:pPr>
              <w:spacing w:after="0"/>
              <w:rPr>
                <w:sz w:val="12"/>
                <w:szCs w:val="12"/>
                <w:color w:val="auto"/>
              </w:rPr>
            </w:pPr>
          </w:p>
        </w:tc>
        <w:tc>
          <w:tcPr>
            <w:tcW w:w="1620" w:type="dxa"/>
            <w:vAlign w:val="bottom"/>
            <w:gridSpan w:val="2"/>
            <w:vMerge w:val="continue"/>
            <w:shd w:val="clear" w:color="auto" w:fill="CCEEFF"/>
          </w:tcPr>
          <w:p>
            <w:pPr>
              <w:spacing w:after="0"/>
              <w:rPr>
                <w:sz w:val="12"/>
                <w:szCs w:val="12"/>
                <w:color w:val="auto"/>
              </w:rPr>
            </w:pP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87"/>
              </w:rPr>
              <w:t>stock</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740" w:type="dxa"/>
            <w:vAlign w:val="bottom"/>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454"/>
              <w:spacing w:after="0"/>
              <w:rPr>
                <w:sz w:val="20"/>
                <w:szCs w:val="20"/>
                <w:color w:val="auto"/>
              </w:rPr>
            </w:pPr>
            <w:r>
              <w:rPr>
                <w:rFonts w:ascii="Arial" w:cs="Arial" w:eastAsia="Arial" w:hAnsi="Arial"/>
                <w:sz w:val="14"/>
                <w:szCs w:val="14"/>
                <w:b w:val="1"/>
                <w:bCs w:val="1"/>
                <w:color w:val="auto"/>
              </w:rPr>
              <w:t>shares</w:t>
            </w:r>
          </w:p>
        </w:tc>
        <w:tc>
          <w:tcPr>
            <w:tcW w:w="120" w:type="dxa"/>
            <w:vAlign w:val="bottom"/>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units</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Nonvested at December 31, 2014</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2,061,559</w:t>
            </w:r>
          </w:p>
        </w:tc>
        <w:tc>
          <w:tcPr>
            <w:tcW w:w="12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1,006,753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72.79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Time-based grants</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5,200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639,105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82.93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Performance-based grants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27,975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82.97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(14,588)</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78.27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(45,371)</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(31,633)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72.97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June 30, 2015</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2,006,800</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1,632,245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74.62</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nonvested at June 30, 2015, includes 28,800 performance-based restricted shares and 175,500 performance-based restricted stock units. These performance-based restricted shares and units include 22,800 restricted shares and 121,050 restricted stock units for which the performance period has lapsed and the performance threshold has been met.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FUTURE STOCK-BASED COMPENSATION EXPENSE.</w:t>
      </w:r>
    </w:p>
    <w:p>
      <w:pPr>
        <w:spacing w:after="0" w:line="22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following table presents the compensation expense (in millions) to be recognized over the remaining vesting periods of the stock-based awards outstanding at June 30, 2015. Estimated future compensation expense will change to reflect future option grants; future awards of unrestricted shares, restricted stock units; changes in estimated forfeitures; changes in the probability of performance thresholds being met; and adjustments for actual forfeitures.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Third quarter 2015</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Fourth quarter 2015</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31.7</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2017 through 2020</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88.8</w:t>
            </w:r>
          </w:p>
        </w:tc>
      </w:tr>
      <w:tr>
        <w:trPr>
          <w:trHeight w:val="27"/>
        </w:trPr>
        <w:tc>
          <w:tcPr>
            <w:tcW w:w="99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243.1</w:t>
            </w:r>
          </w:p>
        </w:tc>
      </w:tr>
      <w:tr>
        <w:trPr>
          <w:trHeight w:val="20"/>
        </w:trPr>
        <w:tc>
          <w:tcPr>
            <w:tcW w:w="99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20"/>
          </w:cols>
          <w:pgMar w:left="240" w:top="58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8– EARNINGS PER SHARE CALCULATIONS.</w:t>
      </w:r>
    </w:p>
    <w:p>
      <w:pPr>
        <w:spacing w:after="0" w:line="22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following table presents the reconciliation (in millions) of our net income to net income allocated to our common stockholders and the weighted-average shares (in millions) that are used in calculating the basic and diluted earnings per share on our common stock. Weighted-average common shares outstanding assuming dilution reflects the potential dilution, determined using the treasury stock method, that could occur if outstanding stock options were exercised and non-participating stock awards vested.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920" w:type="dxa"/>
            <w:vAlign w:val="bottom"/>
            <w:gridSpan w:val="5"/>
            <w:shd w:val="clear" w:color="auto" w:fill="CCEEFF"/>
          </w:tcPr>
          <w:p>
            <w:pPr>
              <w:ind w:left="6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shd w:val="clear" w:color="auto" w:fill="CCEEFF"/>
          </w:tcPr>
          <w:p>
            <w:pPr>
              <w:spacing w:after="0"/>
              <w:rPr>
                <w:sz w:val="22"/>
                <w:szCs w:val="22"/>
                <w:color w:val="auto"/>
              </w:rPr>
            </w:pPr>
          </w:p>
        </w:tc>
        <w:tc>
          <w:tcPr>
            <w:tcW w:w="2780" w:type="dxa"/>
            <w:vAlign w:val="bottom"/>
            <w:gridSpan w:val="4"/>
            <w:shd w:val="clear" w:color="auto" w:fill="CCEEFF"/>
          </w:tcPr>
          <w:p>
            <w:pPr>
              <w:jc w:val="right"/>
              <w:ind w:right="873"/>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6/30/2014</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6/30/2015</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6/30/2014</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6/30/2015</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305.8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642.7</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4"/>
              </w:rPr>
              <w:t>Less: net income allocated to outstanding restricted stock and stock</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unit holders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allocated to common stockholders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302.4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329.1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603.4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632.9</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30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Outstanding</w:t>
            </w: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260.7</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257.7</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260.5</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258.2</w:t>
            </w:r>
          </w:p>
        </w:tc>
      </w:tr>
      <w:tr>
        <w:trPr>
          <w:trHeight w:val="251"/>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 assuming dilution</w:t>
            </w: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268.7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268.7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265.1</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following table shows the weighted-average outstanding stock options (in millions) that are excluded from the calculation of diluted earnings per common share as the inclusion of such shares would be anti-dilutive.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160" w:type="dxa"/>
            <w:vAlign w:val="bottom"/>
            <w:shd w:val="clear" w:color="auto" w:fill="CCEEFF"/>
          </w:tcPr>
          <w:p>
            <w:pPr>
              <w:spacing w:after="0"/>
              <w:rPr>
                <w:sz w:val="22"/>
                <w:szCs w:val="22"/>
                <w:color w:val="auto"/>
              </w:rPr>
            </w:pPr>
          </w:p>
        </w:tc>
        <w:tc>
          <w:tcPr>
            <w:tcW w:w="2700" w:type="dxa"/>
            <w:vAlign w:val="bottom"/>
            <w:tcBorders>
              <w:bottom w:val="single" w:sz="8" w:color="auto"/>
            </w:tcBorders>
            <w:gridSpan w:val="4"/>
            <w:shd w:val="clear" w:color="auto" w:fill="CCEEFF"/>
          </w:tcPr>
          <w:p>
            <w:pPr>
              <w:jc w:val="right"/>
              <w:ind w:right="428"/>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60" w:type="dxa"/>
            <w:vAlign w:val="bottom"/>
            <w:tcBorders>
              <w:bottom w:val="single" w:sz="8" w:color="auto"/>
            </w:tcBorders>
            <w:gridSpan w:val="3"/>
            <w:shd w:val="clear" w:color="auto" w:fill="CCEEFF"/>
          </w:tcPr>
          <w:p>
            <w:pPr>
              <w:jc w:val="right"/>
              <w:ind w:right="879"/>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16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6/30/2014</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6/30/2015</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6/30/2014</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6/30/2015</w:t>
            </w:r>
          </w:p>
        </w:tc>
      </w:tr>
      <w:tr>
        <w:trPr>
          <w:trHeight w:val="263"/>
        </w:trPr>
        <w:tc>
          <w:tcPr>
            <w:tcW w:w="6260" w:type="dxa"/>
            <w:vAlign w:val="bottom"/>
            <w:gridSpan w:val="2"/>
            <w:shd w:val="clear" w:color="auto" w:fill="CCEEFF"/>
          </w:tcPr>
          <w:p>
            <w:pPr>
              <w:jc w:val="right"/>
              <w:ind w:right="2268"/>
              <w:spacing w:after="0"/>
              <w:rPr>
                <w:sz w:val="20"/>
                <w:szCs w:val="20"/>
                <w:color w:val="auto"/>
              </w:rPr>
            </w:pPr>
            <w:r>
              <w:rPr>
                <w:rFonts w:ascii="Arial" w:cs="Arial" w:eastAsia="Arial" w:hAnsi="Arial"/>
                <w:sz w:val="18"/>
                <w:szCs w:val="18"/>
                <w:color w:val="auto"/>
                <w:w w:val="90"/>
              </w:rPr>
              <w:t>Weighted-average outstanding stock options excluded</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COMPREHENSIVE INCOME AND ACCUMULATED OTHER COMPREHENSIVE INCOME.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impact of the components (in millions) of other comprehensive income or loss on deferred tax benefits (income taxes).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920" w:type="dxa"/>
            <w:vAlign w:val="bottom"/>
            <w:gridSpan w:val="5"/>
            <w:shd w:val="clear" w:color="auto" w:fill="CCEEFF"/>
          </w:tcPr>
          <w:p>
            <w:pPr>
              <w:ind w:left="6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shd w:val="clear" w:color="auto" w:fill="CCEEFF"/>
          </w:tcPr>
          <w:p>
            <w:pPr>
              <w:spacing w:after="0"/>
              <w:rPr>
                <w:sz w:val="22"/>
                <w:szCs w:val="22"/>
                <w:color w:val="auto"/>
              </w:rPr>
            </w:pPr>
          </w:p>
        </w:tc>
        <w:tc>
          <w:tcPr>
            <w:tcW w:w="2780" w:type="dxa"/>
            <w:vAlign w:val="bottom"/>
            <w:gridSpan w:val="4"/>
            <w:shd w:val="clear" w:color="auto" w:fill="CCEEFF"/>
          </w:tcPr>
          <w:p>
            <w:pPr>
              <w:jc w:val="right"/>
              <w:ind w:right="873"/>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6/30/2014</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6/30/2015</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6/30/2014</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6/30/2015</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benefits (income taxes) 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Net unrealized holding gains or losses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Reclassification adjustment recognized in the provision for income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5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taxes related to net gains realized on dispositions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w w:val="96"/>
              </w:rPr>
              <w:t>Net deferred tax benefits on net unrealized holding gains or losses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9.2</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deferred tax benefits (income taxes) on currency translation</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 deferred tax benefit (income taxes)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10.7</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420"/>
          </w:cols>
          <w:pgMar w:left="240" w:top="580" w:right="239" w:bottom="1440" w:gutter="0" w:footer="0" w:header="0"/>
        </w:sectPr>
      </w:pPr>
    </w:p>
    <w:bookmarkStart w:id="12" w:name="page13"/>
    <w:bookmarkEnd w:id="12"/>
    <w:p>
      <w:pPr>
        <w:ind w:right="40"/>
        <w:spacing w:after="0" w:line="277" w:lineRule="auto"/>
        <w:rPr>
          <w:sz w:val="20"/>
          <w:szCs w:val="20"/>
          <w:color w:val="auto"/>
        </w:rPr>
      </w:pPr>
      <w:r>
        <w:rPr>
          <w:rFonts w:ascii="Arial" w:cs="Arial" w:eastAsia="Arial" w:hAnsi="Arial"/>
          <w:sz w:val="18"/>
          <w:szCs w:val="18"/>
          <w:color w:val="auto"/>
        </w:rPr>
        <w:t>The changes (in millions) in each component of accumulated other comprehensive income, including reclassification adjustments for the first half of 2015 are presented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8" w:lineRule="exact"/>
        <w:rPr>
          <w:sz w:val="20"/>
          <w:szCs w:val="20"/>
          <w:color w:val="auto"/>
        </w:rPr>
      </w:pPr>
    </w:p>
    <w:p>
      <w:pPr>
        <w:jc w:val="center"/>
        <w:ind w:left="420"/>
        <w:spacing w:after="0"/>
        <w:rPr>
          <w:sz w:val="20"/>
          <w:szCs w:val="20"/>
          <w:color w:val="auto"/>
        </w:rPr>
      </w:pPr>
      <w:r>
        <w:rPr>
          <w:rFonts w:ascii="Arial" w:cs="Arial" w:eastAsia="Arial" w:hAnsi="Arial"/>
          <w:sz w:val="14"/>
          <w:szCs w:val="14"/>
          <w:b w:val="1"/>
          <w:bCs w:val="1"/>
          <w:color w:val="auto"/>
        </w:rPr>
        <w:t>Net unrealized holding gains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23495</wp:posOffset>
            </wp:positionV>
            <wp:extent cx="2992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Investments in</w:t>
            </w: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Equity share of UTI’s</w:t>
            </w:r>
          </w:p>
        </w:tc>
        <w:tc>
          <w:tcPr>
            <w:tcW w:w="120" w:type="dxa"/>
            <w:vAlign w:val="bottom"/>
          </w:tcPr>
          <w:p>
            <w:pPr>
              <w:spacing w:after="0"/>
              <w:rPr>
                <w:sz w:val="14"/>
                <w:szCs w:val="14"/>
                <w:color w:val="auto"/>
              </w:rPr>
            </w:pPr>
          </w:p>
        </w:tc>
        <w:tc>
          <w:tcPr>
            <w:tcW w:w="14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Total net unrealized</w:t>
            </w:r>
          </w:p>
        </w:tc>
        <w:tc>
          <w:tcPr>
            <w:tcW w:w="15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4"/>
              </w:rPr>
              <w:t>Currency translation</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6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net unrealized holding</w:t>
            </w: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sponsored funds</w:t>
            </w:r>
          </w:p>
        </w:tc>
        <w:tc>
          <w:tcPr>
            <w:tcW w:w="360" w:type="dxa"/>
            <w:vAlign w:val="bottom"/>
          </w:tcPr>
          <w:p>
            <w:pPr>
              <w:spacing w:after="0"/>
              <w:rPr>
                <w:sz w:val="16"/>
                <w:szCs w:val="16"/>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gains</w:t>
            </w:r>
          </w:p>
        </w:tc>
        <w:tc>
          <w:tcPr>
            <w:tcW w:w="120" w:type="dxa"/>
            <w:vAlign w:val="bottom"/>
          </w:tcPr>
          <w:p>
            <w:pPr>
              <w:spacing w:after="0"/>
              <w:rPr>
                <w:sz w:val="16"/>
                <w:szCs w:val="16"/>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holding gains</w:t>
            </w: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adjustments</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2014</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165.0</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09"/>
        </w:trPr>
        <w:tc>
          <w:tcPr>
            <w:tcW w:w="3540" w:type="dxa"/>
            <w:vAlign w:val="bottom"/>
          </w:tcPr>
          <w:p>
            <w:pPr>
              <w:ind w:left="40"/>
              <w:spacing w:after="0"/>
              <w:rPr>
                <w:sz w:val="20"/>
                <w:szCs w:val="20"/>
                <w:color w:val="auto"/>
              </w:rPr>
            </w:pPr>
            <w:r>
              <w:rPr>
                <w:rFonts w:ascii="Arial" w:cs="Arial" w:eastAsia="Arial" w:hAnsi="Arial"/>
                <w:sz w:val="18"/>
                <w:szCs w:val="18"/>
                <w:color w:val="auto"/>
              </w:rPr>
              <w:t>Other comprehensive income (loss) before</w:t>
            </w: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reclassifications and income taxes</w:t>
            </w:r>
          </w:p>
        </w:tc>
        <w:tc>
          <w:tcPr>
            <w:tcW w:w="20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Reclassification adjustments related to net gains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realized on dispositions recognized in non-</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operating investment income, determined using</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cost</w:t>
            </w: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37"/>
        </w:trPr>
        <w:tc>
          <w:tcPr>
            <w:tcW w:w="35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benefits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June 30, 2015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156.9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157.5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20"/>
          </w:cols>
          <w:pgMar w:left="240" w:top="746"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1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have reviewed the condensed consolidated balance sheet of T. Rowe Price Group, Inc. and subsidiaries (“the Company”) as of June 30, 2015, the related condensed consolidated statements of income and comprehensive income for the three- and six--month periods ended June 30, 2015 and 2014, the related condensed consolidated statements of cash flows for the six-month periods ended June 30, 2015 and 2014, and the related condensed consolidated statement of stockholders’ equity for the six-month period ended June 30, 2015. These condensed consolidated financial statements are the responsibility of the Company’s management.</w:t>
      </w:r>
    </w:p>
    <w:p>
      <w:pPr>
        <w:spacing w:after="0" w:line="18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conducted our reviews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5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Based on our reviews, we are not aware of any material modifications that should be made to the condensed consolidated financial statements referred to above for them to be in conformity with U.S. generally accepted accounting principles.</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have previously audited, in accordance with standards of the Public Company Accounting Oversight Board (United States), the consolidated balance sheet of T. Rowe Price Group, Inc. and subsidiaries as of December 31, 2014, and the related consolidated statements of income, comprehensive income, stockholders’ equity, and cash flows for the year then ended (not presented herein); and in our report dated February 5, 2015, we expressed an unqualified opinion on those consolidated financial statements. In our opinion, the information set forth in the accompanying condensed consolidated balance sheet as of December 31, 2014, is fairly stated, in all material respects, in relation to the consolidated balance sheet from which it has been derived.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23, 2015</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revenues and net income are derived primarily from investment advisory services provided to individual and institutional investors in our sponsored U.S. mutual funds and other investment portfolios. The other investment portfolios include separately managed accounts, subadvised funds, and other sponsored investment portfolios including collective investment trusts, target-date retirement trusts, Luxembourg-based funds offered to investors outside the U.S., and portfolios offered through variable annuity life insurance plans. Investment advisory clients domiciled outside the U.S. account for 5% of our assets under management at June 30, 2015.</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manage a broad range of U.S., international and global stock, bond, and money market mutual funds and other investment portfolios, which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affect our revenues and results of operations.</w:t>
      </w:r>
    </w:p>
    <w:p>
      <w:pPr>
        <w:spacing w:after="0" w:line="18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remain debt-free with substantial liquidity and resources that allow us to take advantage of attractive growth opportunities, invest in key capabilities, including investment professionals, technologies, and new fund offerings; and, most importantly, provide our clients with strong investment management expertise and service both now and in the future. We expect to continue our investment in long-term initiatives to sustain and deepen our investment talent, add investment capabilities both in terms of new strategies and new investment vehicles, expand capabilities through enhanced technology, and broaden our distribution reach globally.</w:t>
      </w:r>
    </w:p>
    <w:p>
      <w:pPr>
        <w:spacing w:after="0" w:line="188" w:lineRule="exact"/>
        <w:rPr>
          <w:sz w:val="20"/>
          <w:szCs w:val="20"/>
          <w:color w:val="auto"/>
        </w:rPr>
      </w:pPr>
    </w:p>
    <w:p>
      <w:pPr>
        <w:jc w:val="both"/>
        <w:ind w:right="160"/>
        <w:spacing w:after="0" w:line="257" w:lineRule="auto"/>
        <w:rPr>
          <w:sz w:val="20"/>
          <w:szCs w:val="20"/>
          <w:color w:val="auto"/>
        </w:rPr>
      </w:pPr>
      <w:r>
        <w:rPr>
          <w:rFonts w:ascii="Arial" w:cs="Arial" w:eastAsia="Arial" w:hAnsi="Arial"/>
          <w:sz w:val="18"/>
          <w:szCs w:val="18"/>
          <w:color w:val="auto"/>
        </w:rPr>
        <w:t>In 2014, we made a long-term strategic decision to change our delivery of certain administrative services, including fund accounting and other investment recordkeeping operations. In the second quarter of 2015, we finalized our agreement with BNY Mellon to provide such services. As part of the agreement, approximately 220 associates are expected to become employees of BNY Mellon on August 1, 2015. Though the compensation and related costs and other operating expenses line items of our consolidated income statement will be affected, we do not expect that the impact on our future operating results will be material.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BACKGROUND.</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U.S. stock market returns were mixed in the second quarter of 2015. Most major indexes reached new all-time highs in May or June, but they closed below their highest levels of the quarter following a sharp sell-off at the end of June. For most of the quarter, the market was supported by merger activity, a strengthening economy, and better-than-expected first-quarter corporate earnings. As the quarter ended, global markets reacted negatively to events in Greece, including the implementation of capital controls, a missed payment to the International Monetary Fund, and the expiration of its bailout agreement.</w:t>
      </w:r>
    </w:p>
    <w:p>
      <w:pPr>
        <w:spacing w:after="0" w:line="154"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Stocks in developed non-U.S. markets narrowly outperformed large-cap U.S. shares. In Asia, Hong Kong shares produced positive returns, lifted by Chinese economic stimulus measures, while Japanese stocks rose amid signs of stronger economic growth. European markets in aggregate saw little change in dollar terms. Stocks in emerging markets performed in line with developed non-U.S. markets. Certain markets, such as Russia, Brazil, and China, produced strong returns in dollar terms for the quarter, but Chinese shares slumped in the second half of June.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Returns of several major equity market indexes for the three- and six-month periods ended June 30, 2015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60" w:type="dxa"/>
            <w:vAlign w:val="bottom"/>
            <w:gridSpan w:val="2"/>
            <w:shd w:val="clear" w:color="auto" w:fill="CCEEFF"/>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74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Six months ended</w:t>
            </w:r>
          </w:p>
        </w:tc>
      </w:tr>
      <w:tr>
        <w:trPr>
          <w:trHeight w:val="250"/>
        </w:trPr>
        <w:tc>
          <w:tcPr>
            <w:tcW w:w="7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Index</w:t>
            </w:r>
          </w:p>
        </w:tc>
        <w:tc>
          <w:tcPr>
            <w:tcW w:w="120" w:type="dxa"/>
            <w:vAlign w:val="bottom"/>
            <w:tcBorders>
              <w:bottom w:val="single" w:sz="8" w:color="CCEEFF"/>
            </w:tcBorders>
          </w:tcPr>
          <w:p>
            <w:pPr>
              <w:spacing w:after="0"/>
              <w:rPr>
                <w:sz w:val="21"/>
                <w:szCs w:val="21"/>
                <w:color w:val="auto"/>
              </w:rPr>
            </w:pPr>
          </w:p>
        </w:tc>
        <w:tc>
          <w:tcPr>
            <w:tcW w:w="17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6/30/2015</w:t>
            </w:r>
          </w:p>
        </w:tc>
        <w:tc>
          <w:tcPr>
            <w:tcW w:w="100" w:type="dxa"/>
            <w:vAlign w:val="bottom"/>
            <w:tcBorders>
              <w:bottom w:val="single" w:sz="8" w:color="CCEEFF"/>
            </w:tcBorders>
          </w:tcPr>
          <w:p>
            <w:pPr>
              <w:spacing w:after="0"/>
              <w:rPr>
                <w:sz w:val="21"/>
                <w:szCs w:val="21"/>
                <w:color w:val="auto"/>
              </w:rPr>
            </w:pPr>
          </w:p>
        </w:tc>
        <w:tc>
          <w:tcPr>
            <w:tcW w:w="17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6/30/2015</w:t>
            </w:r>
          </w:p>
        </w:tc>
      </w:tr>
      <w:tr>
        <w:trPr>
          <w:trHeight w:val="250"/>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S&amp;P 500 Index</w:t>
            </w:r>
          </w:p>
        </w:tc>
        <w:tc>
          <w:tcPr>
            <w:tcW w:w="1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1.2%</w:t>
            </w:r>
          </w:p>
        </w:tc>
      </w:tr>
      <w:tr>
        <w:trPr>
          <w:trHeight w:val="270"/>
        </w:trPr>
        <w:tc>
          <w:tcPr>
            <w:tcW w:w="73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NASDAQ Composite Index </w:t>
            </w:r>
            <w:r>
              <w:rPr>
                <w:rFonts w:ascii="Arial" w:cs="Arial" w:eastAsia="Arial" w:hAnsi="Arial"/>
                <w:sz w:val="25"/>
                <w:szCs w:val="25"/>
                <w:color w:val="auto"/>
                <w:vertAlign w:val="superscript"/>
              </w:rPr>
              <w:t>(1)</w:t>
            </w: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1.8%</w:t>
            </w:r>
          </w:p>
        </w:tc>
        <w:tc>
          <w:tcPr>
            <w:tcW w:w="10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5.3%</w:t>
            </w:r>
          </w:p>
        </w:tc>
      </w:tr>
      <w:tr>
        <w:trPr>
          <w:trHeight w:val="250"/>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Russell 2000 Index</w:t>
            </w:r>
          </w:p>
        </w:tc>
        <w:tc>
          <w:tcPr>
            <w:tcW w:w="1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4.8%</w:t>
            </w:r>
          </w:p>
        </w:tc>
      </w:tr>
      <w:tr>
        <w:trPr>
          <w:trHeight w:val="243"/>
        </w:trPr>
        <w:tc>
          <w:tcPr>
            <w:tcW w:w="7360" w:type="dxa"/>
            <w:vAlign w:val="bottom"/>
            <w:gridSpan w:val="2"/>
          </w:tcPr>
          <w:p>
            <w:pPr>
              <w:ind w:left="40"/>
              <w:spacing w:after="0"/>
              <w:rPr>
                <w:sz w:val="20"/>
                <w:szCs w:val="20"/>
                <w:color w:val="auto"/>
              </w:rPr>
            </w:pPr>
            <w:r>
              <w:rPr>
                <w:rFonts w:ascii="Arial" w:cs="Arial" w:eastAsia="Arial" w:hAnsi="Arial"/>
                <w:sz w:val="18"/>
                <w:szCs w:val="18"/>
                <w:color w:val="auto"/>
              </w:rPr>
              <w:t>MSCI EAFE (Europe, Australasia, and Far East) Index</w:t>
            </w: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0.8%</w:t>
            </w:r>
          </w:p>
        </w:tc>
        <w:tc>
          <w:tcPr>
            <w:tcW w:w="10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5.9%</w:t>
            </w:r>
          </w:p>
        </w:tc>
      </w:tr>
      <w:tr>
        <w:trPr>
          <w:trHeight w:val="27"/>
        </w:trPr>
        <w:tc>
          <w:tcPr>
            <w:tcW w:w="7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MSCI Emerging Markets Index</w:t>
            </w:r>
          </w:p>
        </w:tc>
        <w:tc>
          <w:tcPr>
            <w:tcW w:w="1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3.1%</w:t>
            </w:r>
          </w:p>
        </w:tc>
      </w:tr>
      <w:tr>
        <w:trPr>
          <w:trHeight w:val="329"/>
        </w:trPr>
        <w:tc>
          <w:tcPr>
            <w:tcW w:w="7360" w:type="dxa"/>
            <w:vAlign w:val="bottom"/>
            <w:gridSpan w:val="2"/>
          </w:tcPr>
          <w:p>
            <w:pPr>
              <w:ind w:left="6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i w:val="1"/>
                <w:iCs w:val="1"/>
                <w:color w:val="auto"/>
              </w:rPr>
              <w:t xml:space="preserve"> returns exclude dividends</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pacing w:after="0" w:line="8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Global bonds fell slightly in dollar terms in the second quarter of 2015. In the U.S., investment-grade issues declined as longer-term Treasury interest rates increased. However, yields closed below their highest levels of the quarter as fears that Greece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400"/>
          </w:cols>
          <w:pgMar w:left="240" w:top="580" w:right="259" w:bottom="1440" w:gutter="0" w:footer="0" w:header="0"/>
        </w:sectPr>
      </w:pPr>
    </w:p>
    <w:bookmarkStart w:id="15" w:name="page16"/>
    <w:bookmarkEnd w:id="15"/>
    <w:p>
      <w:pPr>
        <w:spacing w:after="0"/>
        <w:rPr>
          <w:sz w:val="20"/>
          <w:szCs w:val="20"/>
          <w:color w:val="auto"/>
        </w:rPr>
      </w:pPr>
      <w:r>
        <w:rPr>
          <w:rFonts w:ascii="Arial" w:cs="Arial" w:eastAsia="Arial" w:hAnsi="Arial"/>
          <w:sz w:val="17"/>
          <w:szCs w:val="17"/>
          <w:color w:val="auto"/>
        </w:rPr>
        <w:t>would exit the eurozone prompted investors to favor the safety of U.S. government bonds. The yield on the benchmark 10-year Treasury note rose from</w:t>
      </w:r>
    </w:p>
    <w:p>
      <w:pPr>
        <w:spacing w:after="0" w:line="3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1.94% to 2.35% during the quarter. High yield bond returns were flat, but they outperformed high-quality issues, helped by a rebound in oil prices and lower interest rate sensitivity.</w:t>
      </w:r>
    </w:p>
    <w:p>
      <w:pPr>
        <w:spacing w:after="0" w:line="184"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Bonds in developed non-U.S. markets fell slightly in dollar terms, as bond price depreciation was mostly offset by the positive effects of stronger European currencies versus the dollar. U.S. dollar-denominated and local currency-denominated emerging markets bonds edged lower. The dollar was not uniformly strong versus all emerging markets currencies, so returns varied by country.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Returns for several major bond market indexes for the three- and six-month periods ended June 30, 2015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20" w:type="dxa"/>
            <w:vAlign w:val="bottom"/>
            <w:gridSpan w:val="2"/>
            <w:shd w:val="clear" w:color="auto" w:fill="CCEEFF"/>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700" w:type="dxa"/>
            <w:vAlign w:val="bottom"/>
            <w:shd w:val="clear" w:color="auto" w:fill="CCEEFF"/>
          </w:tcPr>
          <w:p>
            <w:pPr>
              <w:ind w:left="300"/>
              <w:spacing w:after="0"/>
              <w:rPr>
                <w:sz w:val="20"/>
                <w:szCs w:val="20"/>
                <w:color w:val="auto"/>
              </w:rPr>
            </w:pPr>
            <w:r>
              <w:rPr>
                <w:rFonts w:ascii="Arial" w:cs="Arial" w:eastAsia="Arial" w:hAnsi="Arial"/>
                <w:sz w:val="14"/>
                <w:szCs w:val="14"/>
                <w:b w:val="1"/>
                <w:bCs w:val="1"/>
                <w:color w:val="auto"/>
              </w:rPr>
              <w:t>Six months ended</w:t>
            </w:r>
          </w:p>
        </w:tc>
      </w:tr>
      <w:tr>
        <w:trPr>
          <w:trHeight w:val="250"/>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Index</w:t>
            </w:r>
          </w:p>
        </w:tc>
        <w:tc>
          <w:tcPr>
            <w:tcW w:w="120" w:type="dxa"/>
            <w:vAlign w:val="bottom"/>
            <w:tcBorders>
              <w:bottom w:val="single" w:sz="8" w:color="CCEEFF"/>
            </w:tcBorders>
          </w:tcPr>
          <w:p>
            <w:pPr>
              <w:spacing w:after="0"/>
              <w:rPr>
                <w:sz w:val="21"/>
                <w:szCs w:val="21"/>
                <w:color w:val="auto"/>
              </w:rPr>
            </w:pPr>
          </w:p>
        </w:tc>
        <w:tc>
          <w:tcPr>
            <w:tcW w:w="1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6/30/2015</w:t>
            </w:r>
          </w:p>
        </w:tc>
        <w:tc>
          <w:tcPr>
            <w:tcW w:w="100" w:type="dxa"/>
            <w:vAlign w:val="bottom"/>
            <w:tcBorders>
              <w:bottom w:val="single" w:sz="8" w:color="CCEEFF"/>
            </w:tcBorders>
          </w:tcPr>
          <w:p>
            <w:pPr>
              <w:spacing w:after="0"/>
              <w:rPr>
                <w:sz w:val="21"/>
                <w:szCs w:val="21"/>
                <w:color w:val="auto"/>
              </w:rPr>
            </w:pPr>
          </w:p>
        </w:tc>
        <w:tc>
          <w:tcPr>
            <w:tcW w:w="17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6/30/2015</w:t>
            </w: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Barclays U.S. Aggregate Bond Index</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(0.1)%</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Credit Suisse High Yield Index</w:t>
            </w: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0.3%</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2.9%</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Barclays Municipal Bond Index</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0.1%</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Barclays Global Aggregate Ex-U.S. Dollar Bond Index</w:t>
            </w:r>
          </w:p>
        </w:tc>
        <w:tc>
          <w:tcPr>
            <w:tcW w:w="1720" w:type="dxa"/>
            <w:vAlign w:val="bottom"/>
          </w:tcPr>
          <w:p>
            <w:pPr>
              <w:jc w:val="center"/>
              <w:spacing w:after="0"/>
              <w:rPr>
                <w:sz w:val="20"/>
                <w:szCs w:val="20"/>
                <w:color w:val="auto"/>
              </w:rPr>
            </w:pPr>
            <w:r>
              <w:rPr>
                <w:rFonts w:ascii="Arial" w:cs="Arial" w:eastAsia="Arial" w:hAnsi="Arial"/>
                <w:sz w:val="18"/>
                <w:szCs w:val="18"/>
                <w:color w:val="auto"/>
                <w:w w:val="94"/>
              </w:rPr>
              <w:t>(0.8)%</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4"/>
              </w:rPr>
              <w:t>(5.4)%</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3"/>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JPMorgan Emerging Markets Bond Index Plus</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(0.9)%</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1.0%</w:t>
            </w:r>
          </w:p>
        </w:tc>
      </w:tr>
      <w:tr>
        <w:trPr>
          <w:trHeight w:val="27"/>
        </w:trPr>
        <w:tc>
          <w:tcPr>
            <w:tcW w:w="7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ASSETS UNDER MANAGEMENT.</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Assets under management ended the second quarter of 2015 at $773.0 billion, an increase of $.3 billion from March 31, 2015, and $26.2 billion from the end of 2014. Assets under management (in billions) as of December 31, 2014 and June 30, 2015, are presented by investment portfolio and investment objective in the following table.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w w:val="85"/>
              </w:rPr>
              <w:t>As of</w:t>
            </w:r>
          </w:p>
        </w:tc>
        <w:tc>
          <w:tcPr>
            <w:tcW w:w="1280" w:type="dxa"/>
            <w:vAlign w:val="bottom"/>
            <w:tcBorders>
              <w:bottom w:val="single" w:sz="8" w:color="auto"/>
            </w:tcBorders>
            <w:shd w:val="clear" w:color="auto" w:fill="CCEEFF"/>
          </w:tcPr>
          <w:p>
            <w:pPr>
              <w:spacing w:after="0"/>
              <w:rPr>
                <w:sz w:val="22"/>
                <w:szCs w:val="22"/>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12/31/2014</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6/30/2015</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Sponsored U.S. mutual funds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477.6</w:t>
            </w:r>
          </w:p>
        </w:tc>
        <w:tc>
          <w:tcPr>
            <w:tcW w:w="5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500.1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investment portfolios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269.2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272.9</w:t>
            </w: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746.8</w:t>
            </w: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773.0</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8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4"/>
        </w:trPr>
        <w:tc>
          <w:tcPr>
            <w:tcW w:w="8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w w:val="85"/>
              </w:rPr>
              <w:t>As of</w:t>
            </w:r>
          </w:p>
        </w:tc>
        <w:tc>
          <w:tcPr>
            <w:tcW w:w="1280" w:type="dxa"/>
            <w:vAlign w:val="bottom"/>
            <w:tcBorders>
              <w:bottom w:val="single" w:sz="8" w:color="auto"/>
            </w:tcBorders>
            <w:shd w:val="clear" w:color="auto" w:fill="CCEEFF"/>
          </w:tcPr>
          <w:p>
            <w:pPr>
              <w:spacing w:after="0"/>
              <w:rPr>
                <w:sz w:val="22"/>
                <w:szCs w:val="22"/>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12/31/2014</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6/30/2015</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and blended asset portfolios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579.9</w:t>
            </w:r>
          </w:p>
        </w:tc>
        <w:tc>
          <w:tcPr>
            <w:tcW w:w="5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602.9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Fixed income portfolios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166.9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170.1</w:t>
            </w: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746.8</w:t>
            </w: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773.0</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details the changes in our assets under management (in billions) during the three- and six-month periods ended June 30, 2015: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7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500" w:type="dxa"/>
            <w:vAlign w:val="bottom"/>
            <w:tcBorders>
              <w:bottom w:val="single" w:sz="8" w:color="auto"/>
            </w:tcBorders>
            <w:gridSpan w:val="6"/>
            <w:shd w:val="clear" w:color="auto" w:fill="CCEEFF"/>
          </w:tcPr>
          <w:p>
            <w:pPr>
              <w:jc w:val="center"/>
              <w:ind w:left="494"/>
              <w:spacing w:after="0"/>
              <w:rPr>
                <w:sz w:val="20"/>
                <w:szCs w:val="20"/>
                <w:color w:val="auto"/>
              </w:rPr>
            </w:pPr>
            <w:r>
              <w:rPr>
                <w:rFonts w:ascii="Arial" w:cs="Arial" w:eastAsia="Arial" w:hAnsi="Arial"/>
                <w:sz w:val="14"/>
                <w:szCs w:val="14"/>
                <w:b w:val="1"/>
                <w:bCs w:val="1"/>
                <w:color w:val="auto"/>
                <w:w w:val="92"/>
              </w:rPr>
              <w:t>Three months ended 6/30/2015</w:t>
            </w:r>
          </w:p>
        </w:tc>
        <w:tc>
          <w:tcPr>
            <w:tcW w:w="7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2260" w:type="dxa"/>
            <w:vAlign w:val="bottom"/>
            <w:tcBorders>
              <w:bottom w:val="single" w:sz="8" w:color="auto"/>
            </w:tcBorders>
            <w:gridSpan w:val="6"/>
            <w:shd w:val="clear" w:color="auto" w:fill="CCEEFF"/>
          </w:tcPr>
          <w:p>
            <w:pPr>
              <w:jc w:val="center"/>
              <w:ind w:left="352"/>
              <w:spacing w:after="0"/>
              <w:rPr>
                <w:sz w:val="20"/>
                <w:szCs w:val="20"/>
                <w:color w:val="auto"/>
              </w:rPr>
            </w:pPr>
            <w:r>
              <w:rPr>
                <w:rFonts w:ascii="Arial" w:cs="Arial" w:eastAsia="Arial" w:hAnsi="Arial"/>
                <w:sz w:val="14"/>
                <w:szCs w:val="14"/>
                <w:b w:val="1"/>
                <w:bCs w:val="1"/>
                <w:color w:val="auto"/>
                <w:w w:val="91"/>
              </w:rPr>
              <w:t>Six months ended 6/30/2015</w:t>
            </w:r>
          </w:p>
        </w:tc>
        <w:tc>
          <w:tcPr>
            <w:tcW w:w="720" w:type="dxa"/>
            <w:vAlign w:val="bottom"/>
            <w:tcBorders>
              <w:bottom w:val="single" w:sz="8" w:color="auto"/>
            </w:tcBorders>
            <w:shd w:val="clear" w:color="auto" w:fill="CCEEFF"/>
          </w:tcPr>
          <w:p>
            <w:pPr>
              <w:spacing w:after="0"/>
              <w:rPr>
                <w:sz w:val="22"/>
                <w:szCs w:val="22"/>
                <w:color w:val="auto"/>
              </w:rPr>
            </w:pPr>
          </w:p>
        </w:tc>
      </w:tr>
      <w:tr>
        <w:trPr>
          <w:trHeight w:val="155"/>
        </w:trPr>
        <w:tc>
          <w:tcPr>
            <w:tcW w:w="4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6"/>
              </w:rPr>
              <w:t>Other</w:t>
            </w: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6"/>
              </w:rPr>
              <w:t>Other</w:t>
            </w: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49"/>
        </w:trPr>
        <w:tc>
          <w:tcPr>
            <w:tcW w:w="4700" w:type="dxa"/>
            <w:vAlign w:val="bottom"/>
          </w:tcPr>
          <w:p>
            <w:pPr>
              <w:spacing w:after="0"/>
              <w:rPr>
                <w:sz w:val="12"/>
                <w:szCs w:val="12"/>
                <w:color w:val="auto"/>
              </w:rPr>
            </w:pPr>
          </w:p>
        </w:tc>
        <w:tc>
          <w:tcPr>
            <w:tcW w:w="11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Sponsored U.S.</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investment</w:t>
            </w: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Sponsored U.S.</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investment</w:t>
            </w: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90"/>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mutual funds</w:t>
            </w: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portfolios</w:t>
            </w:r>
          </w:p>
        </w:tc>
        <w:tc>
          <w:tcPr>
            <w:tcW w:w="32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mutual funds</w:t>
            </w: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portfolios</w:t>
            </w:r>
          </w:p>
        </w:tc>
        <w:tc>
          <w:tcPr>
            <w:tcW w:w="300" w:type="dxa"/>
            <w:vAlign w:val="bottom"/>
          </w:tcPr>
          <w:p>
            <w:pPr>
              <w:spacing w:after="0"/>
              <w:rPr>
                <w:sz w:val="16"/>
                <w:szCs w:val="16"/>
                <w:color w:val="auto"/>
              </w:rPr>
            </w:pPr>
          </w:p>
        </w:tc>
        <w:tc>
          <w:tcPr>
            <w:tcW w:w="720" w:type="dxa"/>
            <w:vAlign w:val="bottom"/>
          </w:tcPr>
          <w:p>
            <w:pPr>
              <w:jc w:val="right"/>
              <w:ind w:right="272"/>
              <w:spacing w:after="0"/>
              <w:rPr>
                <w:sz w:val="20"/>
                <w:szCs w:val="20"/>
                <w:color w:val="auto"/>
              </w:rPr>
            </w:pPr>
            <w:r>
              <w:rPr>
                <w:rFonts w:ascii="Arial" w:cs="Arial" w:eastAsia="Arial" w:hAnsi="Arial"/>
                <w:sz w:val="14"/>
                <w:szCs w:val="14"/>
                <w:b w:val="1"/>
                <w:bCs w:val="1"/>
                <w:color w:val="auto"/>
              </w:rPr>
              <w:t>Total</w:t>
            </w:r>
          </w:p>
        </w:tc>
      </w:tr>
      <w:tr>
        <w:trPr>
          <w:trHeight w:val="27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under management at beginning of period</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497.2</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275.5</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772.7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CCEEFF"/>
            </w:tcBorders>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477.6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269.2</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746.8</w:t>
            </w:r>
          </w:p>
        </w:tc>
      </w:tr>
      <w:tr>
        <w:trPr>
          <w:trHeight w:val="277"/>
        </w:trPr>
        <w:tc>
          <w:tcPr>
            <w:tcW w:w="47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flows before client transfers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Client transfers from mutual funds to other portfolios</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flows after client transfers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market appreciation and income</w:t>
            </w:r>
          </w:p>
        </w:tc>
        <w:tc>
          <w:tcPr>
            <w:tcW w:w="12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26.4</w:t>
            </w: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during the period</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w:t>
            </w:r>
          </w:p>
        </w:tc>
      </w:tr>
      <w:tr>
        <w:trPr>
          <w:trHeight w:val="277"/>
        </w:trPr>
        <w:tc>
          <w:tcPr>
            <w:tcW w:w="47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under management at June 30, 2015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500.1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272.9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773.0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500.1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272.9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773.0</w:t>
            </w: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16</w:t>
      </w:r>
    </w:p>
    <w:p>
      <w:pPr>
        <w:sectPr>
          <w:pgSz w:w="11900" w:h="16838" w:orient="portrait"/>
          <w:cols w:equalWidth="0" w:num="1">
            <w:col w:w="11420"/>
          </w:cols>
          <w:pgMar w:left="240" w:top="584" w:right="239" w:bottom="1440" w:gutter="0" w:footer="0" w:header="0"/>
          <w:type w:val="continuous"/>
        </w:sectPr>
      </w:pPr>
    </w:p>
    <w:bookmarkStart w:id="16" w:name="page17"/>
    <w:bookmarkEnd w:id="16"/>
    <w:p>
      <w:pPr>
        <w:ind w:right="580"/>
        <w:spacing w:after="0" w:line="277" w:lineRule="auto"/>
        <w:rPr>
          <w:sz w:val="20"/>
          <w:szCs w:val="20"/>
          <w:color w:val="auto"/>
        </w:rPr>
      </w:pPr>
      <w:r>
        <w:rPr>
          <w:rFonts w:ascii="Arial" w:cs="Arial" w:eastAsia="Arial" w:hAnsi="Arial"/>
          <w:sz w:val="18"/>
          <w:szCs w:val="18"/>
          <w:color w:val="auto"/>
        </w:rPr>
        <w:t>The client transfers from mutual funds to other investment portfolios noted in the table above were primarily transfers from mutual funds to collective investment trusts, including our retirement date trusts.</w:t>
      </w:r>
    </w:p>
    <w:p>
      <w:pPr>
        <w:spacing w:after="0" w:line="170" w:lineRule="exact"/>
        <w:rPr>
          <w:sz w:val="20"/>
          <w:szCs w:val="20"/>
          <w:color w:val="auto"/>
        </w:rPr>
      </w:pPr>
    </w:p>
    <w:p>
      <w:pPr>
        <w:jc w:val="both"/>
        <w:ind w:right="300"/>
        <w:spacing w:after="0" w:line="279" w:lineRule="auto"/>
        <w:rPr>
          <w:sz w:val="20"/>
          <w:szCs w:val="20"/>
          <w:color w:val="auto"/>
        </w:rPr>
      </w:pPr>
      <w:r>
        <w:rPr>
          <w:rFonts w:ascii="Arial" w:cs="Arial" w:eastAsia="Arial" w:hAnsi="Arial"/>
          <w:sz w:val="17"/>
          <w:szCs w:val="17"/>
          <w:color w:val="auto"/>
        </w:rPr>
        <w:t>For the second quarter of 2015, the net cash inflows, after client transfers, into the mutual funds of $1.4 billion, include net inflows of $1.5 billion into the fixed income funds and $.4 billion into the stock and blended asset funds. These net inflows were offset by net outflows from money market funds of $.5 billion. The net cash outflows during the second quarter of 2015 from the other investment portfolios were largely concentrated among a small number of institutional and subadvised clients who redeemed primarily from large-cap U.S. equity strategies.</w:t>
      </w:r>
    </w:p>
    <w:p>
      <w:pPr>
        <w:spacing w:after="0" w:line="17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For the six-month period ended June 30, 2015, the net cash inflows, after client transfers, into the mutual funds of $4.8 billion, include net inflows of $3.1 billion into the fixed income funds and $2.5 billion into the stock and blended asset funds. These net inflows were offset by net outflows from money market funds of $.8 billion. The net cash outflows during the first half of 2015 from the other investment portfolios were largely concentrated among a small number of institutional and subadvised clients who redeemed primarily from large-cap U.S. equity strategies.</w:t>
      </w:r>
    </w:p>
    <w:p>
      <w:pPr>
        <w:spacing w:after="0" w:line="171" w:lineRule="exact"/>
        <w:rPr>
          <w:sz w:val="20"/>
          <w:szCs w:val="20"/>
          <w:color w:val="auto"/>
        </w:rPr>
      </w:pPr>
    </w:p>
    <w:p>
      <w:pPr>
        <w:jc w:val="both"/>
        <w:ind w:right="120"/>
        <w:spacing w:after="0" w:line="302" w:lineRule="auto"/>
        <w:rPr>
          <w:sz w:val="20"/>
          <w:szCs w:val="20"/>
          <w:color w:val="auto"/>
        </w:rPr>
      </w:pPr>
      <w:r>
        <w:rPr>
          <w:rFonts w:ascii="Arial" w:cs="Arial" w:eastAsia="Arial" w:hAnsi="Arial"/>
          <w:sz w:val="16"/>
          <w:szCs w:val="16"/>
          <w:color w:val="auto"/>
        </w:rPr>
        <w:t>Our target-date retirement portfolios invest in a broadly diversified portfolio of other T. Rowe Price funds or T. Rowe Price collective investment trusts, and automatically rebalance to maintain their specific asset allocation weightings. Total net cash flows for the three- and six- month periods ended June 30, 2015 include $5.2 billion and $12.7 billion, respectively, in net cash inflows sourced from our target-date retirement portfolios. Assets under management in these portfolios at June 30, 2015 totaled $166.5 billion, including $137.2 billion in target-date retirement funds and $29.3 billion in target-date retirement trusts.</w:t>
      </w:r>
    </w:p>
    <w:p>
      <w:pPr>
        <w:spacing w:after="0" w:line="154"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We incur significant expenditures to attract new investment advisory clients and additional investments from our existing clients. These efforts involve costs that generally precede any future revenues that we might recognize from additions to our assets under management.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Second quarter of 2015 versus second quarter of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238125</wp:posOffset>
            </wp:positionV>
            <wp:extent cx="720344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36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31750</wp:posOffset>
            </wp:positionV>
            <wp:extent cx="21437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6/30/2015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6/30/2014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ind w:left="100"/>
              <w:spacing w:after="0"/>
              <w:rPr>
                <w:sz w:val="20"/>
                <w:szCs w:val="20"/>
                <w:color w:val="auto"/>
              </w:rPr>
            </w:pPr>
            <w:r>
              <w:rPr>
                <w:rFonts w:ascii="Arial" w:cs="Arial" w:eastAsia="Arial" w:hAnsi="Arial"/>
                <w:sz w:val="18"/>
                <w:szCs w:val="18"/>
                <w:color w:val="auto"/>
              </w:rPr>
              <w:t>Dollar change</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w w:val="93"/>
              </w:rPr>
              <w:t>Percentage change</w:t>
            </w:r>
          </w:p>
        </w:tc>
      </w:tr>
      <w:tr>
        <w:trPr>
          <w:trHeight w:val="27"/>
        </w:trPr>
        <w:tc>
          <w:tcPr>
            <w:tcW w:w="4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 millions, except per-share data)</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Investment advisory fees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942.2</w:t>
            </w:r>
          </w:p>
        </w:tc>
        <w:tc>
          <w:tcPr>
            <w:tcW w:w="2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855.3</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86.9</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7"/>
        </w:trPr>
        <w:tc>
          <w:tcPr>
            <w:tcW w:w="4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1,072.4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984.3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88.1</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564.6</w:t>
            </w:r>
          </w:p>
        </w:tc>
        <w:tc>
          <w:tcPr>
            <w:tcW w:w="2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511.2</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53.4</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
        </w:trPr>
        <w:tc>
          <w:tcPr>
            <w:tcW w:w="4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operating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507.8</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473.1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34.7</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Non-operating investment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33.0</w:t>
            </w:r>
          </w:p>
        </w:tc>
        <w:tc>
          <w:tcPr>
            <w:tcW w:w="2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26.1</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26.4%</w:t>
            </w:r>
          </w:p>
        </w:tc>
      </w:tr>
      <w:tr>
        <w:trPr>
          <w:trHeight w:val="27"/>
        </w:trPr>
        <w:tc>
          <w:tcPr>
            <w:tcW w:w="4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333.2</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324"/>
        </w:trPr>
        <w:tc>
          <w:tcPr>
            <w:tcW w:w="4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share on common stock</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324"/>
        </w:trPr>
        <w:tc>
          <w:tcPr>
            <w:tcW w:w="4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4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assets under management (in billions)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783.6</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717.2</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66.4</w:t>
            </w:r>
          </w:p>
        </w:tc>
        <w:tc>
          <w:tcPr>
            <w:tcW w:w="2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7"/>
        </w:trPr>
        <w:tc>
          <w:tcPr>
            <w:tcW w:w="43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Investment advisory fees earned in the second quarter of 2015 increased over the comparable 2014 quarter as average assets under our management increased $66.4 billion, or 9.3%, to $783.6 billion. The average annualized effective fee rate earned on our assets under management during the second quarter of 2015 was 48.2 basis points compared with 47.8 basis points earned during the second quarter of 2014. We voluntarily waived $12.5 million in money market related fees, including advisory fees and fund expenses, in the second quarter of 2015, in order to maintain a positive yield for fund investors. The fee waivers in the second quarter of 2015 were down $2.5 million from the comparable 2014 quarter and represent about 1% of total investment advisory fees earned during the second quarter of 2015. Fees were waived from each of our money market mutual funds and trusts, which have combined net assets of $15.3 billion at June 30, 2015. We expect that these fee waivers will continue for the remainder of 2015.</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400"/>
          </w:cols>
          <w:pgMar w:left="240" w:top="584" w:right="259" w:bottom="1440" w:gutter="0" w:footer="0" w:header="0"/>
        </w:sectPr>
      </w:pPr>
    </w:p>
    <w:bookmarkStart w:id="17" w:name="page18"/>
    <w:bookmarkEnd w:id="17"/>
    <w:p>
      <w:pPr>
        <w:ind w:right="140"/>
        <w:spacing w:after="0" w:line="277" w:lineRule="auto"/>
        <w:rPr>
          <w:sz w:val="20"/>
          <w:szCs w:val="20"/>
          <w:color w:val="auto"/>
        </w:rPr>
      </w:pPr>
      <w:r>
        <w:rPr>
          <w:rFonts w:ascii="Arial" w:cs="Arial" w:eastAsia="Arial" w:hAnsi="Arial"/>
          <w:sz w:val="18"/>
          <w:szCs w:val="18"/>
          <w:color w:val="auto"/>
        </w:rPr>
        <w:t>Our operating margin in the second quarter of 2015 was 47.4%, a slight decline compared to 48.1% in the 2014 quarter, as we continue to make investments to broaden and deepen our investment management, distribution, and service capabilities around the world.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Investment advisory revenues earned in the second quarter of 2015 from the T. Rowe Price mutual funds distributed in the U.S. were $683.0 million, an increase of $69.6 million, or 11.3%, from the comparable 2014 quarter. Average mutual fund assets under management in the second quarter of 2015 were $506.2 billion, an increase of 11.0% from the average in the second quarter of 2014.</w:t>
      </w:r>
    </w:p>
    <w:p>
      <w:pPr>
        <w:spacing w:after="0" w:line="18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Investment advisory revenues earned in the second quarter of 2015 from the other investment portfolios were $259.2 million, an increase of $17.3 million, or 7.2%, from the comparable 2014 quarter. Average assets under management in the second quarter of 2015 were $277.4 billion, an increase of 6.2% from the average in the second quarter of 2014.</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Distribution and servicing fee revenues earned from 12b-1 plans of the Advisor Class, R Class, and variable annuity class shares of our sponsored funds and portfolios increased $3.2 million from the second quarter of 2014 on greater average assets under management in these share classes. The 12b-1 fees earned are offset entirely by the costs paid to third-party intermediaries who source these assets. These costs are reported as distribution and servicing costs in the condensed consolidated statements of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Compensation and related costs were $360.9 million in the second quarter of 2015, an increase of $34.5 million, or 10.6%, compared to the second quarter of 2014. The largest part of the change is attributable to a $11.5 million increase in the interim accrual for our annual variable compensation programs and $17.0 million in higher base salaries and related benefits, which result from a modest increase in salaries at the beginning of 2015 combined with a 4.0% increase in our average staff size from the second quarter of 2014. The balance of the change from the 2014 quarter is attributable to an increase in non-cash stock-based compensation expense, higher other employee-related costs, and an increase in temporary personnel to support our continued investment in our capabilities. At June 30, 2015, we employed 5,991 associates.</w:t>
      </w:r>
    </w:p>
    <w:p>
      <w:pPr>
        <w:spacing w:after="0" w:line="193"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Occupancy and facility costs, together with depreciation and amortization expense, were $72.1 million in the second quarter of 2015, up $8.1 million compared to the second quarter of 2014. The increase is primarily attributable to the added costs to update and enhance technology capabilities, including related maintenance programs.</w:t>
      </w:r>
    </w:p>
    <w:p>
      <w:pPr>
        <w:spacing w:after="0" w:line="181"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Other operating expenses in the second quarter of 2015 were up $8.0 million from the comparable 2014 quarter, as increased business demands and our continued investment in our operating capabilities have increased costs. These higher costs in the second quarter of 2015 include those related to the firm's defined contribution recordkeeping business, information and other third-party service costs, travel costs, and other general and administrative costs.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investment income</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Net non-operating investment income, which includes the recognition of investment gains and losses, in the second quarter of 2015 increased $6.9 million from the 2014 quarter to $33.0 million. We realized gains of $22.7 million from the sale of certain of our sponsored fund investments in the second quarter of 2015 compared with $11.7 million of realized gains in the 2014 quarter. The proceeds from the sale of the fund investments in 2015 were used to provide new or additional seed capital to other sponsored funds in support of our global distribution efforts. The increase in realized gains in the 2015 quarter was offset in part by smaller net investment gains recognized on our other investment portfolios and lower dividends earned on our sponsored investment portfolios.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effective tax rate for the second quarter of 2015 was 38.4%, which reflects certain adjustments made in the quarter to our 2014 tax accruals. We currently estimate that our effective rate for the full-year 2015 will be about 38.7%. Our effective income tax rate reflects the relative contribution of pre-tax income generated by our non-U.S. subsidiaries that are subject to tax rates that are lower than our U.S. rates. Changes in the relative contribution of pre-tax income from U.S. and non-U.S. sources or changes in tax rates in the U.S. or relevant non-U.S. jurisdictions may affect our effective income tax rate and overall net income in the future.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400"/>
          </w:cols>
          <w:pgMar w:left="240" w:top="584"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First half of 2015 versus first half of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238125</wp:posOffset>
            </wp:positionV>
            <wp:extent cx="718629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line="36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31750</wp:posOffset>
            </wp:positionV>
            <wp:extent cx="21437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57"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330"/>
              <w:spacing w:after="0"/>
              <w:rPr>
                <w:sz w:val="20"/>
                <w:szCs w:val="20"/>
                <w:color w:val="auto"/>
              </w:rPr>
            </w:pPr>
            <w:r>
              <w:rPr>
                <w:rFonts w:ascii="Arial" w:cs="Arial" w:eastAsia="Arial" w:hAnsi="Arial"/>
                <w:sz w:val="18"/>
                <w:szCs w:val="18"/>
                <w:color w:val="auto"/>
              </w:rPr>
              <w:t>6/30/2015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6/30/2014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ind w:left="80"/>
              <w:spacing w:after="0"/>
              <w:rPr>
                <w:sz w:val="20"/>
                <w:szCs w:val="20"/>
                <w:color w:val="auto"/>
              </w:rPr>
            </w:pPr>
            <w:r>
              <w:rPr>
                <w:rFonts w:ascii="Arial" w:cs="Arial" w:eastAsia="Arial" w:hAnsi="Arial"/>
                <w:sz w:val="18"/>
                <w:szCs w:val="18"/>
                <w:color w:val="auto"/>
              </w:rPr>
              <w:t>Dollar Change</w:t>
            </w:r>
          </w:p>
        </w:tc>
        <w:tc>
          <w:tcPr>
            <w:tcW w:w="1700" w:type="dxa"/>
            <w:vAlign w:val="bottom"/>
          </w:tcPr>
          <w:p>
            <w:pPr>
              <w:jc w:val="right"/>
              <w:ind w:right="210"/>
              <w:spacing w:after="0"/>
              <w:rPr>
                <w:sz w:val="20"/>
                <w:szCs w:val="20"/>
                <w:color w:val="auto"/>
              </w:rPr>
            </w:pPr>
            <w:r>
              <w:rPr>
                <w:rFonts w:ascii="Arial" w:cs="Arial" w:eastAsia="Arial" w:hAnsi="Arial"/>
                <w:sz w:val="18"/>
                <w:szCs w:val="18"/>
                <w:color w:val="auto"/>
              </w:rPr>
              <w:t>Percent Change</w:t>
            </w:r>
          </w:p>
        </w:tc>
      </w:tr>
      <w:tr>
        <w:trPr>
          <w:trHeight w:val="27"/>
        </w:trPr>
        <w:tc>
          <w:tcPr>
            <w:tcW w:w="4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 millions, except per-share data)</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Investment advisory fees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1,838.7</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1,681.7</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157.0</w:t>
            </w:r>
          </w:p>
        </w:tc>
        <w:tc>
          <w:tcPr>
            <w:tcW w:w="2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9.3 %</w:t>
            </w:r>
          </w:p>
        </w:tc>
      </w:tr>
      <w:tr>
        <w:trPr>
          <w:trHeight w:val="27"/>
        </w:trPr>
        <w:tc>
          <w:tcPr>
            <w:tcW w:w="4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2,099.4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1,938.9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160.5</w:t>
            </w: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8.3 %</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1,113.8</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1,016.7</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97.1</w:t>
            </w:r>
          </w:p>
        </w:tc>
        <w:tc>
          <w:tcPr>
            <w:tcW w:w="2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9.6 %</w:t>
            </w:r>
          </w:p>
        </w:tc>
      </w:tr>
      <w:tr>
        <w:trPr>
          <w:trHeight w:val="27"/>
        </w:trPr>
        <w:tc>
          <w:tcPr>
            <w:tcW w:w="4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985.6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922.2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63.4</w:t>
            </w: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6.9 %</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Non-operating investment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59.8</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68.2</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7"/>
        </w:trPr>
        <w:tc>
          <w:tcPr>
            <w:tcW w:w="4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32.6</w:t>
            </w: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5.3 %</w:t>
            </w:r>
          </w:p>
        </w:tc>
      </w:tr>
      <w:tr>
        <w:trPr>
          <w:trHeight w:val="324"/>
        </w:trPr>
        <w:tc>
          <w:tcPr>
            <w:tcW w:w="4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share on common stock</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6.2 %</w:t>
            </w:r>
          </w:p>
        </w:tc>
      </w:tr>
      <w:tr>
        <w:trPr>
          <w:trHeight w:val="324"/>
        </w:trPr>
        <w:tc>
          <w:tcPr>
            <w:tcW w:w="4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43"/>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assets under management (in billions)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771.4</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709.2</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62.2</w:t>
            </w:r>
          </w:p>
        </w:tc>
        <w:tc>
          <w:tcPr>
            <w:tcW w:w="22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8.8 %</w:t>
            </w:r>
          </w:p>
        </w:tc>
      </w:tr>
      <w:tr>
        <w:trPr>
          <w:trHeight w:val="27"/>
        </w:trPr>
        <w:tc>
          <w:tcPr>
            <w:tcW w:w="4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Investment advisory revenues earned in the first half of 2015 increased over the comparable 2014 period, as average assets under our management increased $62.2 billion, or 8.8%, to $771.4 billion. The average annualized fee rate earned on our assets under management was 48.1 basis points in the first half of 2015, up from the 47.8 basis points earned in the first half of 2014. We waived $26.2 million in money market related fees, including advisory fees and fund expenses, in the first half of 2015, a decrease of $3.1 million from the $29.3 million waived in the 2014 period. The fee waivers in the first half of 2015 represent about 1% of our total investment advisory revenues earned during the same period.</w:t>
      </w:r>
    </w:p>
    <w:p>
      <w:pPr>
        <w:spacing w:after="0" w:line="173"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Our operating margin in the first half of 2015 was 46.9% compared to 47.6% in the 2014 period. The slight decline is a result of the investments we have been making to broaden and deepen our investment management, distribution, and service capabilities around the world.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Investment advisory revenues earned from the T. Rowe Price mutual funds distributed in the U.S. increased 10.4%, or $124.7 million, to $1.3 billion, on higher average mutual fund assets. Average mutual fund assets in the first half of 2015 were $496.7 billion, an increase of 10.5% from the average for the comparable 2014 period.</w:t>
      </w:r>
    </w:p>
    <w:p>
      <w:pPr>
        <w:spacing w:after="0" w:line="18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Investment advisory revenues earned on the other investment portfolios for the first half of 2015 were $509.8 million, an increase of $32.3 million, or 6.8%, from the $477.5 million earned in the comparable 2014 period. Average assets in these portfolios were $274.7 billion during the first half of 2015, up $14.8 billion from the comparable 2014 period.</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Administrative fee revenues decreased $3.5 million to $184.6 million in the first half of 2015. The decrease is primarily attributable to a reduction in certain administrative service fee rates paid by certain fund shareholders. Changes in administrative fee revenues are generally offset by similar changes in related operating expenses that are incurred to provide services to the funds and their investors.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Distribution and servicing fee revenues earned from 12b-1 plans of the Advisor, R, and variable annuity II class shares of our sponsored portfolios were $76.1 million in the first half of 2015, an increase of $7.0 million from the comparable 2014 period on greater average assets under management in these share classes. The 12b-1 fees earned are offset entirely by the costs paid to third-party intermediaries who source these assets. These costs are reported as distribution and servicing costs in the condensed consolidated income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Compensation and related costs were $707.4 million in the first half of 2015, an increase of $62.1 million, or 9.6%, compared to the 2014 period. The largest part of the increase is attributable to a $29.6 million increase in salaries and related benefits and a $21.1 million increase in our interim accrual for our annual variable compensation program. Our average staff size has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400"/>
          </w:cols>
          <w:pgMar w:left="240" w:top="584" w:right="259" w:bottom="1440" w:gutter="0" w:footer="0" w:header="0"/>
        </w:sectPr>
      </w:pPr>
    </w:p>
    <w:bookmarkStart w:id="19" w:name="page20"/>
    <w:bookmarkEnd w:id="19"/>
    <w:p>
      <w:pPr>
        <w:ind w:right="180"/>
        <w:spacing w:after="0" w:line="277" w:lineRule="auto"/>
        <w:rPr>
          <w:sz w:val="20"/>
          <w:szCs w:val="20"/>
          <w:color w:val="auto"/>
        </w:rPr>
      </w:pPr>
      <w:r>
        <w:rPr>
          <w:rFonts w:ascii="Arial" w:cs="Arial" w:eastAsia="Arial" w:hAnsi="Arial"/>
          <w:sz w:val="18"/>
          <w:szCs w:val="18"/>
          <w:color w:val="auto"/>
        </w:rPr>
        <w:t>increased 3.8% from the first half of 2014. Higher non-cash stock-based compensation expense, temporary staff expense, and other employee costs account for the remainder of the increase in compensation and related costs in the 2015 period.</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Advertising and promotion costs were $39.5 million in the first half of 2015, an increase of $2.3 million from the comparable 2014 period. The increase in cost is primarily attributable to the creation and launch of a new advertising campaign. We currently expect advertising and promotion costs for the full-year 2015 to increase about 5% from 2014 levels.</w:t>
      </w:r>
    </w:p>
    <w:p>
      <w:pPr>
        <w:spacing w:after="0" w:line="181"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Occupancy and facility costs, together with depreciation expense, increased $13.0 million, or 10.3%, compared to the first half of 2014. The increase is primarily attributable to the added costs to update and enhance technology capabilities, including related maintenance programs.</w:t>
      </w:r>
    </w:p>
    <w:p>
      <w:pPr>
        <w:spacing w:after="0" w:line="14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Other operating expenses were $151.3 million in the first half of 2015, an increase of $12.7 million from the comparable 2014 period as increased business demands and our continued investment in capabilities have increased costs. These costs include information and third-party service costs, costs related to our defined contribution recordkeeping business, travel costs, and other general and administrative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investment income</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Our non-operating investment income, which includes the recognition of investment gains and losses, was down $8.4 million from the first half of 2014. The decrease is primarily due to the 2015 results including $39.3 million in gains realized on the sale of certain sponsored fund holdings compared with $43.7 million in gains realized in the comparable 2014 period. The balance of the decrease primarily results from smaller net investment gains recognized on our other investment portfolios and net foreign currency transaction losses recognized in the second quarter of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 AND LIQUIDITY.</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Operating activities during the first half of 2015 provided cash flows of $886.7 million, up $161.1 million from the 2014 period. We used $72.2 million less cash in the first half of 2015 compared with the 2014 period to seed new sponsored investment portfolios that we consolidate and treat their underlying investment holdings as trading securities. Higher net income, non-cash depreciation and amortization, and non-cash stock-based compensation in 2015 period increased cash flows by $43.6 million. Timing differences on the cash settlement of our assets and liabilities increased our operating cash flows by $35.7 million compared to the 2014 period. Our interim operating cash flows do not include the cash impact of variable compensation that is accrued throughout the year before being substantially paid out in December.</w:t>
      </w:r>
    </w:p>
    <w:p>
      <w:pPr>
        <w:spacing w:after="0" w:line="19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Net cash used in investing activities totaled $33.9 million in the first half of 2015, a decrease of $153.9 million from the comparable 2014 period, as net investments made into our sponsored funds declined by $169.4 million from the 2014 period. We increased our property and equipment additions by $20.2 million during the first half of 2015 compared to the 2014 period.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Net cash used in financing activities was $1,089.7 million in the first half of 2015, up $858.2 million from the comparable 2014 period. The payment of a</w:t>
      </w:r>
    </w:p>
    <w:p>
      <w:pPr>
        <w:spacing w:after="0" w:line="35"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$2.00 special dividend on April 23, 2015, and an 18% increase in our regular quarterly per-share dividend, accounted for $562.8 million of the increase from the 2014 period. We also increased our common stock repurchases by $296.9 million during the first half of 2015 compared with the 2014 period.</w:t>
      </w:r>
    </w:p>
    <w:p>
      <w:pPr>
        <w:spacing w:after="0" w:line="13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cash and sponsored investment holdings at June 30, 2015, were $3.1 billion, and we have no debt. We anticipate property and equipment expenditures for the full year 2015 to be approximately $175 million and expect to fund them from our operating resources. We generally repurchase shares of our common stock over time to offset the dilution created by our equity-based compensation plans. For the first half of 2015, we have expended $385 million to repurchase 4.8 million shares, or nearly 2%, of our outstanding common stock. Given the availability of our financial resources, we do not maintain an available external source of liquidity.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STANDARDS.</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May 2014, the FASB issued Accounting Standards Update No. 2014-09 - Revenue from Contracts with Customers. The objective of the new standard is to provide a single, comprehensive revenue recognition model for all contracts with customers to improve comparability within industries, across industries, and across capital markets. The revenue standard contains principles that will be applied to determine the measurement of revenue and timing of when it is recognized. In July 2015, the FASB voted to defer the effective date of the standard by one year. We would be required to adopt the new standard on January 1, 2018. We are currently evaluating the impact this standard will have on our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400"/>
          </w:cols>
          <w:pgMar w:left="240" w:top="584" w:right="259" w:bottom="1440" w:gutter="0" w:footer="0" w:header="0"/>
        </w:sectPr>
      </w:pPr>
    </w:p>
    <w:bookmarkStart w:id="20" w:name="page21"/>
    <w:bookmarkEnd w:id="20"/>
    <w:p>
      <w:pPr>
        <w:spacing w:after="0" w:line="257" w:lineRule="auto"/>
        <w:rPr>
          <w:sz w:val="20"/>
          <w:szCs w:val="20"/>
          <w:color w:val="auto"/>
        </w:rPr>
      </w:pPr>
      <w:r>
        <w:rPr>
          <w:rFonts w:ascii="Arial" w:cs="Arial" w:eastAsia="Arial" w:hAnsi="Arial"/>
          <w:sz w:val="18"/>
          <w:szCs w:val="18"/>
          <w:color w:val="auto"/>
        </w:rPr>
        <w:t>In February 2015, the FASB issued Accounting Standards Update No. 2015-02 - Consolidation (Topic 810): Amendments to the Consolidation Analysis. This standard modifies existing consolidation guidance for reporting companies that are required to evaluate whether they should consolidate certain legal entities. ASU 2015-02 is effective for fiscal years and interim periods within those years beginning after December 15, 2015, and requires either a retrospective or a modified retrospective approach to adoption. The guidance does permit early adoption. We are currently evaluating the impact this standard will have on our financial position and results of operations.</w:t>
      </w:r>
    </w:p>
    <w:p>
      <w:pPr>
        <w:spacing w:after="0" w:line="188" w:lineRule="exact"/>
        <w:rPr>
          <w:sz w:val="20"/>
          <w:szCs w:val="20"/>
          <w:color w:val="auto"/>
        </w:rPr>
      </w:pPr>
    </w:p>
    <w:p>
      <w:pPr>
        <w:jc w:val="both"/>
        <w:ind w:right="600"/>
        <w:spacing w:after="0" w:line="264" w:lineRule="auto"/>
        <w:rPr>
          <w:sz w:val="20"/>
          <w:szCs w:val="20"/>
          <w:color w:val="auto"/>
        </w:rPr>
      </w:pPr>
      <w:r>
        <w:rPr>
          <w:rFonts w:ascii="Arial" w:cs="Arial" w:eastAsia="Arial" w:hAnsi="Arial"/>
          <w:sz w:val="18"/>
          <w:szCs w:val="18"/>
          <w:color w:val="auto"/>
        </w:rPr>
        <w:t>We have considered all other newly issued accounting guidance that is applicable to our operations and the preparation of our condensed consolidated statements, including that which we have not yet adopted. We do not believe that any such guidance has or will have a material effect on our financial position or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INFORMATION.</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From time to time, information or statements provided by or on behalf of T. Rowe Price, including those within this report, may contain certain forward-looking information, including information or anticipated information relating to: our revenues, net income and earnings per share on common stock; changes in the amount and composition of our assets under management; our expense levels; our estimated effective income tax rate; and our expectations regarding financial markets, future transactions, dividends, investments, capital expenditures, stock repurchases, and other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of our Form 10-K Annual Report for 2014.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16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future revenues and results of operations will fluctuate primarily due to changes in the total value and composition of assets under our management. Such changes result from many factors including, among other things: cash inflows and outflows in the T. Rowe Price U.S. mutual funds (Price funds) and other managed investment portfolios; fluctuations in global financial markets that result in appreciation or depreciation of the assets under our management; our introduction of new mutual funds and investment portfolios; and changes in retirement savings trends relative to participant-directed investments and defined contribution plans. The ability to attract and retain investors’ assets under our management is dependent on investor sentiment and confidence; the relative investment performance of the Price funds and other managed investment portfolios as compared to competing offerings and market indexes; the ability to maintain our investment management and administrative fees at appropriate levels; competitive conditions in the mutual fund, asset management, and broader financial services sectors; and our level of success in implementing our strategy to expand our business. Our revenues are substantially dependent on fees earned under contracts with the Price funds and could be adversely affected if the independent directors of one or more of the Price funds terminated or significantly altered the terms of the investment management or related administrative services agreements. Non-operating investment income will also fluctuate primarily due to the size of our investments, changes in their market valuations, and any other-than-temporary impairments that may arise, or in the case of our equity method investments, our proportionate share of the investee’s net income.</w:t>
      </w:r>
    </w:p>
    <w:p>
      <w:pPr>
        <w:spacing w:after="0" w:line="16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Our future results are also dependent upon the level of our expenses, which are subject to fluctuation for the following or other reasons: changes in the level of our advertising expenses in response to market conditions, including our efforts to expand our investment advisory business to investors outside the U.S. and to further penetrate our distribution channels within the U.S.; variations in the level of total compensation expense due to, among other things, bonuses, stock option grants and other equity grants, other incentive awards, changes in our employee count and mix, and competitive factors; any goodwill or other asset impairment that may arise; fluctuation in foreign currency exchange rates applicable to our investment in and the costs of our international operations; expenses and capital costs, such as technology assets, depreciation, amortization, and research and development, incurred to maintain and enhance our administrative and operating services infrastructure; unanticipated costs that may be incurred to protect investor accounts and the goodwill of our clients; and disruptions of services, including those provided by third parties, such as facilities, communications, power, and the mutual fund transfer agent and accounting systems.</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mutual funds and investing in general, or in particular classes of mutual funds or other investments.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1400"/>
          </w:cols>
          <w:pgMar w:left="240" w:top="584"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information provided in Item 7A of the Form 10-K Annual Report for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management, including our principal executive and principal financial officers, has evaluated the effectiveness of our disclosure controls and procedures as of June 30, 2015. Based on that evaluation, our principal executive and principal financial officers have concluded that our disclosure controls and procedures as of June 30, 2015, are effective at the reasonable assurance level to ensure that the information required to be disclosed by us in the reports that we file or submit under the Securities Exchange Act of 1934, including this Form 10-Q quarterly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16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second quarter of 2015, and has concluded that there was no change during the second quarter of 2015 that has materially affected, or is reasonably likely to materially affect, our internal control over financial reporting.</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22</w:t>
      </w:r>
    </w:p>
    <w:p>
      <w:pPr>
        <w:sectPr>
          <w:pgSz w:w="11900" w:h="16838" w:orient="portrait"/>
          <w:cols w:equalWidth="0" w:num="1">
            <w:col w:w="11380"/>
          </w:cols>
          <w:pgMar w:left="240" w:top="580" w:right="27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From time to time, various claims against us arise in the ordinary course of business, including employment-related claims. In the opinion of management, after consultation with counsel, the likelihood that an adverse determination in one or more pending claims would have a material adverse effect on our financial position or results of operations is remote.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the information provided in Item 1A of our Form 10-K Annual Report for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 Repurchase activity during the second quarter of 2015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shd w:val="clear" w:color="auto" w:fill="CCEEFF"/>
          </w:tcPr>
          <w:p>
            <w:pPr>
              <w:spacing w:after="0"/>
              <w:rPr>
                <w:sz w:val="14"/>
                <w:szCs w:val="14"/>
                <w:color w:val="auto"/>
              </w:rPr>
            </w:pPr>
          </w:p>
        </w:tc>
        <w:tc>
          <w:tcPr>
            <w:tcW w:w="194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5"/>
              </w:rPr>
              <w:t>Maximum Number of Shares</w:t>
            </w:r>
          </w:p>
        </w:tc>
        <w:tc>
          <w:tcPr>
            <w:tcW w:w="0" w:type="dxa"/>
            <w:vAlign w:val="bottom"/>
          </w:tcPr>
          <w:p>
            <w:pPr>
              <w:spacing w:after="0"/>
              <w:rPr>
                <w:sz w:val="1"/>
                <w:szCs w:val="1"/>
                <w:color w:val="auto"/>
              </w:rPr>
            </w:pPr>
          </w:p>
        </w:tc>
      </w:tr>
      <w:tr>
        <w:trPr>
          <w:trHeight w:val="149"/>
        </w:trPr>
        <w:tc>
          <w:tcPr>
            <w:tcW w:w="3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0" w:type="dxa"/>
            <w:vAlign w:val="bottom"/>
            <w:gridSpan w:val="2"/>
            <w:vMerge w:val="restart"/>
            <w:shd w:val="clear" w:color="auto" w:fill="CCEEFF"/>
          </w:tcPr>
          <w:p>
            <w:pPr>
              <w:ind w:left="540"/>
              <w:spacing w:after="0"/>
              <w:rPr>
                <w:sz w:val="20"/>
                <w:szCs w:val="20"/>
                <w:color w:val="auto"/>
              </w:rPr>
            </w:pPr>
            <w:r>
              <w:rPr>
                <w:rFonts w:ascii="Arial" w:cs="Arial" w:eastAsia="Arial" w:hAnsi="Arial"/>
                <w:sz w:val="14"/>
                <w:szCs w:val="14"/>
                <w:b w:val="1"/>
                <w:bCs w:val="1"/>
                <w:color w:val="auto"/>
              </w:rPr>
              <w:t>Total Number of</w:t>
            </w:r>
          </w:p>
        </w:tc>
        <w:tc>
          <w:tcPr>
            <w:tcW w:w="200" w:type="dxa"/>
            <w:vAlign w:val="bottom"/>
            <w:shd w:val="clear" w:color="auto" w:fill="CCEEFF"/>
          </w:tcPr>
          <w:p>
            <w:pPr>
              <w:spacing w:after="0"/>
              <w:rPr>
                <w:sz w:val="12"/>
                <w:szCs w:val="12"/>
                <w:color w:val="auto"/>
              </w:rPr>
            </w:pPr>
          </w:p>
        </w:tc>
        <w:tc>
          <w:tcPr>
            <w:tcW w:w="138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Average Price</w:t>
            </w: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00" w:type="dxa"/>
            <w:vAlign w:val="bottom"/>
            <w:shd w:val="clear" w:color="auto" w:fill="CCEEFF"/>
          </w:tcPr>
          <w:p>
            <w:pPr>
              <w:spacing w:after="0"/>
              <w:rPr>
                <w:sz w:val="12"/>
                <w:szCs w:val="12"/>
                <w:color w:val="auto"/>
              </w:rPr>
            </w:pPr>
          </w:p>
        </w:tc>
        <w:tc>
          <w:tcPr>
            <w:tcW w:w="19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9"/>
              </w:rPr>
              <w:t>Month</w:t>
            </w:r>
          </w:p>
        </w:tc>
        <w:tc>
          <w:tcPr>
            <w:tcW w:w="120" w:type="dxa"/>
            <w:vAlign w:val="bottom"/>
            <w:vMerge w:val="restart"/>
            <w:shd w:val="clear" w:color="auto" w:fill="CCEEFF"/>
          </w:tcPr>
          <w:p>
            <w:pPr>
              <w:spacing w:after="0"/>
              <w:rPr>
                <w:sz w:val="12"/>
                <w:szCs w:val="12"/>
                <w:color w:val="auto"/>
              </w:rPr>
            </w:pPr>
          </w:p>
        </w:tc>
        <w:tc>
          <w:tcPr>
            <w:tcW w:w="220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gridSpan w:val="2"/>
            <w:vMerge w:val="continue"/>
            <w:shd w:val="clear" w:color="auto" w:fill="CCEEFF"/>
          </w:tcPr>
          <w:p>
            <w:pPr>
              <w:spacing w:after="0"/>
              <w:rPr>
                <w:sz w:val="12"/>
                <w:szCs w:val="12"/>
                <w:color w:val="auto"/>
              </w:rPr>
            </w:pP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93"/>
              </w:rPr>
              <w:t>that May Yet Be Purchased</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208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4"/>
                <w:szCs w:val="14"/>
                <w:b w:val="1"/>
                <w:bCs w:val="1"/>
                <w:color w:val="auto"/>
                <w:w w:val="99"/>
              </w:rPr>
              <w:t>Paid per Share</w:t>
            </w:r>
          </w:p>
        </w:tc>
        <w:tc>
          <w:tcPr>
            <w:tcW w:w="100" w:type="dxa"/>
            <w:vAlign w:val="bottom"/>
            <w:shd w:val="clear" w:color="auto" w:fill="CCEEFF"/>
          </w:tcPr>
          <w:p>
            <w:pPr>
              <w:spacing w:after="0"/>
              <w:rPr>
                <w:sz w:val="16"/>
                <w:szCs w:val="16"/>
                <w:color w:val="auto"/>
              </w:rPr>
            </w:pPr>
          </w:p>
        </w:tc>
        <w:tc>
          <w:tcPr>
            <w:tcW w:w="1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2"/>
              </w:rPr>
              <w:t>Announced Program</w:t>
            </w:r>
          </w:p>
        </w:tc>
        <w:tc>
          <w:tcPr>
            <w:tcW w:w="100" w:type="dxa"/>
            <w:vAlign w:val="bottom"/>
            <w:shd w:val="clear" w:color="auto" w:fill="CCEEFF"/>
          </w:tcPr>
          <w:p>
            <w:pPr>
              <w:spacing w:after="0"/>
              <w:rPr>
                <w:sz w:val="16"/>
                <w:szCs w:val="16"/>
                <w:color w:val="auto"/>
              </w:rPr>
            </w:pPr>
          </w:p>
        </w:tc>
        <w:tc>
          <w:tcPr>
            <w:tcW w:w="1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4"/>
              </w:rPr>
              <w:t>Under the Program</w:t>
            </w:r>
          </w:p>
        </w:tc>
        <w:tc>
          <w:tcPr>
            <w:tcW w:w="0" w:type="dxa"/>
            <w:vAlign w:val="bottom"/>
          </w:tcPr>
          <w:p>
            <w:pPr>
              <w:spacing w:after="0"/>
              <w:rPr>
                <w:sz w:val="1"/>
                <w:szCs w:val="1"/>
                <w:color w:val="auto"/>
              </w:rPr>
            </w:pPr>
          </w:p>
        </w:tc>
      </w:tr>
      <w:tr>
        <w:trPr>
          <w:trHeight w:val="243"/>
        </w:trPr>
        <w:tc>
          <w:tcPr>
            <w:tcW w:w="3660" w:type="dxa"/>
            <w:vAlign w:val="bottom"/>
            <w:gridSpan w:val="2"/>
          </w:tcPr>
          <w:p>
            <w:pPr>
              <w:jc w:val="center"/>
              <w:ind w:right="120"/>
              <w:spacing w:after="0"/>
              <w:rPr>
                <w:sz w:val="20"/>
                <w:szCs w:val="20"/>
                <w:color w:val="auto"/>
              </w:rPr>
            </w:pPr>
            <w:r>
              <w:rPr>
                <w:rFonts w:ascii="Arial" w:cs="Arial" w:eastAsia="Arial" w:hAnsi="Arial"/>
                <w:sz w:val="18"/>
                <w:szCs w:val="18"/>
                <w:color w:val="auto"/>
              </w:rPr>
              <w:t>April</w:t>
            </w:r>
          </w:p>
        </w:tc>
        <w:tc>
          <w:tcPr>
            <w:tcW w:w="2080" w:type="dxa"/>
            <w:vAlign w:val="bottom"/>
          </w:tcPr>
          <w:p>
            <w:pPr>
              <w:jc w:val="right"/>
              <w:ind w:right="36"/>
              <w:spacing w:after="0"/>
              <w:rPr>
                <w:sz w:val="20"/>
                <w:szCs w:val="20"/>
                <w:color w:val="auto"/>
              </w:rPr>
            </w:pPr>
            <w:r>
              <w:rPr>
                <w:rFonts w:ascii="Arial" w:cs="Arial" w:eastAsia="Arial" w:hAnsi="Arial"/>
                <w:sz w:val="18"/>
                <w:szCs w:val="18"/>
                <w:color w:val="auto"/>
              </w:rPr>
              <w:t>42,927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82.18</w:t>
            </w:r>
          </w:p>
        </w:tc>
        <w:tc>
          <w:tcPr>
            <w:tcW w:w="100" w:type="dxa"/>
            <w:vAlign w:val="bottom"/>
          </w:tcPr>
          <w:p>
            <w:pPr>
              <w:spacing w:after="0"/>
              <w:rPr>
                <w:sz w:val="21"/>
                <w:szCs w:val="21"/>
                <w:color w:val="auto"/>
              </w:rPr>
            </w:pPr>
          </w:p>
        </w:tc>
        <w:tc>
          <w:tcPr>
            <w:tcW w:w="19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28"/>
              <w:spacing w:after="0"/>
              <w:rPr>
                <w:sz w:val="20"/>
                <w:szCs w:val="20"/>
                <w:color w:val="auto"/>
              </w:rPr>
            </w:pPr>
            <w:r>
              <w:rPr>
                <w:rFonts w:ascii="Arial" w:cs="Arial" w:eastAsia="Arial" w:hAnsi="Arial"/>
                <w:sz w:val="18"/>
                <w:szCs w:val="18"/>
                <w:color w:val="auto"/>
              </w:rPr>
              <w:t>19,489,755</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May</w:t>
            </w:r>
          </w:p>
        </w:tc>
        <w:tc>
          <w:tcPr>
            <w:tcW w:w="2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1,308,972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81.34</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1,300,000</w:t>
            </w:r>
          </w:p>
        </w:tc>
        <w:tc>
          <w:tcPr>
            <w:tcW w:w="20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18,189,755</w:t>
            </w:r>
          </w:p>
        </w:tc>
        <w:tc>
          <w:tcPr>
            <w:tcW w:w="0" w:type="dxa"/>
            <w:vAlign w:val="bottom"/>
          </w:tcPr>
          <w:p>
            <w:pPr>
              <w:spacing w:after="0"/>
              <w:rPr>
                <w:sz w:val="1"/>
                <w:szCs w:val="1"/>
                <w:color w:val="auto"/>
              </w:rPr>
            </w:pPr>
          </w:p>
        </w:tc>
      </w:tr>
      <w:tr>
        <w:trPr>
          <w:trHeight w:val="243"/>
        </w:trPr>
        <w:tc>
          <w:tcPr>
            <w:tcW w:w="3660" w:type="dxa"/>
            <w:vAlign w:val="bottom"/>
            <w:gridSpan w:val="2"/>
          </w:tcPr>
          <w:p>
            <w:pPr>
              <w:jc w:val="center"/>
              <w:ind w:right="100"/>
              <w:spacing w:after="0"/>
              <w:rPr>
                <w:sz w:val="20"/>
                <w:szCs w:val="20"/>
                <w:color w:val="auto"/>
              </w:rPr>
            </w:pPr>
            <w:r>
              <w:rPr>
                <w:rFonts w:ascii="Arial" w:cs="Arial" w:eastAsia="Arial" w:hAnsi="Arial"/>
                <w:sz w:val="18"/>
                <w:szCs w:val="18"/>
                <w:color w:val="auto"/>
                <w:w w:val="81"/>
              </w:rPr>
              <w:t>June</w:t>
            </w:r>
          </w:p>
        </w:tc>
        <w:tc>
          <w:tcPr>
            <w:tcW w:w="2080" w:type="dxa"/>
            <w:vAlign w:val="bottom"/>
          </w:tcPr>
          <w:p>
            <w:pPr>
              <w:jc w:val="right"/>
              <w:ind w:right="36"/>
              <w:spacing w:after="0"/>
              <w:rPr>
                <w:sz w:val="20"/>
                <w:szCs w:val="20"/>
                <w:color w:val="auto"/>
              </w:rPr>
            </w:pPr>
            <w:r>
              <w:rPr>
                <w:rFonts w:ascii="Arial" w:cs="Arial" w:eastAsia="Arial" w:hAnsi="Arial"/>
                <w:sz w:val="18"/>
                <w:szCs w:val="18"/>
                <w:color w:val="auto"/>
              </w:rPr>
              <w:t>2,105,769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78.87</w:t>
            </w:r>
          </w:p>
        </w:tc>
        <w:tc>
          <w:tcPr>
            <w:tcW w:w="100" w:type="dxa"/>
            <w:vAlign w:val="bottom"/>
          </w:tcPr>
          <w:p>
            <w:pPr>
              <w:spacing w:after="0"/>
              <w:rPr>
                <w:sz w:val="21"/>
                <w:szCs w:val="21"/>
                <w:color w:val="auto"/>
              </w:rPr>
            </w:pPr>
          </w:p>
        </w:tc>
        <w:tc>
          <w:tcPr>
            <w:tcW w:w="1940" w:type="dxa"/>
            <w:vAlign w:val="bottom"/>
          </w:tcPr>
          <w:p>
            <w:pPr>
              <w:jc w:val="right"/>
              <w:ind w:right="19"/>
              <w:spacing w:after="0"/>
              <w:rPr>
                <w:sz w:val="20"/>
                <w:szCs w:val="20"/>
                <w:color w:val="auto"/>
              </w:rPr>
            </w:pPr>
            <w:r>
              <w:rPr>
                <w:rFonts w:ascii="Arial" w:cs="Arial" w:eastAsia="Arial" w:hAnsi="Arial"/>
                <w:sz w:val="18"/>
                <w:szCs w:val="18"/>
                <w:color w:val="auto"/>
              </w:rPr>
              <w:t>2,099,010</w:t>
            </w:r>
          </w:p>
        </w:tc>
        <w:tc>
          <w:tcPr>
            <w:tcW w:w="2040" w:type="dxa"/>
            <w:vAlign w:val="bottom"/>
            <w:gridSpan w:val="2"/>
          </w:tcPr>
          <w:p>
            <w:pPr>
              <w:jc w:val="right"/>
              <w:ind w:right="28"/>
              <w:spacing w:after="0"/>
              <w:rPr>
                <w:sz w:val="20"/>
                <w:szCs w:val="20"/>
                <w:color w:val="auto"/>
              </w:rPr>
            </w:pPr>
            <w:r>
              <w:rPr>
                <w:rFonts w:ascii="Arial" w:cs="Arial" w:eastAsia="Arial" w:hAnsi="Arial"/>
                <w:sz w:val="18"/>
                <w:szCs w:val="18"/>
                <w:color w:val="auto"/>
              </w:rPr>
              <w:t>16,090,745</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Total</w:t>
            </w:r>
          </w:p>
        </w:tc>
        <w:tc>
          <w:tcPr>
            <w:tcW w:w="20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3,457,668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79.84</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3,399,010</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Shares repurchased by us in a quarter may include repurchases conducted pursuant to publicly announced board authorization, outstanding shares surrendered to the company to pay the exercise price in connection with swap exercises of employee stock options, and shares withheld to cover the minimum tax withholding obligation associated with the vesting of restricted stock awards. Of the total number of shares purchased during the second quarter of 2015, 57,687 were related to shares surrendered in connection with employee stock option exercises and 971 were related to shares withheld to cover tax withholdings associated with the vesting of restricted stock awards.</w:t>
      </w:r>
    </w:p>
    <w:p>
      <w:pPr>
        <w:spacing w:after="0" w:line="188"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The maximum number of shares that may be purchased are available under the Board of Directors’ September 8, 2010 and December 11, 2014, publicly announced authorization. The 3,399,010 shares of our common stock were repurchased pursuant to the Board of Directors’ September 8, 2010, publicly announced authorizations.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On July 23, 2015, we issued a press release reporting our results of operations for the second quarter of 2015 and first six months of 2015. A copy of that press release is furnished herewith as Exhibit 99. This information shall not be deemed filed for purposes of Section 18 of the Securities Exchange Act of 1934, nor shall it be deemed incorporated by reference in any filing under the Securities Act of 1933.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SEC FILINGS.</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make available free of charge through our website our annual report on Form 10-K, quarterly reports on Form 10-Q, current reports on Form 8-K, and any amendments to those reports filed or furnished pursuant to Section 13(a) of the Exchange Act as soon as reasonably practicable after we electronically file them with, or furnish them to, the SEC. To obtain any of this information, access our website at troweprice.com. We use our website as a channel of distribution for material company information.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23</w:t>
      </w:r>
    </w:p>
    <w:p>
      <w:pPr>
        <w:sectPr>
          <w:pgSz w:w="11900" w:h="16838" w:orient="portrait"/>
          <w:cols w:equalWidth="0" w:num="1">
            <w:col w:w="11420"/>
          </w:cols>
          <w:pgMar w:left="240" w:top="36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required by Item 601 of Regulation S-K are furnished herewith.</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3(i).1</w:t>
            </w:r>
          </w:p>
        </w:tc>
        <w:tc>
          <w:tcPr>
            <w:tcW w:w="10160" w:type="dxa"/>
            <w:vAlign w:val="bottom"/>
          </w:tcPr>
          <w:p>
            <w:pPr>
              <w:ind w:left="600"/>
              <w:spacing w:after="0"/>
              <w:rPr>
                <w:sz w:val="20"/>
                <w:szCs w:val="20"/>
                <w:color w:val="auto"/>
              </w:rPr>
            </w:pPr>
            <w:r>
              <w:rPr>
                <w:rFonts w:ascii="Arial" w:cs="Arial" w:eastAsia="Arial" w:hAnsi="Arial"/>
                <w:sz w:val="18"/>
                <w:szCs w:val="18"/>
                <w:color w:val="auto"/>
                <w:w w:val="91"/>
              </w:rPr>
              <w:t>Charter of T. Rowe Price Group, Inc., as Amended by Articles of Amendment dated April 10, 2008. (Incorporated by reference from</w:t>
            </w:r>
          </w:p>
        </w:tc>
      </w:tr>
      <w:tr>
        <w:trPr>
          <w:trHeight w:val="230"/>
        </w:trPr>
        <w:tc>
          <w:tcPr>
            <w:tcW w:w="1120" w:type="dxa"/>
            <w:vAlign w:val="bottom"/>
          </w:tcPr>
          <w:p>
            <w:pPr>
              <w:spacing w:after="0"/>
              <w:rPr>
                <w:sz w:val="20"/>
                <w:szCs w:val="20"/>
                <w:color w:val="auto"/>
              </w:rPr>
            </w:pPr>
          </w:p>
        </w:tc>
        <w:tc>
          <w:tcPr>
            <w:tcW w:w="10160" w:type="dxa"/>
            <w:vAlign w:val="bottom"/>
          </w:tcPr>
          <w:p>
            <w:pPr>
              <w:ind w:left="600"/>
              <w:spacing w:after="0"/>
              <w:rPr>
                <w:sz w:val="20"/>
                <w:szCs w:val="20"/>
                <w:color w:val="auto"/>
              </w:rPr>
            </w:pPr>
            <w:r>
              <w:rPr>
                <w:rFonts w:ascii="Arial" w:cs="Arial" w:eastAsia="Arial" w:hAnsi="Arial"/>
                <w:sz w:val="18"/>
                <w:szCs w:val="18"/>
                <w:color w:val="auto"/>
              </w:rPr>
              <w:t>Form 10-Q Report for the quarterly period ended June 30, 2008 filed on April 10, 2008; File No. 033-07012-99).</w:t>
            </w:r>
          </w:p>
        </w:tc>
      </w:tr>
      <w:tr>
        <w:trPr>
          <w:trHeight w:val="391"/>
        </w:trPr>
        <w:tc>
          <w:tcPr>
            <w:tcW w:w="1120" w:type="dxa"/>
            <w:vAlign w:val="bottom"/>
          </w:tcPr>
          <w:p>
            <w:pPr>
              <w:spacing w:after="0"/>
              <w:rPr>
                <w:sz w:val="20"/>
                <w:szCs w:val="20"/>
                <w:color w:val="auto"/>
              </w:rPr>
            </w:pPr>
            <w:r>
              <w:rPr>
                <w:rFonts w:ascii="Arial" w:cs="Arial" w:eastAsia="Arial" w:hAnsi="Arial"/>
                <w:sz w:val="18"/>
                <w:szCs w:val="18"/>
                <w:color w:val="auto"/>
              </w:rPr>
              <w:t>3(ii)</w:t>
            </w:r>
          </w:p>
        </w:tc>
        <w:tc>
          <w:tcPr>
            <w:tcW w:w="10160" w:type="dxa"/>
            <w:vAlign w:val="bottom"/>
          </w:tcPr>
          <w:p>
            <w:pPr>
              <w:ind w:left="600"/>
              <w:spacing w:after="0"/>
              <w:rPr>
                <w:sz w:val="20"/>
                <w:szCs w:val="20"/>
                <w:color w:val="auto"/>
              </w:rPr>
            </w:pPr>
            <w:r>
              <w:rPr>
                <w:rFonts w:ascii="Arial" w:cs="Arial" w:eastAsia="Arial" w:hAnsi="Arial"/>
                <w:sz w:val="18"/>
                <w:szCs w:val="18"/>
                <w:color w:val="auto"/>
                <w:w w:val="92"/>
              </w:rPr>
              <w:t>Amended and Restated By-Laws of T. Rowe Price Group, Inc. as of February 12, 2009. (Incorporated by reference from Form 8-K</w:t>
            </w:r>
          </w:p>
        </w:tc>
      </w:tr>
      <w:tr>
        <w:trPr>
          <w:trHeight w:val="230"/>
        </w:trPr>
        <w:tc>
          <w:tcPr>
            <w:tcW w:w="1120" w:type="dxa"/>
            <w:vAlign w:val="bottom"/>
          </w:tcPr>
          <w:p>
            <w:pPr>
              <w:spacing w:after="0"/>
              <w:rPr>
                <w:sz w:val="20"/>
                <w:szCs w:val="20"/>
                <w:color w:val="auto"/>
              </w:rPr>
            </w:pPr>
          </w:p>
        </w:tc>
        <w:tc>
          <w:tcPr>
            <w:tcW w:w="10160" w:type="dxa"/>
            <w:vAlign w:val="bottom"/>
          </w:tcPr>
          <w:p>
            <w:pPr>
              <w:ind w:left="600"/>
              <w:spacing w:after="0"/>
              <w:rPr>
                <w:sz w:val="20"/>
                <w:szCs w:val="20"/>
                <w:color w:val="auto"/>
              </w:rPr>
            </w:pPr>
            <w:r>
              <w:rPr>
                <w:rFonts w:ascii="Arial" w:cs="Arial" w:eastAsia="Arial" w:hAnsi="Arial"/>
                <w:sz w:val="18"/>
                <w:szCs w:val="18"/>
                <w:color w:val="auto"/>
              </w:rPr>
              <w:t>Current Report file on February 17, 2009; File No. 033-07012-99).</w:t>
            </w:r>
          </w:p>
        </w:tc>
      </w:tr>
      <w:tr>
        <w:trPr>
          <w:trHeight w:val="391"/>
        </w:trPr>
        <w:tc>
          <w:tcPr>
            <w:tcW w:w="1120" w:type="dxa"/>
            <w:vAlign w:val="bottom"/>
          </w:tcPr>
          <w:p>
            <w:pPr>
              <w:spacing w:after="0"/>
              <w:rPr>
                <w:sz w:val="20"/>
                <w:szCs w:val="20"/>
                <w:color w:val="auto"/>
              </w:rPr>
            </w:pPr>
            <w:r>
              <w:rPr>
                <w:rFonts w:ascii="Arial" w:cs="Arial" w:eastAsia="Arial" w:hAnsi="Arial"/>
                <w:sz w:val="18"/>
                <w:szCs w:val="18"/>
                <w:color w:val="auto"/>
              </w:rPr>
              <w:t>10.03</w:t>
            </w:r>
          </w:p>
        </w:tc>
        <w:tc>
          <w:tcPr>
            <w:tcW w:w="10160" w:type="dxa"/>
            <w:vAlign w:val="bottom"/>
          </w:tcPr>
          <w:p>
            <w:pPr>
              <w:ind w:left="600"/>
              <w:spacing w:after="0"/>
              <w:rPr>
                <w:sz w:val="20"/>
                <w:szCs w:val="20"/>
                <w:color w:val="auto"/>
              </w:rPr>
            </w:pPr>
            <w:r>
              <w:rPr>
                <w:rFonts w:ascii="Arial" w:cs="Arial" w:eastAsia="Arial" w:hAnsi="Arial"/>
                <w:sz w:val="18"/>
                <w:szCs w:val="18"/>
                <w:color w:val="auto"/>
                <w:w w:val="90"/>
              </w:rPr>
              <w:t>Transfer Agency and Service Agreement as of January 1, 2015, between T. Rowe Price Services, Inc. and the T. Rowe Price Funds.</w:t>
            </w:r>
          </w:p>
        </w:tc>
      </w:tr>
      <w:tr>
        <w:trPr>
          <w:trHeight w:val="230"/>
        </w:trPr>
        <w:tc>
          <w:tcPr>
            <w:tcW w:w="1120" w:type="dxa"/>
            <w:vAlign w:val="bottom"/>
          </w:tcPr>
          <w:p>
            <w:pPr>
              <w:spacing w:after="0"/>
              <w:rPr>
                <w:sz w:val="20"/>
                <w:szCs w:val="20"/>
                <w:color w:val="auto"/>
              </w:rPr>
            </w:pPr>
          </w:p>
        </w:tc>
        <w:tc>
          <w:tcPr>
            <w:tcW w:w="10160" w:type="dxa"/>
            <w:vAlign w:val="bottom"/>
          </w:tcPr>
          <w:p>
            <w:pPr>
              <w:ind w:left="600"/>
              <w:spacing w:after="0"/>
              <w:rPr>
                <w:sz w:val="20"/>
                <w:szCs w:val="20"/>
                <w:color w:val="auto"/>
              </w:rPr>
            </w:pPr>
            <w:r>
              <w:rPr>
                <w:rFonts w:ascii="Arial" w:cs="Arial" w:eastAsia="Arial" w:hAnsi="Arial"/>
                <w:sz w:val="18"/>
                <w:szCs w:val="18"/>
                <w:color w:val="auto"/>
              </w:rPr>
              <w:t>(Incorporated by reference from Form 485BPOS filed on April 27, 2015; File No. 033-16567).</w:t>
            </w:r>
          </w:p>
        </w:tc>
      </w:tr>
      <w:tr>
        <w:trPr>
          <w:trHeight w:val="391"/>
        </w:trPr>
        <w:tc>
          <w:tcPr>
            <w:tcW w:w="1120" w:type="dxa"/>
            <w:vAlign w:val="bottom"/>
          </w:tcPr>
          <w:p>
            <w:pPr>
              <w:spacing w:after="0"/>
              <w:rPr>
                <w:sz w:val="20"/>
                <w:szCs w:val="20"/>
                <w:color w:val="auto"/>
              </w:rPr>
            </w:pPr>
            <w:r>
              <w:rPr>
                <w:rFonts w:ascii="Arial" w:cs="Arial" w:eastAsia="Arial" w:hAnsi="Arial"/>
                <w:sz w:val="18"/>
                <w:szCs w:val="18"/>
                <w:color w:val="auto"/>
              </w:rPr>
              <w:t>10.04</w:t>
            </w:r>
          </w:p>
        </w:tc>
        <w:tc>
          <w:tcPr>
            <w:tcW w:w="10160" w:type="dxa"/>
            <w:vAlign w:val="bottom"/>
          </w:tcPr>
          <w:p>
            <w:pPr>
              <w:ind w:left="600"/>
              <w:spacing w:after="0"/>
              <w:rPr>
                <w:sz w:val="20"/>
                <w:szCs w:val="20"/>
                <w:color w:val="auto"/>
              </w:rPr>
            </w:pPr>
            <w:r>
              <w:rPr>
                <w:rFonts w:ascii="Arial" w:cs="Arial" w:eastAsia="Arial" w:hAnsi="Arial"/>
                <w:sz w:val="18"/>
                <w:szCs w:val="18"/>
                <w:color w:val="auto"/>
                <w:w w:val="92"/>
              </w:rPr>
              <w:t>Agreement as of January 1, 2015, between T. Rowe Price Retirement Plan Services, Inc. and certain of the T. Rowe Price Funds.</w:t>
            </w:r>
          </w:p>
        </w:tc>
      </w:tr>
      <w:tr>
        <w:trPr>
          <w:trHeight w:val="230"/>
        </w:trPr>
        <w:tc>
          <w:tcPr>
            <w:tcW w:w="1120" w:type="dxa"/>
            <w:vAlign w:val="bottom"/>
          </w:tcPr>
          <w:p>
            <w:pPr>
              <w:spacing w:after="0"/>
              <w:rPr>
                <w:sz w:val="20"/>
                <w:szCs w:val="20"/>
                <w:color w:val="auto"/>
              </w:rPr>
            </w:pPr>
          </w:p>
        </w:tc>
        <w:tc>
          <w:tcPr>
            <w:tcW w:w="10160" w:type="dxa"/>
            <w:vAlign w:val="bottom"/>
          </w:tcPr>
          <w:p>
            <w:pPr>
              <w:ind w:left="600"/>
              <w:spacing w:after="0"/>
              <w:rPr>
                <w:sz w:val="20"/>
                <w:szCs w:val="20"/>
                <w:color w:val="auto"/>
              </w:rPr>
            </w:pPr>
            <w:r>
              <w:rPr>
                <w:rFonts w:ascii="Arial" w:cs="Arial" w:eastAsia="Arial" w:hAnsi="Arial"/>
                <w:sz w:val="18"/>
                <w:szCs w:val="18"/>
                <w:color w:val="auto"/>
              </w:rPr>
              <w:t>(Incorporated by reference from Form 485BPOS filed on April 27, 2015; File No. 033-16567).</w:t>
            </w:r>
          </w:p>
        </w:tc>
      </w:tr>
      <w:tr>
        <w:trPr>
          <w:trHeight w:val="391"/>
        </w:trPr>
        <w:tc>
          <w:tcPr>
            <w:tcW w:w="1120" w:type="dxa"/>
            <w:vAlign w:val="bottom"/>
          </w:tcPr>
          <w:p>
            <w:pPr>
              <w:spacing w:after="0"/>
              <w:rPr>
                <w:sz w:val="20"/>
                <w:szCs w:val="20"/>
                <w:color w:val="auto"/>
              </w:rPr>
            </w:pPr>
            <w:r>
              <w:rPr>
                <w:rFonts w:ascii="Arial" w:cs="Arial" w:eastAsia="Arial" w:hAnsi="Arial"/>
                <w:sz w:val="18"/>
                <w:szCs w:val="18"/>
                <w:color w:val="auto"/>
              </w:rPr>
              <w:t>10.05</w:t>
            </w:r>
          </w:p>
        </w:tc>
        <w:tc>
          <w:tcPr>
            <w:tcW w:w="10160" w:type="dxa"/>
            <w:vAlign w:val="bottom"/>
          </w:tcPr>
          <w:p>
            <w:pPr>
              <w:ind w:left="600"/>
              <w:spacing w:after="0"/>
              <w:rPr>
                <w:sz w:val="20"/>
                <w:szCs w:val="20"/>
                <w:color w:val="auto"/>
              </w:rPr>
            </w:pPr>
            <w:r>
              <w:rPr>
                <w:rFonts w:ascii="Arial" w:cs="Arial" w:eastAsia="Arial" w:hAnsi="Arial"/>
                <w:sz w:val="18"/>
                <w:szCs w:val="18"/>
                <w:color w:val="auto"/>
                <w:w w:val="91"/>
              </w:rPr>
              <w:t>Fund Accounting Services Agreement as of January 1, 2014 between T. Rowe Price Associates, Inc. and the T. Rowe Price Funds.</w:t>
            </w:r>
          </w:p>
        </w:tc>
      </w:tr>
      <w:tr>
        <w:trPr>
          <w:trHeight w:val="230"/>
        </w:trPr>
        <w:tc>
          <w:tcPr>
            <w:tcW w:w="1120" w:type="dxa"/>
            <w:vAlign w:val="bottom"/>
          </w:tcPr>
          <w:p>
            <w:pPr>
              <w:spacing w:after="0"/>
              <w:rPr>
                <w:sz w:val="20"/>
                <w:szCs w:val="20"/>
                <w:color w:val="auto"/>
              </w:rPr>
            </w:pPr>
          </w:p>
        </w:tc>
        <w:tc>
          <w:tcPr>
            <w:tcW w:w="10160" w:type="dxa"/>
            <w:vAlign w:val="bottom"/>
          </w:tcPr>
          <w:p>
            <w:pPr>
              <w:ind w:left="600"/>
              <w:spacing w:after="0"/>
              <w:rPr>
                <w:sz w:val="20"/>
                <w:szCs w:val="20"/>
                <w:color w:val="auto"/>
              </w:rPr>
            </w:pPr>
            <w:r>
              <w:rPr>
                <w:rFonts w:ascii="Arial" w:cs="Arial" w:eastAsia="Arial" w:hAnsi="Arial"/>
                <w:sz w:val="18"/>
                <w:szCs w:val="18"/>
                <w:color w:val="auto"/>
              </w:rPr>
              <w:t>(Incorporated by reference from Form 485BPOS filed on April 27, 2015; File No. 033-16567).</w:t>
            </w:r>
          </w:p>
        </w:tc>
      </w:tr>
      <w:tr>
        <w:trPr>
          <w:trHeight w:val="391"/>
        </w:trPr>
        <w:tc>
          <w:tcPr>
            <w:tcW w:w="1120" w:type="dxa"/>
            <w:vAlign w:val="bottom"/>
          </w:tcPr>
          <w:p>
            <w:pPr>
              <w:spacing w:after="0"/>
              <w:rPr>
                <w:sz w:val="20"/>
                <w:szCs w:val="20"/>
                <w:color w:val="auto"/>
              </w:rPr>
            </w:pPr>
            <w:r>
              <w:rPr>
                <w:rFonts w:ascii="Arial" w:cs="Arial" w:eastAsia="Arial" w:hAnsi="Arial"/>
                <w:sz w:val="18"/>
                <w:szCs w:val="18"/>
                <w:color w:val="auto"/>
              </w:rPr>
              <w:t>10.18.1</w:t>
            </w:r>
          </w:p>
        </w:tc>
        <w:tc>
          <w:tcPr>
            <w:tcW w:w="10160" w:type="dxa"/>
            <w:vAlign w:val="bottom"/>
          </w:tcPr>
          <w:p>
            <w:pPr>
              <w:ind w:left="600"/>
              <w:spacing w:after="0"/>
              <w:rPr>
                <w:sz w:val="20"/>
                <w:szCs w:val="20"/>
                <w:color w:val="auto"/>
              </w:rPr>
            </w:pPr>
            <w:r>
              <w:rPr>
                <w:rFonts w:ascii="Arial" w:cs="Arial" w:eastAsia="Arial" w:hAnsi="Arial"/>
                <w:sz w:val="18"/>
                <w:szCs w:val="18"/>
                <w:color w:val="auto"/>
                <w:w w:val="92"/>
              </w:rPr>
              <w:t>Amended and Restated 2012 Long-term Incentive Plan. (Incorporated by reference from Form 10-Q for the quarterly period ended</w:t>
            </w:r>
          </w:p>
        </w:tc>
      </w:tr>
      <w:tr>
        <w:trPr>
          <w:trHeight w:val="230"/>
        </w:trPr>
        <w:tc>
          <w:tcPr>
            <w:tcW w:w="1120" w:type="dxa"/>
            <w:vAlign w:val="bottom"/>
          </w:tcPr>
          <w:p>
            <w:pPr>
              <w:spacing w:after="0"/>
              <w:rPr>
                <w:sz w:val="20"/>
                <w:szCs w:val="20"/>
                <w:color w:val="auto"/>
              </w:rPr>
            </w:pPr>
          </w:p>
        </w:tc>
        <w:tc>
          <w:tcPr>
            <w:tcW w:w="10160" w:type="dxa"/>
            <w:vAlign w:val="bottom"/>
          </w:tcPr>
          <w:p>
            <w:pPr>
              <w:ind w:left="600"/>
              <w:spacing w:after="0"/>
              <w:rPr>
                <w:sz w:val="20"/>
                <w:szCs w:val="20"/>
                <w:color w:val="auto"/>
              </w:rPr>
            </w:pPr>
            <w:r>
              <w:rPr>
                <w:rFonts w:ascii="Arial" w:cs="Arial" w:eastAsia="Arial" w:hAnsi="Arial"/>
                <w:sz w:val="18"/>
                <w:szCs w:val="18"/>
                <w:color w:val="auto"/>
              </w:rPr>
              <w:t>March 31, 2015 filed on April 22, 2015; File No. 000-32191).</w:t>
            </w:r>
          </w:p>
        </w:tc>
      </w:tr>
      <w:tr>
        <w:trPr>
          <w:trHeight w:val="405"/>
        </w:trPr>
        <w:tc>
          <w:tcPr>
            <w:tcW w:w="1120" w:type="dxa"/>
            <w:vAlign w:val="bottom"/>
          </w:tcPr>
          <w:p>
            <w:pPr>
              <w:spacing w:after="0"/>
              <w:rPr>
                <w:sz w:val="20"/>
                <w:szCs w:val="20"/>
                <w:color w:val="auto"/>
              </w:rPr>
            </w:pPr>
            <w:r>
              <w:rPr>
                <w:rFonts w:ascii="Arial" w:cs="Arial" w:eastAsia="Arial" w:hAnsi="Arial"/>
                <w:sz w:val="18"/>
                <w:szCs w:val="18"/>
                <w:color w:val="auto"/>
              </w:rPr>
              <w:t>15</w:t>
            </w:r>
          </w:p>
        </w:tc>
        <w:tc>
          <w:tcPr>
            <w:tcW w:w="10160" w:type="dxa"/>
            <w:vAlign w:val="bottom"/>
          </w:tcPr>
          <w:p>
            <w:pPr>
              <w:ind w:left="600"/>
              <w:spacing w:after="0"/>
              <w:rPr>
                <w:sz w:val="20"/>
                <w:szCs w:val="20"/>
                <w:color w:val="auto"/>
              </w:rPr>
            </w:pPr>
            <w:r>
              <w:rPr>
                <w:rFonts w:ascii="Arial" w:cs="Arial" w:eastAsia="Arial" w:hAnsi="Arial"/>
                <w:sz w:val="18"/>
                <w:szCs w:val="18"/>
                <w:color w:val="auto"/>
              </w:rPr>
              <w:t>Letter from KPMG LLP, independent registered public accounting firm, re unaudited interim financial information.</w:t>
            </w:r>
          </w:p>
        </w:tc>
      </w:tr>
      <w:tr>
        <w:trPr>
          <w:trHeight w:val="405"/>
        </w:trPr>
        <w:tc>
          <w:tcPr>
            <w:tcW w:w="1120" w:type="dxa"/>
            <w:vAlign w:val="bottom"/>
          </w:tcPr>
          <w:p>
            <w:pPr>
              <w:spacing w:after="0"/>
              <w:rPr>
                <w:sz w:val="20"/>
                <w:szCs w:val="20"/>
                <w:color w:val="auto"/>
              </w:rPr>
            </w:pPr>
            <w:r>
              <w:rPr>
                <w:rFonts w:ascii="Arial" w:cs="Arial" w:eastAsia="Arial" w:hAnsi="Arial"/>
                <w:sz w:val="18"/>
                <w:szCs w:val="18"/>
                <w:color w:val="auto"/>
              </w:rPr>
              <w:t>31(i).1</w:t>
            </w:r>
          </w:p>
        </w:tc>
        <w:tc>
          <w:tcPr>
            <w:tcW w:w="10160" w:type="dxa"/>
            <w:vAlign w:val="bottom"/>
          </w:tcPr>
          <w:p>
            <w:pPr>
              <w:ind w:left="600"/>
              <w:spacing w:after="0"/>
              <w:rPr>
                <w:sz w:val="20"/>
                <w:szCs w:val="20"/>
                <w:color w:val="auto"/>
              </w:rPr>
            </w:pPr>
            <w:r>
              <w:rPr>
                <w:rFonts w:ascii="Arial" w:cs="Arial" w:eastAsia="Arial" w:hAnsi="Arial"/>
                <w:sz w:val="18"/>
                <w:szCs w:val="18"/>
                <w:color w:val="auto"/>
              </w:rPr>
              <w:t>Rule 13a-14(a) Certification of Principal Executive Officer.</w:t>
            </w:r>
          </w:p>
        </w:tc>
      </w:tr>
      <w:tr>
        <w:trPr>
          <w:trHeight w:val="405"/>
        </w:trPr>
        <w:tc>
          <w:tcPr>
            <w:tcW w:w="1120" w:type="dxa"/>
            <w:vAlign w:val="bottom"/>
          </w:tcPr>
          <w:p>
            <w:pPr>
              <w:spacing w:after="0"/>
              <w:rPr>
                <w:sz w:val="20"/>
                <w:szCs w:val="20"/>
                <w:color w:val="auto"/>
              </w:rPr>
            </w:pPr>
            <w:r>
              <w:rPr>
                <w:rFonts w:ascii="Arial" w:cs="Arial" w:eastAsia="Arial" w:hAnsi="Arial"/>
                <w:sz w:val="18"/>
                <w:szCs w:val="18"/>
                <w:color w:val="auto"/>
              </w:rPr>
              <w:t>31(i).2</w:t>
            </w:r>
          </w:p>
        </w:tc>
        <w:tc>
          <w:tcPr>
            <w:tcW w:w="10160" w:type="dxa"/>
            <w:vAlign w:val="bottom"/>
          </w:tcPr>
          <w:p>
            <w:pPr>
              <w:ind w:left="600"/>
              <w:spacing w:after="0"/>
              <w:rPr>
                <w:sz w:val="20"/>
                <w:szCs w:val="20"/>
                <w:color w:val="auto"/>
              </w:rPr>
            </w:pPr>
            <w:r>
              <w:rPr>
                <w:rFonts w:ascii="Arial" w:cs="Arial" w:eastAsia="Arial" w:hAnsi="Arial"/>
                <w:sz w:val="18"/>
                <w:szCs w:val="18"/>
                <w:color w:val="auto"/>
              </w:rPr>
              <w:t>Rule 13a-14(a) Certification of Principal Financial Officer.</w:t>
            </w:r>
          </w:p>
        </w:tc>
      </w:tr>
      <w:tr>
        <w:trPr>
          <w:trHeight w:val="405"/>
        </w:trPr>
        <w:tc>
          <w:tcPr>
            <w:tcW w:w="1120" w:type="dxa"/>
            <w:vAlign w:val="bottom"/>
          </w:tcPr>
          <w:p>
            <w:pPr>
              <w:spacing w:after="0"/>
              <w:rPr>
                <w:sz w:val="20"/>
                <w:szCs w:val="20"/>
                <w:color w:val="auto"/>
              </w:rPr>
            </w:pPr>
            <w:r>
              <w:rPr>
                <w:rFonts w:ascii="Arial" w:cs="Arial" w:eastAsia="Arial" w:hAnsi="Arial"/>
                <w:sz w:val="18"/>
                <w:szCs w:val="18"/>
                <w:color w:val="auto"/>
              </w:rPr>
              <w:t>32</w:t>
            </w:r>
          </w:p>
        </w:tc>
        <w:tc>
          <w:tcPr>
            <w:tcW w:w="10160" w:type="dxa"/>
            <w:vAlign w:val="bottom"/>
          </w:tcPr>
          <w:p>
            <w:pPr>
              <w:ind w:left="600"/>
              <w:spacing w:after="0"/>
              <w:rPr>
                <w:sz w:val="20"/>
                <w:szCs w:val="20"/>
                <w:color w:val="auto"/>
              </w:rPr>
            </w:pPr>
            <w:r>
              <w:rPr>
                <w:rFonts w:ascii="Arial" w:cs="Arial" w:eastAsia="Arial" w:hAnsi="Arial"/>
                <w:sz w:val="18"/>
                <w:szCs w:val="18"/>
                <w:color w:val="auto"/>
              </w:rPr>
              <w:t>Section 1350 Certifications.</w:t>
            </w:r>
          </w:p>
        </w:tc>
      </w:tr>
      <w:tr>
        <w:trPr>
          <w:trHeight w:val="405"/>
        </w:trPr>
        <w:tc>
          <w:tcPr>
            <w:tcW w:w="1120" w:type="dxa"/>
            <w:vAlign w:val="bottom"/>
          </w:tcPr>
          <w:p>
            <w:pPr>
              <w:spacing w:after="0"/>
              <w:rPr>
                <w:sz w:val="20"/>
                <w:szCs w:val="20"/>
                <w:color w:val="auto"/>
              </w:rPr>
            </w:pPr>
            <w:r>
              <w:rPr>
                <w:rFonts w:ascii="Arial" w:cs="Arial" w:eastAsia="Arial" w:hAnsi="Arial"/>
                <w:sz w:val="18"/>
                <w:szCs w:val="18"/>
                <w:color w:val="auto"/>
              </w:rPr>
              <w:t>99</w:t>
            </w:r>
          </w:p>
        </w:tc>
        <w:tc>
          <w:tcPr>
            <w:tcW w:w="10160" w:type="dxa"/>
            <w:vAlign w:val="bottom"/>
          </w:tcPr>
          <w:p>
            <w:pPr>
              <w:ind w:left="600"/>
              <w:spacing w:after="0"/>
              <w:rPr>
                <w:sz w:val="20"/>
                <w:szCs w:val="20"/>
                <w:color w:val="auto"/>
              </w:rPr>
            </w:pPr>
            <w:r>
              <w:rPr>
                <w:rFonts w:ascii="Arial" w:cs="Arial" w:eastAsia="Arial" w:hAnsi="Arial"/>
                <w:sz w:val="18"/>
                <w:szCs w:val="18"/>
                <w:color w:val="auto"/>
              </w:rPr>
              <w:t>Earnings release issued July 23, 2015, reporting our results of operations for the second quarter and first half of 2015.</w:t>
            </w:r>
          </w:p>
        </w:tc>
      </w:tr>
      <w:tr>
        <w:trPr>
          <w:trHeight w:val="405"/>
        </w:trPr>
        <w:tc>
          <w:tcPr>
            <w:tcW w:w="1120" w:type="dxa"/>
            <w:vAlign w:val="bottom"/>
          </w:tcPr>
          <w:p>
            <w:pPr>
              <w:spacing w:after="0"/>
              <w:rPr>
                <w:sz w:val="20"/>
                <w:szCs w:val="20"/>
                <w:color w:val="auto"/>
              </w:rPr>
            </w:pPr>
            <w:r>
              <w:rPr>
                <w:rFonts w:ascii="Arial" w:cs="Arial" w:eastAsia="Arial" w:hAnsi="Arial"/>
                <w:sz w:val="18"/>
                <w:szCs w:val="18"/>
                <w:color w:val="auto"/>
              </w:rPr>
              <w:t>101</w:t>
            </w:r>
          </w:p>
        </w:tc>
        <w:tc>
          <w:tcPr>
            <w:tcW w:w="10160" w:type="dxa"/>
            <w:vAlign w:val="bottom"/>
          </w:tcPr>
          <w:p>
            <w:pPr>
              <w:ind w:left="600"/>
              <w:spacing w:after="0"/>
              <w:rPr>
                <w:sz w:val="20"/>
                <w:szCs w:val="20"/>
                <w:color w:val="auto"/>
              </w:rPr>
            </w:pPr>
            <w:r>
              <w:rPr>
                <w:rFonts w:ascii="Arial" w:cs="Arial" w:eastAsia="Arial" w:hAnsi="Arial"/>
                <w:sz w:val="18"/>
                <w:szCs w:val="18"/>
                <w:color w:val="auto"/>
                <w:w w:val="96"/>
              </w:rPr>
              <w:t>The following series of unaudited XBRL-formatted documents are collectively included herewith as Exhibit 101. The financial</w:t>
            </w:r>
          </w:p>
        </w:tc>
      </w:tr>
    </w:tbl>
    <w:p>
      <w:pPr>
        <w:ind w:left="1760" w:right="160"/>
        <w:spacing w:after="0" w:line="261" w:lineRule="auto"/>
        <w:rPr>
          <w:sz w:val="20"/>
          <w:szCs w:val="20"/>
          <w:color w:val="auto"/>
        </w:rPr>
      </w:pPr>
      <w:r>
        <w:rPr>
          <w:rFonts w:ascii="Arial" w:cs="Arial" w:eastAsia="Arial" w:hAnsi="Arial"/>
          <w:sz w:val="18"/>
          <w:szCs w:val="18"/>
          <w:color w:val="auto"/>
        </w:rPr>
        <w:t>information is extracted from T. Rowe Price Group’s unaudited condensed consolidated interim financial statements and notes that are included in this Form 10-Q Report.</w:t>
      </w:r>
    </w:p>
    <w:p>
      <w:pPr>
        <w:spacing w:after="0" w:line="15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101.INS XBRL Instance Document (File name: trow-20150630.xml).</w:t>
      </w:r>
    </w:p>
    <w:p>
      <w:pPr>
        <w:spacing w:after="0" w:line="19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101.SCH XBRL Taxonomy Extension Schema Document (File name: trow-20150630.xsd).</w:t>
      </w:r>
    </w:p>
    <w:p>
      <w:pPr>
        <w:spacing w:after="0" w:line="19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101.CAL XBRL Taxonomy Calculation Linkbase Document (File name: trow-20150630_cal.xml).</w:t>
      </w:r>
    </w:p>
    <w:p>
      <w:pPr>
        <w:spacing w:after="0" w:line="19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101.LAB XBRL Taxonomy Label Linkbase Document (File name: trow-20150630_lab.xml).</w:t>
      </w:r>
    </w:p>
    <w:p>
      <w:pPr>
        <w:spacing w:after="0" w:line="19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101.PRE XBRL Taxonomy Presentation Linkbase Document (File name: trow-20150630_pre.xml).</w:t>
      </w:r>
    </w:p>
    <w:p>
      <w:pPr>
        <w:spacing w:after="0" w:line="19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101.DEF XBRL Taxonomy Definition Linkbase Document (File name: trow-20150630_def.xml).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24</w:t>
      </w:r>
    </w:p>
    <w:p>
      <w:pPr>
        <w:sectPr>
          <w:pgSz w:w="11900" w:h="16838" w:orient="portrait"/>
          <w:cols w:equalWidth="0" w:num="1">
            <w:col w:w="11320"/>
          </w:cols>
          <w:pgMar w:left="240" w:top="580" w:right="339" w:bottom="1440" w:gutter="0" w:footer="0" w:header="0"/>
        </w:sectPr>
      </w:pPr>
    </w:p>
    <w:bookmarkStart w:id="24" w:name="page25"/>
    <w:bookmarkEnd w:id="24"/>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5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July 23, 2015.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V. Moreland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Page 25</w:t>
      </w:r>
    </w:p>
    <w:p>
      <w:pPr>
        <w:sectPr>
          <w:pgSz w:w="11900" w:h="16838" w:orient="portrait"/>
          <w:cols w:equalWidth="0" w:num="1">
            <w:col w:w="11220"/>
          </w:cols>
          <w:pgMar w:left="240" w:top="364" w:right="439" w:bottom="1440" w:gutter="0" w:footer="0" w:header="0"/>
        </w:sectPr>
      </w:pPr>
    </w:p>
    <w:bookmarkStart w:id="25" w:name="page26"/>
    <w:bookmarkEnd w:id="25"/>
    <w:p>
      <w:pPr>
        <w:ind w:left="4340"/>
        <w:spacing w:after="0"/>
        <w:rPr>
          <w:sz w:val="20"/>
          <w:szCs w:val="20"/>
          <w:color w:val="auto"/>
        </w:rPr>
      </w:pPr>
      <w:r>
        <w:rPr>
          <w:rFonts w:ascii="Arial" w:cs="Arial" w:eastAsia="Arial" w:hAnsi="Arial"/>
          <w:sz w:val="17"/>
          <w:szCs w:val="17"/>
          <w:color w:val="auto"/>
        </w:rPr>
        <w:t>EXHIBIT 15</w:t>
      </w:r>
    </w:p>
    <w:p>
      <w:pPr>
        <w:spacing w:after="0" w:line="20" w:lineRule="exact"/>
        <w:rPr>
          <w:sz w:val="20"/>
          <w:szCs w:val="20"/>
          <w:color w:val="auto"/>
        </w:rPr>
      </w:pPr>
      <w:r>
        <w:rPr>
          <w:sz w:val="20"/>
          <w:szCs w:val="20"/>
          <w:color w:val="auto"/>
        </w:rPr>
        <w:br w:type="column"/>
      </w:r>
    </w:p>
    <w:p>
      <w:pPr>
        <w:jc w:val="right"/>
        <w:spacing w:after="0" w:line="277" w:lineRule="auto"/>
        <w:rPr>
          <w:sz w:val="20"/>
          <w:szCs w:val="20"/>
          <w:color w:val="auto"/>
        </w:rPr>
      </w:pPr>
      <w:r>
        <w:rPr>
          <w:rFonts w:ascii="Arial" w:cs="Arial" w:eastAsia="Arial" w:hAnsi="Arial"/>
          <w:sz w:val="18"/>
          <w:szCs w:val="18"/>
          <w:color w:val="auto"/>
        </w:rPr>
        <w:t>Letter from KPMG LLP, independent registered public accounting firm, re unaudited interim financial information</w:t>
      </w:r>
    </w:p>
    <w:p>
      <w:pPr>
        <w:spacing w:after="0" w:line="200" w:lineRule="exact"/>
        <w:rPr>
          <w:sz w:val="20"/>
          <w:szCs w:val="20"/>
          <w:color w:val="auto"/>
        </w:rPr>
      </w:pPr>
    </w:p>
    <w:p>
      <w:pPr>
        <w:sectPr>
          <w:pgSz w:w="11900" w:h="16838" w:orient="portrait"/>
          <w:cols w:equalWidth="0" w:num="2">
            <w:col w:w="5520" w:space="720"/>
            <w:col w:w="5180"/>
          </w:cols>
          <w:pgMar w:left="240" w:top="584" w:right="23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 21202</w:t>
      </w:r>
    </w:p>
    <w:p>
      <w:pPr>
        <w:spacing w:after="0" w:line="200" w:lineRule="exact"/>
        <w:rPr>
          <w:sz w:val="20"/>
          <w:szCs w:val="20"/>
          <w:color w:val="auto"/>
        </w:rPr>
      </w:pPr>
    </w:p>
    <w:p>
      <w:pPr>
        <w:spacing w:after="0" w:line="22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Re: Registration Statements on Form S-8: No. 33-7012, No. 333-90967, No. 333-59714, No. 333-120882, No. 333-120883, No. 333-142092, No. 333-167317, No. 333-180904, and No. 333-199560.</w:t>
      </w:r>
    </w:p>
    <w:p>
      <w:pPr>
        <w:spacing w:after="0" w:line="3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With respect to the subject registration statements, we acknowledge our awareness of the use therein of our report dated July 23, 2015 related to our review of interim financial information.</w:t>
      </w:r>
    </w:p>
    <w:p>
      <w:pPr>
        <w:spacing w:after="0" w:line="17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23, 2015</w:t>
      </w:r>
    </w:p>
    <w:p>
      <w:pPr>
        <w:sectPr>
          <w:pgSz w:w="11900" w:h="16838" w:orient="portrait"/>
          <w:cols w:equalWidth="0" w:num="1">
            <w:col w:w="11420"/>
          </w:cols>
          <w:pgMar w:left="240" w:top="584" w:right="239" w:bottom="1440" w:gutter="0" w:footer="0" w:header="0"/>
          <w:type w:val="continuous"/>
        </w:sectPr>
      </w:pPr>
    </w:p>
    <w:bookmarkStart w:id="26" w:name="page27"/>
    <w:bookmarkEnd w:id="26"/>
    <w:p>
      <w:pPr>
        <w:spacing w:after="0"/>
        <w:tabs>
          <w:tab w:leader="none" w:pos="2180" w:val="left"/>
        </w:tabs>
        <w:rPr>
          <w:sz w:val="20"/>
          <w:szCs w:val="20"/>
          <w:color w:val="auto"/>
        </w:rPr>
      </w:pPr>
      <w:r>
        <w:rPr>
          <w:rFonts w:ascii="Arial" w:cs="Arial" w:eastAsia="Arial" w:hAnsi="Arial"/>
          <w:sz w:val="18"/>
          <w:szCs w:val="18"/>
          <w:color w:val="auto"/>
        </w:rPr>
        <w:t>EXHIBIT 31(i).1</w:t>
      </w:r>
      <w:r>
        <w:rPr>
          <w:sz w:val="20"/>
          <w:szCs w:val="20"/>
          <w:color w:val="auto"/>
        </w:rPr>
        <w:tab/>
      </w:r>
      <w:r>
        <w:rPr>
          <w:rFonts w:ascii="Arial" w:cs="Arial" w:eastAsia="Arial" w:hAnsi="Arial"/>
          <w:sz w:val="16"/>
          <w:szCs w:val="16"/>
          <w:color w:val="auto"/>
        </w:rPr>
        <w:t>Rule 13a-14(a) Certification of Principal Executive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James A. C. Kennedy, certify that:</w:t>
      </w:r>
    </w:p>
    <w:p>
      <w:pPr>
        <w:spacing w:after="0" w:line="171"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June 30, 2015 of T. Rowe Price Group, Inc.;</w:t>
      </w:r>
    </w:p>
    <w:p>
      <w:pPr>
        <w:spacing w:after="0" w:line="171" w:lineRule="exact"/>
        <w:rPr>
          <w:rFonts w:ascii="Arial" w:cs="Arial" w:eastAsia="Arial" w:hAnsi="Arial"/>
          <w:sz w:val="18"/>
          <w:szCs w:val="18"/>
          <w:color w:val="auto"/>
        </w:rPr>
      </w:pPr>
    </w:p>
    <w:p>
      <w:pPr>
        <w:ind w:left="180" w:right="240" w:hanging="172"/>
        <w:spacing w:after="0" w:line="342" w:lineRule="auto"/>
        <w:tabs>
          <w:tab w:leader="none" w:pos="180" w:val="left"/>
        </w:tabs>
        <w:numPr>
          <w:ilvl w:val="0"/>
          <w:numId w:val="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180" w:right="20" w:hanging="172"/>
        <w:spacing w:after="0" w:line="277" w:lineRule="auto"/>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180" w:right="180" w:hanging="172"/>
        <w:spacing w:after="0" w:line="264" w:lineRule="auto"/>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80" w:right="120" w:firstLine="71"/>
        <w:spacing w:after="0" w:line="264" w:lineRule="auto"/>
        <w:tabs>
          <w:tab w:leader="none" w:pos="506" w:val="left"/>
        </w:tabs>
        <w:numPr>
          <w:ilvl w:val="1"/>
          <w:numId w:val="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80" w:right="140" w:firstLine="71"/>
        <w:spacing w:after="0" w:line="264" w:lineRule="auto"/>
        <w:tabs>
          <w:tab w:leader="none" w:pos="516" w:val="left"/>
        </w:tabs>
        <w:numPr>
          <w:ilvl w:val="1"/>
          <w:numId w:val="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80" w:firstLine="71"/>
        <w:spacing w:after="0" w:line="277" w:lineRule="auto"/>
        <w:tabs>
          <w:tab w:leader="none" w:pos="506" w:val="left"/>
        </w:tabs>
        <w:numPr>
          <w:ilvl w:val="1"/>
          <w:numId w:val="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80" w:right="220" w:firstLine="71"/>
        <w:spacing w:after="0" w:line="264" w:lineRule="auto"/>
        <w:tabs>
          <w:tab w:leader="none" w:pos="516" w:val="left"/>
        </w:tabs>
        <w:numPr>
          <w:ilvl w:val="1"/>
          <w:numId w:val="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180" w:right="620" w:hanging="172"/>
        <w:spacing w:after="0" w:line="308" w:lineRule="auto"/>
        <w:tabs>
          <w:tab w:leader="none" w:pos="18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80" w:right="120" w:firstLine="71"/>
        <w:spacing w:after="0" w:line="277" w:lineRule="auto"/>
        <w:tabs>
          <w:tab w:leader="none" w:pos="506" w:val="left"/>
        </w:tabs>
        <w:numPr>
          <w:ilvl w:val="1"/>
          <w:numId w:val="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80" w:right="160" w:firstLine="71"/>
        <w:spacing w:after="0" w:line="277" w:lineRule="auto"/>
        <w:tabs>
          <w:tab w:leader="none" w:pos="516" w:val="left"/>
        </w:tabs>
        <w:numPr>
          <w:ilvl w:val="1"/>
          <w:numId w:val="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July 23, 2015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380"/>
          </w:cols>
          <w:pgMar w:left="240" w:top="665" w:right="279" w:bottom="1440" w:gutter="0" w:footer="0" w:header="0"/>
        </w:sectPr>
      </w:pPr>
    </w:p>
    <w:bookmarkStart w:id="27" w:name="page28"/>
    <w:bookmarkEnd w:id="27"/>
    <w:p>
      <w:pPr>
        <w:spacing w:after="0"/>
        <w:tabs>
          <w:tab w:leader="none" w:pos="2180" w:val="left"/>
        </w:tabs>
        <w:rPr>
          <w:sz w:val="20"/>
          <w:szCs w:val="20"/>
          <w:color w:val="auto"/>
        </w:rPr>
      </w:pPr>
      <w:r>
        <w:rPr>
          <w:rFonts w:ascii="Arial" w:cs="Arial" w:eastAsia="Arial" w:hAnsi="Arial"/>
          <w:sz w:val="18"/>
          <w:szCs w:val="18"/>
          <w:color w:val="auto"/>
        </w:rPr>
        <w:t>EXHIBIT 31(i).2</w:t>
      </w:r>
      <w:r>
        <w:rPr>
          <w:sz w:val="20"/>
          <w:szCs w:val="20"/>
          <w:color w:val="auto"/>
        </w:rPr>
        <w:tab/>
      </w:r>
      <w:r>
        <w:rPr>
          <w:rFonts w:ascii="Arial" w:cs="Arial" w:eastAsia="Arial" w:hAnsi="Arial"/>
          <w:sz w:val="16"/>
          <w:szCs w:val="16"/>
          <w:color w:val="auto"/>
        </w:rPr>
        <w:t>Rule 13a-14(a) Certification of Principal Financial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Kenneth V. Moreland, certify that:</w:t>
      </w:r>
    </w:p>
    <w:p>
      <w:pPr>
        <w:spacing w:after="0" w:line="171"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June 30, 2015 of T. Rowe Price Group, Inc.;</w:t>
      </w:r>
    </w:p>
    <w:p>
      <w:pPr>
        <w:spacing w:after="0" w:line="171" w:lineRule="exact"/>
        <w:rPr>
          <w:rFonts w:ascii="Arial" w:cs="Arial" w:eastAsia="Arial" w:hAnsi="Arial"/>
          <w:sz w:val="18"/>
          <w:szCs w:val="18"/>
          <w:color w:val="auto"/>
        </w:rPr>
      </w:pPr>
    </w:p>
    <w:p>
      <w:pPr>
        <w:ind w:left="180" w:right="240" w:hanging="172"/>
        <w:spacing w:after="0" w:line="342" w:lineRule="auto"/>
        <w:tabs>
          <w:tab w:leader="none" w:pos="180" w:val="left"/>
        </w:tabs>
        <w:numPr>
          <w:ilvl w:val="0"/>
          <w:numId w:val="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180" w:right="20" w:hanging="172"/>
        <w:spacing w:after="0" w:line="277"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180" w:right="180" w:hanging="172"/>
        <w:spacing w:after="0" w:line="264"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80" w:right="120" w:firstLine="71"/>
        <w:spacing w:after="0" w:line="264" w:lineRule="auto"/>
        <w:tabs>
          <w:tab w:leader="none" w:pos="506" w:val="left"/>
        </w:tabs>
        <w:numPr>
          <w:ilvl w:val="1"/>
          <w:numId w:val="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80" w:right="140" w:firstLine="71"/>
        <w:spacing w:after="0" w:line="264" w:lineRule="auto"/>
        <w:tabs>
          <w:tab w:leader="none" w:pos="516" w:val="left"/>
        </w:tabs>
        <w:numPr>
          <w:ilvl w:val="1"/>
          <w:numId w:val="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80" w:firstLine="71"/>
        <w:spacing w:after="0" w:line="277" w:lineRule="auto"/>
        <w:tabs>
          <w:tab w:leader="none" w:pos="506" w:val="left"/>
        </w:tabs>
        <w:numPr>
          <w:ilvl w:val="1"/>
          <w:numId w:val="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80" w:right="220" w:firstLine="71"/>
        <w:spacing w:after="0" w:line="264" w:lineRule="auto"/>
        <w:tabs>
          <w:tab w:leader="none" w:pos="516" w:val="left"/>
        </w:tabs>
        <w:numPr>
          <w:ilvl w:val="1"/>
          <w:numId w:val="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180" w:right="620" w:hanging="172"/>
        <w:spacing w:after="0" w:line="308" w:lineRule="auto"/>
        <w:tabs>
          <w:tab w:leader="none" w:pos="1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80" w:right="120" w:firstLine="71"/>
        <w:spacing w:after="0" w:line="277" w:lineRule="auto"/>
        <w:tabs>
          <w:tab w:leader="none" w:pos="506" w:val="left"/>
        </w:tabs>
        <w:numPr>
          <w:ilvl w:val="1"/>
          <w:numId w:val="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80" w:right="160" w:firstLine="71"/>
        <w:spacing w:after="0" w:line="277" w:lineRule="auto"/>
        <w:tabs>
          <w:tab w:leader="none" w:pos="516" w:val="left"/>
        </w:tabs>
        <w:numPr>
          <w:ilvl w:val="1"/>
          <w:numId w:val="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July 23, 2015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380"/>
          </w:cols>
          <w:pgMar w:left="240" w:top="665" w:right="279" w:bottom="1440" w:gutter="0" w:footer="0" w:header="0"/>
        </w:sectPr>
      </w:pPr>
    </w:p>
    <w:bookmarkStart w:id="28" w:name="page29"/>
    <w:bookmarkEnd w:id="28"/>
    <w:p>
      <w:pPr>
        <w:spacing w:after="0"/>
        <w:tabs>
          <w:tab w:leader="none" w:pos="2740" w:val="left"/>
        </w:tabs>
        <w:rPr>
          <w:sz w:val="20"/>
          <w:szCs w:val="20"/>
          <w:color w:val="auto"/>
        </w:rPr>
      </w:pPr>
      <w:r>
        <w:rPr>
          <w:rFonts w:ascii="Arial" w:cs="Arial" w:eastAsia="Arial" w:hAnsi="Arial"/>
          <w:sz w:val="18"/>
          <w:szCs w:val="18"/>
          <w:color w:val="auto"/>
        </w:rPr>
        <w:t>EXHIBIT 32</w:t>
      </w:r>
      <w:r>
        <w:rPr>
          <w:sz w:val="20"/>
          <w:szCs w:val="20"/>
          <w:color w:val="auto"/>
        </w:rPr>
        <w:tab/>
      </w:r>
      <w:r>
        <w:rPr>
          <w:rFonts w:ascii="Arial" w:cs="Arial" w:eastAsia="Arial" w:hAnsi="Arial"/>
          <w:sz w:val="16"/>
          <w:szCs w:val="16"/>
          <w:color w:val="auto"/>
        </w:rPr>
        <w:t>Section 1350 Certifications</w:t>
      </w:r>
    </w:p>
    <w:p>
      <w:pPr>
        <w:spacing w:after="0" w:line="200" w:lineRule="exact"/>
        <w:rPr>
          <w:sz w:val="20"/>
          <w:szCs w:val="20"/>
          <w:color w:val="auto"/>
        </w:rPr>
      </w:pPr>
    </w:p>
    <w:p>
      <w:pPr>
        <w:spacing w:after="0" w:line="34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certify, to the best of our knowledge, based upon a review of the Form 10-Q Quarterly Report for the quarterly period ended June 30, 2015 of T. Rowe Price Group, Inc., that:</w:t>
      </w:r>
    </w:p>
    <w:p>
      <w:pPr>
        <w:spacing w:after="0" w:line="116"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Form 10-Q Quarterly Report fully complies with the requirements of Section 13(a) of the Securities Exchange Act of 1934, as amended; and</w:t>
      </w:r>
    </w:p>
    <w:p>
      <w:pPr>
        <w:spacing w:after="0" w:line="182" w:lineRule="exact"/>
        <w:rPr>
          <w:rFonts w:ascii="Arial" w:cs="Arial" w:eastAsia="Arial" w:hAnsi="Arial"/>
          <w:sz w:val="17"/>
          <w:szCs w:val="17"/>
          <w:color w:val="auto"/>
        </w:rPr>
      </w:pPr>
    </w:p>
    <w:p>
      <w:pPr>
        <w:ind w:right="120" w:firstLine="8"/>
        <w:spacing w:after="0" w:line="277"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information contained in the Form 10-Q Quarterly Report fairly presents, in all material respects, the financial condition and results of operations of T. Rowe Price Group, Inc.</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July 23, 2015</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has been provided to T. Rowe Price Group, Inc. and will be retained by T. Rowe Price Group, Inc. and furnished to the Securities and Exchange Commission or its staff upon request.</w:t>
      </w:r>
    </w:p>
    <w:p>
      <w:pPr>
        <w:sectPr>
          <w:pgSz w:w="11900" w:h="16838" w:orient="portrait"/>
          <w:cols w:equalWidth="0" w:num="1">
            <w:col w:w="11360"/>
          </w:cols>
          <w:pgMar w:left="240" w:top="665" w:right="299" w:bottom="1440" w:gutter="0" w:footer="0" w:header="0"/>
        </w:sectPr>
      </w:pPr>
    </w:p>
    <w:bookmarkStart w:id="29" w:name="page30"/>
    <w:bookmarkEnd w:id="29"/>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363220</wp:posOffset>
            </wp:positionV>
            <wp:extent cx="6856095" cy="90411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9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6095" cy="9049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9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6095" cy="9049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32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6095" cy="9032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lvl w:ilvl="1">
      <w:lvlJc w:val="left"/>
      <w:lvlText w:val="(%2)"/>
      <w:numFmt w:val="lowerLetter"/>
      <w:start w:val="1"/>
    </w:lvl>
  </w:abstractNum>
  <w:abstractNum w:abstractNumId="1">
    <w:nsid w:val="74B0DC51"/>
    <w:multiLevelType w:val="hybridMultilevel"/>
    <w:lvl w:ilvl="0">
      <w:lvlJc w:val="left"/>
      <w:lvlText w:val="%1."/>
      <w:numFmt w:val="decimal"/>
      <w:start w:val="1"/>
    </w:lvl>
    <w:lvl w:ilvl="1">
      <w:lvlJc w:val="left"/>
      <w:lvlText w:val="(%2)"/>
      <w:numFmt w:val="lowerLetter"/>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2019-12-07T15:04:18Z</dcterms:created>
  <dcterms:modified xsi:type="dcterms:W3CDTF">2019-12-07T15:04:18Z</dcterms:modified>
</cp:coreProperties>
</file>