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697230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662940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82" w:right="339" w:bottom="1440" w:gutter="0" w:footer="0" w:header="0"/>
        </w:sectPr>
      </w:pPr>
    </w:p>
    <w:p>
      <w:pPr>
        <w:spacing w:after="0" w:line="126"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220" w:space="720"/>
            <w:col w:w="3300"/>
          </w:cols>
          <w:pgMar w:left="320" w:top="1182"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520" w:space="720"/>
            <w:col w:w="4000"/>
          </w:cols>
          <w:pgMar w:left="320" w:top="1182"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1307 Point Street, Baltimore, Maryland 21231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3"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$0.20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4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5"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40"/>
        <w:spacing w:after="0" w:line="213"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($0.20 par value), as of the latest practicable date, October 29, 2025, is 218,237,000.</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12/31/2024</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Assets of consolidated investment products ($1,599.8 million at September 30, 2025 and $1,555.6</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1,777.7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million at December 31, 2024,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investment products ($21.7 million at September 30, 2025 and $46.2 million</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at December 31, 2024,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88"/>
        </w:trPr>
        <w:tc>
          <w:tcPr>
            <w:tcW w:w="8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Preferred stock, undesignated, $0.20 par value – authorized and unissued 20,000,000 shares</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$0.20 par value—authorized 750,000,000; issued 218,684,000 shares at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30, 2025 and 222,966,000 at December 31, 2024</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9/30/2025</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9/30/2025</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9/30/2024</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1,698.7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4,864.7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4,732.5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advisory fees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services, and other fees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2,048.4</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3,662.9</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3,504.2</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1,764.9</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gains (losses), including foreign currency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2,246.6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1,719.1</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 Inc.</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4540"/>
        <w:spacing w:after="0" w:line="296" w:lineRule="auto"/>
        <w:rPr>
          <w:sz w:val="20"/>
          <w:szCs w:val="20"/>
          <w:color w:val="auto"/>
        </w:rPr>
      </w:pPr>
      <w:r>
        <w:rPr>
          <w:rFonts w:ascii="Arial" w:cs="Arial" w:eastAsia="Arial" w:hAnsi="Arial"/>
          <w:sz w:val="18"/>
          <w:szCs w:val="18"/>
          <w:b w:val="1"/>
          <w:bCs w:val="1"/>
          <w:color w:val="auto"/>
        </w:rPr>
        <w:t>UNAUDITED CONSOLIDATED STATEMENTS OF COMPREHENSIVE INCOME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4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9/30/2024</w:t>
            </w:r>
          </w:p>
        </w:tc>
      </w:tr>
      <w:tr>
        <w:trPr>
          <w:trHeight w:val="25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1,719.1</w:t>
            </w:r>
          </w:p>
        </w:tc>
      </w:tr>
      <w:tr>
        <w:trPr>
          <w:trHeight w:val="227"/>
        </w:trPr>
        <w:tc>
          <w:tcPr>
            <w:tcW w:w="5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Consolidated investment products - variable interest entities</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(gains) losses recognized in non-operating</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2"/>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upon deconsolidation of certain investment products</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Equity method investments</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5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tax (expense) benefit</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5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1,733.3</w:t>
            </w:r>
          </w:p>
        </w:tc>
      </w:tr>
      <w:tr>
        <w:trPr>
          <w:trHeight w:val="224"/>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redeemable non-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2"/>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Comprehensive income attributable to T. Rowe Price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w:t>
            </w:r>
          </w:p>
        </w:tc>
      </w:tr>
      <w:tr>
        <w:trPr>
          <w:trHeight w:val="21"/>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31"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9/30/2024</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1,747.7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1,719.1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and impairment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Fair value remeasurement of contingent consideration liability</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Net redemptions in investment products used to economically hedge deferred compensation</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1,967.5</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investment products upon consolidation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and equity-unit holders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contributions (distributions) to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of consolidated investment products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1,084.8</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$63.1 million at December 31, 2024,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2,712.9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2,143.8</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$77.2 million at December 31, 2023, held by consolidated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$49.1 million at September 30, 2025, and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3,683.9</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3,228.6</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color w:val="auto"/>
              </w:rPr>
              <w:t>$55.1 million at September 30, 2024, held by consolidated investment products</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4800"/>
        <w:spacing w:after="0" w:line="296" w:lineRule="auto"/>
        <w:rPr>
          <w:sz w:val="20"/>
          <w:szCs w:val="20"/>
          <w:color w:val="auto"/>
        </w:rPr>
      </w:pPr>
      <w:r>
        <w:rPr>
          <w:rFonts w:ascii="Arial" w:cs="Arial" w:eastAsia="Arial" w:hAnsi="Arial"/>
          <w:sz w:val="18"/>
          <w:szCs w:val="18"/>
          <w:b w:val="1"/>
          <w:bCs w:val="1"/>
          <w:color w:val="auto"/>
        </w:rPr>
        <w:t>UNAUDITED CONSOLIDATED STATEMENTS OF STOCKHOLDERS’ EQUITY (shares in thousands;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gridSpan w:val="15"/>
            <w:shd w:val="clear" w:color="auto" w:fill="CCEEFF"/>
          </w:tcPr>
          <w:p>
            <w:pPr>
              <w:ind w:left="480"/>
              <w:spacing w:after="0"/>
              <w:rPr>
                <w:sz w:val="20"/>
                <w:szCs w:val="20"/>
                <w:color w:val="auto"/>
              </w:rPr>
            </w:pPr>
            <w:r>
              <w:rPr>
                <w:rFonts w:ascii="Arial" w:cs="Arial" w:eastAsia="Arial" w:hAnsi="Arial"/>
                <w:sz w:val="13"/>
                <w:szCs w:val="13"/>
                <w:b w:val="1"/>
                <w:bCs w:val="1"/>
                <w:color w:val="auto"/>
                <w:w w:val="98"/>
              </w:rPr>
              <w:t>Three months ended 9/30/2025</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6"/>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12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Non-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9"/>
              </w:rPr>
              <w:t>equity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Common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8"/>
              </w:rPr>
              <w:t>attributable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ind w:left="60"/>
              <w:spacing w:after="0" w:line="122" w:lineRule="exact"/>
              <w:rPr>
                <w:sz w:val="20"/>
                <w:szCs w:val="20"/>
                <w:color w:val="auto"/>
              </w:rPr>
            </w:pPr>
            <w:r>
              <w:rPr>
                <w:rFonts w:ascii="Arial" w:cs="Arial" w:eastAsia="Arial" w:hAnsi="Arial"/>
                <w:sz w:val="13"/>
                <w:szCs w:val="13"/>
                <w:b w:val="1"/>
                <w:bCs w:val="1"/>
                <w:color w:val="auto"/>
              </w:rPr>
              <w:t>capital in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4"/>
              </w:rPr>
              <w:t>to T. Rowe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40"/>
              <w:spacing w:after="0" w:line="122" w:lineRule="exact"/>
              <w:rPr>
                <w:sz w:val="20"/>
                <w:szCs w:val="20"/>
                <w:color w:val="auto"/>
              </w:rPr>
            </w:pPr>
            <w:r>
              <w:rPr>
                <w:rFonts w:ascii="Arial" w:cs="Arial" w:eastAsia="Arial" w:hAnsi="Arial"/>
                <w:sz w:val="13"/>
                <w:szCs w:val="13"/>
                <w:b w:val="1"/>
                <w:bCs w:val="1"/>
                <w:color w:val="auto"/>
                <w:w w:val="96"/>
              </w:rPr>
              <w:t>permanent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excess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6"/>
              </w:rPr>
              <w:t>AOCI</w:t>
            </w:r>
            <w:r>
              <w:rPr>
                <w:rFonts w:ascii="Arial" w:cs="Arial" w:eastAsia="Arial" w:hAnsi="Arial"/>
                <w:sz w:val="16"/>
                <w:szCs w:val="16"/>
                <w:b w:val="1"/>
                <w:bCs w:val="1"/>
                <w:color w:val="auto"/>
                <w:w w:val="96"/>
                <w:vertAlign w:val="superscript"/>
              </w:rPr>
              <w:t>(1)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5"/>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20" w:type="dxa"/>
            <w:vAlign w:val="bottom"/>
          </w:tcPr>
          <w:p>
            <w:pPr>
              <w:spacing w:after="0"/>
              <w:rPr>
                <w:sz w:val="10"/>
                <w:szCs w:val="10"/>
                <w:color w:val="auto"/>
              </w:rPr>
            </w:pPr>
          </w:p>
        </w:tc>
        <w:tc>
          <w:tcPr>
            <w:tcW w:w="92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20" w:type="dxa"/>
            <w:vAlign w:val="bottom"/>
          </w:tcPr>
          <w:p>
            <w:pPr>
              <w:spacing w:after="0"/>
              <w:rPr>
                <w:sz w:val="10"/>
                <w:szCs w:val="10"/>
                <w:color w:val="auto"/>
              </w:rPr>
            </w:pPr>
          </w:p>
        </w:tc>
        <w:tc>
          <w:tcPr>
            <w:tcW w:w="80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9"/>
              </w:rPr>
              <w:t>stock</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par value</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earnings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7"/>
              </w:rPr>
              <w:t>Inc.</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6"/>
              </w:rPr>
              <w:t>entities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3"/>
              </w:rPr>
              <w:t>equity</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June 30, 2025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219,902</w:t>
            </w: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$ 10,461.3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10,560.5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10,713.8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1,099.1</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646.1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646.1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662.9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4"/>
                <w:szCs w:val="14"/>
                <w:color w:val="auto"/>
              </w:rPr>
              <w:t>Dividends declared ($1.27 per share)</w:t>
            </w:r>
          </w:p>
        </w:tc>
        <w:tc>
          <w:tcPr>
            <w:tcW w:w="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(283.8)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(283.8)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(283.8)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tcPr>
          <w:p>
            <w:pPr>
              <w:ind w:left="1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14.4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shares issued upon vesting of restricted stock units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tcPr>
          <w:p>
            <w:pPr>
              <w:ind w:left="120"/>
              <w:spacing w:after="0"/>
              <w:rPr>
                <w:sz w:val="20"/>
                <w:szCs w:val="20"/>
                <w:color w:val="auto"/>
              </w:rPr>
            </w:pPr>
            <w:r>
              <w:rPr>
                <w:rFonts w:ascii="Arial" w:cs="Arial" w:eastAsia="Arial" w:hAnsi="Arial"/>
                <w:sz w:val="14"/>
                <w:szCs w:val="14"/>
                <w:color w:val="auto"/>
              </w:rPr>
              <w:t>Stock-based compensation expense</w:t>
            </w:r>
          </w:p>
        </w:tc>
        <w:tc>
          <w:tcPr>
            <w:tcW w:w="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37.3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stock units issued as dividend equivalents</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(1,458)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(151.4)</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(157.7)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(157.7)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6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contributions to non-controlling interests in</w:t>
            </w:r>
          </w:p>
        </w:tc>
        <w:tc>
          <w:tcPr>
            <w:tcW w:w="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6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deconsolidations of T. Rowe Price investment</w:t>
            </w:r>
          </w:p>
        </w:tc>
        <w:tc>
          <w:tcPr>
            <w:tcW w:w="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60" w:type="dxa"/>
            <w:vAlign w:val="bottom"/>
            <w:shd w:val="clear" w:color="auto" w:fill="CCEEFF"/>
          </w:tcPr>
          <w:p>
            <w:pPr>
              <w:spacing w:after="0"/>
              <w:rPr>
                <w:sz w:val="16"/>
                <w:szCs w:val="16"/>
                <w:color w:val="auto"/>
              </w:rPr>
            </w:pPr>
          </w:p>
        </w:tc>
        <w:tc>
          <w:tcPr>
            <w:tcW w:w="760" w:type="dxa"/>
            <w:vAlign w:val="bottom"/>
            <w:tcBorders>
              <w:bottom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3"/>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4"/>
                <w:szCs w:val="14"/>
                <w:color w:val="auto"/>
              </w:rPr>
              <w:t>Balances at September 30, 2025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218,684</w:t>
            </w:r>
          </w:p>
        </w:tc>
        <w:tc>
          <w:tcPr>
            <w:tcW w:w="6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43.7</w:t>
            </w:r>
          </w:p>
        </w:tc>
        <w:tc>
          <w:tcPr>
            <w:tcW w:w="60" w:type="dxa"/>
            <w:vAlign w:val="bottom"/>
          </w:tcPr>
          <w:p>
            <w:pPr>
              <w:spacing w:after="0"/>
              <w:rPr>
                <w:sz w:val="17"/>
                <w:szCs w:val="17"/>
                <w:color w:val="auto"/>
              </w:rPr>
            </w:pPr>
          </w:p>
        </w:tc>
        <w:tc>
          <w:tcPr>
            <w:tcW w:w="2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$ 10,817.3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(46.5)</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10,814.5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170.0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10,984.5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984.9</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gridSpan w:val="6"/>
          </w:tcPr>
          <w:p>
            <w:pPr>
              <w:spacing w:after="0"/>
              <w:rPr>
                <w:sz w:val="24"/>
                <w:szCs w:val="24"/>
                <w:color w:val="auto"/>
              </w:rPr>
            </w:pPr>
          </w:p>
        </w:tc>
        <w:tc>
          <w:tcPr>
            <w:tcW w:w="94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gridSpan w:val="15"/>
            <w:shd w:val="clear" w:color="auto" w:fill="CCEEFF"/>
          </w:tcPr>
          <w:p>
            <w:pPr>
              <w:jc w:val="center"/>
              <w:ind w:left="171"/>
              <w:spacing w:after="0"/>
              <w:rPr>
                <w:sz w:val="20"/>
                <w:szCs w:val="20"/>
                <w:color w:val="auto"/>
              </w:rPr>
            </w:pPr>
            <w:r>
              <w:rPr>
                <w:rFonts w:ascii="Arial" w:cs="Arial" w:eastAsia="Arial" w:hAnsi="Arial"/>
                <w:sz w:val="13"/>
                <w:szCs w:val="13"/>
                <w:b w:val="1"/>
                <w:bCs w:val="1"/>
                <w:color w:val="auto"/>
                <w:w w:val="97"/>
              </w:rPr>
              <w:t>Three months ended 9/30/2024</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380"/>
              <w:spacing w:after="0" w:line="126"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7"/>
          </w:tcPr>
          <w:p>
            <w:pPr>
              <w:jc w:val="center"/>
              <w:ind w:right="100"/>
              <w:spacing w:after="0" w:line="126" w:lineRule="exact"/>
              <w:rPr>
                <w:sz w:val="20"/>
                <w:szCs w:val="20"/>
                <w:color w:val="auto"/>
              </w:rPr>
            </w:pPr>
            <w:r>
              <w:rPr>
                <w:rFonts w:ascii="Arial" w:cs="Arial" w:eastAsia="Arial" w:hAnsi="Arial"/>
                <w:sz w:val="13"/>
                <w:szCs w:val="13"/>
                <w:b w:val="1"/>
                <w:bCs w:val="1"/>
                <w:color w:val="auto"/>
                <w:w w:val="96"/>
              </w:rPr>
              <w:t>stockholders’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4"/>
              </w:rPr>
              <w:t>Non-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340"/>
              <w:spacing w:after="0" w:line="122" w:lineRule="exact"/>
              <w:rPr>
                <w:sz w:val="20"/>
                <w:szCs w:val="20"/>
                <w:color w:val="auto"/>
              </w:rPr>
            </w:pPr>
            <w:r>
              <w:rPr>
                <w:rFonts w:ascii="Arial" w:cs="Arial" w:eastAsia="Arial" w:hAnsi="Arial"/>
                <w:sz w:val="13"/>
                <w:szCs w:val="13"/>
                <w:b w:val="1"/>
                <w:bCs w:val="1"/>
                <w:color w:val="auto"/>
                <w:w w:val="99"/>
              </w:rPr>
              <w:t>equity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92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6"/>
          </w:tcPr>
          <w:p>
            <w:pPr>
              <w:jc w:val="center"/>
              <w:ind w:right="160"/>
              <w:spacing w:after="0" w:line="122" w:lineRule="exact"/>
              <w:rPr>
                <w:sz w:val="20"/>
                <w:szCs w:val="20"/>
                <w:color w:val="auto"/>
              </w:rPr>
            </w:pPr>
            <w:r>
              <w:rPr>
                <w:rFonts w:ascii="Arial" w:cs="Arial" w:eastAsia="Arial" w:hAnsi="Arial"/>
                <w:sz w:val="13"/>
                <w:szCs w:val="13"/>
                <w:b w:val="1"/>
                <w:bCs w:val="1"/>
                <w:color w:val="auto"/>
                <w:w w:val="98"/>
              </w:rPr>
              <w:t>attributable</w:t>
            </w:r>
          </w:p>
        </w:tc>
        <w:tc>
          <w:tcPr>
            <w:tcW w:w="40" w:type="dxa"/>
            <w:vAlign w:val="bottom"/>
          </w:tcPr>
          <w:p>
            <w:pPr>
              <w:spacing w:after="0"/>
              <w:rPr>
                <w:sz w:val="10"/>
                <w:szCs w:val="10"/>
                <w:color w:val="auto"/>
              </w:rPr>
            </w:pPr>
          </w:p>
        </w:tc>
        <w:tc>
          <w:tcPr>
            <w:tcW w:w="840" w:type="dxa"/>
            <w:vAlign w:val="bottom"/>
            <w:gridSpan w:val="4"/>
          </w:tcPr>
          <w:p>
            <w:pPr>
              <w:jc w:val="center"/>
              <w:ind w:right="12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4"/>
            <w:vMerge w:val="restart"/>
          </w:tcPr>
          <w:p>
            <w:pPr>
              <w:jc w:val="right"/>
              <w:ind w:right="120"/>
              <w:spacing w:after="0"/>
              <w:rPr>
                <w:sz w:val="20"/>
                <w:szCs w:val="20"/>
                <w:color w:val="auto"/>
              </w:rPr>
            </w:pPr>
            <w:r>
              <w:rPr>
                <w:rFonts w:ascii="Arial" w:cs="Arial" w:eastAsia="Arial" w:hAnsi="Arial"/>
                <w:sz w:val="13"/>
                <w:szCs w:val="13"/>
                <w:b w:val="1"/>
                <w:bCs w:val="1"/>
                <w:color w:val="auto"/>
                <w:w w:val="99"/>
              </w:rPr>
              <w:t>Common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capital in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94"/>
              </w:rPr>
              <w:t>Retained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to T. Rowe</w:t>
            </w:r>
          </w:p>
        </w:tc>
        <w:tc>
          <w:tcPr>
            <w:tcW w:w="40" w:type="dxa"/>
            <w:vAlign w:val="bottom"/>
          </w:tcPr>
          <w:p>
            <w:pPr>
              <w:spacing w:after="0"/>
              <w:rPr>
                <w:sz w:val="11"/>
                <w:szCs w:val="11"/>
                <w:color w:val="auto"/>
              </w:rPr>
            </w:pPr>
          </w:p>
        </w:tc>
        <w:tc>
          <w:tcPr>
            <w:tcW w:w="84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interests in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permanent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5"/>
              </w:rPr>
              <w:t>shares</w:t>
            </w:r>
          </w:p>
        </w:tc>
        <w:tc>
          <w:tcPr>
            <w:tcW w:w="40" w:type="dxa"/>
            <w:vAlign w:val="bottom"/>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tcPr>
          <w:p>
            <w:pPr>
              <w:jc w:val="right"/>
              <w:ind w:right="100"/>
              <w:spacing w:after="0" w:line="122" w:lineRule="exact"/>
              <w:rPr>
                <w:sz w:val="20"/>
                <w:szCs w:val="20"/>
                <w:color w:val="auto"/>
              </w:rPr>
            </w:pPr>
            <w:r>
              <w:rPr>
                <w:rFonts w:ascii="Arial" w:cs="Arial" w:eastAsia="Arial" w:hAnsi="Arial"/>
                <w:sz w:val="13"/>
                <w:szCs w:val="13"/>
                <w:b w:val="1"/>
                <w:bCs w:val="1"/>
                <w:color w:val="auto"/>
              </w:rPr>
              <w:t>excess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6"/>
          </w:tcPr>
          <w:p>
            <w:pPr>
              <w:jc w:val="center"/>
              <w:ind w:right="140"/>
              <w:spacing w:after="0" w:line="122" w:lineRule="exact"/>
              <w:rPr>
                <w:sz w:val="20"/>
                <w:szCs w:val="20"/>
                <w:color w:val="auto"/>
              </w:rPr>
            </w:pPr>
            <w:r>
              <w:rPr>
                <w:rFonts w:ascii="Arial" w:cs="Arial" w:eastAsia="Arial" w:hAnsi="Arial"/>
                <w:sz w:val="13"/>
                <w:szCs w:val="13"/>
                <w:b w:val="1"/>
                <w:bCs w:val="1"/>
                <w:color w:val="auto"/>
                <w:w w:val="97"/>
              </w:rPr>
              <w:t>Price Group,</w:t>
            </w:r>
          </w:p>
        </w:tc>
        <w:tc>
          <w:tcPr>
            <w:tcW w:w="88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60" w:type="dxa"/>
            <w:vAlign w:val="bottom"/>
            <w:gridSpan w:val="6"/>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40" w:type="dxa"/>
            <w:vAlign w:val="bottom"/>
          </w:tcPr>
          <w:p>
            <w:pPr>
              <w:spacing w:after="0"/>
              <w:rPr>
                <w:sz w:val="10"/>
                <w:szCs w:val="10"/>
                <w:color w:val="auto"/>
              </w:rPr>
            </w:pPr>
          </w:p>
        </w:tc>
        <w:tc>
          <w:tcPr>
            <w:tcW w:w="880" w:type="dxa"/>
            <w:vAlign w:val="bottom"/>
            <w:gridSpan w:val="5"/>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4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4"/>
              </w:rPr>
              <w:t>stock</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par value</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earnings</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7"/>
              </w:rPr>
              <w:t>Inc.</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49"/>
              <w:spacing w:after="0"/>
              <w:rPr>
                <w:sz w:val="20"/>
                <w:szCs w:val="20"/>
                <w:color w:val="auto"/>
              </w:rPr>
            </w:pPr>
            <w:r>
              <w:rPr>
                <w:rFonts w:ascii="Arial" w:cs="Arial" w:eastAsia="Arial" w:hAnsi="Arial"/>
                <w:sz w:val="13"/>
                <w:szCs w:val="13"/>
                <w:b w:val="1"/>
                <w:bCs w:val="1"/>
                <w:color w:val="auto"/>
                <w:w w:val="96"/>
              </w:rPr>
              <w:t>entities</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93"/>
              </w:rPr>
              <w:t>equity</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June 30, 2024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222,612</w:t>
            </w: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368.8</w:t>
            </w: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$ 9,564.6</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(49.2)</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9,928.7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9"/>
              </w:rPr>
              <w:t>10,134.0</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603.0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601.0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Dividends declared ($1.24 per share)</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(282.2)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680" w:type="dxa"/>
            <w:vAlign w:val="bottom"/>
          </w:tcPr>
          <w:p>
            <w:pPr>
              <w:ind w:left="10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3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shares issued upon vesting of restricted stock units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680" w:type="dxa"/>
            <w:vAlign w:val="bottom"/>
          </w:tcPr>
          <w:p>
            <w:pPr>
              <w:ind w:left="100"/>
              <w:spacing w:after="0"/>
              <w:rPr>
                <w:sz w:val="20"/>
                <w:szCs w:val="20"/>
                <w:color w:val="auto"/>
              </w:rPr>
            </w:pPr>
            <w:r>
              <w:rPr>
                <w:rFonts w:ascii="Arial" w:cs="Arial" w:eastAsia="Arial" w:hAnsi="Arial"/>
                <w:sz w:val="14"/>
                <w:szCs w:val="14"/>
                <w:color w:val="auto"/>
              </w:rPr>
              <w:t>Stock-based compensation expense</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49.5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3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stock units issued as dividend equivalents</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Common shares repurchased</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(664)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(71.2)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Net contributions to non-controlling interests in</w:t>
            </w:r>
          </w:p>
        </w:tc>
        <w:tc>
          <w:tcPr>
            <w:tcW w:w="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7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Net deconsolidations of T. Rowe Price investment</w:t>
            </w:r>
          </w:p>
        </w:tc>
        <w:tc>
          <w:tcPr>
            <w:tcW w:w="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(160.6)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Balances at September 30, 2024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222,143</w:t>
            </w:r>
          </w:p>
        </w:tc>
        <w:tc>
          <w:tcPr>
            <w:tcW w:w="6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44.4</w:t>
            </w:r>
          </w:p>
        </w:tc>
        <w:tc>
          <w:tcPr>
            <w:tcW w:w="60" w:type="dxa"/>
            <w:vAlign w:val="bottom"/>
          </w:tcPr>
          <w:p>
            <w:pPr>
              <w:spacing w:after="0"/>
              <w:rPr>
                <w:sz w:val="17"/>
                <w:szCs w:val="17"/>
                <w:color w:val="auto"/>
              </w:rPr>
            </w:pPr>
          </w:p>
        </w:tc>
        <w:tc>
          <w:tcPr>
            <w:tcW w:w="22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359.1</w:t>
            </w:r>
          </w:p>
        </w:tc>
        <w:tc>
          <w:tcPr>
            <w:tcW w:w="6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$ 9,885.3</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8"/>
              </w:rPr>
              <w:t>(39.5)</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10,249.3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203.4</w:t>
            </w:r>
          </w:p>
        </w:tc>
        <w:tc>
          <w:tcPr>
            <w:tcW w:w="8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w w:val="99"/>
              </w:rPr>
              <w:t>10,452.7</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763.4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 w:name="page7"/>
    <w:bookmarkEnd w:id="6"/>
    <w:p>
      <w:pPr>
        <w:ind w:right="4760"/>
        <w:spacing w:after="0" w:line="296" w:lineRule="auto"/>
        <w:rPr>
          <w:sz w:val="20"/>
          <w:szCs w:val="20"/>
          <w:color w:val="auto"/>
        </w:rPr>
      </w:pPr>
      <w:r>
        <w:rPr>
          <w:rFonts w:ascii="Arial" w:cs="Arial" w:eastAsia="Arial" w:hAnsi="Arial"/>
          <w:sz w:val="18"/>
          <w:szCs w:val="18"/>
          <w:b w:val="1"/>
          <w:bCs w:val="1"/>
          <w:color w:val="auto"/>
        </w:rPr>
        <w:t>UNAUDITED CONSOLIDATED STATEMENTS OF STOCKHOLDERS’ EQUITY (shares in thousands; dollars in millions)</w:t>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6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gridSpan w:val="8"/>
            <w:shd w:val="clear" w:color="auto" w:fill="CCEEFF"/>
          </w:tcPr>
          <w:p>
            <w:pPr>
              <w:ind w:left="420"/>
              <w:spacing w:after="0"/>
              <w:rPr>
                <w:sz w:val="20"/>
                <w:szCs w:val="20"/>
                <w:color w:val="auto"/>
              </w:rPr>
            </w:pPr>
            <w:r>
              <w:rPr>
                <w:rFonts w:ascii="Arial" w:cs="Arial" w:eastAsia="Arial" w:hAnsi="Arial"/>
                <w:sz w:val="13"/>
                <w:szCs w:val="13"/>
                <w:b w:val="1"/>
                <w:bCs w:val="1"/>
                <w:color w:val="auto"/>
              </w:rPr>
              <w:t>Nine months ended 9/30/2025</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equity</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4"/>
              </w:rPr>
              <w:t>to T. Rowe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permanent</w:t>
            </w: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40" w:type="dxa"/>
            <w:vAlign w:val="bottom"/>
            <w:gridSpan w:val="3"/>
            <w:vMerge w:val="continue"/>
          </w:tcPr>
          <w:p>
            <w:pPr>
              <w:spacing w:after="0"/>
              <w:rPr>
                <w:sz w:val="10"/>
                <w:szCs w:val="10"/>
                <w:color w:val="auto"/>
              </w:rPr>
            </w:pP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Price Group,</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8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6"/>
                <w:szCs w:val="16"/>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stock</w:t>
            </w: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Inc.</w:t>
            </w:r>
          </w:p>
        </w:tc>
        <w:tc>
          <w:tcPr>
            <w:tcW w:w="14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6"/>
                <w:szCs w:val="16"/>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222,966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10,345.4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1,656.7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Arial" w:cs="Arial" w:eastAsia="Arial" w:hAnsi="Arial"/>
                <w:sz w:val="14"/>
                <w:szCs w:val="14"/>
                <w:color w:val="auto"/>
              </w:rPr>
              <w:t>Dividends declared ($3.81 per share)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60" w:type="dxa"/>
            <w:vAlign w:val="bottom"/>
          </w:tcPr>
          <w:p>
            <w:pPr>
              <w:ind w:left="1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tcPr>
          <w:p>
            <w:pPr>
              <w:jc w:val="right"/>
              <w:spacing w:after="0"/>
              <w:rPr>
                <w:sz w:val="20"/>
                <w:szCs w:val="20"/>
                <w:color w:val="auto"/>
              </w:rPr>
            </w:pPr>
            <w:r>
              <w:rPr>
                <w:rFonts w:ascii="Arial" w:cs="Arial" w:eastAsia="Arial" w:hAnsi="Arial"/>
                <w:sz w:val="14"/>
                <w:szCs w:val="14"/>
                <w:color w:val="auto"/>
              </w:rPr>
              <w:t>496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66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Restricted shares issued, net of shares withheld for</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shares issued upon vesting of restricted stock</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120"/>
              <w:spacing w:after="0"/>
              <w:rPr>
                <w:sz w:val="20"/>
                <w:szCs w:val="20"/>
                <w:color w:val="auto"/>
              </w:rPr>
            </w:pPr>
            <w:r>
              <w:rPr>
                <w:rFonts w:ascii="Arial" w:cs="Arial" w:eastAsia="Arial" w:hAnsi="Arial"/>
                <w:sz w:val="14"/>
                <w:szCs w:val="14"/>
                <w:color w:val="auto"/>
              </w:rPr>
              <w:t>units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60" w:type="dxa"/>
            <w:vAlign w:val="bottom"/>
          </w:tcPr>
          <w:p>
            <w:pPr>
              <w:ind w:left="120"/>
              <w:spacing w:after="0"/>
              <w:rPr>
                <w:sz w:val="20"/>
                <w:szCs w:val="20"/>
                <w:color w:val="auto"/>
              </w:rPr>
            </w:pPr>
            <w:r>
              <w:rPr>
                <w:rFonts w:ascii="Arial" w:cs="Arial" w:eastAsia="Arial" w:hAnsi="Arial"/>
                <w:sz w:val="14"/>
                <w:szCs w:val="14"/>
                <w:color w:val="auto"/>
              </w:rPr>
              <w:t>Restricted stock units issued as dividend equivalents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distributions to non-controlling interests in</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consolidated entities</w:t>
            </w: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subscriptions into T. Rowe Price investment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549.8</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(623.0)</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products</w:t>
            </w: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218,684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10,817.3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10,814.5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984.9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gridSpan w:val="8"/>
            <w:shd w:val="clear" w:color="auto" w:fill="CCEEFF"/>
          </w:tcPr>
          <w:p>
            <w:pPr>
              <w:ind w:left="420"/>
              <w:spacing w:after="0"/>
              <w:rPr>
                <w:sz w:val="20"/>
                <w:szCs w:val="20"/>
                <w:color w:val="auto"/>
              </w:rPr>
            </w:pPr>
            <w:r>
              <w:rPr>
                <w:rFonts w:ascii="Arial" w:cs="Arial" w:eastAsia="Arial" w:hAnsi="Arial"/>
                <w:sz w:val="13"/>
                <w:szCs w:val="13"/>
                <w:b w:val="1"/>
                <w:bCs w:val="1"/>
                <w:color w:val="auto"/>
              </w:rPr>
              <w:t>Nine months ended 9/30/2024</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equity</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4"/>
              </w:rPr>
              <w:t>to T. Rowe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permanent</w:t>
            </w: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40" w:type="dxa"/>
            <w:vAlign w:val="bottom"/>
            <w:gridSpan w:val="3"/>
            <w:vMerge w:val="continue"/>
          </w:tcPr>
          <w:p>
            <w:pPr>
              <w:spacing w:after="0"/>
              <w:rPr>
                <w:sz w:val="10"/>
                <w:szCs w:val="10"/>
                <w:color w:val="auto"/>
              </w:rPr>
            </w:pP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Price Group,</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8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6"/>
                <w:szCs w:val="16"/>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stock</w:t>
            </w: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Inc.</w:t>
            </w:r>
          </w:p>
        </w:tc>
        <w:tc>
          <w:tcPr>
            <w:tcW w:w="14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6"/>
                <w:szCs w:val="16"/>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223,938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9,076.1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9,505.1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1,660.2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9"/>
        </w:trPr>
        <w:tc>
          <w:tcPr>
            <w:tcW w:w="3660" w:type="dxa"/>
            <w:vAlign w:val="bottom"/>
          </w:tcPr>
          <w:p>
            <w:pPr>
              <w:ind w:left="20"/>
              <w:spacing w:after="0"/>
              <w:rPr>
                <w:sz w:val="20"/>
                <w:szCs w:val="20"/>
                <w:color w:val="auto"/>
              </w:rPr>
            </w:pPr>
            <w:r>
              <w:rPr>
                <w:rFonts w:ascii="Arial" w:cs="Arial" w:eastAsia="Arial" w:hAnsi="Arial"/>
                <w:sz w:val="14"/>
                <w:szCs w:val="14"/>
                <w:color w:val="auto"/>
              </w:rPr>
              <w:t>Dividends declared ($3.72 per share)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tcPr>
          <w:p>
            <w:pPr>
              <w:ind w:left="1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tcPr>
          <w:p>
            <w:pPr>
              <w:jc w:val="right"/>
              <w:spacing w:after="0"/>
              <w:rPr>
                <w:sz w:val="20"/>
                <w:szCs w:val="20"/>
                <w:color w:val="auto"/>
              </w:rPr>
            </w:pPr>
            <w:r>
              <w:rPr>
                <w:rFonts w:ascii="Arial" w:cs="Arial" w:eastAsia="Arial" w:hAnsi="Arial"/>
                <w:sz w:val="14"/>
                <w:szCs w:val="14"/>
                <w:color w:val="auto"/>
              </w:rPr>
              <w:t>482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66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Restricted shares issued, net of shares withheld for</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shares issued upon vesting of restricted stock</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120"/>
              <w:spacing w:after="0"/>
              <w:rPr>
                <w:sz w:val="20"/>
                <w:szCs w:val="20"/>
                <w:color w:val="auto"/>
              </w:rPr>
            </w:pPr>
            <w:r>
              <w:rPr>
                <w:rFonts w:ascii="Arial" w:cs="Arial" w:eastAsia="Arial" w:hAnsi="Arial"/>
                <w:sz w:val="14"/>
                <w:szCs w:val="14"/>
                <w:color w:val="auto"/>
              </w:rPr>
              <w:t>units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60" w:type="dxa"/>
            <w:vAlign w:val="bottom"/>
          </w:tcPr>
          <w:p>
            <w:pPr>
              <w:ind w:left="120"/>
              <w:spacing w:after="0"/>
              <w:rPr>
                <w:sz w:val="20"/>
                <w:szCs w:val="20"/>
                <w:color w:val="auto"/>
              </w:rPr>
            </w:pPr>
            <w:r>
              <w:rPr>
                <w:rFonts w:ascii="Arial" w:cs="Arial" w:eastAsia="Arial" w:hAnsi="Arial"/>
                <w:sz w:val="14"/>
                <w:szCs w:val="14"/>
                <w:color w:val="auto"/>
              </w:rPr>
              <w:t>Restricted stock units issued as dividend equivalents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contributions to non-controlling interests in</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consolidated entities</w:t>
            </w: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subscriptions into T. Rowe Price investment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(256.8)</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763.4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7"/>
          <w:szCs w:val="7"/>
          <w:i w:val="1"/>
          <w:iCs w:val="1"/>
          <w:color w:val="auto"/>
        </w:rPr>
      </w:pPr>
      <w:r>
        <w:rPr>
          <w:rFonts w:ascii="Arial" w:cs="Arial" w:eastAsia="Arial" w:hAnsi="Arial"/>
          <w:sz w:val="11"/>
          <w:szCs w:val="11"/>
          <w:i w:val="1"/>
          <w:iCs w:val="1"/>
          <w:color w:val="auto"/>
        </w:rPr>
        <w:t>Accumulated other comprehensive income.</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that invest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investment solutions are provided in a number of vehicles including the T. Rowe Price U.S. mutual funds ("U.S. mutual funds"), subadvised funds, separately managed accounts, collective investment trusts, exchange-traded funds, and other sponsored products. The other sponsored products include: open-ended investment products offered to investors outside the U.S., products offered through variable annuity life insurance plans in the U.S., affiliated private investment funds, business development companies, an interval fund, and collateralized loan obligations.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unaudited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We are reporting performance-based advisory fees in a separate line of the consolidated income statement to increase transparency, therefore, investment advisory fees for prior periods were recast to reflect the new presentation and ensure comparability.</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unaudited financial information contained in these consolidated financial statements should be read in conjunction with the consolidated financial statements contained in our 2024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ENACTED U.S. LEGISLATION.</w:t>
      </w:r>
    </w:p>
    <w:p>
      <w:pPr>
        <w:spacing w:after="0" w:line="250"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On July 4, 2025, the One Big Beautiful Bill Act (“OBBBA”) was enacted in the U.S. The OBBBA contains significant changes and modifications to federal and international tax provisions including 100% bonus depreciation and domestic research cost expensing. We continue evaluating the impact of the legislation on our estimated annual effective tax rate. We believe that the impact of the OBBBA’s provisions will not be material to our financial position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In December 2023, the FASB issued Accounting Standards Update No. 2023-09 - </w:t>
      </w:r>
      <w:r>
        <w:rPr>
          <w:rFonts w:ascii="Arial" w:cs="Arial" w:eastAsia="Arial" w:hAnsi="Arial"/>
          <w:sz w:val="18"/>
          <w:szCs w:val="18"/>
          <w:i w:val="1"/>
          <w:iCs w:val="1"/>
          <w:color w:val="auto"/>
        </w:rPr>
        <w:t>Income Taxes (Topic 740) - 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requires public entities, on an annual basis, to provide disclosure of specific categories in the rate reconciliation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income taxes paid disaggregated by jurisdiction. This amendment is effective for our 2025 annual disclosures. The additional disclosure requirements will not have a material impact on our consolidated financial statements.</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November 2024, the FASB issued Accounting Standards Update No. 2024-03 </w:t>
      </w:r>
      <w:r>
        <w:rPr>
          <w:rFonts w:ascii="Arial" w:cs="Arial" w:eastAsia="Arial" w:hAnsi="Arial"/>
          <w:sz w:val="18"/>
          <w:szCs w:val="18"/>
          <w:i w:val="1"/>
          <w:iCs w:val="1"/>
          <w:color w:val="auto"/>
        </w:rPr>
        <w:t>- Income Statement- Reporting Comprehensive Income-Expense Disaggregation Disclosures (Subtopic 220-4): Disaggregation of Income Statement Expenses</w:t>
      </w:r>
      <w:r>
        <w:rPr>
          <w:rFonts w:ascii="Arial" w:cs="Arial" w:eastAsia="Arial" w:hAnsi="Arial"/>
          <w:sz w:val="18"/>
          <w:szCs w:val="18"/>
          <w:color w:val="auto"/>
        </w:rPr>
        <w:t>, which requires disclosures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and disaggregation of certain expenses included in the income statement. The guidance is effective for the firm on January 1, 2027, and allows for either a prospective or retrospective approach on adoption. We are currently evaluating the impact that the adoption will have on our financial statements and have not yet determined our transition approach.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 w:name="page9"/>
    <w:bookmarkEnd w:id="8"/>
    <w:p>
      <w:pPr>
        <w:jc w:val="both"/>
        <w:ind w:right="380"/>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Net revenues earned in the three- and nine-month periods ended September 30, 2025 and 2024, are included in the table below along with details of investment advisory revenues by underlying asset class. We also included average assets under management by asset class, on which we earn investment advisory fees.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20" w:type="dxa"/>
            <w:vAlign w:val="bottom"/>
            <w:tcBorders>
              <w:right w:val="single" w:sz="8" w:color="auto"/>
            </w:tcBorders>
            <w:gridSpan w:val="5"/>
            <w:shd w:val="clear" w:color="auto" w:fill="CCEEFF"/>
          </w:tcPr>
          <w:p>
            <w:pPr>
              <w:ind w:left="48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shd w:val="clear" w:color="auto" w:fill="CCEEFF"/>
          </w:tcPr>
          <w:p>
            <w:pPr>
              <w:spacing w:after="0"/>
              <w:rPr>
                <w:sz w:val="16"/>
                <w:szCs w:val="16"/>
                <w:color w:val="auto"/>
              </w:rPr>
            </w:pPr>
          </w:p>
        </w:tc>
        <w:tc>
          <w:tcPr>
            <w:tcW w:w="2520" w:type="dxa"/>
            <w:vAlign w:val="bottom"/>
            <w:gridSpan w:val="4"/>
            <w:shd w:val="clear" w:color="auto" w:fill="CCEEFF"/>
          </w:tcPr>
          <w:p>
            <w:pPr>
              <w:jc w:val="right"/>
              <w:ind w:right="651"/>
              <w:spacing w:after="0"/>
              <w:rPr>
                <w:sz w:val="20"/>
                <w:szCs w:val="20"/>
                <w:color w:val="auto"/>
              </w:rPr>
            </w:pPr>
            <w:r>
              <w:rPr>
                <w:rFonts w:ascii="Arial" w:cs="Arial" w:eastAsia="Arial" w:hAnsi="Arial"/>
                <w:sz w:val="13"/>
                <w:szCs w:val="13"/>
                <w:b w:val="1"/>
                <w:bCs w:val="1"/>
                <w:color w:val="auto"/>
              </w:rPr>
              <w:t>Nine months ended</w:t>
            </w: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9/30/2025</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CCEEFF"/>
              <w:right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9/30/2024</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1,011.8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978.5</w:t>
            </w:r>
          </w:p>
        </w:tc>
        <w:tc>
          <w:tcPr>
            <w:tcW w:w="100" w:type="dxa"/>
            <w:vAlign w:val="bottom"/>
            <w:tcBorders>
              <w:right w:val="single" w:sz="8" w:color="auto"/>
            </w:tcBorders>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2,858.5</w:t>
            </w: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1,340.3</w:t>
            </w:r>
          </w:p>
        </w:tc>
      </w:tr>
      <w:tr>
        <w:trPr>
          <w:trHeight w:val="230"/>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investment advisory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1,698.7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tcBorders>
              <w:right w:val="single" w:sz="8" w:color="auto"/>
            </w:tcBorders>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4,864.7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4,732.5</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advisory fees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Capital allocation-based income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distribution, services, and other fees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1,785.6</w:t>
            </w:r>
          </w:p>
        </w:tc>
        <w:tc>
          <w:tcPr>
            <w:tcW w:w="10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w:t>
            </w:r>
          </w:p>
        </w:tc>
      </w:t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Fixed income, including money market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175.9</w:t>
            </w:r>
          </w:p>
        </w:tc>
      </w:tr>
      <w:tr>
        <w:trPr>
          <w:trHeight w:val="230"/>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Multi-asset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r>
      <w:tr>
        <w:trPr>
          <w:trHeight w:val="230"/>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Alternatives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AUM</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Total net revenues earned from sponsored investment products totaled $1,594.2 million and $1,486.5 million for the three months ended September 30, 2025 and 2024, respectively. Total net revenues earned during the nine months ended September 30, 2025 and 2024 aggregate $4,500.7 million and $ 4,359.5 million, respectively. Accounts receivable from these products totaled $628.2 million at September 30, 2025 and $602.0 million at December 31, 2024.</w:t>
      </w:r>
    </w:p>
    <w:p>
      <w:pPr>
        <w:spacing w:after="0" w:line="20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8.7% at September 30, 2025, 8.7% at June 30, 2025, and 8.8% at December 31, 2024 of our assets under management.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consolidated investment products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12/31/2024</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Deferred compensation liabilities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992.8</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liabilities economic hedges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 in UTI Asset Management Company Limited (India)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3,000.5</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investment partnerships held at fair value are valued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During the three- and nine-months ended September 30, 2025, net gains on investments included $ 80.8 million and $165.9 million, respectively, of net unrealized gains related to investments carried at fair value that were still held at September 30, 2025. For the same periods of 2024, net gains on investments included $44.3 million and $129.3 million, respectively, of net unrealized gains related to investments carried at fair value that were still held at September 30, 2024.</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nine months ended September 30, 2025 and 2024, certain T. Rowe Price investment products in which we provided initial seed capital at the time of formation were deconsolidated, as we no longer had a controlling interest. Depending on our ownership interest, we report our residual interests in these T. Rowe Price investment products as either an equity method investment or an investment held at fair value. The net impact on our unaudited consolidated balance sheets and statements of income as of the dates the products were deconsolidated is detailed below.</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2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420" w:type="dxa"/>
            <w:vAlign w:val="bottom"/>
            <w:gridSpan w:val="4"/>
            <w:shd w:val="clear" w:color="auto" w:fill="CCEEFF"/>
          </w:tcPr>
          <w:p>
            <w:pPr>
              <w:jc w:val="right"/>
              <w:ind w:right="5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9/30/2024</w:t>
            </w: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assets of consolidated investment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Net increase (decrease) in liabilities of consolidated investment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5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Our fair value and equity method investments at September 30, 2025 and December 31, 2024 include interests in variable interest entities that we do not consolidate as we are not deemed the primary beneficiary. Our maximum risk of loss related to our involvement with these entities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9/30/2025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1,040.2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955.9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We have unfunded capital commitments, totaling $221.4 million at September 30, 2025 and $202.5 million at December 31, 2024, related primarily to the affiliated private investment funds and the investment partnerships in which we have an existing investment. In addition to such amounts, a percentage of prior distributions may be recalled under certain circumstances.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Investments in affiliated private investment funds - carried interest represent interests in the general partners of affiliated private investment funds that are entitled to a disproportionate allocation of income, also known as carried interest. The entities that hold these interests (“carried interest entities”) are considered variable interest entities and are consolidated as T. Rowe Price is determined to be the primary beneficiary. The total assets, liabilities and non-controlling interests of these carried interest entities as of September 30, 2025 and December 31, 2024,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9/30/2025</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160.7</w:t>
            </w:r>
          </w:p>
        </w:tc>
      </w:tr>
      <w:tr>
        <w:trPr>
          <w:trHeight w:val="20"/>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is debt associated with our investments in affiliated collateralized loan obligations (“CLOs”). The debt relates to outstanding repurchase agreements of €29.3 million at September 30, 2025 and €56.9 million at December 31, 2024 (equivalent to $34.4 million at September 30, 2025 and $59.1 million at December 31, 2024 at the respective EUR spot rates) that are collateralized by the CLO investments and reported in accounts payable and accrued expenses in our consolidated balance sheets. These repurchase agreements bear interest at rates based on EURIBOR plus the initial margin, which equals all-in rates ranging from 2.02% to 10.89% as of September 30, 2025. The debt matures on various dates through 2035 or if the investments are paid back in full or cancelled, whichever is sooner.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determine the fair value of our cash equivalents and certain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27" w:lineRule="exact"/>
        <w:rPr>
          <w:sz w:val="20"/>
          <w:szCs w:val="20"/>
          <w:color w:val="auto"/>
        </w:rPr>
      </w:pPr>
    </w:p>
    <w:p>
      <w:pPr>
        <w:ind w:left="740" w:right="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ind w:right="24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consolidated balance sheets using fair value measurements determined based on the differing levels of inputs. This table excludes investments held by the consolidated investment products, which are presented separately in our unaudited consolidated balance sheets and are detailed in Note 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9/30/2025</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9"/>
              </w:rPr>
              <w:t>12/31/2024</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3,223.3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 economic hedges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or using the measurement alternative. The carrying value of these investments as disclosed in Note 3 were $107.8 million at September 30, 2025, and $62.5 million at December 31, 2024.</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Level 3 investments’ fair value is derived from inputs that are unobservable and that reflect our own determinations about the assumptions that market participants would use in pricing the investments, including assumptions about risk. These inputs are developed based on our data, which is adjusted if information indicates that market participants would use different assumptions. For the nine months ended September 30, 2025, the change in Level 3 fair values were solely attributable to the purchases of new investments and there were no transfers into or out of Level 3. The following table provides information about the significant Level 3 inputs: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20" w:type="dxa"/>
            <w:vAlign w:val="bottom"/>
            <w:tcBorders>
              <w:bottom w:val="single" w:sz="8" w:color="auto"/>
            </w:tcBorders>
            <w:gridSpan w:val="4"/>
            <w:shd w:val="clear" w:color="auto" w:fill="CCEEFF"/>
          </w:tcPr>
          <w:p>
            <w:pPr>
              <w:ind w:left="720"/>
              <w:spacing w:after="0"/>
              <w:rPr>
                <w:sz w:val="20"/>
                <w:szCs w:val="20"/>
                <w:color w:val="auto"/>
              </w:rPr>
            </w:pPr>
            <w:r>
              <w:rPr>
                <w:rFonts w:ascii="Arial" w:cs="Arial" w:eastAsia="Arial" w:hAnsi="Arial"/>
                <w:sz w:val="14"/>
                <w:szCs w:val="14"/>
                <w:b w:val="1"/>
                <w:bCs w:val="1"/>
                <w:color w:val="auto"/>
              </w:rPr>
              <w:t>Fair value measurements as of September 30, 2025</w:t>
            </w:r>
          </w:p>
        </w:tc>
        <w:tc>
          <w:tcPr>
            <w:tcW w:w="1500" w:type="dxa"/>
            <w:vAlign w:val="bottom"/>
            <w:tcBorders>
              <w:bottom w:val="single" w:sz="8" w:color="auto"/>
            </w:tcBorders>
            <w:shd w:val="clear" w:color="auto" w:fill="CCEEFF"/>
          </w:tcPr>
          <w:p>
            <w:pPr>
              <w:spacing w:after="0"/>
              <w:rPr>
                <w:sz w:val="17"/>
                <w:szCs w:val="17"/>
                <w:color w:val="auto"/>
              </w:rPr>
            </w:pPr>
          </w:p>
        </w:tc>
      </w:tr>
      <w:tr>
        <w:trPr>
          <w:trHeight w:val="21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8"/>
                <w:szCs w:val="18"/>
                <w:color w:val="auto"/>
              </w:rPr>
            </w:pPr>
          </w:p>
        </w:tc>
        <w:tc>
          <w:tcPr>
            <w:tcW w:w="28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Valuation techniques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 input</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w:t>
            </w:r>
          </w:p>
        </w:tc>
        <w:tc>
          <w:tcPr>
            <w:tcW w:w="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Market Yield (Comparables)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Yield</w:t>
            </w:r>
          </w:p>
        </w:tc>
        <w:tc>
          <w:tcPr>
            <w:tcW w:w="15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8.99%</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INVESTMENT PRODUCTS.</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investment products that we consolidate in our consolidated financial statements are generally those products we provided initial seed capital at the time of their formation and have a controlling interest. Our U.S. mutual funds and certain other products are considered voting interest entities, while those regulated outside the U.S. are considered variable interest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investment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12/31/2024</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1,936.2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 Group,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$1.4 million at September 30, 2025, and $4.9 million at December 31, 2024, of investments in T. Rowe Price money market mutual funds.</w:t>
      </w:r>
    </w:p>
    <w:p>
      <w:pPr>
        <w:spacing w:after="0" w:line="26" w:lineRule="exact"/>
        <w:rPr>
          <w:rFonts w:ascii="Arial" w:cs="Arial" w:eastAsia="Arial" w:hAnsi="Arial"/>
          <w:sz w:val="9"/>
          <w:szCs w:val="9"/>
          <w:i w:val="1"/>
          <w:iCs w:val="1"/>
          <w:color w:val="auto"/>
        </w:rPr>
      </w:pPr>
    </w:p>
    <w:p>
      <w:pPr>
        <w:ind w:left="140" w:hanging="132"/>
        <w:spacing w:after="0" w:line="229" w:lineRule="auto"/>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$41.5 million at September 30, 2025, and $9.3 million at December 31, 2024, of other T. Rowe Price investment products.</w:t>
      </w: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Although we can generally redeem our net interest in the consolidated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investment products is limited to valuation changes associated with our net interest. However, we are required to recognize the valuation changes associated with all underlying investments held by these products in our consolidated statements of income and disclose the portion attributable to unrelated third-party investors as net income attributable to redeemable non-controlling interests.</w:t>
      </w:r>
    </w:p>
    <w:p>
      <w:pPr>
        <w:spacing w:after="0" w:line="20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operating results of the consolidated investment products for the three- and nine-months ended September 30, 2025 and 2024, are reflected in our unaudited consolidated statements of income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5"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5"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20" w:type="dxa"/>
            <w:vAlign w:val="bottom"/>
          </w:tcPr>
          <w:p>
            <w:pPr>
              <w:ind w:left="20"/>
              <w:spacing w:after="0" w:line="156"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center"/>
              <w:ind w:left="376"/>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96"/>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396"/>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T. Rowe Price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center"/>
              <w:ind w:left="396"/>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Group, Inc.</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96"/>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396"/>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3"/>
        </w:trPr>
        <w:tc>
          <w:tcPr>
            <w:tcW w:w="4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20"/>
              <w:spacing w:after="0" w:line="156"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T. Rowe Price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Group, Inc.</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consolidated financial statements, we eliminated operating expenses of $0.8 million and $1.3 million for the three months ended September 30, 2025 and 2024, respectively, against the investment advisory and administrative fees earned from these products. Operating expenses eliminated for the nine months ended September 30, 2025 and 2024, were $3.6 million and $3.0 million, respectively. The net investment income (loss) reflected in non-operating income (loss) includes dividend and interest income as well as realized and unrealized gains and losses on the underlying securities held by the consolidated investment products.</w:t>
      </w:r>
    </w:p>
    <w:p>
      <w:pPr>
        <w:spacing w:after="0" w:line="209"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consolidated statements of cash flows for the nine months ended September 30, 2025 and 2024.</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3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39" w:lineRule="exact"/>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3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Effect of exchange rate changes on cash and cash</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equivalents of consolidated investment products</w:t>
            </w: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right="440"/>
        <w:spacing w:after="0" w:line="231" w:lineRule="auto"/>
        <w:rPr>
          <w:sz w:val="20"/>
          <w:szCs w:val="20"/>
          <w:color w:val="auto"/>
        </w:rPr>
      </w:pPr>
      <w:r>
        <w:rPr>
          <w:rFonts w:ascii="Arial" w:cs="Arial" w:eastAsia="Arial" w:hAnsi="Arial"/>
          <w:sz w:val="18"/>
          <w:szCs w:val="18"/>
          <w:color w:val="auto"/>
        </w:rPr>
        <w:t>For the nine months ended September 30, 2025, the net cash provided by (used in) financing activities includes $ 134.8 million of net subscriptions we made into the consolidated investment products, net of dividends received. For the nine months ended September 30, 2024, the net cash provided by (used in) financing activities included $15.3 million of net redemptions we made from the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 products. These cash flows were eliminated in consolidation.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determine the fair value of investments held by consolidated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14" w:lineRule="exact"/>
        <w:rPr>
          <w:sz w:val="20"/>
          <w:szCs w:val="20"/>
          <w:color w:val="auto"/>
        </w:rPr>
      </w:pPr>
    </w:p>
    <w:p>
      <w:pPr>
        <w:ind w:left="740" w:right="34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w:t>
      </w:r>
    </w:p>
    <w:p>
      <w:pPr>
        <w:sectPr>
          <w:pgSz w:w="11900" w:h="16838" w:orient="portrait"/>
          <w:cols w:equalWidth="0" w:num="1">
            <w:col w:w="11220"/>
          </w:cols>
          <w:pgMar w:left="320" w:top="1031" w:right="3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type w:val="continuous"/>
        </w:sectPr>
      </w:pPr>
    </w:p>
    <w:bookmarkStart w:id="14" w:name="page15"/>
    <w:bookmarkEnd w:id="14"/>
    <w:p>
      <w:pPr>
        <w:ind w:left="740" w:right="400"/>
        <w:spacing w:after="0" w:line="253" w:lineRule="auto"/>
        <w:rPr>
          <w:sz w:val="20"/>
          <w:szCs w:val="20"/>
          <w:color w:val="auto"/>
        </w:rPr>
      </w:pPr>
      <w:r>
        <w:rPr>
          <w:rFonts w:ascii="Arial" w:cs="Arial" w:eastAsia="Arial" w:hAnsi="Arial"/>
          <w:sz w:val="18"/>
          <w:szCs w:val="18"/>
          <w:color w:val="auto"/>
        </w:rPr>
        <w:t>inactive markets, interest rates and yield curves, implied volatilities, and credit spreads. These inputs are based on market data obtained from independent sources.</w:t>
      </w: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September 30, 2025 and December 31, 2024.</w:t>
      </w:r>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investment products using fair value measurements determined based on the differing levels of inputs.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9/30/2025</w:t>
            </w:r>
          </w:p>
        </w:tc>
        <w:tc>
          <w:tcPr>
            <w:tcW w:w="5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6"/>
            <w:shd w:val="clear" w:color="auto" w:fill="CCEEFF"/>
          </w:tcPr>
          <w:p>
            <w:pPr>
              <w:jc w:val="right"/>
              <w:ind w:right="813"/>
              <w:spacing w:after="0"/>
              <w:rPr>
                <w:sz w:val="20"/>
                <w:szCs w:val="20"/>
                <w:color w:val="auto"/>
              </w:rPr>
            </w:pPr>
            <w:r>
              <w:rPr>
                <w:rFonts w:ascii="Arial" w:cs="Arial" w:eastAsia="Arial" w:hAnsi="Arial"/>
                <w:sz w:val="14"/>
                <w:szCs w:val="14"/>
                <w:b w:val="1"/>
                <w:bCs w:val="1"/>
                <w:color w:val="auto"/>
                <w:w w:val="99"/>
              </w:rPr>
              <w:t>12/31/2024</w:t>
            </w:r>
          </w:p>
        </w:tc>
        <w:tc>
          <w:tcPr>
            <w:tcW w:w="0" w:type="dxa"/>
            <w:vAlign w:val="bottom"/>
          </w:tcPr>
          <w:p>
            <w:pPr>
              <w:spacing w:after="0"/>
              <w:rPr>
                <w:sz w:val="1"/>
                <w:szCs w:val="1"/>
                <w:color w:val="auto"/>
              </w:rPr>
            </w:pPr>
          </w:p>
        </w:tc>
      </w:tr>
      <w:tr>
        <w:trPr>
          <w:trHeight w:val="195"/>
        </w:trPr>
        <w:tc>
          <w:tcPr>
            <w:tcW w:w="6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8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NOTE 6 - GOODWILL AND INTANGIBLE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8"/>
        </w:trPr>
        <w:tc>
          <w:tcPr>
            <w:tcW w:w="6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080" w:type="dxa"/>
            <w:vAlign w:val="bottom"/>
          </w:tcPr>
          <w:p>
            <w:pPr>
              <w:spacing w:after="0"/>
              <w:rPr>
                <w:sz w:val="20"/>
                <w:szCs w:val="20"/>
                <w:color w:val="auto"/>
              </w:rPr>
            </w:pPr>
            <w:r>
              <w:rPr>
                <w:rFonts w:ascii="Arial" w:cs="Arial" w:eastAsia="Arial" w:hAnsi="Arial"/>
                <w:sz w:val="18"/>
                <w:szCs w:val="18"/>
                <w:color w:val="auto"/>
              </w:rPr>
              <w:t>Goodwill and intangible assets consist of the following:</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3"/>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3"/>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9/30/2025</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w w:val="99"/>
              </w:rPr>
              <w:t>12/31/2024</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 - trade name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Indefinite-lived intangible asset - investment advisory agreement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3,010.9</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Amortization and impairment expense for the definite-lived intangible assets was $22.3 million and $70.2 million for the three- and nine-months ended September 30, 2025, respectively. For the three- and nine-months ended September 30, 2024, amortization and impairment expense for the definite-lived intangible assets was $28.3 million and $81.0 million, respectively. Estimated amortization expense for the definite-lived intangible assets for the five succeeding years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Remaining 2025</w:t>
            </w:r>
          </w:p>
        </w:tc>
        <w:tc>
          <w:tcPr>
            <w:tcW w:w="4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4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2027</w:t>
            </w:r>
          </w:p>
        </w:tc>
        <w:tc>
          <w:tcPr>
            <w:tcW w:w="4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4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9"/>
        </w:trPr>
        <w:tc>
          <w:tcPr>
            <w:tcW w:w="5720" w:type="dxa"/>
            <w:vAlign w:val="bottom"/>
          </w:tcPr>
          <w:p>
            <w:pPr>
              <w:ind w:left="140"/>
              <w:spacing w:after="0"/>
              <w:rPr>
                <w:sz w:val="20"/>
                <w:szCs w:val="20"/>
                <w:color w:val="auto"/>
              </w:rPr>
            </w:pPr>
            <w:r>
              <w:rPr>
                <w:rFonts w:ascii="Arial" w:cs="Arial" w:eastAsia="Arial" w:hAnsi="Arial"/>
                <w:sz w:val="18"/>
                <w:szCs w:val="18"/>
                <w:color w:val="auto"/>
              </w:rPr>
              <w:t>2029</w:t>
            </w:r>
          </w:p>
        </w:tc>
        <w:tc>
          <w:tcPr>
            <w:tcW w:w="4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2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evaluate the carrying amount of goodwill and indefinite-lived intangible assets for possible impairment on an annual basis in the fourth quarter or if triggering events occur that require us to evaluate for impairment earlier. No triggering events arose during the three months ended September 30, 2025.</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 LONG-TERM INCENTIVE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nine months ended September 30,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9"/>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3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661,377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(642,149)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September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stock units during the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82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26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December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6,001,579</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29,447</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(33,281)</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(283,954)</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September 30,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5,713,791</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124.49</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480"/>
        <w:spacing w:after="0" w:line="287" w:lineRule="auto"/>
        <w:rPr>
          <w:sz w:val="20"/>
          <w:szCs w:val="20"/>
          <w:color w:val="auto"/>
        </w:rPr>
      </w:pPr>
      <w:r>
        <w:rPr>
          <w:rFonts w:ascii="Arial" w:cs="Arial" w:eastAsia="Arial" w:hAnsi="Arial"/>
          <w:sz w:val="18"/>
          <w:szCs w:val="18"/>
          <w:color w:val="auto"/>
        </w:rPr>
        <w:t>Nonvested at September 30, 2025 includes performance-based restricted stock units of 359,941. These nonvested performance-based restricted stock units include 102,345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September 30, 2025. Estimated future compensation expense will change to reflect future grants of restricted stock awards and units, future option grants, changes in the probability of performance thresholds being met, and adjustments for actual forfeitures.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Fourth quarter 2025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through 2030</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RESTRICTED FUND UNITS.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Below is a roll forward of the restricted fund units liability, which is reported in deferred compensation liabilities on the unaudited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grant date value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Amortization of market appreciation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074" w:hanging="1074"/>
        <w:spacing w:after="0"/>
        <w:tabs>
          <w:tab w:leader="none" w:pos="1074" w:val="left"/>
        </w:tabs>
        <w:numPr>
          <w:ilvl w:val="0"/>
          <w:numId w:val="6"/>
        </w:numPr>
        <w:rPr>
          <w:rFonts w:ascii="Arial" w:cs="Arial" w:eastAsia="Arial" w:hAnsi="Arial"/>
          <w:sz w:val="17"/>
          <w:szCs w:val="17"/>
          <w:color w:val="auto"/>
        </w:rPr>
      </w:pPr>
      <w:r>
        <w:rPr>
          <w:rFonts w:ascii="Arial" w:cs="Arial" w:eastAsia="Arial" w:hAnsi="Arial"/>
          <w:sz w:val="17"/>
          <w:szCs w:val="17"/>
          <w:color w:val="auto"/>
        </w:rPr>
        <w:t>14.7</w:t>
      </w:r>
    </w:p>
    <w:p>
      <w:pPr>
        <w:spacing w:after="0" w:line="43"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32.8</w:t>
      </w:r>
    </w:p>
    <w:p>
      <w:pPr>
        <w:spacing w:after="0" w:line="34" w:lineRule="exact"/>
        <w:rPr>
          <w:rFonts w:ascii="Arial" w:cs="Arial" w:eastAsia="Arial" w:hAnsi="Arial"/>
          <w:sz w:val="17"/>
          <w:szCs w:val="17"/>
          <w:color w:val="auto"/>
        </w:rPr>
      </w:pPr>
    </w:p>
    <w:p>
      <w:pPr>
        <w:ind w:left="1174"/>
        <w:spacing w:after="0"/>
        <w:rPr>
          <w:rFonts w:ascii="Arial" w:cs="Arial" w:eastAsia="Arial" w:hAnsi="Arial"/>
          <w:sz w:val="17"/>
          <w:szCs w:val="17"/>
          <w:color w:val="auto"/>
        </w:rPr>
      </w:pPr>
      <w:r>
        <w:rPr>
          <w:rFonts w:ascii="Arial" w:cs="Arial" w:eastAsia="Arial" w:hAnsi="Arial"/>
          <w:sz w:val="17"/>
          <w:szCs w:val="17"/>
          <w:color w:val="auto"/>
        </w:rPr>
        <w:t>5.8</w:t>
      </w:r>
    </w:p>
    <w:p>
      <w:pPr>
        <w:spacing w:after="0" w:line="38" w:lineRule="exact"/>
        <w:rPr>
          <w:sz w:val="20"/>
          <w:szCs w:val="20"/>
          <w:color w:val="auto"/>
        </w:rPr>
      </w:pPr>
    </w:p>
    <w:p>
      <w:pPr>
        <w:ind w:left="1074" w:hanging="1074"/>
        <w:spacing w:after="0"/>
        <w:tabs>
          <w:tab w:leader="none" w:pos="1074" w:val="left"/>
        </w:tabs>
        <w:numPr>
          <w:ilvl w:val="0"/>
          <w:numId w:val="7"/>
        </w:numPr>
        <w:rPr>
          <w:rFonts w:ascii="Arial" w:cs="Arial" w:eastAsia="Arial" w:hAnsi="Arial"/>
          <w:sz w:val="17"/>
          <w:szCs w:val="17"/>
          <w:color w:val="auto"/>
        </w:rPr>
      </w:pPr>
      <w:r>
        <w:rPr>
          <w:rFonts w:ascii="Arial" w:cs="Arial" w:eastAsia="Arial" w:hAnsi="Arial"/>
          <w:sz w:val="17"/>
          <w:szCs w:val="17"/>
          <w:color w:val="auto"/>
        </w:rPr>
        <w:t>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60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26" w:space="720"/>
            <w:col w:w="1494"/>
          </w:cols>
          <w:pgMar w:left="320" w:top="985" w:right="339" w:bottom="1440" w:gutter="0" w:footer="0" w:header="0"/>
          <w:type w:val="continuous"/>
        </w:sectPr>
      </w:pPr>
    </w:p>
    <w:p>
      <w:pPr>
        <w:spacing w:after="0" w:line="1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restricted fund units outstanding at September 30, 2025. Estimated future compensation expense will change to reflect future grants, changes in the market value of the restricted fund units, which is based on selected hypothetical investments, and adjustments for actual forfeitures. The grants outstanding will vest by 2029.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Fourth quarter 2025</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through 2029</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Group, Inc.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9/30/2024</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allocated to outstanding restricted stock and stock</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 holders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three months ended September 30, 2025 and 2024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6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Three months ended 9/30/2025</w:t>
            </w:r>
          </w:p>
        </w:tc>
        <w:tc>
          <w:tcPr>
            <w:tcW w:w="14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62"/>
              <w:spacing w:after="0"/>
              <w:rPr>
                <w:sz w:val="20"/>
                <w:szCs w:val="20"/>
                <w:color w:val="auto"/>
              </w:rPr>
            </w:pPr>
            <w:r>
              <w:rPr>
                <w:rFonts w:ascii="Arial" w:cs="Arial" w:eastAsia="Arial" w:hAnsi="Arial"/>
                <w:sz w:val="14"/>
                <w:szCs w:val="14"/>
                <w:b w:val="1"/>
                <w:bCs w:val="1"/>
                <w:color w:val="auto"/>
              </w:rPr>
              <w:t>Three months ended 9/30/2024</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Consolidated</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gridSpan w:val="3"/>
            <w:vMerge w:val="continue"/>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translation</w:t>
            </w:r>
          </w:p>
        </w:tc>
        <w:tc>
          <w:tcPr>
            <w:tcW w:w="1300" w:type="dxa"/>
            <w:vAlign w:val="bottom"/>
            <w:gridSpan w:val="3"/>
            <w:vMerge w:val="continue"/>
          </w:tcPr>
          <w:p>
            <w:pPr>
              <w:spacing w:after="0"/>
              <w:rPr>
                <w:sz w:val="12"/>
                <w:szCs w:val="12"/>
                <w:color w:val="auto"/>
              </w:rPr>
            </w:pP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products - variable</w:t>
            </w:r>
          </w:p>
        </w:tc>
        <w:tc>
          <w:tcPr>
            <w:tcW w:w="120" w:type="dxa"/>
            <w:vAlign w:val="bottom"/>
          </w:tcPr>
          <w:p>
            <w:pPr>
              <w:spacing w:after="0"/>
              <w:rPr>
                <w:sz w:val="12"/>
                <w:szCs w:val="12"/>
                <w:color w:val="auto"/>
              </w:rPr>
            </w:pPr>
          </w:p>
        </w:tc>
        <w:tc>
          <w:tcPr>
            <w:tcW w:w="11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 entities</w:t>
            </w:r>
          </w:p>
        </w:tc>
        <w:tc>
          <w:tcPr>
            <w:tcW w:w="12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42"/>
        </w:trPr>
        <w:tc>
          <w:tcPr>
            <w:tcW w:w="316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before reclassifications and income taxes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1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Reclassification adjustments recognized</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other comprehensive income (loss) in the table above excludes other comprehensive losses of $2.8 million and net gains of $7.4 million for the three months ended September 30, 2025 and 2024, respectively, related to redeemable non-controlling interests held in our consolidated products.</w:t>
      </w:r>
    </w:p>
    <w:p>
      <w:pPr>
        <w:spacing w:after="0" w:line="36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the nine months ended September 30, 2025 and 2024, are presented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94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Nine months ended 9/30/2025</w:t>
            </w:r>
          </w:p>
        </w:tc>
        <w:tc>
          <w:tcPr>
            <w:tcW w:w="16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Nine months ended 9/30/2024</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Consolidated</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1320" w:type="dxa"/>
            <w:vAlign w:val="bottom"/>
            <w:gridSpan w:val="3"/>
            <w:vMerge w:val="continue"/>
          </w:tcPr>
          <w:p>
            <w:pPr>
              <w:spacing w:after="0"/>
              <w:rPr>
                <w:sz w:val="11"/>
                <w:szCs w:val="11"/>
                <w:color w:val="auto"/>
              </w:rPr>
            </w:pPr>
          </w:p>
        </w:tc>
        <w:tc>
          <w:tcPr>
            <w:tcW w:w="14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products - variable</w:t>
            </w:r>
          </w:p>
        </w:tc>
        <w:tc>
          <w:tcPr>
            <w:tcW w:w="100" w:type="dxa"/>
            <w:vAlign w:val="bottom"/>
          </w:tcPr>
          <w:p>
            <w:pPr>
              <w:spacing w:after="0"/>
              <w:rPr>
                <w:sz w:val="11"/>
                <w:szCs w:val="11"/>
                <w:color w:val="auto"/>
              </w:rPr>
            </w:pPr>
          </w:p>
        </w:tc>
        <w:tc>
          <w:tcPr>
            <w:tcW w:w="11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00" w:type="dxa"/>
            <w:vAlign w:val="bottom"/>
          </w:tcPr>
          <w:p>
            <w:pPr>
              <w:spacing w:after="0"/>
              <w:rPr>
                <w:sz w:val="16"/>
                <w:szCs w:val="16"/>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142"/>
        </w:trPr>
        <w:tc>
          <w:tcPr>
            <w:tcW w:w="308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Reclassification adjustments recognized</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other comprehensive income (loss) in the table above excludes net gains of $8.2 million and $6.2 million for the nine months ended September 30, 2025 and 2024, respectively, related to redeemable non-controlling interests held in our consolidated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SEGMENT REPORTING.</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have one reportable segment: investment management services. We derive our revenue and net income globally and manage business activities on a consolidated basis.</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derive our revenues and net income from investment advisory services provided to individual and institutional investors. We also provide certain ancillary administrative services, including mutual fund transfer agent, fund and portfolio accounting, distribution, and shareholder services; participant recordkeeping and transfer agent services for defined contribution retirement plans; and other advisory services. Our revenues and net income depend largely on the total value and composition of our assets under management, as such, the consideration for our services is generally variable and recognized over time.</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chief operating decision maker (CODM) is the chief executive officer. The CODM utilizes consolidated net income attributable to T. Rowe Price as reported on the consolidated income statement and certain non-GAAP metrics to assess performance and allocate resources. Based on these metrics, the CODM decides either to reinvest profits into the business based on our strategic priorities and/or return cash to stockholders through dividends and share repurchases.</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determined there are no significant segment expenses that require a separate disclosure, as the major categories of expenses regularly reviewed by the CODM to manage operations are disclosed in the consolidated statements of income. Quarterly reviews of expenses highlight those influenced by financial markets, such as distribution and servicing costs, as well as those that are both qualitatively and quantitatively significant. The measure of segment assets is reported on the balance sheet as total consolidated assets.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 has committed $229 million for investment in future OHA product launches through 2026.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is contingent</w:t>
      </w:r>
    </w:p>
    <w:p>
      <w:pPr>
        <w:spacing w:after="0" w:line="27"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in 2026 and 2027 upon satisfying or exceeding certain defined revenue targets. These defined revenue targets will be evaluated on a cumulative basis from 2022 through 2026. About 22% of the earnout is conditioned upon continued service with T. Rowe Price Group, Inc. and was excluded from the purchase consideration and deemed compensatory. The fair value of the earnout is remeasured each reporting period and was valued at zero as of September 30, 2025 and December 31,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RESTRUCTURING CHARGE.</w:t>
      </w:r>
    </w:p>
    <w:p>
      <w:pPr>
        <w:spacing w:after="0" w:line="25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separately disclosed in the unaudited consolidated income statement, we recognized a restructuring charge of $28.5 million in the third quarter of 2025, primarily related to severance. The remaining liability at September 30, 2025 of $10.1 million is reported in accrued compensation and related costs. This charge relates to our broad and ongoing plan to reduce expense growth and realign resources. This ongoing effort is designed to support investment in both existing and future capabilities.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 – SUBSEQUENT EVENTS.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October 2025, the Board of Directors approved a plan to exit two owned office buildings in Owings Mills, Maryland. This decision is expected to result in a non-cash charge of up to $100 million in the fourth quarter of 2025, primarily reflecting the carrying value of the buildings, and will be recorded in the restructuring charge line of the consolidated income statement. This decision was made in connection with our broad and ongoing plan to reduce expense growth and realign resources to invest in existing and future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77"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reviewed the consolidated balance sheet of T. Rowe Price Group, Inc. and subsidiaries (the Company) as of September 30, 2025, the related consolidated statements of income, comprehensive income, and stockholders’ equity for the three-month and nine-month periods ended September 30, 2025 and 2024, the related consolidated statements of cash flows for the nine-month periods ended September 30, 2025 and 2024, and the related notes (collectively, the consolidated interim financial information). Based on our reviews, we are not aware of any material modifications that should be made to the interim financial information for it to be in conformity with U.S. generally accepted accounting principles.</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2024, and the related consolidated statements of income, comprehensive income, stockholders’ equity, and cash flows for the year then ended (not presented herein); and in our report dated February 14, 2025, we expressed an unqualified opinion on those consolidated financial statements. In our opinion, the information set forth in the accompanying consolidated balance sheet as of December 31, 2024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globally to individual and institutional investors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our assets under management. Accordingly, fluctuations in financial markets and in the composition of assets under management affect our revenues and results of operations.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clients and additional investments from our existing clients. These efforts often involve costs that precede any future revenues we may recognize from an increase to our assets under management.</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investment management industry is evolving, facing challenging trends such as passive strategies taking market share from traditional active strategies; continued downward fee pressure; demand for new investment vehicles to meet client needs; and an ever-changing regulatory landscape. In this regard, we have ample liquidity and resources that allow us to take advantage of attractive growth opportunities. Furthermore, we have developed a broad and ongoing plan to align our expense growth with anticipated revenue growth. As a result, we have initiated certain actions to reduce expense growth, realign resources, and invest in existing and future capabilities, while also helping to offset ongoing inflationary pressures on compensation and contractual spending. These investments include hiring investment and distribution professionals, adopting new technologies, and offering new products to provide our clients with strong investment management expertise and services.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Major stock indexes rose in the third quarter of 2025. Initially, equities were supported by generally favorable economic data and second-</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quarter corporate earnings reports, as well as some positive tariff-related news in the form of U.S. trade agreements with other nations. In August, however, a weaker-than-expected nonfarm payroll employment report for July—which included significant downward revisions to</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employment data for May and June—raised fears of an economic slowdown. Nevertheless, equities were buoyed by growing hopes that the Federal Reserve would resume reducing short-term interest rates; the last rate cut was in December 2024. Indeed, Fed officials decided in mid-September to reduce the fed funds target rate by 25 basis points and indicated there could be two additional rate cuts by the end of the year.</w:t>
      </w:r>
    </w:p>
    <w:p>
      <w:pPr>
        <w:spacing w:after="0" w:line="20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Developed non-U.S. equity markets also produced gains. Markets in several eurozone countries advanced more than 8% in U.S. dollar terms, while UK shares rose about 6%. Developed Asian markets were mostly positive in dollar terms, led by Hong Kong, Singapore, and Japan.</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Stocks in emerging markets outperformed equities in developed non-U.S. markets. In emerging Asia, Chinese stocks climbed more than 20%, helped by cash-rich households seeking higher returns. In Latin America, most markets produced positive returns in dollar terms. In the emerging Europe, Middle East, and Africa (EMEA) region, markets were broadly positive. South African shares surged more than 20%, helped by rising metals prices and mining industry strength.</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9/30/2025</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9/30/2025</w:t>
            </w:r>
          </w:p>
        </w:tc>
      </w:tr>
      <w:tr>
        <w:trPr>
          <w:trHeight w:val="224"/>
        </w:trPr>
        <w:tc>
          <w:tcPr>
            <w:tcW w:w="8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8.1%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14.8%</w:t>
            </w:r>
          </w:p>
        </w:tc>
      </w:tr>
      <w:tr>
        <w:trPr>
          <w:trHeight w:val="230"/>
        </w:trPr>
        <w:tc>
          <w:tcPr>
            <w:tcW w:w="8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11.2%</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17.3%</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10.4%</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4.8%</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25.7%</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28.2%</w:t>
            </w:r>
          </w:p>
        </w:tc>
      </w:tr>
    </w:tbl>
    <w:p>
      <w:pPr>
        <w:spacing w:after="0" w:line="87" w:lineRule="exact"/>
        <w:rPr>
          <w:sz w:val="20"/>
          <w:szCs w:val="20"/>
          <w:color w:val="auto"/>
        </w:rPr>
      </w:pPr>
    </w:p>
    <w:p>
      <w:pPr>
        <w:ind w:left="180" w:hanging="132"/>
        <w:spacing w:after="0"/>
        <w:tabs>
          <w:tab w:leader="none" w:pos="18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196"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Global bond returns were mostly positive in the third quarter of 2025. In the U.S., Treasury bill yields declined in anticipation of a Federal Reserve interest rate cut in mid-September. On September 17, the central bank reduced the federal funds target rate from the 4.25% to 4.50% range to the 4.00% to 4.25% range. Intermediate- and long-term U.S. Treasury yields fell to a lesser extent. The 10-year U.S. Treasury note yield decreased from 4.24% to 4.16%.</w:t>
      </w:r>
    </w:p>
    <w:p>
      <w:pPr>
        <w:spacing w:after="0" w:line="201" w:lineRule="exact"/>
        <w:rPr>
          <w:sz w:val="20"/>
          <w:szCs w:val="20"/>
          <w:color w:val="auto"/>
        </w:rPr>
      </w:pPr>
    </w:p>
    <w:p>
      <w:pPr>
        <w:ind w:right="680"/>
        <w:spacing w:after="0" w:line="253" w:lineRule="auto"/>
        <w:rPr>
          <w:sz w:val="20"/>
          <w:szCs w:val="20"/>
          <w:color w:val="auto"/>
        </w:rPr>
      </w:pPr>
      <w:r>
        <w:rPr>
          <w:rFonts w:ascii="Arial" w:cs="Arial" w:eastAsia="Arial" w:hAnsi="Arial"/>
          <w:sz w:val="18"/>
          <w:szCs w:val="18"/>
          <w:color w:val="auto"/>
        </w:rPr>
        <w:t>In the investment-grade bond universe, sector performance was broadly positive. Corporate bonds and mortgage-backed securities performed best, while non-agency commercial mortgage-backed securities, asset-backed securities, and Treasuries lagged. Tax-free municipal bonds and high yield corporate bonds outperformed the taxable investment-grade bond market.</w:t>
      </w:r>
    </w:p>
    <w:p>
      <w:pPr>
        <w:spacing w:after="0" w:line="19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Bonds in developed non-U.S. markets produced slight negative returns in U.S. dollar terms. In the eurozone, longer-term bond yields rose in many countries, while the European Central Bank (ECB) kept key interest rates steady. In the UK, longer-term bond yields also increased, but the Bank of England reduced its key interest rate in August. The euro was little changed versus the greenback, but the British pound fell close to 2% versus the dollar. In Japan, long-term government bond yields increased, but the Bank of Japan kept the benchmark interest rate at 0.50%. The yen fell more than 2% versus the dollar. Emerging markets bonds produced positive returns in U.S. dollar terms. Dollar-denominated bonds outperformed bonds denominated in local currencies, as developing markets currencies were mixed versus the U.S.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dollar.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bond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9/30/2025</w:t>
            </w:r>
          </w:p>
        </w:tc>
      </w:tr>
      <w:tr>
        <w:trPr>
          <w:trHeight w:val="224"/>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6.1%</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6.9%</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2.6%</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(0.6)%</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9.4%</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9.6%</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ICE Bank of America U.S. High Yield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2.4%</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7.1%</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UBS Leveraged Loan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p>
    <w:p>
      <w:pPr>
        <w:spacing w:after="0" w:line="19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Assets under management ended the third quarter of 2025 at $ 1,767.2 billion, an increase of $90.4 billion from June 30, 2025. The increase was primarily driven by market appreciation and income, net of distributions not reinvested, of $89.1 billion, offset by net cash outflows of $7.9 billion. Beginning on July 1, 2025, assets under management include managed account - model delivery portfolios assets, which had $9.2 billion in assets as of that date, and are reflected in the increase from June 30, 2025 and December 31, 2024.</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the nine months ended September 30, 2025, the increase in assets under management was primarily driven by market appreciation, net of distributions not reinvested, of $182.8 billion, offset by net cash outflows of $31.4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changes in our assets under management, by asset class, during the three- and nine-month periods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9/30/2025</w:t>
            </w: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gridSpan w:val="6"/>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Nine months ended 9/30/2025</w:t>
            </w: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including</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Multi-</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including</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Multi-</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money</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160" w:type="dxa"/>
            <w:vAlign w:val="bottom"/>
          </w:tcPr>
          <w:p>
            <w:pPr>
              <w:spacing w:after="0"/>
              <w:rPr>
                <w:sz w:val="12"/>
                <w:szCs w:val="12"/>
                <w:color w:val="auto"/>
              </w:rPr>
            </w:pPr>
          </w:p>
        </w:tc>
        <w:tc>
          <w:tcPr>
            <w:tcW w:w="7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money</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12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Assets under</w:t>
            </w: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management at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838.5</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583.3</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1,676.8</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829.7</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536.0</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1,606.6</w:t>
            </w:r>
          </w:p>
        </w:tc>
        <w:tc>
          <w:tcPr>
            <w:tcW w:w="0" w:type="dxa"/>
            <w:vAlign w:val="bottom"/>
          </w:tcPr>
          <w:p>
            <w:pPr>
              <w:spacing w:after="0"/>
              <w:rPr>
                <w:sz w:val="1"/>
                <w:szCs w:val="1"/>
                <w:color w:val="auto"/>
              </w:rPr>
            </w:pPr>
          </w:p>
        </w:tc>
      </w:tr>
      <w:tr>
        <w:trPr>
          <w:trHeight w:val="209"/>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beginning of period $</w:t>
            </w: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4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4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Managed account -</w:t>
            </w: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model delivery</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r>
              <w:rPr>
                <w:rFonts w:ascii="Arial" w:cs="Arial" w:eastAsia="Arial" w:hAnsi="Arial"/>
                <w:sz w:val="9"/>
                <w:szCs w:val="9"/>
                <w:color w:val="auto"/>
              </w:rPr>
              <w:t>(4)</w:t>
            </w: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80" w:type="dxa"/>
            <w:vAlign w:val="bottom"/>
          </w:tcPr>
          <w:p>
            <w:pPr>
              <w:ind w:left="20"/>
              <w:spacing w:after="0" w:line="133" w:lineRule="exact"/>
              <w:rPr>
                <w:sz w:val="20"/>
                <w:szCs w:val="20"/>
                <w:color w:val="auto"/>
              </w:rPr>
            </w:pPr>
            <w:r>
              <w:rPr>
                <w:rFonts w:ascii="Arial" w:cs="Arial" w:eastAsia="Arial" w:hAnsi="Arial"/>
                <w:sz w:val="14"/>
                <w:szCs w:val="14"/>
                <w:color w:val="auto"/>
              </w:rPr>
              <w:t>Net cash flows</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20"/>
              <w:spacing w:after="0" w:line="145" w:lineRule="exact"/>
              <w:rPr>
                <w:sz w:val="20"/>
                <w:szCs w:val="20"/>
                <w:color w:val="auto"/>
              </w:rPr>
            </w:pPr>
            <w:r>
              <w:rPr>
                <w:rFonts w:ascii="Arial" w:cs="Arial" w:eastAsia="Arial" w:hAnsi="Arial"/>
                <w:sz w:val="14"/>
                <w:szCs w:val="14"/>
                <w:color w:val="auto"/>
              </w:rPr>
              <w:t>prior to manager-</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rPr>
                <w:sz w:val="20"/>
                <w:szCs w:val="20"/>
                <w:color w:val="auto"/>
              </w:rPr>
            </w:pPr>
            <w:r>
              <w:rPr>
                <w:rFonts w:ascii="Arial" w:cs="Arial" w:eastAsia="Arial" w:hAnsi="Arial"/>
                <w:sz w:val="14"/>
                <w:szCs w:val="14"/>
                <w:color w:val="auto"/>
              </w:rPr>
              <w:t>driven distributions</w:t>
            </w: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Manager-driven</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5"/>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80" w:type="dxa"/>
            <w:vAlign w:val="bottom"/>
          </w:tcPr>
          <w:p>
            <w:pPr>
              <w:ind w:left="20"/>
              <w:spacing w:after="0"/>
              <w:rPr>
                <w:sz w:val="20"/>
                <w:szCs w:val="20"/>
                <w:color w:val="auto"/>
              </w:rPr>
            </w:pPr>
            <w:r>
              <w:rPr>
                <w:rFonts w:ascii="Arial" w:cs="Arial" w:eastAsia="Arial" w:hAnsi="Arial"/>
                <w:sz w:val="14"/>
                <w:szCs w:val="14"/>
                <w:color w:val="auto"/>
              </w:rPr>
              <w:t>Net cash flows</w:t>
            </w: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57"/>
        </w:trPr>
        <w:tc>
          <w:tcPr>
            <w:tcW w:w="12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market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appreciation</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(depreciation) and</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01"/>
        </w:trPr>
        <w:tc>
          <w:tcPr>
            <w:tcW w:w="128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income</w:t>
            </w:r>
            <w:r>
              <w:rPr>
                <w:rFonts w:ascii="Arial" w:cs="Arial" w:eastAsia="Arial" w:hAnsi="Arial"/>
                <w:sz w:val="18"/>
                <w:szCs w:val="18"/>
                <w:color w:val="auto"/>
                <w:vertAlign w:val="superscript"/>
              </w:rPr>
              <w:t>(5)</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80" w:type="dxa"/>
            <w:vAlign w:val="bottom"/>
          </w:tcPr>
          <w:p>
            <w:pPr>
              <w:ind w:left="20"/>
              <w:spacing w:after="0" w:line="133" w:lineRule="exact"/>
              <w:rPr>
                <w:sz w:val="20"/>
                <w:szCs w:val="20"/>
                <w:color w:val="auto"/>
              </w:rPr>
            </w:pPr>
            <w:r>
              <w:rPr>
                <w:rFonts w:ascii="Arial" w:cs="Arial" w:eastAsia="Arial" w:hAnsi="Arial"/>
                <w:sz w:val="14"/>
                <w:szCs w:val="14"/>
                <w:color w:val="auto"/>
              </w:rPr>
              <w:t>Change during the</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90.4</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81.7</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185"/>
        </w:trPr>
        <w:tc>
          <w:tcPr>
            <w:tcW w:w="1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Assets under</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management at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September 30,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208.1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617.7</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1,767.2</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208.1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617.7</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191"/>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assets in which T. Rowe Price and its affiliates have full discretionary authority along with managed account - model delivery assets.</w:t>
      </w:r>
    </w:p>
    <w:p>
      <w:pPr>
        <w:ind w:left="240" w:hanging="232"/>
        <w:spacing w:after="0" w:line="200" w:lineRule="auto"/>
        <w:tabs>
          <w:tab w:leader="none" w:pos="2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2" w:lineRule="exact"/>
        <w:rPr>
          <w:rFonts w:ascii="Arial" w:cs="Arial" w:eastAsia="Arial" w:hAnsi="Arial"/>
          <w:sz w:val="16"/>
          <w:szCs w:val="16"/>
          <w:i w:val="1"/>
          <w:iCs w:val="1"/>
          <w:color w:val="auto"/>
          <w:vertAlign w:val="superscript"/>
        </w:rPr>
      </w:pPr>
    </w:p>
    <w:p>
      <w:pPr>
        <w:ind w:left="180" w:right="20" w:hanging="172"/>
        <w:spacing w:after="0" w:line="241" w:lineRule="auto"/>
        <w:tabs>
          <w:tab w:leader="none" w:pos="157" w:val="left"/>
        </w:tabs>
        <w:numPr>
          <w:ilvl w:val="0"/>
          <w:numId w:val="9"/>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 Unfunded capital commitments were $22.0 billion at September 30, 2025, $18.6 billion at June 30, 2025, and $16.2 billion at December 31, 2024, and are not reflected in fee basis AUM above.</w:t>
      </w:r>
    </w:p>
    <w:p>
      <w:pPr>
        <w:ind w:left="140" w:hanging="132"/>
        <w:spacing w:after="0" w:line="211"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Amount represents the net assets as of July 1, 2025 and all activity for the quarter is reflected in the lines that follow.</w:t>
      </w:r>
    </w:p>
    <w:p>
      <w:pPr>
        <w:spacing w:after="0" w:line="21" w:lineRule="exact"/>
        <w:rPr>
          <w:rFonts w:ascii="Arial" w:cs="Arial" w:eastAsia="Arial" w:hAnsi="Arial"/>
          <w:sz w:val="16"/>
          <w:szCs w:val="16"/>
          <w:i w:val="1"/>
          <w:iCs w:val="1"/>
          <w:color w:val="auto"/>
          <w:vertAlign w:val="superscript"/>
        </w:rPr>
      </w:pPr>
    </w:p>
    <w:p>
      <w:pPr>
        <w:ind w:left="140" w:hanging="132"/>
        <w:spacing w:after="0" w:line="200"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three- and nine-month periods ended September 30, 2025 of $0.4 billion and $1.3 billion, respectively.</w:t>
      </w:r>
    </w:p>
    <w:p>
      <w:pPr>
        <w:spacing w:after="0" w:line="22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Investment advisory clients outside the United States account for 8.7% of our assets under management at September 30, 2025 and June 30, 2025 and 8.8% at December 31, 2024.</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Assets under management in our target date retirement portfolios, which are included in the multi-asset totals shown above, were $552.9 billion at September 30, 2025, $520.3 billion at June 30, 2025, and $475.6 billion at December 31, 2024. Net flows into these portfolios were $2.6 billion and $10.6 billion in the three- and nine-month periods ended September 30, 2025, respectively.</w:t>
      </w:r>
    </w:p>
    <w:p>
      <w:pPr>
        <w:spacing w:after="0" w:line="198"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The firm’s multi-asset investment division provides advisory solutions that include investment insights, strategic asset allocation design, tactical asset allocation recommendations, and portfolio rebalancing services. The assets in these solutions, predominantly in the United States, were $25.2 billion at September 30, 2025, compared with $24.1 billion at June 30, 2025.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8" w:right="43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8"/>
          <w:szCs w:val="18"/>
          <w:color w:val="auto"/>
        </w:rPr>
        <w:t>We provide participant accounting and plan administration for retirement plans that primarily invest in the firm's U.S. mutual funds, collective investment trusts and products outside of the firm's complex. As of September 30, 2025, our assets under administration were $315 billion, of which $178 billion are assets we manage.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7"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i w:val="1"/>
          <w:iCs w:val="1"/>
          <w:color w:val="auto"/>
        </w:rPr>
        <w:t>S</w:t>
      </w:r>
      <w:r>
        <w:rPr>
          <w:rFonts w:ascii="Arial" w:cs="Arial" w:eastAsia="Arial" w:hAnsi="Arial"/>
          <w:sz w:val="17"/>
          <w:szCs w:val="17"/>
          <w:color w:val="auto"/>
        </w:rPr>
        <w:t>trong investment performance and brand awareness is a key driver to attracting and retaining assets—and to our long-term success. Our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disclosures include specific asset classes, assets under management weighted performance, U.S. fund performance against passive peers, and composite performance against benchmarks. The following tables present investment performance for the one-, three-, five-, and 10-years ended September 30, 2025. Past performance is not a guarantee nor a reliable indicator of future performance.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9"/>
              </w:rPr>
              <w:t>% of U.S. funds that outperformed Morningstar median</w:t>
            </w:r>
            <w:r>
              <w:rPr>
                <w:rFonts w:ascii="Arial" w:cs="Arial" w:eastAsia="Arial" w:hAnsi="Arial"/>
                <w:sz w:val="21"/>
                <w:szCs w:val="21"/>
                <w:b w:val="1"/>
                <w:bCs w:val="1"/>
                <w:color w:val="auto"/>
                <w:w w:val="99"/>
                <w:vertAlign w:val="superscript"/>
              </w:rPr>
              <w:t>(2),(3)</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3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39%</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56%</w:t>
            </w:r>
          </w:p>
        </w:tc>
      </w:tr>
      <w:tr>
        <w:trPr>
          <w:trHeight w:val="215"/>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59%</w:t>
            </w:r>
          </w:p>
        </w:tc>
      </w:tr>
      <w:tr>
        <w:trPr>
          <w:trHeight w:val="217"/>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45%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r>
      <w:tr>
        <w:trPr>
          <w:trHeight w:val="215"/>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All Funds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48%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109"/>
        </w:trPr>
        <w:tc>
          <w:tcPr>
            <w:tcW w:w="39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458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w w:val="98"/>
              </w:rPr>
              <w:t>% of U.S. funds that outperformed passive peer median</w:t>
            </w:r>
            <w:r>
              <w:rPr>
                <w:rFonts w:ascii="Arial" w:cs="Arial" w:eastAsia="Arial" w:hAnsi="Arial"/>
                <w:sz w:val="21"/>
                <w:szCs w:val="21"/>
                <w:b w:val="1"/>
                <w:bCs w:val="1"/>
                <w:color w:val="auto"/>
                <w:w w:val="98"/>
                <w:vertAlign w:val="superscript"/>
              </w:rPr>
              <w:t>(2),(4)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27%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44%</w:t>
            </w:r>
          </w:p>
        </w:tc>
      </w:tr>
      <w:tr>
        <w:trPr>
          <w:trHeight w:val="217"/>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r>
      <w:tr>
        <w:trPr>
          <w:trHeight w:val="215"/>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Multi-Asset</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27%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48%</w:t>
            </w:r>
          </w:p>
        </w:tc>
      </w:tr>
      <w:tr>
        <w:trPr>
          <w:trHeight w:val="217"/>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35%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49%</w:t>
            </w:r>
          </w:p>
        </w:tc>
      </w:tr>
      <w:tr>
        <w:trPr>
          <w:trHeight w:val="162"/>
        </w:trPr>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4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19%</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29%</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r>
      <w:tr>
        <w:trPr>
          <w:trHeight w:val="215"/>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7"/>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r>
      <w:tr>
        <w:trPr>
          <w:trHeight w:val="148"/>
        </w:trPr>
        <w:tc>
          <w:tcPr>
            <w:tcW w:w="3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54%</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73%</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93%</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w w:val="94"/>
              </w:rPr>
              <w:t>9%</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45%</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15%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14%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58%</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14%</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29%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27%</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25%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43%</w:t>
            </w:r>
          </w:p>
        </w:tc>
      </w:tr>
    </w:tbl>
    <w:p>
      <w:pPr>
        <w:spacing w:after="0" w:line="32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of September 30, 2025, 63 of 142 (44.4%)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59%</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September 30, 2025 with an overall rating of 4 or 5 stars.</w:t>
      </w:r>
    </w:p>
    <w:p>
      <w:pPr>
        <w:spacing w:after="0" w:line="198"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investment performance reflects that of T. Rowe Price U.S. mutual funds, ETFs, and composites.</w:t>
      </w:r>
    </w:p>
    <w:p>
      <w:pPr>
        <w:ind w:right="200" w:firstLine="8"/>
        <w:spacing w:after="0" w:line="247" w:lineRule="auto"/>
        <w:tabs>
          <w:tab w:leader="none" w:pos="122" w:val="left"/>
        </w:tabs>
        <w:numPr>
          <w:ilvl w:val="0"/>
          <w:numId w:val="1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2025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ind w:right="60" w:firstLine="8"/>
        <w:spacing w:after="0" w:line="220" w:lineRule="auto"/>
        <w:tabs>
          <w:tab w:leader="none" w:pos="135" w:val="left"/>
        </w:tabs>
        <w:numPr>
          <w:ilvl w:val="0"/>
          <w:numId w:val="10"/>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outperformed the Morningstar category median. The bottom chart reflects the percentage of T. Rowe Price funds AUM that has outperformed for the time periods indicated. Total AUM included for this analysis includes $337B for 1 year, $328B for 3 years, $326B for 5 years, and $325B for 10 years.</w:t>
      </w:r>
    </w:p>
    <w:p>
      <w:pPr>
        <w:spacing w:after="0" w:line="2" w:lineRule="exact"/>
        <w:rPr>
          <w:rFonts w:ascii="Arial" w:cs="Arial" w:eastAsia="Arial" w:hAnsi="Arial"/>
          <w:sz w:val="15"/>
          <w:szCs w:val="15"/>
          <w:i w:val="1"/>
          <w:iCs w:val="1"/>
          <w:color w:val="auto"/>
          <w:vertAlign w:val="superscript"/>
        </w:rPr>
      </w:pPr>
    </w:p>
    <w:p>
      <w:pPr>
        <w:ind w:firstLine="8"/>
        <w:spacing w:after="0" w:line="223" w:lineRule="auto"/>
        <w:tabs>
          <w:tab w:leader="none" w:pos="135" w:val="left"/>
        </w:tabs>
        <w:numPr>
          <w:ilvl w:val="0"/>
          <w:numId w:val="10"/>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a retail fund. This analysis compares T. Rowe Price active funds with the applicable universe of passive/index open-end funds and ETFs of peer firms. The top chart reflects the percentage of T. Rowe Price funds with 1 year, 3 year, 5 year, and 10 year track record that outperformed the passive peer universe. The bottom chart reflects the percentage of T. Rowe Price funds AUM that has outperformed for the time periods indicated. Total AUM included for this analysis includes $284B for 1 year, $275B for 3 years, $269B for 5 years, and $261B for 10 years.</w:t>
      </w:r>
    </w:p>
    <w:p>
      <w:pPr>
        <w:spacing w:after="0" w:line="1" w:lineRule="exact"/>
        <w:rPr>
          <w:rFonts w:ascii="Arial" w:cs="Arial" w:eastAsia="Arial" w:hAnsi="Arial"/>
          <w:sz w:val="15"/>
          <w:szCs w:val="15"/>
          <w:i w:val="1"/>
          <w:iCs w:val="1"/>
          <w:color w:val="auto"/>
          <w:vertAlign w:val="superscript"/>
        </w:rPr>
      </w:pPr>
    </w:p>
    <w:p>
      <w:pPr>
        <w:spacing w:after="0" w:line="204" w:lineRule="auto"/>
        <w:rPr>
          <w:rFonts w:ascii="Arial" w:cs="Arial" w:eastAsia="Arial" w:hAnsi="Arial"/>
          <w:sz w:val="15"/>
          <w:szCs w:val="15"/>
          <w:i w:val="1"/>
          <w:iCs w:val="1"/>
          <w:color w:val="auto"/>
          <w:vertAlign w:val="superscript"/>
        </w:rPr>
      </w:pPr>
      <w:r>
        <w:rPr>
          <w:rFonts w:ascii="Arial" w:cs="Arial" w:eastAsia="Arial" w:hAnsi="Arial"/>
          <w:sz w:val="16"/>
          <w:szCs w:val="16"/>
          <w:i w:val="1"/>
          <w:iCs w:val="1"/>
          <w:color w:val="auto"/>
          <w:vertAlign w:val="superscript"/>
        </w:rPr>
        <w:t>(5)</w:t>
      </w:r>
      <w:r>
        <w:rPr>
          <w:rFonts w:ascii="Arial" w:cs="Arial" w:eastAsia="Arial" w:hAnsi="Arial"/>
          <w:sz w:val="13"/>
          <w:szCs w:val="13"/>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$1,567B for 1 year, $1,559B for 3 years, $1,554B for 5 years, and $1,518B for 10 years.</w:t>
      </w:r>
    </w:p>
    <w:p>
      <w:pPr>
        <w:spacing w:after="0" w:line="2" w:lineRule="exact"/>
        <w:rPr>
          <w:rFonts w:ascii="Arial" w:cs="Arial" w:eastAsia="Arial" w:hAnsi="Arial"/>
          <w:sz w:val="15"/>
          <w:szCs w:val="15"/>
          <w:i w:val="1"/>
          <w:iCs w:val="1"/>
          <w:color w:val="auto"/>
          <w:vertAlign w:val="superscript"/>
        </w:rPr>
      </w:pPr>
    </w:p>
    <w:p>
      <w:pPr>
        <w:jc w:val="both"/>
        <w:ind w:right="120" w:firstLine="8"/>
        <w:spacing w:after="0" w:line="228" w:lineRule="auto"/>
        <w:tabs>
          <w:tab w:leader="none" w:pos="135" w:val="left"/>
        </w:tabs>
        <w:numPr>
          <w:ilvl w:val="0"/>
          <w:numId w:val="1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nine-month periods ended September 30, 2025 and 2024 on a U.S. GAAP and a non-GAAP basis. The non-GAAP basis adjusts for the impact of our consolidated investment products, the impact of market movements on the deferred compensation liabilities and related economic hedges, investment income related to certain other investments, acquisition-related amortization and costs, impairment charges, and certain nonrecurring charges and gains,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4963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96316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5"/>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339"/>
              <w:spacing w:after="0"/>
              <w:rPr>
                <w:sz w:val="20"/>
                <w:szCs w:val="20"/>
                <w:color w:val="auto"/>
              </w:rPr>
            </w:pPr>
            <w:r>
              <w:rPr>
                <w:rFonts w:ascii="Arial" w:cs="Arial" w:eastAsia="Arial" w:hAnsi="Arial"/>
                <w:sz w:val="14"/>
                <w:szCs w:val="14"/>
                <w:b w:val="1"/>
                <w:bCs w:val="1"/>
                <w:color w:val="auto"/>
              </w:rPr>
              <w:t>Q3 2025 vs. Q3 2024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YTD 2025 vs. YTD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3"/>
          </w:tcPr>
          <w:p>
            <w:pPr>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9/30/2024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4"/>
                <w:szCs w:val="14"/>
                <w:b w:val="1"/>
                <w:bCs w:val="1"/>
                <w:color w:val="auto"/>
              </w:rPr>
              <w:t>9/30/2024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1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U.S. GAAP basis</w:t>
            </w: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line="216" w:lineRule="exact"/>
              <w:rPr>
                <w:sz w:val="20"/>
                <w:szCs w:val="20"/>
                <w:color w:val="auto"/>
              </w:rPr>
            </w:pPr>
            <w:r>
              <w:rPr>
                <w:rFonts w:ascii="Arial" w:cs="Arial" w:eastAsia="Arial" w:hAnsi="Arial"/>
                <w:sz w:val="16"/>
                <w:szCs w:val="16"/>
                <w:color w:val="auto"/>
              </w:rPr>
              <w:t>Investment advisory fees</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1,698.7</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1,627.3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4,864.7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4,732.5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Performance-based advisory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fees</w:t>
            </w:r>
            <w:r>
              <w:rPr>
                <w:rFonts w:ascii="Arial" w:cs="Arial" w:eastAsia="Arial" w:hAnsi="Arial"/>
                <w:sz w:val="21"/>
                <w:szCs w:val="21"/>
                <w:color w:val="auto"/>
                <w:vertAlign w:val="superscript"/>
              </w:rPr>
              <w:t>(2)</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line="162" w:lineRule="exact"/>
              <w:rPr>
                <w:sz w:val="20"/>
                <w:szCs w:val="20"/>
                <w:color w:val="auto"/>
              </w:rPr>
            </w:pPr>
            <w:r>
              <w:rPr>
                <w:rFonts w:ascii="Arial" w:cs="Arial" w:eastAsia="Arial" w:hAnsi="Arial"/>
                <w:sz w:val="16"/>
                <w:szCs w:val="16"/>
                <w:color w:val="auto"/>
              </w:rPr>
              <w:t>Capital allocation-based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4"/>
                <w:szCs w:val="14"/>
                <w:color w:val="auto"/>
              </w:rPr>
            </w:pPr>
          </w:p>
        </w:tc>
        <w:tc>
          <w:tcPr>
            <w:tcW w:w="1380" w:type="dxa"/>
            <w:vAlign w:val="bottom"/>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51.8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line="216"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(3)</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1,250.3</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3,662.9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3,504.2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Non-operating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481.7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Net income to T. Rowe Price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646.1</w:t>
            </w:r>
          </w:p>
        </w:tc>
        <w:tc>
          <w:tcPr>
            <w:tcW w:w="10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1,641.8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1,660.2</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Group, Inc.</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line="162"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8.7 %</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7.23</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Weighted average common</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shares outstanding assuming</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dilution</w:t>
            </w: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360" w:type="dxa"/>
            <w:vAlign w:val="bottom"/>
            <w:gridSpan w:val="3"/>
            <w:shd w:val="clear" w:color="auto" w:fill="CCEEFF"/>
          </w:tcPr>
          <w:p>
            <w:pPr>
              <w:spacing w:after="0" w:line="176" w:lineRule="exact"/>
              <w:rPr>
                <w:sz w:val="20"/>
                <w:szCs w:val="20"/>
                <w:color w:val="auto"/>
              </w:rPr>
            </w:pPr>
            <w:r>
              <w:rPr>
                <w:rFonts w:ascii="Arial" w:cs="Arial" w:eastAsia="Arial" w:hAnsi="Arial"/>
                <w:sz w:val="15"/>
                <w:szCs w:val="15"/>
                <w:b w:val="1"/>
                <w:bCs w:val="1"/>
                <w:color w:val="auto"/>
              </w:rPr>
              <w:t>Adjusted basis</w:t>
            </w:r>
            <w:r>
              <w:rPr>
                <w:rFonts w:ascii="Arial" w:cs="Arial" w:eastAsia="Arial" w:hAnsi="Arial"/>
                <w:sz w:val="20"/>
                <w:szCs w:val="20"/>
                <w:b w:val="1"/>
                <w:bCs w:val="1"/>
                <w:color w:val="auto"/>
                <w:vertAlign w:val="superscript"/>
              </w:rPr>
              <w:t>(4)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1,134.4</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3,416.7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3,276.2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Operating expenses, excluding</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accrued carried interest related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1,111.8</w:t>
            </w:r>
          </w:p>
        </w:tc>
        <w:tc>
          <w:tcPr>
            <w:tcW w:w="10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1,087.4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3,376.9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3,237.6</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compensation</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774.1</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2,029.1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2,065.7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line="162" w:lineRule="exact"/>
              <w:rPr>
                <w:sz w:val="20"/>
                <w:szCs w:val="20"/>
                <w:color w:val="auto"/>
              </w:rPr>
            </w:pPr>
            <w:r>
              <w:rPr>
                <w:rFonts w:ascii="Arial" w:cs="Arial" w:eastAsia="Arial" w:hAnsi="Arial"/>
                <w:sz w:val="16"/>
                <w:szCs w:val="16"/>
                <w:color w:val="auto"/>
              </w:rPr>
              <w:t>Net income to T. Rowe Price</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631.7</w:t>
            </w:r>
          </w:p>
        </w:tc>
        <w:tc>
          <w:tcPr>
            <w:tcW w:w="10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586.5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7.7 %</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1,647.8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1,654.7</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Group, Inc.</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gridSpan w:val="3"/>
          </w:tcPr>
          <w:p>
            <w:pPr>
              <w:spacing w:after="0"/>
              <w:rPr>
                <w:sz w:val="4"/>
                <w:szCs w:val="4"/>
                <w:color w:val="auto"/>
              </w:rPr>
            </w:pPr>
          </w:p>
        </w:tc>
        <w:tc>
          <w:tcPr>
            <w:tcW w:w="2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40" w:type="dxa"/>
            <w:vAlign w:val="bottom"/>
            <w:gridSpan w:val="8"/>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Assets under management (AUM) (in billions)</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Average AUM</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1,723.0</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1,644.4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Ending AUM</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Investment advisory annualized effective fee rate (EFR) (in bps)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ind w:left="20"/>
              <w:spacing w:after="0"/>
              <w:rPr>
                <w:sz w:val="20"/>
                <w:szCs w:val="20"/>
                <w:color w:val="auto"/>
              </w:rPr>
            </w:pPr>
            <w:r>
              <w:rPr>
                <w:rFonts w:ascii="Arial" w:cs="Arial" w:eastAsia="Arial" w:hAnsi="Arial"/>
                <w:sz w:val="16"/>
                <w:szCs w:val="16"/>
                <w:color w:val="auto"/>
              </w:rPr>
              <w:t>EFR without performance-</w:t>
            </w:r>
          </w:p>
        </w:tc>
        <w:tc>
          <w:tcPr>
            <w:tcW w:w="1080" w:type="dxa"/>
            <w:vAlign w:val="bottom"/>
            <w:vMerge w:val="restart"/>
          </w:tcPr>
          <w:p>
            <w:pPr>
              <w:jc w:val="right"/>
              <w:ind w:right="279"/>
              <w:spacing w:after="0"/>
              <w:rPr>
                <w:sz w:val="20"/>
                <w:szCs w:val="20"/>
                <w:color w:val="auto"/>
              </w:rPr>
            </w:pPr>
            <w:r>
              <w:rPr>
                <w:rFonts w:ascii="Arial" w:cs="Arial" w:eastAsia="Arial" w:hAnsi="Arial"/>
                <w:sz w:val="16"/>
                <w:szCs w:val="16"/>
                <w:color w:val="auto"/>
              </w:rPr>
              <w:t>39.1</w:t>
            </w: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color w:val="auto"/>
              </w:rPr>
              <w:t>40.7</w:t>
            </w:r>
          </w:p>
        </w:tc>
        <w:tc>
          <w:tcPr>
            <w:tcW w:w="1120" w:type="dxa"/>
            <w:vAlign w:val="bottom"/>
            <w:vMerge w:val="restart"/>
          </w:tcPr>
          <w:p>
            <w:pPr>
              <w:jc w:val="right"/>
              <w:ind w:right="319"/>
              <w:spacing w:after="0"/>
              <w:rPr>
                <w:sz w:val="20"/>
                <w:szCs w:val="20"/>
                <w:color w:val="auto"/>
              </w:rPr>
            </w:pPr>
            <w:r>
              <w:rPr>
                <w:rFonts w:ascii="Arial" w:cs="Arial" w:eastAsia="Arial" w:hAnsi="Arial"/>
                <w:sz w:val="16"/>
                <w:szCs w:val="16"/>
                <w:color w:val="auto"/>
              </w:rPr>
              <w:t>(1.6)</w:t>
            </w:r>
          </w:p>
        </w:tc>
        <w:tc>
          <w:tcPr>
            <w:tcW w:w="1280" w:type="dxa"/>
            <w:vAlign w:val="bottom"/>
            <w:vMerge w:val="restart"/>
          </w:tcPr>
          <w:p>
            <w:pPr>
              <w:jc w:val="right"/>
              <w:ind w:right="319"/>
              <w:spacing w:after="0"/>
              <w:rPr>
                <w:sz w:val="20"/>
                <w:szCs w:val="20"/>
                <w:color w:val="auto"/>
              </w:rPr>
            </w:pPr>
            <w:r>
              <w:rPr>
                <w:rFonts w:ascii="Arial" w:cs="Arial" w:eastAsia="Arial" w:hAnsi="Arial"/>
                <w:sz w:val="16"/>
                <w:szCs w:val="16"/>
                <w:color w:val="auto"/>
              </w:rPr>
              <w:t>(3.9)%</w:t>
            </w:r>
          </w:p>
        </w:tc>
        <w:tc>
          <w:tcPr>
            <w:tcW w:w="1080" w:type="dxa"/>
            <w:vAlign w:val="bottom"/>
            <w:vMerge w:val="restart"/>
          </w:tcPr>
          <w:p>
            <w:pPr>
              <w:jc w:val="right"/>
              <w:ind w:right="279"/>
              <w:spacing w:after="0"/>
              <w:rPr>
                <w:sz w:val="20"/>
                <w:szCs w:val="20"/>
                <w:color w:val="auto"/>
              </w:rPr>
            </w:pPr>
            <w:r>
              <w:rPr>
                <w:rFonts w:ascii="Arial" w:cs="Arial" w:eastAsia="Arial" w:hAnsi="Arial"/>
                <w:sz w:val="16"/>
                <w:szCs w:val="16"/>
                <w:color w:val="auto"/>
              </w:rPr>
              <w:t>39.6</w:t>
            </w: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color w:val="auto"/>
              </w:rPr>
              <w:t>41.2</w:t>
            </w:r>
          </w:p>
        </w:tc>
        <w:tc>
          <w:tcPr>
            <w:tcW w:w="1120" w:type="dxa"/>
            <w:vAlign w:val="bottom"/>
            <w:vMerge w:val="restart"/>
          </w:tcPr>
          <w:p>
            <w:pPr>
              <w:jc w:val="right"/>
              <w:ind w:right="319"/>
              <w:spacing w:after="0"/>
              <w:rPr>
                <w:sz w:val="20"/>
                <w:szCs w:val="20"/>
                <w:color w:val="auto"/>
              </w:rPr>
            </w:pPr>
            <w:r>
              <w:rPr>
                <w:rFonts w:ascii="Arial" w:cs="Arial" w:eastAsia="Arial" w:hAnsi="Arial"/>
                <w:sz w:val="16"/>
                <w:szCs w:val="16"/>
                <w:color w:val="auto"/>
              </w:rPr>
              <w:t>(1.6)</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based fees</w:t>
            </w:r>
          </w:p>
        </w:tc>
        <w:tc>
          <w:tcPr>
            <w:tcW w:w="10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EFR with performance-based</w:t>
            </w:r>
          </w:p>
        </w:tc>
        <w:tc>
          <w:tcPr>
            <w:tcW w:w="10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39.3</w:t>
            </w:r>
          </w:p>
        </w:tc>
        <w:tc>
          <w:tcPr>
            <w:tcW w:w="10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40.9</w:t>
            </w:r>
          </w:p>
        </w:tc>
        <w:tc>
          <w:tcPr>
            <w:tcW w:w="11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(1.6)</w:t>
            </w:r>
          </w:p>
        </w:tc>
        <w:tc>
          <w:tcPr>
            <w:tcW w:w="128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(3.9)%</w:t>
            </w:r>
          </w:p>
        </w:tc>
        <w:tc>
          <w:tcPr>
            <w:tcW w:w="10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39.7</w:t>
            </w:r>
          </w:p>
        </w:tc>
        <w:tc>
          <w:tcPr>
            <w:tcW w:w="10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41.5</w:t>
            </w:r>
          </w:p>
        </w:tc>
        <w:tc>
          <w:tcPr>
            <w:tcW w:w="11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(1.8)</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fees</w:t>
            </w:r>
          </w:p>
        </w:tc>
        <w:tc>
          <w:tcPr>
            <w:tcW w:w="10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40" w:hanging="132"/>
        <w:spacing w:after="0" w:line="228"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2024 performance-based advisory fees are reported separately from investment advisory fees to align with the presentation in 2025.</w:t>
      </w:r>
    </w:p>
    <w:p>
      <w:pPr>
        <w:ind w:left="140" w:hanging="132"/>
        <w:spacing w:after="0" w:line="228"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Capital allocation-based income represents the change in accrued carried interest.</w:t>
      </w:r>
    </w:p>
    <w:p>
      <w:pPr>
        <w:ind w:left="140" w:hanging="132"/>
        <w:spacing w:after="0" w:line="229"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September 30, 2025</w:t>
      </w:r>
    </w:p>
    <w:p>
      <w:pPr>
        <w:spacing w:after="0" w:line="2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administrative, distribution, services,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capital allocation-based income. About 90% of our net revenues are related to investment advisory fees. Total net revenues were $1,893.5 million in the third quarter of 2025, a 6.0%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7" w:name="page28"/>
    <w:bookmarkEnd w:id="27"/>
    <w:p>
      <w:pPr>
        <w:ind w:right="240"/>
        <w:spacing w:after="0" w:line="287" w:lineRule="auto"/>
        <w:rPr>
          <w:sz w:val="20"/>
          <w:szCs w:val="20"/>
          <w:color w:val="auto"/>
        </w:rPr>
      </w:pPr>
      <w:r>
        <w:rPr>
          <w:rFonts w:ascii="Arial" w:cs="Arial" w:eastAsia="Arial" w:hAnsi="Arial"/>
          <w:sz w:val="18"/>
          <w:szCs w:val="18"/>
          <w:color w:val="auto"/>
        </w:rPr>
        <w:t>increase compared to $1,785.6 million in the 2024 quarter. The increase was driven primarily by higher investment advisory fees on higher average assets under management and capital allocation-based income.</w:t>
      </w:r>
    </w:p>
    <w:p>
      <w:pPr>
        <w:spacing w:after="0" w:line="1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classes and products, including those with tiered-fee structures, along with price changes we make in existing products.</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certain affiliated funds assuming the funds’ underlying investments were realized as of the end of the period.</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$1,250.3 million in the third quarter of 2025, a 6.7% increase over the comparable 2024</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a non-GAAP basis, operating expenses were $1,134.4 million, a 3.2% increase over the comparable 2024 period.</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Compared to the third quarter of 2024, the increase in U.S. GAAP operating expenses was driven by a few items, including the restructuring charge, primarily compensation and related, associated with our ongoing plan to reduce expense growth and realign resources to invest in existing and future capabilities. Additionally, higher technology and facilities costs and accrued carried interest compensation contributed to the rise in U.S. GAAP operating expenses and were the main drivers of the increase in non-GAAP operating expenses over the 2024 period. Given the non-recurring nature of the restructuring charge, we have excluded this charge from our non-GAAP operating expenses measures.</w:t>
      </w:r>
    </w:p>
    <w:p>
      <w:pPr>
        <w:spacing w:after="0" w:line="20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2025 was 34.0% on a U.S. GAAP basis, compared to 34.4% in the third quarter of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charge was the primary driver of the decrease in the operating margin.</w:t>
      </w:r>
    </w:p>
    <w:p>
      <w:pPr>
        <w:spacing w:after="0" w:line="180" w:lineRule="exact"/>
        <w:rPr>
          <w:sz w:val="20"/>
          <w:szCs w:val="20"/>
          <w:color w:val="auto"/>
        </w:rPr>
      </w:pPr>
    </w:p>
    <w:p>
      <w:pPr>
        <w:spacing w:after="0" w:line="318" w:lineRule="auto"/>
        <w:rPr>
          <w:sz w:val="20"/>
          <w:szCs w:val="20"/>
          <w:color w:val="auto"/>
        </w:rPr>
      </w:pPr>
      <w:r>
        <w:rPr>
          <w:rFonts w:ascii="Arial" w:cs="Arial" w:eastAsia="Arial" w:hAnsi="Arial"/>
          <w:sz w:val="17"/>
          <w:szCs w:val="17"/>
          <w:i w:val="1"/>
          <w:iCs w:val="1"/>
          <w:u w:val="single" w:color="auto"/>
          <w:color w:val="auto"/>
        </w:rPr>
        <w:t>Diluted earnings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was $2.87 for the third quarter of 2025 compared to $ 2.64 for the third quarter of 2024. The increase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higher operating income, higher investment gains, and fewer weighted average shares outstanding compared to the 2024 period.</w:t>
      </w:r>
    </w:p>
    <w:p>
      <w:pPr>
        <w:spacing w:after="0" w:line="15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On a non-GAAP basis, diluted earnings per share was $2.81 for the third quarter of 2025 as compared to $2.57 for the third quarter of 2024. The increase was primarily due to higher adjusted operating income and fewer weighted average shares outstanding compared to the 2024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September 30, 2025</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administrative, distribution, services,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capital allocation-based income. More than 90% of our net revenues for the nine months ended September 30, 2025 are related to investment advisory fees. Total net revenues were $5,380.7 million in the nine months ended September 30, 2025, a 2.1% increase over $5,269.1 million in the 2024 period. The increase was primarily driven by a 2.8% increase in investment advisory fee revenue as average assets under management increased by 7.0% and a $7.6 million increase in non-advisory revenues, partially offset by a $ 16.8 million decrease in performance-based advisory fees and a $11.4 million decrease in capital allocation-based income (change in accrued carried interest) earned from investments in certain affiliated funds.</w:t>
      </w:r>
    </w:p>
    <w:p>
      <w:pPr>
        <w:spacing w:after="0" w:line="21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$3,662.9 million in the nine months ended September 30, 2025, compared with $3,504.2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over the comparable 2024 period. On a non-GAAP basis, operating expenses were $3,416.7 million, a 4.3% increase over the comparable 2024 period.</w:t>
      </w:r>
    </w:p>
    <w:p>
      <w:pPr>
        <w:spacing w:after="0" w:line="19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Compared to the nine months ended September 30, 2024, the increase in U.S. GAAP operating expenses were primarily due to compensation and related costs, the restructuring charge, technology and facility costs, and distribution and servicing costs. The drivers of the increase in non-GAAP operating expenses were the same as U.S. GAAP with the exception of the restructuring charge, which is excluded from our non-GAAP operating expenses measures.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right="120"/>
        <w:spacing w:after="0" w:line="287"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September 30, 2025 was 31.9% on a U.S. GAAP basis, compared to 33.5% earned in the 2024</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decrease was primarily driven by operating expense growth outpacing net revenue growth.</w:t>
      </w:r>
    </w:p>
    <w:p>
      <w:pPr>
        <w:spacing w:after="0" w:line="18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$7.25 for the nine months ended September 30, 2025, compared to $7.23 for 2024 period. On a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basis, adjusted diluted earnings per share was $7.28 for the nine months ended September 30, 2025, compared to $7.21 for the 2024 period. The increase was primarily due to fewer weighted average shares outstanding and higher investment gains, which were partially offset by lower operating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3"/>
            <w:shd w:val="clear" w:color="auto" w:fill="CCEEFF"/>
          </w:tcPr>
          <w:p>
            <w:pPr>
              <w:jc w:val="right"/>
              <w:ind w:right="339"/>
              <w:spacing w:after="0"/>
              <w:rPr>
                <w:sz w:val="20"/>
                <w:szCs w:val="20"/>
                <w:color w:val="auto"/>
              </w:rPr>
            </w:pPr>
            <w:r>
              <w:rPr>
                <w:rFonts w:ascii="Arial" w:cs="Arial" w:eastAsia="Arial" w:hAnsi="Arial"/>
                <w:sz w:val="14"/>
                <w:szCs w:val="14"/>
                <w:b w:val="1"/>
                <w:bCs w:val="1"/>
                <w:color w:val="auto"/>
              </w:rPr>
              <w:t>Q3 2025 vs. Q3 2024</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YTD 2025 vs. YTD 2024</w:t>
            </w: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9/30/2024</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right w:val="single" w:sz="8" w:color="auto"/>
            </w:tcBorders>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4"/>
                <w:szCs w:val="14"/>
                <w:b w:val="1"/>
                <w:bCs w:val="1"/>
                <w:color w:val="auto"/>
              </w:rPr>
              <w:t>9/30/2024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1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6"/>
                <w:szCs w:val="16"/>
                <w:b w:val="1"/>
                <w:bCs w:val="1"/>
                <w:color w:val="auto"/>
              </w:rPr>
              <w:t>Investment advisory fees</w:t>
            </w:r>
            <w:r>
              <w:rPr>
                <w:rFonts w:ascii="Arial" w:cs="Arial" w:eastAsia="Arial" w:hAnsi="Arial"/>
                <w:sz w:val="21"/>
                <w:szCs w:val="21"/>
                <w:b w:val="1"/>
                <w:bCs w:val="1"/>
                <w:color w:val="auto"/>
                <w:vertAlign w:val="superscript"/>
              </w:rPr>
              <w:t>(2)</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978.5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2,894.6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2,858.5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Fixed income, including</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w:t>
            </w: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75"/>
        </w:trPr>
        <w:tc>
          <w:tcPr>
            <w:tcW w:w="2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Performance-based advisory</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fees</w:t>
            </w:r>
            <w:r>
              <w:rPr>
                <w:rFonts w:ascii="Arial" w:cs="Arial" w:eastAsia="Arial" w:hAnsi="Arial"/>
                <w:sz w:val="21"/>
                <w:szCs w:val="21"/>
                <w:b w:val="1"/>
                <w:bCs w:val="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Capital allocation-based</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40"/>
              <w:spacing w:after="0" w:line="162" w:lineRule="exact"/>
              <w:rPr>
                <w:sz w:val="20"/>
                <w:szCs w:val="20"/>
                <w:color w:val="auto"/>
              </w:rPr>
            </w:pPr>
            <w:r>
              <w:rPr>
                <w:rFonts w:ascii="Arial" w:cs="Arial" w:eastAsia="Arial" w:hAnsi="Arial"/>
                <w:sz w:val="16"/>
                <w:szCs w:val="16"/>
                <w:color w:val="auto"/>
              </w:rPr>
              <w:t>Change in accrued carried</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60.1 %</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Acquisition-related</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and impairments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75"/>
        </w:trPr>
        <w:tc>
          <w:tcPr>
            <w:tcW w:w="2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Administrative, distribution,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services, and other fees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 fees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Distribution and servicing fees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5,269.1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 xml:space="preserve">Average AUM </w:t>
            </w:r>
            <w:r>
              <w:rPr>
                <w:rFonts w:ascii="Arial" w:cs="Arial" w:eastAsia="Arial" w:hAnsi="Arial"/>
                <w:sz w:val="14"/>
                <w:szCs w:val="14"/>
                <w:b w:val="1"/>
                <w:bCs w:val="1"/>
                <w:color w:val="auto"/>
              </w:rPr>
              <w:t>(in billions):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162"/>
        </w:trPr>
        <w:tc>
          <w:tcPr>
            <w:tcW w:w="2380" w:type="dxa"/>
            <w:vAlign w:val="bottom"/>
          </w:tcPr>
          <w:p>
            <w:pPr>
              <w:ind w:left="140"/>
              <w:spacing w:after="0" w:line="162" w:lineRule="exact"/>
              <w:rPr>
                <w:sz w:val="20"/>
                <w:szCs w:val="20"/>
                <w:color w:val="auto"/>
              </w:rPr>
            </w:pPr>
            <w:r>
              <w:rPr>
                <w:rFonts w:ascii="Arial" w:cs="Arial" w:eastAsia="Arial" w:hAnsi="Arial"/>
                <w:sz w:val="16"/>
                <w:szCs w:val="16"/>
                <w:color w:val="auto"/>
              </w:rPr>
              <w:t>Fixed income, including</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money market</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Multi-asset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Alternatives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35"/>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AUM</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gridSpan w:val="3"/>
          </w:tcPr>
          <w:p>
            <w:pPr>
              <w:spacing w:after="0" w:line="20" w:lineRule="exact"/>
              <w:rPr>
                <w:sz w:val="1"/>
                <w:szCs w:val="1"/>
                <w:color w:val="auto"/>
              </w:rPr>
            </w:pPr>
          </w:p>
        </w:tc>
        <w:tc>
          <w:tcPr>
            <w:tcW w:w="1060" w:type="dxa"/>
            <w:vAlign w:val="bottom"/>
            <w:tcBorders>
              <w:top w:val="single" w:sz="8" w:color="CCEEFF"/>
            </w:tcBorders>
            <w:gridSpan w:val="3"/>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20" w:type="dxa"/>
            <w:vAlign w:val="bottom"/>
            <w:gridSpan w:val="10"/>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annualized effective fee rate (EFR) (in bps)</w:t>
            </w:r>
          </w:p>
        </w:tc>
        <w:tc>
          <w:tcPr>
            <w:tcW w:w="11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EFR without performance-</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based fees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EFR with performance-based</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6"/>
                <w:szCs w:val="16"/>
                <w:color w:val="auto"/>
              </w:rPr>
              <w:t>fees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ind w:left="140" w:hanging="132"/>
        <w:spacing w:after="0"/>
        <w:tabs>
          <w:tab w:leader="none" w:pos="14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2024 performance-based advisory fees are reported separately from investment advisory fees to align with the 2025 presentation.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ind w:right="380"/>
        <w:spacing w:after="0" w:line="262"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2025 increased 4.4% over the comparable 2024 quarter while average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increased $ 133.5 billion, or 8.4%, to $1,723.0 billion. For the nine months ended September 30, 2025, investment advisory revenues increased 2.8% over the comparable 2024 period as average assets under management increased $108.2 billion, or 7.0%, to $1,644.4 billion.</w:t>
      </w:r>
    </w:p>
    <w:p>
      <w:pPr>
        <w:spacing w:after="0" w:line="20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average annualized effective fee rate earned for the three- and nine-month periods ended September 30, 2025 declined from the comparable 2024 periods primarily due to client flows and transfers shifting assets under management toward lower-fee strategies and products.</w:t>
      </w:r>
    </w:p>
    <w:p>
      <w:pPr>
        <w:spacing w:after="0" w:line="198"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i w:val="1"/>
          <w:iCs w:val="1"/>
          <w:u w:val="single" w:color="auto"/>
          <w:color w:val="auto"/>
        </w:rPr>
        <w:t>Performance-based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2025 and 2024 were earned primarily from alternatives strategies,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alternatives and equity strategies for the nine months ended September 30, 2025 and 2024.</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change in accrued carried interest along with acquisition-related amortization and impairments.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2025, the change in accrued carried interest increased net revenues by $56.2 million compared to $35.1 million in the 2024 period. For the nine months ended September 30, 2025, the change in accrued carried interest increased net revenues by $101.9 million compared to $121.6 million for the 2024 period. The difference in the change in accrued carried interest for the 2025 periods compared to the 2024 periods was due to relative market impacts and performance. The decrease in acquisition-related amortization and impairments for the 2025 periods from the comparable 2024 periods was primarily due to higher impairments recognized in prior periods.</w:t>
      </w:r>
    </w:p>
    <w:p>
      <w:pPr>
        <w:spacing w:after="0" w:line="20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recognized in compensation and related costs with the unpaid amount reported as non-controlling interest on the unaudited consolidated balance sheets.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u w:val="single" w:color="auto"/>
          <w:color w:val="auto"/>
        </w:rPr>
        <w:t>Administrative, distribution, services,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2025 were $146.4 million, a decrease of $1.7 million, or 1.1%,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2024 quarter. For the nine months ended September 30, 2025, these fees were $452.4 million, an increase of $7.6 million, or 1.7%, from the 2024 period. In the third quarter of 2025, we began reporting revenue from managed account model delivery assets and certain other advisory services in investment advisory fees, which was over $13 million in Q3 2025. This reclassification was the primary driver of the decline in administrative, distribution, services, and other fees, partially offset by higher transfer agents services compared to the 2024 period. For the nine months ended September 30, 2025, the increase was primarily due to higher recordkeeping fees and higher transfer agent services.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investment products. The corresponding expenses recognized by these products, which are consolidated in our financial statements, were also eliminated from operating expenses. For the third quarter, we eliminated net revenue of $0.8 million in 2025 and $1.3 million in 2024. For the nine months ended September 30, we eliminated net revenue of $3.6 million in 2025 and $3.0 million in 2024.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Q3 2025 vs. Q3 2024</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2025 vs. YTD 2024</w:t>
            </w:r>
          </w:p>
        </w:tc>
        <w:tc>
          <w:tcPr>
            <w:tcW w:w="0" w:type="dxa"/>
            <w:vAlign w:val="bottom"/>
          </w:tcPr>
          <w:p>
            <w:pPr>
              <w:spacing w:after="0"/>
              <w:rPr>
                <w:sz w:val="1"/>
                <w:szCs w:val="1"/>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9/30/2024</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right w:val="single" w:sz="8" w:color="auto"/>
            </w:tcBorders>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9/30/2025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2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2"/>
        </w:trPr>
        <w:tc>
          <w:tcPr>
            <w:tcW w:w="23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Compensation, benefits and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632.5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1,939.2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1,898.0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 retention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1300" w:type="dxa"/>
            <w:vAlign w:val="bottom"/>
            <w:tcBorders>
              <w:right w:val="single" w:sz="8" w:color="auto"/>
            </w:tcBorders>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38.9 %</w:t>
            </w:r>
          </w:p>
        </w:tc>
        <w:tc>
          <w:tcPr>
            <w:tcW w:w="0" w:type="dxa"/>
            <w:vAlign w:val="bottom"/>
          </w:tcPr>
          <w:p>
            <w:pPr>
              <w:spacing w:after="0"/>
              <w:rPr>
                <w:sz w:val="1"/>
                <w:szCs w:val="1"/>
                <w:color w:val="auto"/>
              </w:rPr>
            </w:pP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agreements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Capital allocation-based income</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4"/>
                <w:szCs w:val="14"/>
                <w:color w:val="auto"/>
              </w:rPr>
            </w:pPr>
          </w:p>
        </w:tc>
        <w:tc>
          <w:tcPr>
            <w:tcW w:w="1300" w:type="dxa"/>
            <w:vAlign w:val="bottom"/>
            <w:tcBorders>
              <w:right w:val="single" w:sz="8" w:color="auto"/>
            </w:tcBorders>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69.3 %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compensation</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Market-related change in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deferred compensation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17.1 %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36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Total compensation and related</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2,106.5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1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Product and recordkeeping</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237.3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Technology, occupancy, and</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facility costs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General, administrative, and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305.5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Change in fair value of</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4"/>
                <w:szCs w:val="14"/>
                <w:color w:val="auto"/>
              </w:rPr>
            </w:pPr>
          </w:p>
        </w:tc>
        <w:tc>
          <w:tcPr>
            <w:tcW w:w="1300" w:type="dxa"/>
            <w:vAlign w:val="bottom"/>
            <w:tcBorders>
              <w:right w:val="single" w:sz="8" w:color="auto"/>
            </w:tcBorders>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 amortization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and impairment costs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236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1,250.3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3,662.9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Total adjusted operating</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1,134.4</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1,099.0</w:t>
            </w:r>
          </w:p>
        </w:tc>
        <w:tc>
          <w:tcPr>
            <w:tcW w:w="100" w:type="dxa"/>
            <w:vAlign w:val="bottom"/>
          </w:tcPr>
          <w:p>
            <w:pPr>
              <w:spacing w:after="0"/>
              <w:rPr>
                <w:sz w:val="14"/>
                <w:szCs w:val="14"/>
                <w:color w:val="auto"/>
              </w:rPr>
            </w:pPr>
          </w:p>
        </w:tc>
        <w:tc>
          <w:tcPr>
            <w:tcW w:w="2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3,416.7</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3,276.2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34"/>
        </w:trPr>
        <w:tc>
          <w:tcPr>
            <w:tcW w:w="23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(3)</w:t>
            </w: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ind w:left="140" w:hanging="132"/>
        <w:spacing w:after="0"/>
        <w:tabs>
          <w:tab w:leader="none" w:pos="140"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Capital allocation-based income compensation represents the change in accrued carried interest compensation along with acquisition-related, non-cash amortization and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impairments.</w:t>
      </w:r>
    </w:p>
    <w:p>
      <w:pPr>
        <w:ind w:left="160" w:hanging="152"/>
        <w:spacing w:after="0" w:line="221" w:lineRule="auto"/>
        <w:tabs>
          <w:tab w:leader="none" w:pos="16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$632.5 million in the third quarter of 2025, a decrease of $0.4 million, or 0.1%,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2024 quarter. For the nine months ended September 30, 2025, these costs were $1,939.2 million, an increase of $41.2 million, or 2.2%, compared to the 2024 period.</w:t>
      </w:r>
    </w:p>
    <w:p>
      <w:pPr>
        <w:spacing w:after="0" w:line="19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For the third quarter of 2025, the decrease was due to lower temporary personnel, offset by higher salaries and related benefits and lower capitalized labor. For the nine months ended September 30, 2025, the increase was primarily due to higher salaries and related benefits, higher long-term incentive compensation, and lower capitalized labor. These increases were partially offset by lower temporary personnel and other employee related costs.</w:t>
      </w:r>
    </w:p>
    <w:p>
      <w:pPr>
        <w:spacing w:after="0" w:line="203"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The firm employed 7,830 associates at September 30, 2025, a decrease of 2.9% from 8,063 associates at June 30, 2025, a decrease of 4.0% from the end of 2024, and a decrease of 3.4% from September 30, 2024. The decrease in associates over each period is primarily driven by the workforce action in July 2025.</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$95.8 million for the third quarter of 2025, an increase of $4.2 million, or 4.6%, from $91.6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2024 quarter. For the nine months ended September 30, 2025, these costs were $281.9 million, an increase of $20.7 million, or 7.9%, from $261.2 million recognized in the comparable 2024 period. The increases in both periods were primarily driven by higher average assets under management distributed through intermediaries.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1" w:name="page32"/>
    <w:bookmarkEnd w:id="31"/>
    <w:p>
      <w:pPr>
        <w:ind w:right="120"/>
        <w:spacing w:after="0" w:line="262" w:lineRule="auto"/>
        <w:rPr>
          <w:sz w:val="20"/>
          <w:szCs w:val="20"/>
          <w:color w:val="auto"/>
        </w:rPr>
      </w:pPr>
      <w:r>
        <w:rPr>
          <w:rFonts w:ascii="Arial" w:cs="Arial" w:eastAsia="Arial" w:hAnsi="Arial"/>
          <w:sz w:val="18"/>
          <w:szCs w:val="18"/>
          <w:color w:val="auto"/>
        </w:rPr>
        <w:t>The costs in this expense category include amounts paid to third-party intermediaries that source the assets of certain share classes of our U.S. mutual funds, ETFs, and our international products, such as our Japanese ITMs and SICAVs. These costs are offset entirely by the distribution revenue we earn and report in net revenues: 12b-1 revenue is recognized in administrative, distribution, services, and other fees for the Advisor and R share classes of the U.S. mutual funds and investment advisory fee revenue for our international products and ETFs.</w:t>
      </w:r>
    </w:p>
    <w:p>
      <w:pPr>
        <w:spacing w:after="0" w:line="19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$78.7 million in the third quarter of 2025, an increase of $3.7 million, or 4.9%,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$75.0 million in the 2024 quarter. For the nine months ended September 30, 2025, these costs were $ 237.3 million, an increase of $ 14.3 million, or 6.4%, from $223.0 million recognized in the comparable 2024 period. The increases in both periods were primarily due to higher recordkeeping fees and other product related costs. Also contributing to the nine month increase was higher custody fees related to our trust products.</w:t>
      </w: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$183.2 million in the third quarter of 2025, an increase of $ 19.2 million, or 11.7%,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$164.0 million recognized in the 2024 quarter. For the nine months ended September 30, 2025, these costs were $530.2 million, an increase of $55.4 million, or 11.7%, compared with the 2024 period. The increases in both periods were primarily due to higher technology costs, including hosted solutions and depreciation. Also contributing to the nine month increase was higher occupancy and facility costs related to our new corporate headquarters, which was occupied in March 2025, and a non-recurring cost benefit related to our UK facility in the first quarter of 2024.</w:t>
      </w:r>
    </w:p>
    <w:p>
      <w:pPr>
        <w:spacing w:after="0" w:line="2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$101.7 million in the third quarter of 2025, a decrease of $2.5 million, or 2.4%,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$104.2 million recognized in the 2024 quarter. For the nine months ended September 30, 2025, these costs were $314.5 million, an increase of $9.0 million, or 2.9%, compared with the 2024 period. For the third quarter of 2025, the decrease was primarily related to a non-recurring cost recovery recognized during the quarter. For the nine months ended September 30, 2025, the increase was primarily driven by higher professional fees, information services, and other administrative costs. These increases were partially offset by the non-recurring cost recovery recognized in the third quarter of 2025 and lower external research fees.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 to the indefinite- and definite-lived intangible assets identified and</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separately recognized, at fair value, on acquisition date. For the third quarter of 2025, we recognized $26.8 million in amortization and impairments related to intangible assets, compared to $51.5 million in the 2024 quarter. For the nine months ended September 30, 2025, we</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recognized $86.7 million in amortization and impairments related to intangible assets, compared to $125.3 million, in the 2024 period. For the 2024 periods, intangible asset impairment charges totaled $25.6 million for the third quarter and $59.7 million for the year-to-date period. If conditions that led us to recognize impairment charges worsen, additional impairments may be recognized in future periods.</w:t>
      </w:r>
    </w:p>
    <w:p>
      <w:pPr>
        <w:spacing w:after="0" w:line="20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i w:val="1"/>
          <w:iCs w:val="1"/>
          <w:u w:val="single" w:color="auto"/>
          <w:color w:val="auto"/>
        </w:rPr>
        <w:t>Restructuring charge</w:t>
      </w:r>
      <w:r>
        <w:rPr>
          <w:rFonts w:ascii="Arial" w:cs="Arial" w:eastAsia="Arial" w:hAnsi="Arial"/>
          <w:sz w:val="18"/>
          <w:szCs w:val="18"/>
          <w:i w:val="1"/>
          <w:iCs w:val="1"/>
          <w:color w:val="auto"/>
        </w:rPr>
        <w:t xml:space="preserve"> </w:t>
      </w:r>
      <w:r>
        <w:rPr>
          <w:rFonts w:ascii="Arial" w:cs="Arial" w:eastAsia="Arial" w:hAnsi="Arial"/>
          <w:sz w:val="18"/>
          <w:szCs w:val="18"/>
          <w:color w:val="auto"/>
        </w:rPr>
        <w:t>of $28.5 million for three- and nine-month periods ended September 30, 2025 reflects compensation costs,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incurred in connection with the July workforce action. This was related to our previously announced broad and ongoing plan to reduce expense growth and realign resources. This ongoing effort is designed to support investment in both existing and future capabilities.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Non-operating income for the third quarter of 2025 was $ 238.4 million compared to $212.5 million in the 2024 quarter. The following table details the components of non-operating income for both the three- and nine-month periods ended September 30, 2025 and 2024.</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9/30/2024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9/30/2024</w:t>
            </w:r>
          </w:p>
        </w:tc>
      </w:tr>
      <w:tr>
        <w:trPr>
          <w:trHeight w:val="21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investment products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98.8</w:t>
            </w: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discretionary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105.0</w:t>
            </w:r>
          </w:p>
        </w:tc>
      </w:tr>
      <w:tr>
        <w:trPr>
          <w:trHeight w:val="209"/>
        </w:trPr>
        <w:tc>
          <w:tcPr>
            <w:tcW w:w="604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60.1</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seed capital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60.9</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Total cash, discretionary, and seed investments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165.9</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recognized upon deconsolidation</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deferred compensation liabilities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105.6</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gains (losses) from non-consolidated investment products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270.9</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47.6</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318.5</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Net gains (losses) on consolidated investment products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166.7</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(losses), including foreign currency gains (losses)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481.7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6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Adjusted non-operating income (loss)</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114.4</w:t>
            </w: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0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Higher investment gains earned by our investment portfolio during the three- and nine-month periods ended September 30, 2025 compared to the 2024 periods were primarily due to higher cash and investment holdings coupled with stronger overall market returns.</w:t>
      </w:r>
    </w:p>
    <w:p>
      <w:pPr>
        <w:spacing w:after="0" w:line="18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table above shows the net investment income of the underlying portfolios of the consolidated investment products, not just the income from our ownership share. The table below displays how consolidated investment products affected the individual lines of our unaudited consolidated income statements and the portion attributable to our interest.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3"/>
        </w:trPr>
        <w:tc>
          <w:tcPr>
            <w:tcW w:w="6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2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9/30/2025</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9/30/2025</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9/30/2024</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Net income (loss) attributable to our interest in the consolidated investment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2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attributable to redeemable non-controlling interests</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(unrelated third-party investors)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3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GAAP effective tax rate for the third quarter of 2025 was 22.1% compared with 22.5% in the third quarter of 2024. These quarterly rates were the result of an overall year-to-date rate of 22.8% for 2025 and 23.5% for 2024. The following table reconciles the statutory federal income tax rate to our effective tax rate on a U.S. GAAP basis for the nine months ended September 30,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9/30/2025</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9/30/2024</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(2)</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(0.6)</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allowances</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effective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40" w:hanging="132"/>
        <w:spacing w:after="0"/>
        <w:tabs>
          <w:tab w:leader="none" w:pos="140" w:val="left"/>
        </w:tabs>
        <w:numPr>
          <w:ilvl w:val="0"/>
          <w:numId w:val="17"/>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the firm despite being included in pre-tax income.</w:t>
      </w:r>
    </w:p>
    <w:p>
      <w:pPr>
        <w:spacing w:after="0" w:line="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adjusted effective tax rate primarily adjusts for the impact of the consolidated investment products, including the net income attributable to the redeemable non-controlling interests. The decrease in the year-to-date 2025 U.S. GAAP and adjusted effective tax rates compared to 2024 was primarily due to the reversal of a U.S. foreign tax credit carryover valuation allowance and lower state taxes. The impact of redeemable non-controlling interest also contributed to the lower U.S. GAAP effective tax rate compared to the 2024 period.</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currently estimate that our effective tax rate for the full year 2025, on a U.S. GAAP basis, will be in the range of 23.0% to 26.0%. On an adjusted basis, the range is 23.5% to 25.5%</w:t>
      </w:r>
      <w:r>
        <w:rPr>
          <w:rFonts w:ascii="Arial" w:cs="Arial" w:eastAsia="Arial" w:hAnsi="Arial"/>
          <w:sz w:val="17"/>
          <w:szCs w:val="17"/>
          <w:color w:val="auto"/>
        </w:rPr>
        <w:t>.</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effective tax rate will continue to experience volatility in future periods due to tax benefits recognized from stock-based compensation being influenced by market fluctuations in our stock price, and changes in deferred tax asset valuation allowances, primarily in foreign jurisdictions, being impacted by the sufficiency of taxable income in future periods. Our U.S. GAAP rate will also be impacted by changes in the proportion of net income that is attributable to our redeemable non-controlling interests and non-controlling interests reflected in permanent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schedules reconcile certain U.S. GAAP financial measures to Non-GAAP financial measures for the three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707199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9/30/2025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23495</wp:posOffset>
            </wp:positionV>
            <wp:extent cx="45002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p>
      <w:pPr>
        <w:spacing w:after="0" w:line="352" w:lineRule="exact"/>
        <w:rPr>
          <w:sz w:val="20"/>
          <w:szCs w:val="20"/>
          <w:color w:val="auto"/>
        </w:rPr>
      </w:pPr>
    </w:p>
    <w:p>
      <w:pPr>
        <w:ind w:left="4280"/>
        <w:spacing w:after="0"/>
        <w:tabs>
          <w:tab w:leader="none" w:pos="5300" w:val="left"/>
          <w:tab w:leader="none" w:pos="642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spacing w:after="0" w:line="2" w:lineRule="exact"/>
        <w:rPr>
          <w:sz w:val="20"/>
          <w:szCs w:val="20"/>
          <w:color w:val="auto"/>
        </w:rPr>
      </w:pPr>
    </w:p>
    <w:p>
      <w:pPr>
        <w:ind w:left="4300"/>
        <w:spacing w:after="0"/>
        <w:tabs>
          <w:tab w:leader="none" w:pos="5500" w:val="left"/>
          <w:tab w:leader="none" w:pos="646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96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960" w:type="dxa"/>
            <w:vAlign w:val="bottom"/>
          </w:tcPr>
          <w:p>
            <w:pPr>
              <w:jc w:val="center"/>
              <w:ind w:right="88"/>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8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260"/>
            <w:col w:w="3500"/>
          </w:cols>
          <w:pgMar w:left="320" w:top="892" w:right="379"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1,250.3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643.2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646.1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5"/>
        </w:trPr>
        <w:tc>
          <w:tcPr>
            <w:tcW w:w="406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0.03</w:t>
            </w:r>
          </w:p>
        </w:tc>
      </w:tr>
      <w:tr>
        <w:trPr>
          <w:trHeight w:val="163"/>
        </w:trPr>
        <w:tc>
          <w:tcPr>
            <w:tcW w:w="406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r>
      <w:tr>
        <w:trPr>
          <w:trHeight w:val="216"/>
        </w:trPr>
        <w:tc>
          <w:tcPr>
            <w:tcW w:w="40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0.10</w:t>
            </w: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0.18</w:t>
            </w: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17"/>
        </w:trPr>
        <w:tc>
          <w:tcPr>
            <w:tcW w:w="4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0.11</w:t>
            </w: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216"/>
        </w:trPr>
        <w:tc>
          <w:tcPr>
            <w:tcW w:w="4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r>
      <w:tr>
        <w:trPr>
          <w:trHeight w:val="196"/>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1,134.4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774.1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631.7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2.81</w:t>
            </w:r>
          </w:p>
        </w:tc>
      </w:tr>
      <w:tr>
        <w:trPr>
          <w:trHeight w:val="20"/>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231775</wp:posOffset>
            </wp:positionV>
            <wp:extent cx="707199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349"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9/30/2024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23495</wp:posOffset>
            </wp:positionV>
            <wp:extent cx="45002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type w:val="continuous"/>
        </w:sectPr>
      </w:pPr>
    </w:p>
    <w:p>
      <w:pPr>
        <w:spacing w:after="0" w:line="340" w:lineRule="exact"/>
        <w:rPr>
          <w:sz w:val="20"/>
          <w:szCs w:val="20"/>
          <w:color w:val="auto"/>
        </w:rPr>
      </w:pPr>
    </w:p>
    <w:p>
      <w:pPr>
        <w:ind w:left="4280"/>
        <w:spacing w:after="0"/>
        <w:tabs>
          <w:tab w:leader="none" w:pos="5300" w:val="left"/>
          <w:tab w:leader="none" w:pos="642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ind w:left="4300"/>
        <w:spacing w:after="0"/>
        <w:tabs>
          <w:tab w:leader="none" w:pos="5500" w:val="left"/>
          <w:tab w:leader="none" w:pos="646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60" w:type="dxa"/>
            <w:vAlign w:val="bottom"/>
          </w:tcPr>
          <w:p>
            <w:pPr>
              <w:jc w:val="center"/>
              <w:ind w:right="88"/>
              <w:spacing w:after="0" w:line="137"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88"/>
              <w:spacing w:after="0" w:line="137"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201"/>
        </w:trPr>
        <w:tc>
          <w:tcPr>
            <w:tcW w:w="960" w:type="dxa"/>
            <w:vAlign w:val="bottom"/>
          </w:tcPr>
          <w:p>
            <w:pPr>
              <w:jc w:val="center"/>
              <w:ind w:right="88"/>
              <w:spacing w:after="0" w:line="201"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88"/>
              <w:spacing w:after="0" w:line="201"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260"/>
            <w:col w:w="3500"/>
          </w:cols>
          <w:pgMar w:left="320" w:top="892" w:right="379"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1,172.0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613.6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185.7</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603.0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center"/>
              <w:ind w:left="168"/>
              <w:spacing w:after="0"/>
              <w:rPr>
                <w:sz w:val="20"/>
                <w:szCs w:val="20"/>
                <w:color w:val="auto"/>
              </w:rPr>
            </w:pPr>
            <w:r>
              <w:rPr>
                <w:rFonts w:ascii="Arial" w:cs="Arial" w:eastAsia="Arial" w:hAnsi="Arial"/>
                <w:sz w:val="14"/>
                <w:szCs w:val="14"/>
                <w:color w:val="auto"/>
              </w:rPr>
              <w:t>2.64</w:t>
            </w: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5"/>
        </w:trPr>
        <w:tc>
          <w:tcPr>
            <w:tcW w:w="406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center"/>
              <w:ind w:left="168"/>
              <w:spacing w:after="0"/>
              <w:rPr>
                <w:sz w:val="20"/>
                <w:szCs w:val="20"/>
                <w:color w:val="auto"/>
              </w:rPr>
            </w:pPr>
            <w:r>
              <w:rPr>
                <w:rFonts w:ascii="Arial" w:cs="Arial" w:eastAsia="Arial" w:hAnsi="Arial"/>
                <w:sz w:val="14"/>
                <w:szCs w:val="14"/>
                <w:color w:val="auto"/>
              </w:rPr>
              <w:t>0.06</w:t>
            </w:r>
          </w:p>
        </w:tc>
      </w:tr>
      <w:tr>
        <w:trPr>
          <w:trHeight w:val="163"/>
        </w:trPr>
        <w:tc>
          <w:tcPr>
            <w:tcW w:w="406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0.02</w:t>
            </w:r>
          </w:p>
        </w:tc>
      </w:tr>
      <w:tr>
        <w:trPr>
          <w:trHeight w:val="216"/>
        </w:trPr>
        <w:tc>
          <w:tcPr>
            <w:tcW w:w="4060" w:type="dxa"/>
            <w:vAlign w:val="bottom"/>
          </w:tcPr>
          <w:p>
            <w:pPr>
              <w:ind w:left="12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center"/>
              <w:ind w:left="168"/>
              <w:spacing w:after="0"/>
              <w:rPr>
                <w:sz w:val="20"/>
                <w:szCs w:val="20"/>
                <w:color w:val="auto"/>
              </w:rPr>
            </w:pPr>
            <w:r>
              <w:rPr>
                <w:rFonts w:ascii="Arial" w:cs="Arial" w:eastAsia="Arial" w:hAnsi="Arial"/>
                <w:sz w:val="14"/>
                <w:szCs w:val="14"/>
                <w:color w:val="auto"/>
                <w:w w:val="98"/>
              </w:rPr>
              <w:t>(0.05)</w:t>
            </w:r>
          </w:p>
        </w:tc>
      </w:tr>
      <w:tr>
        <w:trPr>
          <w:trHeight w:val="216"/>
        </w:trPr>
        <w:tc>
          <w:tcPr>
            <w:tcW w:w="406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ind w:left="168"/>
              <w:spacing w:after="0"/>
              <w:rPr>
                <w:sz w:val="20"/>
                <w:szCs w:val="20"/>
                <w:color w:val="auto"/>
              </w:rPr>
            </w:pPr>
            <w:r>
              <w:rPr>
                <w:rFonts w:ascii="Arial" w:cs="Arial" w:eastAsia="Arial" w:hAnsi="Arial"/>
                <w:sz w:val="14"/>
                <w:szCs w:val="14"/>
                <w:color w:val="auto"/>
              </w:rPr>
              <w:t>0.19</w:t>
            </w: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Total acquisition-related</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center"/>
              <w:ind w:left="168"/>
              <w:spacing w:after="0"/>
              <w:rPr>
                <w:sz w:val="20"/>
                <w:szCs w:val="20"/>
                <w:color w:val="auto"/>
              </w:rPr>
            </w:pPr>
            <w:r>
              <w:rPr>
                <w:rFonts w:ascii="Arial" w:cs="Arial" w:eastAsia="Arial" w:hAnsi="Arial"/>
                <w:sz w:val="14"/>
                <w:szCs w:val="14"/>
                <w:color w:val="auto"/>
              </w:rPr>
              <w:t>0.22</w:t>
            </w:r>
          </w:p>
        </w:tc>
      </w:tr>
      <w:tr>
        <w:trPr>
          <w:trHeight w:val="143"/>
        </w:trPr>
        <w:tc>
          <w:tcPr>
            <w:tcW w:w="40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0.01</w:t>
            </w: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center"/>
              <w:ind w:left="168"/>
              <w:spacing w:after="0"/>
              <w:rPr>
                <w:sz w:val="20"/>
                <w:szCs w:val="20"/>
                <w:color w:val="auto"/>
              </w:rPr>
            </w:pPr>
            <w:r>
              <w:rPr>
                <w:rFonts w:ascii="Arial" w:cs="Arial" w:eastAsia="Arial" w:hAnsi="Arial"/>
                <w:sz w:val="14"/>
                <w:szCs w:val="14"/>
                <w:color w:val="auto"/>
                <w:w w:val="98"/>
              </w:rPr>
              <w:t>(0.17)</w:t>
            </w:r>
          </w:p>
        </w:tc>
      </w:tr>
      <w:tr>
        <w:trPr>
          <w:trHeight w:val="216"/>
        </w:trPr>
        <w:tc>
          <w:tcPr>
            <w:tcW w:w="4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8"/>
              </w:rPr>
              <w:t>(0.13)</w:t>
            </w:r>
          </w:p>
        </w:tc>
      </w:tr>
      <w:tr>
        <w:trPr>
          <w:trHeight w:val="196"/>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1,099.0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718.4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586.5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center"/>
              <w:ind w:left="168"/>
              <w:spacing w:after="0"/>
              <w:rPr>
                <w:sz w:val="20"/>
                <w:szCs w:val="20"/>
                <w:color w:val="auto"/>
              </w:rPr>
            </w:pPr>
            <w:r>
              <w:rPr>
                <w:rFonts w:ascii="Arial" w:cs="Arial" w:eastAsia="Arial" w:hAnsi="Arial"/>
                <w:sz w:val="14"/>
                <w:szCs w:val="14"/>
                <w:color w:val="auto"/>
              </w:rPr>
              <w:t>2.57</w:t>
            </w:r>
          </w:p>
        </w:tc>
      </w:tr>
      <w:tr>
        <w:trPr>
          <w:trHeight w:val="20"/>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type w:val="continuous"/>
        </w:sectPr>
      </w:pPr>
    </w:p>
    <w:bookmarkStart w:id="35" w:name="page36"/>
    <w:bookmarkEnd w:id="35"/>
    <w:p>
      <w:pPr>
        <w:ind w:right="620"/>
        <w:spacing w:after="0" w:line="287" w:lineRule="auto"/>
        <w:rPr>
          <w:sz w:val="20"/>
          <w:szCs w:val="20"/>
          <w:color w:val="auto"/>
        </w:rPr>
      </w:pPr>
      <w:r>
        <w:rPr>
          <w:rFonts w:ascii="Arial" w:cs="Arial" w:eastAsia="Arial" w:hAnsi="Arial"/>
          <w:sz w:val="18"/>
          <w:szCs w:val="18"/>
          <w:color w:val="auto"/>
        </w:rPr>
        <w:t>The following schedules reconcile certain U.S. GAAP financial measures to non-GAAP financial measures for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02056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210"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Nine months ended 9/30/2025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23495</wp:posOffset>
            </wp:positionV>
            <wp:extent cx="44488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p>
      <w:pPr>
        <w:spacing w:after="0" w:line="352" w:lineRule="exact"/>
        <w:rPr>
          <w:sz w:val="20"/>
          <w:szCs w:val="20"/>
          <w:color w:val="auto"/>
        </w:rPr>
      </w:pPr>
    </w:p>
    <w:p>
      <w:pPr>
        <w:ind w:left="4240"/>
        <w:spacing w:after="0"/>
        <w:tabs>
          <w:tab w:leader="none" w:pos="5240" w:val="left"/>
          <w:tab w:leader="none" w:pos="636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spacing w:after="0" w:line="2" w:lineRule="exact"/>
        <w:rPr>
          <w:sz w:val="20"/>
          <w:szCs w:val="20"/>
          <w:color w:val="auto"/>
        </w:rPr>
      </w:pPr>
    </w:p>
    <w:p>
      <w:pPr>
        <w:ind w:left="4260"/>
        <w:spacing w:after="0"/>
        <w:tabs>
          <w:tab w:leader="none" w:pos="5440" w:val="left"/>
          <w:tab w:leader="none" w:pos="638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94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(benefit) for</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income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Rowe Price</w:t>
            </w:r>
          </w:p>
        </w:tc>
        <w:tc>
          <w:tcPr>
            <w:tcW w:w="10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940" w:type="dxa"/>
            <w:vAlign w:val="bottom"/>
          </w:tcPr>
          <w:p>
            <w:pPr>
              <w:jc w:val="center"/>
              <w:ind w:right="68"/>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00" w:type="dxa"/>
            <w:vAlign w:val="bottom"/>
          </w:tcPr>
          <w:p>
            <w:pPr>
              <w:jc w:val="center"/>
              <w:ind w:left="6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60" w:space="260"/>
            <w:col w:w="3580"/>
          </w:cols>
          <w:pgMar w:left="320" w:top="890" w:right="37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3,662.9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544.6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4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and related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3"/>
        </w:trPr>
        <w:tc>
          <w:tcPr>
            <w:tcW w:w="4060" w:type="dxa"/>
            <w:vAlign w:val="bottom"/>
            <w:shd w:val="clear" w:color="auto" w:fill="CCEEFF"/>
          </w:tcPr>
          <w:p>
            <w:pPr>
              <w:ind w:left="14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3,416.7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132.8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5"/>
            <w:shd w:val="clear" w:color="auto" w:fill="CCEEFF"/>
          </w:tcPr>
          <w:p>
            <w:pPr>
              <w:jc w:val="center"/>
              <w:ind w:right="20"/>
              <w:spacing w:after="0"/>
              <w:rPr>
                <w:sz w:val="20"/>
                <w:szCs w:val="20"/>
                <w:color w:val="auto"/>
              </w:rPr>
            </w:pPr>
            <w:r>
              <w:rPr>
                <w:rFonts w:ascii="Arial" w:cs="Arial" w:eastAsia="Arial" w:hAnsi="Arial"/>
                <w:sz w:val="14"/>
                <w:szCs w:val="14"/>
                <w:b w:val="1"/>
                <w:bCs w:val="1"/>
                <w:color w:val="auto"/>
              </w:rPr>
              <w:t>Nine months ended 9/30/2024</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2"/>
                <w:szCs w:val="12"/>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(benefit) for</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 T.</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Rowe Price</w:t>
            </w:r>
          </w:p>
        </w:tc>
        <w:tc>
          <w:tcPr>
            <w:tcW w:w="104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Group, Inc.</w:t>
            </w:r>
          </w:p>
        </w:tc>
        <w:tc>
          <w:tcPr>
            <w:tcW w:w="180" w:type="dxa"/>
            <w:vAlign w:val="bottom"/>
          </w:tcPr>
          <w:p>
            <w:pPr>
              <w:spacing w:after="0"/>
              <w:rPr>
                <w:sz w:val="16"/>
                <w:szCs w:val="16"/>
                <w:color w:val="auto"/>
              </w:rPr>
            </w:pPr>
          </w:p>
        </w:tc>
        <w:tc>
          <w:tcPr>
            <w:tcW w:w="860" w:type="dxa"/>
            <w:vAlign w:val="bottom"/>
          </w:tcPr>
          <w:p>
            <w:pPr>
              <w:jc w:val="right"/>
              <w:ind w:right="208"/>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1,660.2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4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and related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63"/>
        </w:trPr>
        <w:tc>
          <w:tcPr>
            <w:tcW w:w="4060" w:type="dxa"/>
            <w:vAlign w:val="bottom"/>
            <w:shd w:val="clear" w:color="auto" w:fill="CCEEFF"/>
          </w:tcPr>
          <w:p>
            <w:pPr>
              <w:ind w:left="14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Total acquisition-related</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43"/>
        </w:trPr>
        <w:tc>
          <w:tcPr>
            <w:tcW w:w="40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3,276.2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2,065.7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114.4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hanging="332"/>
        <w:spacing w:after="0" w:line="241" w:lineRule="auto"/>
        <w:tabs>
          <w:tab w:leader="none" w:pos="341"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of intangible assets, the recurring fair value remeasurements of the contingent consideration liability, if any, amortization of acquired investment and non-controlling interest basis differences and amortization of compensation-related arrangements. We believe adjusting for these charges helps the reader's ability to understand our core operating results and increases comparability period to period.</w:t>
      </w:r>
    </w:p>
    <w:p>
      <w:pPr>
        <w:spacing w:after="0" w:line="231" w:lineRule="exact"/>
        <w:rPr>
          <w:rFonts w:ascii="Arial" w:cs="Arial" w:eastAsia="Arial" w:hAnsi="Arial"/>
          <w:sz w:val="22"/>
          <w:szCs w:val="22"/>
          <w:color w:val="auto"/>
          <w:vertAlign w:val="superscript"/>
        </w:rPr>
      </w:pPr>
    </w:p>
    <w:p>
      <w:pPr>
        <w:ind w:left="340" w:right="20" w:hanging="332"/>
        <w:spacing w:after="0" w:line="241" w:lineRule="auto"/>
        <w:tabs>
          <w:tab w:leader="none" w:pos="341"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eliminates the compensation expense impact from market valuation changes in deferred compensation liabilities, including the supplemental savings plan and, starting in Q4 2024, restricted fund units, and the related net gains (losses) on investments used as economic hedges against the related liabilities. The liabilities are adjusted based on the performance of hypothetical investments selected by participants. We use investment products to economically hedge the market risk associated with the supplemental savings plan liability and the expected settlement</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36" w:name="page37"/>
    <w:bookmarkEnd w:id="36"/>
    <w:p>
      <w:pPr>
        <w:ind w:left="340" w:right="340"/>
        <w:spacing w:after="0" w:line="275" w:lineRule="auto"/>
        <w:rPr>
          <w:sz w:val="20"/>
          <w:szCs w:val="20"/>
          <w:color w:val="auto"/>
        </w:rPr>
      </w:pPr>
      <w:r>
        <w:rPr>
          <w:rFonts w:ascii="Arial" w:cs="Arial" w:eastAsia="Arial" w:hAnsi="Arial"/>
          <w:sz w:val="16"/>
          <w:szCs w:val="16"/>
          <w:color w:val="auto"/>
        </w:rPr>
        <w:t>value of unvested restricted fund units. We believe it is useful to offset the non-operating investment income (loss) of the hedges against the related compensation expense and remove the net impact to help the reader's ability to understand the firm's core operating results and to increase comparability period to period.</w:t>
      </w:r>
    </w:p>
    <w:p>
      <w:pPr>
        <w:spacing w:after="0" w:line="191" w:lineRule="exact"/>
        <w:rPr>
          <w:sz w:val="20"/>
          <w:szCs w:val="20"/>
          <w:color w:val="auto"/>
        </w:rPr>
      </w:pPr>
    </w:p>
    <w:p>
      <w:pPr>
        <w:ind w:left="340" w:right="180" w:hanging="332"/>
        <w:spacing w:after="0" w:line="239" w:lineRule="auto"/>
        <w:tabs>
          <w:tab w:leader="none" w:pos="341"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compensation expenses, primarily severance, incurred as part of our broad and ongoing plan to reduce expense growth and realign resources to invest in existing and future capabilities. We believe this adjustment helps the reader’s ability to understand our core operating results and increases comparability period to period.</w:t>
      </w:r>
    </w:p>
    <w:p>
      <w:pPr>
        <w:spacing w:after="0" w:line="218" w:lineRule="exact"/>
        <w:rPr>
          <w:rFonts w:ascii="Arial" w:cs="Arial" w:eastAsia="Arial" w:hAnsi="Arial"/>
          <w:sz w:val="22"/>
          <w:szCs w:val="22"/>
          <w:color w:val="auto"/>
          <w:vertAlign w:val="superscript"/>
        </w:rPr>
      </w:pPr>
    </w:p>
    <w:p>
      <w:pPr>
        <w:ind w:left="340" w:right="40" w:hanging="332"/>
        <w:spacing w:after="0" w:line="246" w:lineRule="auto"/>
        <w:tabs>
          <w:tab w:leader="none" w:pos="341"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Inc. represents the consolidated investment products' net income, net of redeemable non-controlling interests. We believe this adjustment helps the reader’s ability to understand our core operating results and increases comparability period to period.</w:t>
      </w:r>
    </w:p>
    <w:p>
      <w:pPr>
        <w:spacing w:after="0" w:line="214" w:lineRule="exact"/>
        <w:rPr>
          <w:rFonts w:ascii="Arial" w:cs="Arial" w:eastAsia="Arial" w:hAnsi="Arial"/>
          <w:sz w:val="22"/>
          <w:szCs w:val="22"/>
          <w:color w:val="auto"/>
          <w:vertAlign w:val="superscript"/>
        </w:rPr>
      </w:pPr>
    </w:p>
    <w:p>
      <w:pPr>
        <w:ind w:left="340" w:right="80" w:hanging="332"/>
        <w:spacing w:after="0" w:line="242" w:lineRule="auto"/>
        <w:tabs>
          <w:tab w:leader="none" w:pos="322"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non-operating income (loss) earned on those investments that are not economic hedges for the deferred compensation liabilities and are not part of the cash and discretionary investment portfolio. We retain gains from cash and discretionary investments in our non-GAAP measures, as they are considered part of our core operations. We believe adjusting for the remaining non-operating income (loss) helps the reader’s ability to understand the firm's core operating results and increases comparability period to period. Additionally, we do not emphasize this portion of non-operating income (loss) when assessing the firm's performance.</w:t>
      </w:r>
    </w:p>
    <w:p>
      <w:pPr>
        <w:spacing w:after="0" w:line="229" w:lineRule="exact"/>
        <w:rPr>
          <w:rFonts w:ascii="Arial" w:cs="Arial" w:eastAsia="Arial" w:hAnsi="Arial"/>
          <w:sz w:val="21"/>
          <w:szCs w:val="21"/>
          <w:color w:val="auto"/>
          <w:vertAlign w:val="superscript"/>
        </w:rPr>
      </w:pPr>
    </w:p>
    <w:p>
      <w:pPr>
        <w:ind w:left="340" w:right="200" w:hanging="332"/>
        <w:spacing w:after="0" w:line="229" w:lineRule="auto"/>
        <w:tabs>
          <w:tab w:leader="none" w:pos="341"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23.8% in 2025 and 24.1% in 2024. As such, the non-GAAP effective tax rate for the third quarter was 23.4% in 2025 and 23.8% in 2024.</w:t>
      </w:r>
    </w:p>
    <w:p>
      <w:pPr>
        <w:spacing w:after="0" w:line="217" w:lineRule="exact"/>
        <w:rPr>
          <w:rFonts w:ascii="Arial" w:cs="Arial" w:eastAsia="Arial" w:hAnsi="Arial"/>
          <w:sz w:val="22"/>
          <w:szCs w:val="22"/>
          <w:color w:val="auto"/>
          <w:vertAlign w:val="superscript"/>
        </w:rPr>
      </w:pPr>
    </w:p>
    <w:p>
      <w:pPr>
        <w:jc w:val="both"/>
        <w:ind w:left="340" w:right="180" w:hanging="332"/>
        <w:spacing w:after="0" w:line="239" w:lineRule="auto"/>
        <w:tabs>
          <w:tab w:leader="none" w:pos="341"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Inc. divided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440" w:type="dxa"/>
            <w:vAlign w:val="bottom"/>
            <w:gridSpan w:val="3"/>
            <w:shd w:val="clear" w:color="auto" w:fill="CCEEFF"/>
          </w:tcPr>
          <w:p>
            <w:pPr>
              <w:jc w:val="right"/>
              <w:ind w:right="5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9/30/2025</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9/30/2024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9/30/2025</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9/30/2024</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 Inc.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1,654.7</w:t>
            </w:r>
          </w:p>
        </w:tc>
        <w:tc>
          <w:tcPr>
            <w:tcW w:w="0" w:type="dxa"/>
            <w:vAlign w:val="bottom"/>
          </w:tcPr>
          <w:p>
            <w:pPr>
              <w:spacing w:after="0"/>
              <w:rPr>
                <w:sz w:val="1"/>
                <w:szCs w:val="1"/>
                <w:color w:val="auto"/>
              </w:rPr>
            </w:pPr>
          </w:p>
        </w:tc>
      </w:tr>
      <w:tr>
        <w:trPr>
          <w:trHeight w:val="162"/>
        </w:trPr>
        <w:tc>
          <w:tcPr>
            <w:tcW w:w="5400" w:type="dxa"/>
            <w:vAlign w:val="bottom"/>
          </w:tcPr>
          <w:p>
            <w:pPr>
              <w:ind w:left="20"/>
              <w:spacing w:after="0" w:line="162" w:lineRule="exact"/>
              <w:rPr>
                <w:sz w:val="20"/>
                <w:szCs w:val="20"/>
                <w:color w:val="auto"/>
              </w:rPr>
            </w:pPr>
            <w:r>
              <w:rPr>
                <w:rFonts w:ascii="Arial" w:cs="Arial" w:eastAsia="Arial" w:hAnsi="Arial"/>
                <w:sz w:val="16"/>
                <w:szCs w:val="16"/>
                <w:color w:val="auto"/>
              </w:rPr>
              <w:t>Less: adjusted net income allocated to outstanding restricted stock and</w:t>
            </w: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260" w:type="dxa"/>
            <w:vAlign w:val="bottom"/>
          </w:tcPr>
          <w:p>
            <w:pPr>
              <w:spacing w:after="0"/>
              <w:rPr>
                <w:sz w:val="14"/>
                <w:szCs w:val="14"/>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unit holders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1,608.1</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9/30/2025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3,634.8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2,649.8</w:t>
            </w: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Total cash and discretionary investments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3,106.9</w:t>
            </w: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Redeemable seed capital investments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r>
      <w:tr>
        <w:trPr>
          <w:trHeight w:val="230"/>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used to hedge the deferred compensation liabilities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discretionary investment portfolio is primarily comprised of short duration bond funds, which typically yield higher than money market rates. Our subsidiaries outside the United States held cash and discretionary investments of $812.2 million at September 30, 2025 and $653.9 million at December 31, 2024. Given the availability of our financial resources and cash expected to be generated through future operations, we do not maintain an available external source of additional liquidity.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ind w:right="42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cash and investment presentation on the unaudited consolidated balance sheet is based on the accounting treatment for the cash equivalent or investment item. The following table details how T. Rowe Price Group, Inc.’s interests in cash and investments relate to where they are presented on the unaudited consolidated balance sheet as of September 30, 2025.</w:t>
      </w:r>
    </w:p>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00"/>
              <w:spacing w:after="0" w:line="139" w:lineRule="exact"/>
              <w:rPr>
                <w:sz w:val="20"/>
                <w:szCs w:val="20"/>
                <w:color w:val="auto"/>
              </w:rPr>
            </w:pPr>
            <w:r>
              <w:rPr>
                <w:rFonts w:ascii="Arial" w:cs="Arial" w:eastAsia="Arial" w:hAnsi="Arial"/>
                <w:sz w:val="14"/>
                <w:szCs w:val="14"/>
                <w:b w:val="1"/>
                <w:bCs w:val="1"/>
                <w:color w:val="auto"/>
              </w:rPr>
              <w:t>consolidated</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4"/>
                <w:szCs w:val="14"/>
                <w:b w:val="1"/>
                <w:bCs w:val="1"/>
                <w:color w:val="auto"/>
              </w:rPr>
              <w:t>Cash and cash</w:t>
            </w: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300"/>
              <w:spacing w:after="0" w:line="158" w:lineRule="exact"/>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30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4,278.4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Investments used to hedge the deferred compensation liabilities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1,158.6</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2,086.6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6,491.5</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Group, Inc.</w:t>
            </w: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 Inc.</w:t>
            </w: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7,822.3</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unaudited consolidated balance sheet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3,634.8</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3,417.4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8,807.2</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2025</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right="80" w:hanging="172"/>
        <w:spacing w:after="0" w:line="266" w:lineRule="auto"/>
        <w:tabs>
          <w:tab w:leader="none" w:pos="158"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investment products are generally those products we provided seed capital at the time of their formation and we have a controlling interest. These products generally represent U.S. mutual funds, ETFs, and funds regulated outside the U.S. The $770.1 million represents the total value at September 30, 2025 of our interest in the consolidated investment products. The total net assets of the T. Rowe Price investment products at September 30, 2025 of $1,755.0 million includes assets of $1,777.7 million, less liabilities of $22.7 million as reflected in our unaudited consolidated balance sheets.</w:t>
      </w:r>
    </w:p>
    <w:p>
      <w:pPr>
        <w:ind w:left="160" w:hanging="152"/>
        <w:spacing w:after="0" w:line="204" w:lineRule="auto"/>
        <w:tabs>
          <w:tab w:leader="none" w:pos="16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$170.0 million of non-controlling interests in consolidated entities held by related parties, and we cannot sell in order to obtain cash for general operations.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unaudited consolidated balance sheet includes the cash, investments, and other assets and liabilities of our consolidated investment products, which includes any redeemable non-controlling interests held by third-party investors. While we can redeem our net interest in these investment products at any time, we cannot directly access or sell their assets for general operations, and their assets are not available to our general creditors. Our interest typically serves as initial seed capital and is reclassified as discretionary when management decides the seed capital is no longer needed. We evaluate these discretionary investment products and aim to liquidate our interest without affecting the product or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2025 by 2.4% to $1.27 per common share from $1.24 per common share. Further, we spent $483.8 million in the first nine months of 2025 to repurchase 4.8 million shares of our outstanding common stock, at an average price of $100.59 per share. These dividends and repurchases were funded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Since the end of 2022, we have returned $4.2 billion to stockholders through stock repurchases and regular quarterly dividends, as follows:</w:t>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5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9"/>
        </w:trPr>
        <w:tc>
          <w:tcPr>
            <w:tcW w:w="658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1,121.9</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Nine months ended 9/30/2025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2025 to be about $275 million of which over 80%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summarizes the cash flows for the nine months ended September 30, 2025 and 2024, that are attributable to T. Rowe Price Group, Inc., our consolidated investment products, and the related eliminations required in preparing the statement.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9/30/2025</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9/30/2024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8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10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w w:val="98"/>
              </w:rPr>
              <w:t>to T. Rowe</w:t>
            </w:r>
          </w:p>
        </w:tc>
        <w:tc>
          <w:tcPr>
            <w:tcW w:w="1100" w:type="dxa"/>
            <w:vAlign w:val="bottom"/>
            <w:gridSpan w:val="3"/>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rPr>
              <w:t>consolidated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As</w:t>
            </w:r>
          </w:p>
        </w:tc>
        <w:tc>
          <w:tcPr>
            <w:tcW w:w="980" w:type="dxa"/>
            <w:vAlign w:val="bottom"/>
            <w:gridSpan w:val="3"/>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rPr>
              <w:t>to T. Rowe</w:t>
            </w:r>
          </w:p>
        </w:tc>
        <w:tc>
          <w:tcPr>
            <w:tcW w:w="1100" w:type="dxa"/>
            <w:vAlign w:val="bottom"/>
            <w:gridSpan w:val="3"/>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9"/>
        </w:trPr>
        <w:tc>
          <w:tcPr>
            <w:tcW w:w="3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gridSpan w:val="3"/>
            <w:shd w:val="clear" w:color="auto" w:fill="CCEEFF"/>
          </w:tcPr>
          <w:p>
            <w:pPr>
              <w:jc w:val="center"/>
              <w:ind w:right="100"/>
              <w:spacing w:after="0" w:line="139" w:lineRule="exact"/>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b w:val="1"/>
                <w:bCs w:val="1"/>
                <w:color w:val="auto"/>
              </w:rPr>
              <w:t>investment</w:t>
            </w:r>
          </w:p>
        </w:tc>
        <w:tc>
          <w:tcPr>
            <w:tcW w:w="7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Elims</w:t>
            </w:r>
          </w:p>
        </w:tc>
        <w:tc>
          <w:tcPr>
            <w:tcW w:w="9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b w:val="1"/>
                <w:bCs w:val="1"/>
                <w:color w:val="auto"/>
              </w:rPr>
              <w:t>Price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Elims</w:t>
            </w: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Inc.</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720" w:type="dxa"/>
            <w:vAlign w:val="bottom"/>
            <w:gridSpan w:val="2"/>
            <w:vMerge w:val="continue"/>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reported</w:t>
            </w:r>
          </w:p>
        </w:tc>
        <w:tc>
          <w:tcPr>
            <w:tcW w:w="9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Group, Inc.</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1,747.7</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1,660.2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(100.5)</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$1,719.1</w:t>
            </w:r>
          </w:p>
        </w:tc>
        <w:tc>
          <w:tcPr>
            <w:tcW w:w="0" w:type="dxa"/>
            <w:vAlign w:val="bottom"/>
          </w:tcPr>
          <w:p>
            <w:pPr>
              <w:spacing w:after="0"/>
              <w:rPr>
                <w:sz w:val="1"/>
                <w:szCs w:val="1"/>
                <w:color w:val="auto"/>
              </w:rPr>
            </w:pPr>
          </w:p>
        </w:tc>
      </w:tr>
      <w:tr>
        <w:trPr>
          <w:trHeight w:val="164"/>
        </w:trPr>
        <w:tc>
          <w:tcPr>
            <w:tcW w:w="3720" w:type="dxa"/>
            <w:vAlign w:val="bottom"/>
          </w:tcPr>
          <w:p>
            <w:pPr>
              <w:ind w:left="140"/>
              <w:spacing w:after="0" w:line="164" w:lineRule="exact"/>
              <w:rPr>
                <w:sz w:val="20"/>
                <w:szCs w:val="20"/>
                <w:color w:val="auto"/>
              </w:rPr>
            </w:pPr>
            <w:r>
              <w:rPr>
                <w:rFonts w:ascii="Arial" w:cs="Arial" w:eastAsia="Arial" w:hAnsi="Arial"/>
                <w:sz w:val="18"/>
                <w:szCs w:val="18"/>
                <w:color w:val="auto"/>
              </w:rPr>
              <w:t>Adjustments to reconcile net income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140"/>
              <w:spacing w:after="0" w:line="181" w:lineRule="exact"/>
              <w:rPr>
                <w:sz w:val="20"/>
                <w:szCs w:val="20"/>
                <w:color w:val="auto"/>
              </w:rPr>
            </w:pPr>
            <w:r>
              <w:rPr>
                <w:rFonts w:ascii="Arial" w:cs="Arial" w:eastAsia="Arial" w:hAnsi="Arial"/>
                <w:sz w:val="18"/>
                <w:szCs w:val="18"/>
                <w:color w:val="auto"/>
              </w:rPr>
              <w:t>to net cash provided by (used in) operating</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amortization and impairments</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35"/>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property, equipment and software</w:t>
            </w:r>
          </w:p>
        </w:tc>
        <w:tc>
          <w:tcPr>
            <w:tcW w:w="1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20" w:type="dxa"/>
            <w:vAlign w:val="bottom"/>
          </w:tcPr>
          <w:p>
            <w:pPr>
              <w:ind w:left="220"/>
              <w:spacing w:after="0" w:line="183" w:lineRule="exact"/>
              <w:rPr>
                <w:sz w:val="20"/>
                <w:szCs w:val="20"/>
                <w:color w:val="auto"/>
              </w:rPr>
            </w:pPr>
            <w:r>
              <w:rPr>
                <w:rFonts w:ascii="Arial" w:cs="Arial" w:eastAsia="Arial" w:hAnsi="Arial"/>
                <w:sz w:val="18"/>
                <w:szCs w:val="18"/>
                <w:color w:val="auto"/>
              </w:rPr>
              <w:t>Amortization and impairment of acquisition-</w:t>
            </w:r>
          </w:p>
        </w:tc>
        <w:tc>
          <w:tcPr>
            <w:tcW w:w="14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5"/>
        </w:trPr>
        <w:tc>
          <w:tcPr>
            <w:tcW w:w="3720" w:type="dxa"/>
            <w:vAlign w:val="bottom"/>
          </w:tcPr>
          <w:p>
            <w:pPr>
              <w:ind w:left="220"/>
              <w:spacing w:after="0"/>
              <w:rPr>
                <w:sz w:val="20"/>
                <w:szCs w:val="20"/>
                <w:color w:val="auto"/>
              </w:rPr>
            </w:pPr>
            <w:r>
              <w:rPr>
                <w:rFonts w:ascii="Arial" w:cs="Arial" w:eastAsia="Arial" w:hAnsi="Arial"/>
                <w:sz w:val="18"/>
                <w:szCs w:val="18"/>
                <w:color w:val="auto"/>
              </w:rPr>
              <w:t>related assets and retention agreements</w:t>
            </w: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Fair value remeasurement of contingent</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5"/>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(gains) losses recognized on</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35"/>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Arial" w:cs="Arial" w:eastAsia="Arial" w:hAnsi="Arial"/>
                <w:sz w:val="18"/>
                <w:szCs w:val="18"/>
                <w:color w:val="auto"/>
              </w:rPr>
              <w:t>Total non-cash adjustments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redemptions in T. Rowe Price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color w:val="auto"/>
              </w:rPr>
              <w:t>investment products used to economically</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 deferred compensation liabilities</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720" w:type="dxa"/>
            <w:vAlign w:val="bottom"/>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(821.4)</w:t>
            </w:r>
          </w:p>
        </w:tc>
        <w:tc>
          <w:tcPr>
            <w:tcW w:w="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(821.4)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(517.9)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35"/>
        </w:trPr>
        <w:tc>
          <w:tcPr>
            <w:tcW w:w="3720" w:type="dxa"/>
            <w:vAlign w:val="bottom"/>
          </w:tcPr>
          <w:p>
            <w:pPr>
              <w:ind w:left="220"/>
              <w:spacing w:after="0"/>
              <w:rPr>
                <w:sz w:val="20"/>
                <w:szCs w:val="20"/>
                <w:color w:val="auto"/>
              </w:rPr>
            </w:pPr>
            <w:r>
              <w:rPr>
                <w:rFonts w:ascii="Arial" w:cs="Arial" w:eastAsia="Arial" w:hAnsi="Arial"/>
                <w:sz w:val="18"/>
                <w:szCs w:val="18"/>
                <w:color w:val="auto"/>
              </w:rPr>
              <w:t>consolidated investment products</w:t>
            </w:r>
          </w:p>
        </w:tc>
        <w:tc>
          <w:tcPr>
            <w:tcW w:w="1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changes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588.8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548.3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164"/>
        </w:trPr>
        <w:tc>
          <w:tcPr>
            <w:tcW w:w="3720" w:type="dxa"/>
            <w:vAlign w:val="bottom"/>
          </w:tcPr>
          <w:p>
            <w:pPr>
              <w:ind w:left="20"/>
              <w:spacing w:after="0" w:line="163" w:lineRule="exact"/>
              <w:rPr>
                <w:sz w:val="20"/>
                <w:szCs w:val="20"/>
                <w:color w:val="auto"/>
              </w:rPr>
            </w:pPr>
            <w:r>
              <w:rPr>
                <w:rFonts w:ascii="Arial" w:cs="Arial" w:eastAsia="Arial" w:hAnsi="Arial"/>
                <w:sz w:val="18"/>
                <w:szCs w:val="18"/>
                <w:color w:val="auto"/>
              </w:rPr>
              <w:t>Net cash provided by (used in) operating</w:t>
            </w:r>
          </w:p>
        </w:tc>
        <w:tc>
          <w:tcPr>
            <w:tcW w:w="140" w:type="dxa"/>
            <w:vAlign w:val="bottom"/>
          </w:tcPr>
          <w:p>
            <w:pPr>
              <w:spacing w:after="0"/>
              <w:rPr>
                <w:sz w:val="14"/>
                <w:szCs w:val="14"/>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2,380.0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(646.5)</w:t>
            </w: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1,772.1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2,339.4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1,967.5</w:t>
            </w:r>
          </w:p>
        </w:tc>
        <w:tc>
          <w:tcPr>
            <w:tcW w:w="0" w:type="dxa"/>
            <w:vAlign w:val="bottom"/>
          </w:tcPr>
          <w:p>
            <w:pPr>
              <w:spacing w:after="0"/>
              <w:rPr>
                <w:sz w:val="1"/>
                <w:szCs w:val="1"/>
                <w:color w:val="auto"/>
              </w:rPr>
            </w:pPr>
          </w:p>
        </w:tc>
      </w:tr>
      <w:tr>
        <w:trPr>
          <w:trHeight w:val="235"/>
        </w:trPr>
        <w:tc>
          <w:tcPr>
            <w:tcW w:w="37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investing</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5"/>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20" w:type="dxa"/>
            <w:vAlign w:val="bottom"/>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9"/>
              </w:rPr>
              <w:t>(1,315.7)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664.9</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(785.6)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9"/>
              </w:rPr>
              <w:t>(1,089.4)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35"/>
        </w:trPr>
        <w:tc>
          <w:tcPr>
            <w:tcW w:w="37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Effect of exchange rate changes on cash and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cash equivalents of consolidated investment</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20" w:type="dxa"/>
            <w:vAlign w:val="bottom"/>
          </w:tcPr>
          <w:p>
            <w:pPr>
              <w:ind w:left="20"/>
              <w:spacing w:after="0" w:line="163"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spacing w:after="0"/>
              <w:rPr>
                <w:sz w:val="14"/>
                <w:szCs w:val="14"/>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985.0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971.0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1,106.9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1,084.8</w:t>
            </w:r>
          </w:p>
        </w:tc>
        <w:tc>
          <w:tcPr>
            <w:tcW w:w="0" w:type="dxa"/>
            <w:vAlign w:val="bottom"/>
          </w:tcPr>
          <w:p>
            <w:pPr>
              <w:spacing w:after="0"/>
              <w:rPr>
                <w:sz w:val="1"/>
                <w:szCs w:val="1"/>
                <w:color w:val="auto"/>
              </w:rPr>
            </w:pPr>
          </w:p>
        </w:tc>
      </w:tr>
      <w:tr>
        <w:trPr>
          <w:trHeight w:val="235"/>
        </w:trPr>
        <w:tc>
          <w:tcPr>
            <w:tcW w:w="3720" w:type="dxa"/>
            <w:vAlign w:val="bottom"/>
          </w:tcPr>
          <w:p>
            <w:pPr>
              <w:ind w:left="20"/>
              <w:spacing w:after="0"/>
              <w:rPr>
                <w:sz w:val="20"/>
                <w:szCs w:val="20"/>
                <w:color w:val="auto"/>
              </w:rPr>
            </w:pPr>
            <w:r>
              <w:rPr>
                <w:rFonts w:ascii="Arial" w:cs="Arial" w:eastAsia="Arial" w:hAnsi="Arial"/>
                <w:sz w:val="18"/>
                <w:szCs w:val="18"/>
                <w:color w:val="auto"/>
              </w:rPr>
              <w:t>during period</w:t>
            </w: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Cash and cash equivalents at beginning of</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2,649.8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2,712.9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2,066.6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2,143.8</w:t>
            </w:r>
          </w:p>
        </w:tc>
        <w:tc>
          <w:tcPr>
            <w:tcW w:w="0" w:type="dxa"/>
            <w:vAlign w:val="bottom"/>
          </w:tcPr>
          <w:p>
            <w:pPr>
              <w:spacing w:after="0"/>
              <w:rPr>
                <w:sz w:val="1"/>
                <w:szCs w:val="1"/>
                <w:color w:val="auto"/>
              </w:rPr>
            </w:pPr>
          </w:p>
        </w:tc>
      </w:tr>
      <w:tr>
        <w:trPr>
          <w:trHeight w:val="235"/>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3,634.8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3,683.9</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3,173.5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activities attributable to T. Rowe Price Group, Inc. provided cash flows of $2,380.0 million during the first nine months of 2025, an increase of $ 40.6 million from $2,339.4 million provided during the 2024 period. The increase was primarily driven by a $40.5 million increase in cash flows related to timing differences in the cash settlement of our assets and liabilities. Additionally, in 2025, net redemptions from certain investment products that economically hedge our deferred compensation liabilities were $33.5 million higher as compared to the 2024 period. These increases were offset in part by a $18.4 million decrease in net income and a $15.0 million decrease in the add-back for non-cash items as detailed in the table above. The remaining change in reported cash flows from operating activities was attributable to the net change in trading securities held in our consolidated investment products’ underlying portfolios.</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interim operating cash flows does not include the cash impact of variable compensation that is accrued throughout the year before being substantially paid out in December.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w:t>
      </w:r>
      <w:r>
        <w:rPr>
          <w:rFonts w:ascii="Arial" w:cs="Arial" w:eastAsia="Arial" w:hAnsi="Arial"/>
          <w:sz w:val="18"/>
          <w:szCs w:val="18"/>
          <w:i w:val="1"/>
          <w:iCs w:val="1"/>
          <w:u w:val="single" w:color="auto"/>
          <w:color w:val="auto"/>
        </w:rPr>
        <w:t>nvesting Activities</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cash used in investing activities attributable to T. Rowe Price Group, Inc. totaled $79.3 million in 2025 compared with $143.1 million in 2024. In 2025, we decreased our property and equipment expenditures by $102.9 million and had higher net proceeds from the sale of sponsored investment products. We had net proceeds from the sale of investments of $241.9 million in the 2025 period compared to $209.9 million during the 2024 period. Partially offsetting these changes was an increase in other investing activity of $71.1 million compared to the 2024 period. We eliminate our capital in our consolidated investment products in preparing our consolidated statements of cash flows. The remaining change in reported cash flows from investing activities of $20.1 million is related to the net cash removed from our unaudited consolidated balance sheet from consolidating and deconsolidating investment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used in financing activities attributable to T. Rowe Price Group, Inc. totaled $1,315.7 million in 2025 compared with $1,089.4 million in 2024. During 2025, we used $481.8 million to repurchase 4.8 million shares compared to $269.1 million to repurchase 2.3 million shares in 2024. The $7.5 million increase in dividends paid in 2025 was a result of the 2.4% increase in our quarterly dividend per share over prior year. The remaining change in reported cash flows from financing activities was primarily attributable to a $168.9 million increase in net subscriptions from redeemable non-controlling interest holders of our consolidated investment products during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consolidated balance sheets, the revenues and expenses in our unaudited consolidated statements of income, and the information that is contained in our significant accounting policies and notes to the unaudited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2024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See Note 1 - The Company and Basis of Preparation note within Item 1. Financial Statements for a discussion of newly issued but not yet adopted accounting guidance.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Group, Inc.,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tax rate, dividends, stock repurchases, investments, new products and services, capital expenditures, changes in our effective fee rate, and potential transactions; legal or regulatory developments; geopolitical instability; interest rates and currency fluctuations; our expectations regarding financial markets and other industry or market conditions. Readers are cautioned that any forward-looking information provided by or on behalf of T. Rowe Price Group, Inc. is not a guarantee of future performance. Actual results may differ materially from those in forward-looking information because of various factors including, but not limited to, those discussed below and in Item 1A, Risk Factors, included in our Form 10-K Annual Report for 2024.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19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ability to attract and retain investors’ assets under our management is dependent on investor sentiment and confidence, including: changes thereto that may result from U.S. trade policies, market volatility and economic outlook;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 directors of one or more of the T.</w:t>
      </w:r>
    </w:p>
    <w:p>
      <w:pPr>
        <w:spacing w:after="0" w:line="3"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0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w:t>
      </w:r>
    </w:p>
    <w:p>
      <w:pPr>
        <w:spacing w:after="0" w:line="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timing of the assumption of all third party research payments, unanticipated costs that may be incurred to protect investor accounts and the goodwill of our clients; and disruptions of services, including those provided by third parties, such as fund and product recordkeeping,</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facilities, communications, power, and the mutual fund transfer agent and accounting systems, as a result of extreme events, cyberattacks or otherwise.</w:t>
      </w:r>
    </w:p>
    <w:p>
      <w:pPr>
        <w:spacing w:after="0" w:line="18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investment products and investing in general or in particular classes of mutual funds or other investments.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2025. Based on that evaluation, our principal executive and principal financial officers have concluded that our disclosure controls and procedures as of September 30, 2025,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2025, and has concluded that there was no change during the third quarter of 2025 that has materially affected, or is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consolidated financial statements in Part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2025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74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3"/>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July 1</w:t>
            </w:r>
          </w:p>
        </w:tc>
        <w:tc>
          <w:tcPr>
            <w:tcW w:w="1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July 31</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222,504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103.29</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14,805,865</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August 31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514,565</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14,291,300</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September 1</w:t>
            </w: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September 30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722,923</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13,568,377</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1,457,488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2025, 37,662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Maximum Number of</w:t>
            </w: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5520" w:type="dxa"/>
            <w:vAlign w:val="bottom"/>
            <w:gridSpan w:val="2"/>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88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right"/>
              <w:ind w:right="19"/>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52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Purchased at 7/1/2025</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9/30/2025</w:t>
            </w:r>
          </w:p>
        </w:tc>
        <w:tc>
          <w:tcPr>
            <w:tcW w:w="0" w:type="dxa"/>
            <w:vAlign w:val="bottom"/>
          </w:tcPr>
          <w:p>
            <w:pPr>
              <w:spacing w:after="0"/>
              <w:rPr>
                <w:sz w:val="1"/>
                <w:szCs w:val="1"/>
                <w:color w:val="auto"/>
              </w:rPr>
            </w:pPr>
          </w:p>
        </w:tc>
      </w:tr>
      <w:tr>
        <w:trPr>
          <w:trHeight w:val="223"/>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March 2020</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25,865</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(25,865)</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(1,431,623)</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13,568,377</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15,025,865</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(1,457,488)</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13,568,377</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 w:lineRule="exact"/>
        <w:rPr>
          <w:sz w:val="20"/>
          <w:szCs w:val="20"/>
          <w:color w:val="auto"/>
        </w:rPr>
      </w:pPr>
    </w:p>
    <w:p>
      <w:pPr>
        <w:ind w:right="140" w:firstLine="8"/>
        <w:spacing w:after="0" w:line="220"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October 28, 2025, the Board of Directors approved a plan to exit two owned office buildings in Owings Mills, Maryland. This decision is expected to result in a non-cash charge of up to $100 million in the fourth quarter of 2025, primarily reflecting the carrying value of the buildings. This decision was made in connection with the firm's broad and ongoing plan to reduce expense growth and realign resources to invest in existing and future capabilities.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filed herewith, except for Exhibit 32 that is furnished herewith.</w:t>
      </w:r>
    </w:p>
    <w:p>
      <w:pPr>
        <w:sectPr>
          <w:pgSz w:w="11900" w:h="16838" w:orient="portrait"/>
          <w:cols w:equalWidth="0" w:num="1">
            <w:col w:w="11200"/>
          </w:cols>
          <w:pgMar w:left="320" w:top="890" w:right="37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620"/>
        <w:spacing w:after="0"/>
        <w:rPr>
          <w:rFonts w:ascii="Arial" w:cs="Arial" w:eastAsia="Arial" w:hAnsi="Arial"/>
          <w:sz w:val="18"/>
          <w:szCs w:val="18"/>
          <w:color w:val="auto"/>
        </w:rPr>
      </w:pPr>
      <w:hyperlink r:id="rId66">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66">
        <w:r>
          <w:rPr>
            <w:rFonts w:ascii="Arial" w:cs="Arial" w:eastAsia="Arial" w:hAnsi="Arial"/>
            <w:sz w:val="18"/>
            <w:szCs w:val="18"/>
            <w:color w:val="auto"/>
          </w:rPr>
          <w:t>reference from Form 10-Q Quarterly Report filed on July 25, 2018.)</w:t>
        </w:r>
      </w:hyperlink>
    </w:p>
    <w:p>
      <w:pPr>
        <w:spacing w:after="0" w:line="59" w:lineRule="exact"/>
        <w:rPr>
          <w:sz w:val="20"/>
          <w:szCs w:val="20"/>
          <w:color w:val="auto"/>
        </w:rPr>
      </w:pPr>
    </w:p>
    <w:p>
      <w:pPr>
        <w:ind w:right="380"/>
        <w:spacing w:after="0"/>
        <w:rPr>
          <w:rFonts w:ascii="Arial" w:cs="Arial" w:eastAsia="Arial" w:hAnsi="Arial"/>
          <w:sz w:val="18"/>
          <w:szCs w:val="18"/>
          <w:color w:val="auto"/>
        </w:rPr>
      </w:pPr>
      <w:hyperlink r:id="rId67">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67">
        <w:r>
          <w:rPr>
            <w:rFonts w:ascii="Arial" w:cs="Arial" w:eastAsia="Arial" w:hAnsi="Arial"/>
            <w:sz w:val="18"/>
            <w:szCs w:val="18"/>
            <w:color w:val="auto"/>
          </w:rPr>
          <w:t>Form 10-K Annual Report filed on February 11, 2021.)</w:t>
        </w:r>
      </w:hyperlink>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 Inc.’s unaudited consolidated interim financial statements and notes that are included in this Form 10-Q Report.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60" w:space="640"/>
            <w:col w:w="9800"/>
          </w:cols>
          <w:pgMar w:left="320" w:top="890" w:right="37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4" w:name="page45"/>
    <w:bookmarkEnd w:id="4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120"/>
          </w:cols>
          <w:pgMar w:left="320" w:top="890"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EXHIBIT 15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October 31,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Re: Registration Statements No. 033-7012, No. 333-59714, No. 333-120882, No. 333-120883, No. 333-142092, No. 333-167317, No. 333-180904, No. 333-199560, No. 333-212705 , No. 333-217483, No. 333-238319, and No. 333-273601.</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31, 2025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1133" w:right="339" w:bottom="1440" w:gutter="0" w:footer="0" w:header="0"/>
        </w:sectPr>
      </w:pPr>
    </w:p>
    <w:bookmarkStart w:id="46" w:name="page47"/>
    <w:bookmarkEnd w:id="46"/>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2025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October 31,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7" w:name="page48"/>
    <w:bookmarkEnd w:id="47"/>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2025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October 31,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8" w:name="page49"/>
    <w:bookmarkEnd w:id="48"/>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of T. Rowe Price Group, Inc., that:</w:t>
      </w:r>
    </w:p>
    <w:p>
      <w:pPr>
        <w:spacing w:after="0" w:line="86" w:lineRule="exact"/>
        <w:rPr>
          <w:sz w:val="20"/>
          <w:szCs w:val="20"/>
          <w:color w:val="auto"/>
        </w:rPr>
      </w:pPr>
    </w:p>
    <w:p>
      <w:pPr>
        <w:ind w:right="620" w:firstLine="8"/>
        <w:spacing w:after="0" w:line="287"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October 31, 2025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8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6"/>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3"/>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6" Type="http://schemas.openxmlformats.org/officeDocument/2006/relationships/hyperlink" Target="https://www.sec.gov/Archives/edgar/data/1113169/000111316918000018/articlesofrestatementfin.htm" TargetMode="External"/><Relationship Id="rId67"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2025-10-31T13:01:54Z</dcterms:created>
  <dcterms:modified xsi:type="dcterms:W3CDTF">2025-10-31T13:01:54Z</dcterms:modified>
</cp:coreProperties>
</file>