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234315</wp:posOffset>
            </wp:positionH>
            <wp:positionV relativeFrom="page">
              <wp:posOffset>567055</wp:posOffset>
            </wp:positionV>
            <wp:extent cx="708787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7870" cy="6985"/>
                    </a:xfrm>
                    <a:prstGeom prst="rect">
                      <a:avLst/>
                    </a:prstGeom>
                    <a:noFill/>
                  </pic:spPr>
                </pic:pic>
              </a:graphicData>
            </a:graphic>
          </wp:anchor>
        </w:drawing>
        <w:drawing>
          <wp:anchor simplePos="0" relativeHeight="251657728" behindDoc="1" locked="0" layoutInCell="0" allowOverlap="1">
            <wp:simplePos x="0" y="0"/>
            <wp:positionH relativeFrom="page">
              <wp:posOffset>234315</wp:posOffset>
            </wp:positionH>
            <wp:positionV relativeFrom="page">
              <wp:posOffset>540385</wp:posOffset>
            </wp:positionV>
            <wp:extent cx="708787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7870" cy="698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1"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3"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w:t>
      </w:r>
    </w:p>
    <w:p>
      <w:pPr>
        <w:spacing w:after="0" w:line="105" w:lineRule="exact"/>
        <w:rPr>
          <w:sz w:val="24"/>
          <w:szCs w:val="24"/>
          <w:color w:val="auto"/>
        </w:rPr>
      </w:pPr>
    </w:p>
    <w:p>
      <w:pPr>
        <w:ind w:left="660" w:hanging="379"/>
        <w:spacing w:after="0"/>
        <w:tabs>
          <w:tab w:leader="none" w:pos="660" w:val="left"/>
        </w:tabs>
        <w:numPr>
          <w:ilvl w:val="0"/>
          <w:numId w:val="1"/>
        </w:numPr>
        <w:rPr>
          <w:rFonts w:ascii="MS PGothic" w:cs="MS PGothic" w:eastAsia="MS PGothic" w:hAnsi="MS PGothic"/>
          <w:sz w:val="14"/>
          <w:szCs w:val="14"/>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2024</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06" w:lineRule="exact"/>
        <w:rPr>
          <w:sz w:val="24"/>
          <w:szCs w:val="24"/>
          <w:color w:val="auto"/>
        </w:rPr>
      </w:pPr>
    </w:p>
    <w:p>
      <w:pPr>
        <w:ind w:left="660" w:hanging="379"/>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79" w:lineRule="exact"/>
        <w:rPr>
          <w:rFonts w:ascii="MS PGothic" w:cs="MS PGothic" w:eastAsia="MS PGothic" w:hAnsi="MS PGothic"/>
          <w:sz w:val="14"/>
          <w:szCs w:val="14"/>
          <w:color w:val="auto"/>
        </w:rPr>
      </w:pPr>
    </w:p>
    <w:p>
      <w:pPr>
        <w:ind w:left="456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For the transition period from to</w:t>
      </w:r>
    </w:p>
    <w:p>
      <w:pPr>
        <w:spacing w:after="0" w:line="200"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362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Commission File Number: 000-32191</w:t>
            </w:r>
          </w:p>
        </w:tc>
        <w:tc>
          <w:tcPr>
            <w:tcW w:w="3840" w:type="dxa"/>
            <w:vAlign w:val="bottom"/>
          </w:tcPr>
          <w:p>
            <w:pPr>
              <w:spacing w:after="0"/>
              <w:rPr>
                <w:sz w:val="14"/>
                <w:szCs w:val="14"/>
                <w:color w:val="auto"/>
              </w:rPr>
            </w:pPr>
          </w:p>
        </w:tc>
      </w:tr>
      <w:tr>
        <w:trPr>
          <w:trHeight w:val="186"/>
        </w:trPr>
        <w:tc>
          <w:tcPr>
            <w:tcW w:w="3840" w:type="dxa"/>
            <w:vAlign w:val="bottom"/>
          </w:tcPr>
          <w:p>
            <w:pPr>
              <w:spacing w:after="0"/>
              <w:rPr>
                <w:sz w:val="16"/>
                <w:szCs w:val="16"/>
                <w:color w:val="auto"/>
              </w:rPr>
            </w:pPr>
          </w:p>
        </w:tc>
        <w:tc>
          <w:tcPr>
            <w:tcW w:w="3620" w:type="dxa"/>
            <w:vAlign w:val="bottom"/>
            <w:gridSpan w:val="3"/>
          </w:tcPr>
          <w:p>
            <w:pPr>
              <w:jc w:val="center"/>
              <w:ind w:right="40"/>
              <w:spacing w:after="0"/>
              <w:rPr>
                <w:sz w:val="20"/>
                <w:szCs w:val="20"/>
                <w:color w:val="auto"/>
              </w:rPr>
            </w:pPr>
            <w:r>
              <w:rPr>
                <w:rFonts w:ascii="Arial" w:cs="Arial" w:eastAsia="Arial" w:hAnsi="Arial"/>
                <w:sz w:val="14"/>
                <w:szCs w:val="14"/>
                <w:color w:val="auto"/>
              </w:rPr>
              <w:t>______________________________________</w:t>
            </w:r>
          </w:p>
        </w:tc>
        <w:tc>
          <w:tcPr>
            <w:tcW w:w="3840" w:type="dxa"/>
            <w:vAlign w:val="bottom"/>
          </w:tcPr>
          <w:p>
            <w:pPr>
              <w:spacing w:after="0"/>
              <w:rPr>
                <w:sz w:val="16"/>
                <w:szCs w:val="16"/>
                <w:color w:val="auto"/>
              </w:rPr>
            </w:pPr>
          </w:p>
        </w:tc>
      </w:tr>
      <w:tr>
        <w:trPr>
          <w:trHeight w:val="355"/>
        </w:trPr>
        <w:tc>
          <w:tcPr>
            <w:tcW w:w="3840" w:type="dxa"/>
            <w:vAlign w:val="bottom"/>
          </w:tcPr>
          <w:p>
            <w:pPr>
              <w:spacing w:after="0"/>
              <w:rPr>
                <w:sz w:val="24"/>
                <w:szCs w:val="24"/>
                <w:color w:val="auto"/>
              </w:rPr>
            </w:pPr>
          </w:p>
        </w:tc>
        <w:tc>
          <w:tcPr>
            <w:tcW w:w="3620" w:type="dxa"/>
            <w:vAlign w:val="bottom"/>
            <w:gridSpan w:val="3"/>
          </w:tcPr>
          <w:p>
            <w:pPr>
              <w:jc w:val="center"/>
              <w:spacing w:after="0"/>
              <w:rPr>
                <w:sz w:val="20"/>
                <w:szCs w:val="20"/>
                <w:color w:val="auto"/>
              </w:rPr>
            </w:pPr>
            <w:r>
              <w:rPr>
                <w:rFonts w:ascii="Arial" w:cs="Arial" w:eastAsia="Arial" w:hAnsi="Arial"/>
                <w:sz w:val="25"/>
                <w:szCs w:val="25"/>
                <w:b w:val="1"/>
                <w:bCs w:val="1"/>
                <w:color w:val="auto"/>
              </w:rPr>
              <w:t>T. ROWE PRICE GROUP, INC.</w:t>
            </w:r>
          </w:p>
        </w:tc>
        <w:tc>
          <w:tcPr>
            <w:tcW w:w="3840" w:type="dxa"/>
            <w:vAlign w:val="bottom"/>
          </w:tcPr>
          <w:p>
            <w:pPr>
              <w:spacing w:after="0"/>
              <w:rPr>
                <w:sz w:val="24"/>
                <w:szCs w:val="24"/>
                <w:color w:val="auto"/>
              </w:rPr>
            </w:pPr>
          </w:p>
        </w:tc>
      </w:tr>
      <w:tr>
        <w:trPr>
          <w:trHeight w:val="194"/>
        </w:trPr>
        <w:tc>
          <w:tcPr>
            <w:tcW w:w="3840" w:type="dxa"/>
            <w:vAlign w:val="bottom"/>
          </w:tcPr>
          <w:p>
            <w:pPr>
              <w:spacing w:after="0"/>
              <w:rPr>
                <w:sz w:val="16"/>
                <w:szCs w:val="16"/>
                <w:color w:val="auto"/>
              </w:rPr>
            </w:pPr>
          </w:p>
        </w:tc>
        <w:tc>
          <w:tcPr>
            <w:tcW w:w="3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840" w:type="dxa"/>
            <w:vAlign w:val="bottom"/>
          </w:tcPr>
          <w:p>
            <w:pPr>
              <w:spacing w:after="0"/>
              <w:rPr>
                <w:sz w:val="16"/>
                <w:szCs w:val="16"/>
                <w:color w:val="auto"/>
              </w:rPr>
            </w:pPr>
          </w:p>
        </w:tc>
      </w:tr>
      <w:tr>
        <w:trPr>
          <w:trHeight w:val="271"/>
        </w:trPr>
        <w:tc>
          <w:tcPr>
            <w:tcW w:w="3840" w:type="dxa"/>
            <w:vAlign w:val="bottom"/>
          </w:tcPr>
          <w:p>
            <w:pPr>
              <w:jc w:val="center"/>
              <w:ind w:left="1518"/>
              <w:spacing w:after="0"/>
              <w:rPr>
                <w:sz w:val="20"/>
                <w:szCs w:val="20"/>
                <w:color w:val="auto"/>
              </w:rPr>
            </w:pPr>
            <w:r>
              <w:rPr>
                <w:rFonts w:ascii="Arial" w:cs="Arial" w:eastAsia="Arial" w:hAnsi="Arial"/>
                <w:sz w:val="14"/>
                <w:szCs w:val="14"/>
                <w:b w:val="1"/>
                <w:bCs w:val="1"/>
                <w:color w:val="auto"/>
              </w:rPr>
              <w:t>Maryland</w:t>
            </w:r>
          </w:p>
        </w:tc>
        <w:tc>
          <w:tcPr>
            <w:tcW w:w="9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40" w:type="dxa"/>
            <w:vAlign w:val="bottom"/>
          </w:tcPr>
          <w:p>
            <w:pPr>
              <w:jc w:val="right"/>
              <w:ind w:right="2396"/>
              <w:spacing w:after="0"/>
              <w:rPr>
                <w:sz w:val="20"/>
                <w:szCs w:val="20"/>
                <w:color w:val="auto"/>
              </w:rPr>
            </w:pPr>
            <w:r>
              <w:rPr>
                <w:rFonts w:ascii="Arial" w:cs="Arial" w:eastAsia="Arial" w:hAnsi="Arial"/>
                <w:sz w:val="14"/>
                <w:szCs w:val="14"/>
                <w:b w:val="1"/>
                <w:bCs w:val="1"/>
                <w:color w:val="auto"/>
              </w:rPr>
              <w:t>52-2264646</w:t>
            </w:r>
          </w:p>
        </w:tc>
      </w:tr>
      <w:tr>
        <w:trPr>
          <w:trHeight w:val="154"/>
        </w:trPr>
        <w:tc>
          <w:tcPr>
            <w:tcW w:w="3840" w:type="dxa"/>
            <w:vAlign w:val="bottom"/>
          </w:tcPr>
          <w:p>
            <w:pPr>
              <w:jc w:val="center"/>
              <w:ind w:left="1518"/>
              <w:spacing w:after="0"/>
              <w:rPr>
                <w:sz w:val="20"/>
                <w:szCs w:val="20"/>
                <w:color w:val="auto"/>
              </w:rPr>
            </w:pPr>
            <w:r>
              <w:rPr>
                <w:rFonts w:ascii="Arial" w:cs="Arial" w:eastAsia="Arial" w:hAnsi="Arial"/>
                <w:sz w:val="11"/>
                <w:szCs w:val="11"/>
                <w:b w:val="1"/>
                <w:bCs w:val="1"/>
                <w:color w:val="auto"/>
              </w:rPr>
              <w:t>(State of incorporation)</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40" w:type="dxa"/>
            <w:vAlign w:val="bottom"/>
          </w:tcPr>
          <w:p>
            <w:pPr>
              <w:jc w:val="center"/>
              <w:ind w:right="1796"/>
              <w:spacing w:after="0"/>
              <w:rPr>
                <w:sz w:val="20"/>
                <w:szCs w:val="20"/>
                <w:color w:val="auto"/>
              </w:rPr>
            </w:pPr>
            <w:r>
              <w:rPr>
                <w:rFonts w:ascii="Arial" w:cs="Arial" w:eastAsia="Arial" w:hAnsi="Arial"/>
                <w:sz w:val="11"/>
                <w:szCs w:val="11"/>
                <w:b w:val="1"/>
                <w:bCs w:val="1"/>
                <w:color w:val="auto"/>
              </w:rPr>
              <w:t>(I.R.S. Employer Identification No.)</w:t>
            </w:r>
          </w:p>
        </w:tc>
      </w:tr>
      <w:tr>
        <w:trPr>
          <w:trHeight w:val="291"/>
        </w:trPr>
        <w:tc>
          <w:tcPr>
            <w:tcW w:w="3840" w:type="dxa"/>
            <w:vAlign w:val="bottom"/>
          </w:tcPr>
          <w:p>
            <w:pPr>
              <w:spacing w:after="0"/>
              <w:rPr>
                <w:sz w:val="24"/>
                <w:szCs w:val="24"/>
                <w:color w:val="auto"/>
              </w:rPr>
            </w:pPr>
          </w:p>
        </w:tc>
        <w:tc>
          <w:tcPr>
            <w:tcW w:w="3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100 East Pratt Street, Baltimore, Maryland 21202</w:t>
            </w:r>
          </w:p>
        </w:tc>
        <w:tc>
          <w:tcPr>
            <w:tcW w:w="3840" w:type="dxa"/>
            <w:vAlign w:val="bottom"/>
          </w:tcPr>
          <w:p>
            <w:pPr>
              <w:spacing w:after="0"/>
              <w:rPr>
                <w:sz w:val="24"/>
                <w:szCs w:val="24"/>
                <w:color w:val="auto"/>
              </w:rPr>
            </w:pPr>
          </w:p>
        </w:tc>
      </w:tr>
      <w:tr>
        <w:trPr>
          <w:trHeight w:val="154"/>
        </w:trPr>
        <w:tc>
          <w:tcPr>
            <w:tcW w:w="3840" w:type="dxa"/>
            <w:vAlign w:val="bottom"/>
          </w:tcPr>
          <w:p>
            <w:pPr>
              <w:spacing w:after="0"/>
              <w:rPr>
                <w:sz w:val="13"/>
                <w:szCs w:val="13"/>
                <w:color w:val="auto"/>
              </w:rPr>
            </w:pPr>
          </w:p>
        </w:tc>
        <w:tc>
          <w:tcPr>
            <w:tcW w:w="3620" w:type="dxa"/>
            <w:vAlign w:val="bottom"/>
            <w:gridSpan w:val="3"/>
          </w:tcPr>
          <w:p>
            <w:pPr>
              <w:jc w:val="center"/>
              <w:spacing w:after="0"/>
              <w:rPr>
                <w:sz w:val="20"/>
                <w:szCs w:val="20"/>
                <w:color w:val="auto"/>
              </w:rPr>
            </w:pPr>
            <w:r>
              <w:rPr>
                <w:rFonts w:ascii="Arial" w:cs="Arial" w:eastAsia="Arial" w:hAnsi="Arial"/>
                <w:sz w:val="11"/>
                <w:szCs w:val="11"/>
                <w:b w:val="1"/>
                <w:bCs w:val="1"/>
                <w:color w:val="auto"/>
              </w:rPr>
              <w:t>(Address, including Zip Code, of principal executive offices)</w:t>
            </w:r>
          </w:p>
        </w:tc>
        <w:tc>
          <w:tcPr>
            <w:tcW w:w="3840" w:type="dxa"/>
            <w:vAlign w:val="bottom"/>
          </w:tcPr>
          <w:p>
            <w:pPr>
              <w:spacing w:after="0"/>
              <w:rPr>
                <w:sz w:val="13"/>
                <w:szCs w:val="13"/>
                <w:color w:val="auto"/>
              </w:rPr>
            </w:pPr>
          </w:p>
        </w:tc>
      </w:tr>
      <w:tr>
        <w:trPr>
          <w:trHeight w:val="281"/>
        </w:trPr>
        <w:tc>
          <w:tcPr>
            <w:tcW w:w="3840" w:type="dxa"/>
            <w:vAlign w:val="bottom"/>
          </w:tcPr>
          <w:p>
            <w:pPr>
              <w:spacing w:after="0"/>
              <w:rPr>
                <w:sz w:val="24"/>
                <w:szCs w:val="24"/>
                <w:color w:val="auto"/>
              </w:rPr>
            </w:pPr>
          </w:p>
        </w:tc>
        <w:tc>
          <w:tcPr>
            <w:tcW w:w="2660" w:type="dxa"/>
            <w:vAlign w:val="bottom"/>
            <w:gridSpan w:val="2"/>
          </w:tcPr>
          <w:p>
            <w:pPr>
              <w:jc w:val="center"/>
              <w:ind w:left="869"/>
              <w:spacing w:after="0"/>
              <w:rPr>
                <w:sz w:val="20"/>
                <w:szCs w:val="20"/>
                <w:color w:val="auto"/>
              </w:rPr>
            </w:pPr>
            <w:r>
              <w:rPr>
                <w:rFonts w:ascii="Arial" w:cs="Arial" w:eastAsia="Arial" w:hAnsi="Arial"/>
                <w:sz w:val="14"/>
                <w:szCs w:val="14"/>
                <w:b w:val="1"/>
                <w:bCs w:val="1"/>
                <w:color w:val="auto"/>
              </w:rPr>
              <w:t>(410) 345-2000</w:t>
            </w:r>
          </w:p>
        </w:tc>
        <w:tc>
          <w:tcPr>
            <w:tcW w:w="9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54"/>
        </w:trPr>
        <w:tc>
          <w:tcPr>
            <w:tcW w:w="3840" w:type="dxa"/>
            <w:vAlign w:val="bottom"/>
          </w:tcPr>
          <w:p>
            <w:pPr>
              <w:spacing w:after="0"/>
              <w:rPr>
                <w:sz w:val="13"/>
                <w:szCs w:val="13"/>
                <w:color w:val="auto"/>
              </w:rPr>
            </w:pPr>
          </w:p>
        </w:tc>
        <w:tc>
          <w:tcPr>
            <w:tcW w:w="3620" w:type="dxa"/>
            <w:vAlign w:val="bottom"/>
            <w:gridSpan w:val="3"/>
          </w:tcPr>
          <w:p>
            <w:pPr>
              <w:jc w:val="center"/>
              <w:spacing w:after="0"/>
              <w:rPr>
                <w:sz w:val="20"/>
                <w:szCs w:val="20"/>
                <w:color w:val="auto"/>
              </w:rPr>
            </w:pPr>
            <w:r>
              <w:rPr>
                <w:rFonts w:ascii="Arial" w:cs="Arial" w:eastAsia="Arial" w:hAnsi="Arial"/>
                <w:sz w:val="11"/>
                <w:szCs w:val="11"/>
                <w:b w:val="1"/>
                <w:bCs w:val="1"/>
                <w:color w:val="auto"/>
              </w:rPr>
              <w:t>(Registrant’s telephone number, including area code)</w:t>
            </w:r>
          </w:p>
        </w:tc>
        <w:tc>
          <w:tcPr>
            <w:tcW w:w="3840" w:type="dxa"/>
            <w:vAlign w:val="bottom"/>
          </w:tcPr>
          <w:p>
            <w:pPr>
              <w:spacing w:after="0"/>
              <w:rPr>
                <w:sz w:val="13"/>
                <w:szCs w:val="13"/>
                <w:color w:val="auto"/>
              </w:rPr>
            </w:pPr>
          </w:p>
        </w:tc>
      </w:tr>
      <w:tr>
        <w:trPr>
          <w:trHeight w:val="185"/>
        </w:trPr>
        <w:tc>
          <w:tcPr>
            <w:tcW w:w="3840" w:type="dxa"/>
            <w:vAlign w:val="bottom"/>
          </w:tcPr>
          <w:p>
            <w:pPr>
              <w:spacing w:after="0"/>
              <w:rPr>
                <w:sz w:val="16"/>
                <w:szCs w:val="16"/>
                <w:color w:val="auto"/>
              </w:rPr>
            </w:pPr>
          </w:p>
        </w:tc>
        <w:tc>
          <w:tcPr>
            <w:tcW w:w="2660" w:type="dxa"/>
            <w:vAlign w:val="bottom"/>
            <w:gridSpan w:val="2"/>
          </w:tcPr>
          <w:p>
            <w:pPr>
              <w:jc w:val="center"/>
              <w:ind w:left="869"/>
              <w:spacing w:after="0"/>
              <w:rPr>
                <w:sz w:val="20"/>
                <w:szCs w:val="20"/>
                <w:color w:val="auto"/>
              </w:rPr>
            </w:pPr>
            <w:r>
              <w:rPr>
                <w:rFonts w:ascii="Arial" w:cs="Arial" w:eastAsia="Arial" w:hAnsi="Arial"/>
                <w:sz w:val="11"/>
                <w:szCs w:val="11"/>
                <w:color w:val="auto"/>
              </w:rPr>
              <w:t>________________</w:t>
            </w:r>
          </w:p>
        </w:tc>
        <w:tc>
          <w:tcPr>
            <w:tcW w:w="960" w:type="dxa"/>
            <w:vAlign w:val="bottom"/>
          </w:tcPr>
          <w:p>
            <w:pPr>
              <w:spacing w:after="0"/>
              <w:rPr>
                <w:sz w:val="16"/>
                <w:szCs w:val="16"/>
                <w:color w:val="auto"/>
              </w:rPr>
            </w:pPr>
          </w:p>
        </w:tc>
        <w:tc>
          <w:tcPr>
            <w:tcW w:w="3840" w:type="dxa"/>
            <w:vAlign w:val="bottom"/>
          </w:tcPr>
          <w:p>
            <w:pPr>
              <w:spacing w:after="0"/>
              <w:rPr>
                <w:sz w:val="16"/>
                <w:szCs w:val="16"/>
                <w:color w:val="auto"/>
              </w:rPr>
            </w:pPr>
          </w:p>
        </w:tc>
      </w:tr>
      <w:tr>
        <w:trPr>
          <w:trHeight w:val="191"/>
        </w:trPr>
        <w:tc>
          <w:tcPr>
            <w:tcW w:w="3840" w:type="dxa"/>
            <w:vAlign w:val="bottom"/>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9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40" w:type="dxa"/>
            <w:vAlign w:val="bottom"/>
          </w:tcPr>
          <w:p>
            <w:pPr>
              <w:spacing w:after="0"/>
              <w:rPr>
                <w:sz w:val="16"/>
                <w:szCs w:val="16"/>
                <w:color w:val="auto"/>
              </w:rPr>
            </w:pPr>
          </w:p>
        </w:tc>
      </w:tr>
      <w:tr>
        <w:trPr>
          <w:trHeight w:val="144"/>
        </w:trPr>
        <w:tc>
          <w:tcPr>
            <w:tcW w:w="38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r>
      <w:tr>
        <w:trPr>
          <w:trHeight w:val="150"/>
        </w:trPr>
        <w:tc>
          <w:tcPr>
            <w:tcW w:w="3840" w:type="dxa"/>
            <w:vAlign w:val="bottom"/>
            <w:tcBorders>
              <w:left w:val="single" w:sz="8" w:color="auto"/>
              <w:bottom w:val="single" w:sz="8" w:color="auto"/>
            </w:tcBorders>
          </w:tcPr>
          <w:p>
            <w:pPr>
              <w:jc w:val="center"/>
              <w:ind w:left="918"/>
              <w:spacing w:after="0"/>
              <w:rPr>
                <w:sz w:val="20"/>
                <w:szCs w:val="20"/>
                <w:color w:val="auto"/>
              </w:rPr>
            </w:pPr>
            <w:r>
              <w:rPr>
                <w:rFonts w:ascii="Arial" w:cs="Arial" w:eastAsia="Arial" w:hAnsi="Arial"/>
                <w:sz w:val="11"/>
                <w:szCs w:val="11"/>
                <w:b w:val="1"/>
                <w:bCs w:val="1"/>
                <w:color w:val="auto"/>
              </w:rPr>
              <w:t>Title of each class</w:t>
            </w:r>
          </w:p>
        </w:tc>
        <w:tc>
          <w:tcPr>
            <w:tcW w:w="9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Trading Symbol(s)</w:t>
            </w:r>
          </w:p>
        </w:tc>
        <w:tc>
          <w:tcPr>
            <w:tcW w:w="960" w:type="dxa"/>
            <w:vAlign w:val="bottom"/>
            <w:tcBorders>
              <w:bottom w:val="single" w:sz="8" w:color="auto"/>
            </w:tcBorders>
          </w:tcPr>
          <w:p>
            <w:pPr>
              <w:spacing w:after="0"/>
              <w:rPr>
                <w:sz w:val="13"/>
                <w:szCs w:val="13"/>
                <w:color w:val="auto"/>
              </w:rPr>
            </w:pPr>
          </w:p>
        </w:tc>
        <w:tc>
          <w:tcPr>
            <w:tcW w:w="3840" w:type="dxa"/>
            <w:vAlign w:val="bottom"/>
            <w:tcBorders>
              <w:bottom w:val="single" w:sz="8" w:color="auto"/>
              <w:right w:val="single" w:sz="8" w:color="auto"/>
            </w:tcBorders>
          </w:tcPr>
          <w:p>
            <w:pPr>
              <w:jc w:val="center"/>
              <w:ind w:right="936"/>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171"/>
        </w:trPr>
        <w:tc>
          <w:tcPr>
            <w:tcW w:w="3840" w:type="dxa"/>
            <w:vAlign w:val="bottom"/>
            <w:tcBorders>
              <w:left w:val="single" w:sz="8" w:color="auto"/>
              <w:bottom w:val="single" w:sz="8" w:color="auto"/>
            </w:tcBorders>
          </w:tcPr>
          <w:p>
            <w:pPr>
              <w:jc w:val="center"/>
              <w:ind w:left="938"/>
              <w:spacing w:after="0"/>
              <w:rPr>
                <w:sz w:val="20"/>
                <w:szCs w:val="20"/>
                <w:color w:val="auto"/>
              </w:rPr>
            </w:pPr>
            <w:r>
              <w:rPr>
                <w:rFonts w:ascii="Arial" w:cs="Arial" w:eastAsia="Arial" w:hAnsi="Arial"/>
                <w:sz w:val="14"/>
                <w:szCs w:val="14"/>
                <w:b w:val="1"/>
                <w:bCs w:val="1"/>
                <w:color w:val="auto"/>
              </w:rPr>
              <w:t>Common Stock, $0.20 par value per share</w:t>
            </w:r>
          </w:p>
        </w:tc>
        <w:tc>
          <w:tcPr>
            <w:tcW w:w="98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TROW</w:t>
            </w:r>
          </w:p>
        </w:tc>
        <w:tc>
          <w:tcPr>
            <w:tcW w:w="960" w:type="dxa"/>
            <w:vAlign w:val="bottom"/>
            <w:tcBorders>
              <w:bottom w:val="single" w:sz="8" w:color="auto"/>
            </w:tcBorders>
          </w:tcPr>
          <w:p>
            <w:pPr>
              <w:spacing w:after="0"/>
              <w:rPr>
                <w:sz w:val="14"/>
                <w:szCs w:val="14"/>
                <w:color w:val="auto"/>
              </w:rPr>
            </w:pPr>
          </w:p>
        </w:tc>
        <w:tc>
          <w:tcPr>
            <w:tcW w:w="3840" w:type="dxa"/>
            <w:vAlign w:val="bottom"/>
            <w:tcBorders>
              <w:bottom w:val="single" w:sz="8" w:color="auto"/>
              <w:right w:val="single" w:sz="8" w:color="auto"/>
            </w:tcBorders>
          </w:tcPr>
          <w:p>
            <w:pPr>
              <w:jc w:val="center"/>
              <w:ind w:right="936"/>
              <w:spacing w:after="0"/>
              <w:rPr>
                <w:sz w:val="20"/>
                <w:szCs w:val="20"/>
                <w:color w:val="auto"/>
              </w:rPr>
            </w:pPr>
            <w:r>
              <w:rPr>
                <w:rFonts w:ascii="Arial" w:cs="Arial" w:eastAsia="Arial" w:hAnsi="Arial"/>
                <w:sz w:val="14"/>
                <w:szCs w:val="14"/>
                <w:b w:val="1"/>
                <w:bCs w:val="1"/>
                <w:color w:val="auto"/>
              </w:rPr>
              <w:t>The NASDAQ Stock Market LLC</w:t>
            </w:r>
          </w:p>
        </w:tc>
      </w:tr>
      <w:tr>
        <w:trPr>
          <w:trHeight w:val="196"/>
        </w:trPr>
        <w:tc>
          <w:tcPr>
            <w:tcW w:w="3840" w:type="dxa"/>
            <w:vAlign w:val="bottom"/>
          </w:tcPr>
          <w:p>
            <w:pPr>
              <w:spacing w:after="0"/>
              <w:rPr>
                <w:sz w:val="17"/>
                <w:szCs w:val="17"/>
                <w:color w:val="auto"/>
              </w:rPr>
            </w:pPr>
          </w:p>
        </w:tc>
        <w:tc>
          <w:tcPr>
            <w:tcW w:w="2660" w:type="dxa"/>
            <w:vAlign w:val="bottom"/>
            <w:gridSpan w:val="2"/>
          </w:tcPr>
          <w:p>
            <w:pPr>
              <w:jc w:val="center"/>
              <w:ind w:left="889"/>
              <w:spacing w:after="0"/>
              <w:rPr>
                <w:sz w:val="20"/>
                <w:szCs w:val="20"/>
                <w:color w:val="auto"/>
              </w:rPr>
            </w:pPr>
            <w:r>
              <w:rPr>
                <w:rFonts w:ascii="Arial" w:cs="Arial" w:eastAsia="Arial" w:hAnsi="Arial"/>
                <w:sz w:val="11"/>
                <w:szCs w:val="11"/>
                <w:color w:val="auto"/>
              </w:rPr>
              <w:t>______________________</w:t>
            </w:r>
          </w:p>
        </w:tc>
        <w:tc>
          <w:tcPr>
            <w:tcW w:w="960" w:type="dxa"/>
            <w:vAlign w:val="bottom"/>
          </w:tcPr>
          <w:p>
            <w:pPr>
              <w:spacing w:after="0"/>
              <w:rPr>
                <w:sz w:val="17"/>
                <w:szCs w:val="17"/>
                <w:color w:val="auto"/>
              </w:rPr>
            </w:pPr>
          </w:p>
        </w:tc>
        <w:tc>
          <w:tcPr>
            <w:tcW w:w="3840" w:type="dxa"/>
            <w:vAlign w:val="bottom"/>
          </w:tcPr>
          <w:p>
            <w:pPr>
              <w:spacing w:after="0"/>
              <w:rPr>
                <w:sz w:val="17"/>
                <w:szCs w:val="17"/>
                <w:color w:val="auto"/>
              </w:rPr>
            </w:pPr>
          </w:p>
        </w:tc>
      </w:tr>
    </w:tbl>
    <w:p>
      <w:pPr>
        <w:spacing w:after="0" w:line="38" w:lineRule="exact"/>
        <w:rPr>
          <w:sz w:val="24"/>
          <w:szCs w:val="24"/>
          <w:color w:val="auto"/>
        </w:rPr>
      </w:pPr>
    </w:p>
    <w:p>
      <w:pPr>
        <w:ind w:right="340"/>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44" w:lineRule="exact"/>
        <w:rPr>
          <w:sz w:val="24"/>
          <w:szCs w:val="24"/>
          <w:color w:val="auto"/>
        </w:rPr>
      </w:pPr>
    </w:p>
    <w:p>
      <w:pPr>
        <w:ind w:right="6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92" w:lineRule="exact"/>
        <w:rPr>
          <w:sz w:val="24"/>
          <w:szCs w:val="24"/>
          <w:color w:val="auto"/>
        </w:rPr>
      </w:pPr>
    </w:p>
    <w:p>
      <w:pPr>
        <w:ind w:right="60"/>
        <w:spacing w:after="0" w:line="28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33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220" w:type="dxa"/>
            <w:vAlign w:val="bottom"/>
          </w:tcPr>
          <w:p>
            <w:pPr>
              <w:ind w:left="2020"/>
              <w:spacing w:after="0" w:line="131" w:lineRule="exact"/>
              <w:rPr>
                <w:sz w:val="20"/>
                <w:szCs w:val="20"/>
                <w:color w:val="auto"/>
              </w:rPr>
            </w:pPr>
            <w:r>
              <w:rPr>
                <w:rFonts w:ascii="MS PGothic" w:cs="MS PGothic" w:eastAsia="MS PGothic" w:hAnsi="MS PGothic"/>
                <w:sz w:val="13"/>
                <w:szCs w:val="13"/>
                <w:color w:val="auto"/>
              </w:rPr>
              <w:t>☒</w:t>
            </w:r>
          </w:p>
        </w:tc>
        <w:tc>
          <w:tcPr>
            <w:tcW w:w="3540" w:type="dxa"/>
            <w:vAlign w:val="bottom"/>
          </w:tcPr>
          <w:p>
            <w:pPr>
              <w:ind w:left="100"/>
              <w:spacing w:after="0"/>
              <w:rPr>
                <w:sz w:val="20"/>
                <w:szCs w:val="20"/>
                <w:color w:val="auto"/>
              </w:rPr>
            </w:pPr>
            <w:r>
              <w:rPr>
                <w:rFonts w:ascii="Arial" w:cs="Arial" w:eastAsia="Arial" w:hAnsi="Arial"/>
                <w:sz w:val="13"/>
                <w:szCs w:val="13"/>
                <w:color w:val="auto"/>
              </w:rPr>
              <w:t>Accelerated filer</w:t>
            </w:r>
          </w:p>
        </w:tc>
        <w:tc>
          <w:tcPr>
            <w:tcW w:w="2040" w:type="dxa"/>
            <w:vAlign w:val="bottom"/>
          </w:tcPr>
          <w:p>
            <w:pPr>
              <w:ind w:left="19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167"/>
        </w:trPr>
        <w:tc>
          <w:tcPr>
            <w:tcW w:w="3300" w:type="dxa"/>
            <w:vAlign w:val="bottom"/>
          </w:tcPr>
          <w:p>
            <w:pPr>
              <w:spacing w:after="0"/>
              <w:rPr>
                <w:sz w:val="20"/>
                <w:szCs w:val="20"/>
                <w:color w:val="auto"/>
              </w:rPr>
            </w:pPr>
            <w:r>
              <w:rPr>
                <w:rFonts w:ascii="Arial" w:cs="Arial" w:eastAsia="Arial" w:hAnsi="Arial"/>
                <w:sz w:val="13"/>
                <w:szCs w:val="13"/>
                <w:color w:val="auto"/>
              </w:rPr>
              <w:t>Non-accelerated filer</w:t>
            </w:r>
          </w:p>
        </w:tc>
        <w:tc>
          <w:tcPr>
            <w:tcW w:w="2220" w:type="dxa"/>
            <w:vAlign w:val="bottom"/>
            <w:vMerge w:val="restart"/>
          </w:tcPr>
          <w:p>
            <w:pPr>
              <w:ind w:left="2020"/>
              <w:spacing w:after="0" w:line="131" w:lineRule="exact"/>
              <w:rPr>
                <w:sz w:val="20"/>
                <w:szCs w:val="20"/>
                <w:color w:val="auto"/>
              </w:rPr>
            </w:pPr>
            <w:r>
              <w:rPr>
                <w:rFonts w:ascii="MS PGothic" w:cs="MS PGothic" w:eastAsia="MS PGothic" w:hAnsi="MS PGothic"/>
                <w:sz w:val="13"/>
                <w:szCs w:val="13"/>
                <w:color w:val="auto"/>
              </w:rPr>
              <w:t>☐</w:t>
            </w:r>
          </w:p>
        </w:tc>
        <w:tc>
          <w:tcPr>
            <w:tcW w:w="3540" w:type="dxa"/>
            <w:vAlign w:val="bottom"/>
            <w:vMerge w:val="restart"/>
          </w:tcPr>
          <w:p>
            <w:pPr>
              <w:ind w:left="100"/>
              <w:spacing w:after="0"/>
              <w:rPr>
                <w:sz w:val="20"/>
                <w:szCs w:val="20"/>
                <w:color w:val="auto"/>
              </w:rPr>
            </w:pPr>
            <w:r>
              <w:rPr>
                <w:rFonts w:ascii="Arial" w:cs="Arial" w:eastAsia="Arial" w:hAnsi="Arial"/>
                <w:sz w:val="13"/>
                <w:szCs w:val="13"/>
                <w:color w:val="auto"/>
              </w:rPr>
              <w:t>Smaller reporting company</w:t>
            </w:r>
          </w:p>
        </w:tc>
        <w:tc>
          <w:tcPr>
            <w:tcW w:w="2040" w:type="dxa"/>
            <w:vAlign w:val="bottom"/>
            <w:vMerge w:val="restart"/>
          </w:tcPr>
          <w:p>
            <w:pPr>
              <w:ind w:left="19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2220" w:type="dxa"/>
            <w:vAlign w:val="bottom"/>
            <w:vMerge w:val="continue"/>
          </w:tcPr>
          <w:p>
            <w:pPr>
              <w:spacing w:after="0"/>
              <w:rPr>
                <w:sz w:val="11"/>
                <w:szCs w:val="11"/>
                <w:color w:val="auto"/>
              </w:rPr>
            </w:pPr>
          </w:p>
        </w:tc>
        <w:tc>
          <w:tcPr>
            <w:tcW w:w="354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3"/>
                <w:szCs w:val="13"/>
                <w:color w:val="auto"/>
              </w:rPr>
              <w:t>Emerging growth company</w:t>
            </w:r>
          </w:p>
        </w:tc>
        <w:tc>
          <w:tcPr>
            <w:tcW w:w="2040" w:type="dxa"/>
            <w:vAlign w:val="bottom"/>
          </w:tcPr>
          <w:p>
            <w:pPr>
              <w:ind w:left="19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bl>
    <w:p>
      <w:pPr>
        <w:spacing w:after="0" w:line="101" w:lineRule="exact"/>
        <w:rPr>
          <w:sz w:val="24"/>
          <w:szCs w:val="24"/>
          <w:color w:val="auto"/>
        </w:rPr>
      </w:pPr>
    </w:p>
    <w:p>
      <w:pPr>
        <w:ind w:right="360"/>
        <w:spacing w:after="0" w:line="167" w:lineRule="exact"/>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3"/>
          <w:szCs w:val="13"/>
          <w:color w:val="auto"/>
        </w:rPr>
        <w:t>☐</w:t>
      </w:r>
    </w:p>
    <w:p>
      <w:pPr>
        <w:spacing w:after="0" w:line="10" w:lineRule="exact"/>
        <w:rPr>
          <w:sz w:val="24"/>
          <w:szCs w:val="24"/>
          <w:color w:val="auto"/>
        </w:rPr>
      </w:pPr>
    </w:p>
    <w:p>
      <w:pPr>
        <w:spacing w:after="0" w:line="150" w:lineRule="exact"/>
        <w:tabs>
          <w:tab w:leader="none" w:pos="692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102"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outstanding of the issuer’s common stock ($0.20 par value), as of the latest practicable date, October 29, 2024, is 222,159,470.</w:t>
      </w:r>
    </w:p>
    <w:p>
      <w:pPr>
        <w:spacing w:after="0" w:line="73" w:lineRule="exact"/>
        <w:rPr>
          <w:sz w:val="24"/>
          <w:szCs w:val="24"/>
          <w:color w:val="auto"/>
        </w:rPr>
      </w:pPr>
    </w:p>
    <w:p>
      <w:pPr>
        <w:spacing w:after="0"/>
        <w:rPr>
          <w:sz w:val="20"/>
          <w:szCs w:val="20"/>
          <w:color w:val="auto"/>
        </w:rPr>
      </w:pPr>
      <w:r>
        <w:rPr>
          <w:rFonts w:ascii="Arial" w:cs="Arial" w:eastAsia="Arial" w:hAnsi="Arial"/>
          <w:sz w:val="13"/>
          <w:szCs w:val="13"/>
          <w:color w:val="auto"/>
        </w:rPr>
        <w:t>The exhibit index is at Item 6 on page 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613410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0878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787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113665</wp:posOffset>
            </wp:positionV>
            <wp:extent cx="70878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7870" cy="6985"/>
                    </a:xfrm>
                    <a:prstGeom prst="rect">
                      <a:avLst/>
                    </a:prstGeom>
                    <a:noFill/>
                  </pic:spPr>
                </pic:pic>
              </a:graphicData>
            </a:graphic>
          </wp:anchor>
        </w:drawing>
      </w:r>
    </w:p>
    <w:p>
      <w:pPr>
        <w:sectPr>
          <w:pgSz w:w="11900" w:h="16838" w:orient="portrait"/>
          <w:cols w:equalWidth="0" w:num="1">
            <w:col w:w="11280"/>
          </w:cols>
          <w:pgMar w:left="300" w:top="959"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PART I – FINANCIAL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1"/>
                <w:szCs w:val="11"/>
                <w:b w:val="1"/>
                <w:bCs w:val="1"/>
                <w:color w:val="auto"/>
              </w:rPr>
              <w:t>9/30/2024</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1"/>
                <w:szCs w:val="11"/>
                <w:b w:val="1"/>
                <w:bCs w:val="1"/>
                <w:color w:val="auto"/>
              </w:rPr>
              <w:t>12/31/2023</w:t>
            </w:r>
          </w:p>
        </w:tc>
        <w:tc>
          <w:tcPr>
            <w:tcW w:w="0" w:type="dxa"/>
            <w:vAlign w:val="bottom"/>
          </w:tcPr>
          <w:p>
            <w:pPr>
              <w:spacing w:after="0"/>
              <w:rPr>
                <w:sz w:val="1"/>
                <w:szCs w:val="1"/>
                <w:color w:val="auto"/>
              </w:rPr>
            </w:pPr>
          </w:p>
        </w:tc>
      </w:tr>
      <w:tr>
        <w:trPr>
          <w:trHeight w:val="160"/>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3,173.5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2,066.6</w:t>
            </w:r>
          </w:p>
        </w:tc>
        <w:tc>
          <w:tcPr>
            <w:tcW w:w="0" w:type="dxa"/>
            <w:vAlign w:val="bottom"/>
          </w:tcPr>
          <w:p>
            <w:pPr>
              <w:spacing w:after="0"/>
              <w:rPr>
                <w:sz w:val="1"/>
                <w:szCs w:val="1"/>
                <w:color w:val="auto"/>
              </w:rPr>
            </w:pPr>
          </w:p>
        </w:tc>
      </w:tr>
      <w:tr>
        <w:trPr>
          <w:trHeight w:val="180"/>
        </w:trPr>
        <w:tc>
          <w:tcPr>
            <w:tcW w:w="8320" w:type="dxa"/>
            <w:vAlign w:val="bottom"/>
          </w:tcPr>
          <w:p>
            <w:pPr>
              <w:ind w:left="100"/>
              <w:spacing w:after="0"/>
              <w:rPr>
                <w:sz w:val="20"/>
                <w:szCs w:val="20"/>
                <w:color w:val="auto"/>
              </w:rPr>
            </w:pPr>
            <w:r>
              <w:rPr>
                <w:rFonts w:ascii="Arial" w:cs="Arial" w:eastAsia="Arial" w:hAnsi="Arial"/>
                <w:sz w:val="14"/>
                <w:szCs w:val="14"/>
                <w:color w:val="auto"/>
              </w:rPr>
              <w:t>Accounts receivable and accrued revenue</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890.0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807.9</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Investments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2,966.0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2,554.7</w:t>
            </w:r>
          </w:p>
        </w:tc>
        <w:tc>
          <w:tcPr>
            <w:tcW w:w="0" w:type="dxa"/>
            <w:vAlign w:val="bottom"/>
          </w:tcPr>
          <w:p>
            <w:pPr>
              <w:spacing w:after="0"/>
              <w:rPr>
                <w:sz w:val="1"/>
                <w:szCs w:val="1"/>
                <w:color w:val="auto"/>
              </w:rPr>
            </w:pPr>
          </w:p>
        </w:tc>
      </w:tr>
      <w:tr>
        <w:trPr>
          <w:trHeight w:val="138"/>
        </w:trPr>
        <w:tc>
          <w:tcPr>
            <w:tcW w:w="8320" w:type="dxa"/>
            <w:vAlign w:val="bottom"/>
          </w:tcPr>
          <w:p>
            <w:pPr>
              <w:ind w:left="100"/>
              <w:spacing w:after="0" w:line="138" w:lineRule="exact"/>
              <w:rPr>
                <w:sz w:val="20"/>
                <w:szCs w:val="20"/>
                <w:color w:val="auto"/>
              </w:rPr>
            </w:pPr>
            <w:r>
              <w:rPr>
                <w:rFonts w:ascii="Arial" w:cs="Arial" w:eastAsia="Arial" w:hAnsi="Arial"/>
                <w:sz w:val="14"/>
                <w:szCs w:val="14"/>
                <w:color w:val="auto"/>
              </w:rPr>
              <w:t>Assets of consolidated sponsored investment products ($1,419.4 million at September 30, 2024 and $1,204.4 million at</w:t>
            </w:r>
          </w:p>
        </w:tc>
        <w:tc>
          <w:tcPr>
            <w:tcW w:w="2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1,857.2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1,959.3</w:t>
            </w:r>
          </w:p>
        </w:tc>
        <w:tc>
          <w:tcPr>
            <w:tcW w:w="0" w:type="dxa"/>
            <w:vAlign w:val="bottom"/>
          </w:tcPr>
          <w:p>
            <w:pPr>
              <w:spacing w:after="0"/>
              <w:rPr>
                <w:sz w:val="1"/>
                <w:szCs w:val="1"/>
                <w:color w:val="auto"/>
              </w:rPr>
            </w:pPr>
          </w:p>
        </w:tc>
      </w:tr>
      <w:tr>
        <w:trPr>
          <w:trHeight w:val="191"/>
        </w:trPr>
        <w:tc>
          <w:tcPr>
            <w:tcW w:w="8320" w:type="dxa"/>
            <w:vAlign w:val="bottom"/>
          </w:tcPr>
          <w:p>
            <w:pPr>
              <w:ind w:left="100"/>
              <w:spacing w:after="0"/>
              <w:rPr>
                <w:sz w:val="20"/>
                <w:szCs w:val="20"/>
                <w:color w:val="auto"/>
              </w:rPr>
            </w:pPr>
            <w:r>
              <w:rPr>
                <w:rFonts w:ascii="Arial" w:cs="Arial" w:eastAsia="Arial" w:hAnsi="Arial"/>
                <w:sz w:val="14"/>
                <w:szCs w:val="14"/>
                <w:color w:val="auto"/>
              </w:rPr>
              <w:t>December 31, 2023, related to variable interest entities)</w:t>
            </w: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Operating lease assets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241.1</w:t>
            </w:r>
          </w:p>
        </w:tc>
        <w:tc>
          <w:tcPr>
            <w:tcW w:w="0" w:type="dxa"/>
            <w:vAlign w:val="bottom"/>
          </w:tcPr>
          <w:p>
            <w:pPr>
              <w:spacing w:after="0"/>
              <w:rPr>
                <w:sz w:val="1"/>
                <w:szCs w:val="1"/>
                <w:color w:val="auto"/>
              </w:rPr>
            </w:pPr>
          </w:p>
        </w:tc>
      </w:tr>
      <w:tr>
        <w:trPr>
          <w:trHeight w:val="180"/>
        </w:trPr>
        <w:tc>
          <w:tcPr>
            <w:tcW w:w="8320" w:type="dxa"/>
            <w:vAlign w:val="bottom"/>
          </w:tcPr>
          <w:p>
            <w:pPr>
              <w:ind w:left="100"/>
              <w:spacing w:after="0"/>
              <w:rPr>
                <w:sz w:val="20"/>
                <w:szCs w:val="20"/>
                <w:color w:val="auto"/>
              </w:rPr>
            </w:pPr>
            <w:r>
              <w:rPr>
                <w:rFonts w:ascii="Arial" w:cs="Arial" w:eastAsia="Arial" w:hAnsi="Arial"/>
                <w:sz w:val="14"/>
                <w:szCs w:val="14"/>
                <w:color w:val="auto"/>
              </w:rPr>
              <w:t>Property, equipment and software, net</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930.1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806.6</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507.3</w:t>
            </w:r>
          </w:p>
        </w:tc>
        <w:tc>
          <w:tcPr>
            <w:tcW w:w="0" w:type="dxa"/>
            <w:vAlign w:val="bottom"/>
          </w:tcPr>
          <w:p>
            <w:pPr>
              <w:spacing w:after="0"/>
              <w:rPr>
                <w:sz w:val="1"/>
                <w:szCs w:val="1"/>
                <w:color w:val="auto"/>
              </w:rPr>
            </w:pPr>
          </w:p>
        </w:tc>
      </w:tr>
      <w:tr>
        <w:trPr>
          <w:trHeight w:val="180"/>
        </w:trPr>
        <w:tc>
          <w:tcPr>
            <w:tcW w:w="8320" w:type="dxa"/>
            <w:vAlign w:val="bottom"/>
          </w:tcPr>
          <w:p>
            <w:pPr>
              <w:ind w:left="10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2,642.8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2,642.8</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692.5</w:t>
            </w:r>
          </w:p>
        </w:tc>
        <w:tc>
          <w:tcPr>
            <w:tcW w:w="0" w:type="dxa"/>
            <w:vAlign w:val="bottom"/>
          </w:tcPr>
          <w:p>
            <w:pPr>
              <w:spacing w:after="0"/>
              <w:rPr>
                <w:sz w:val="1"/>
                <w:szCs w:val="1"/>
                <w:color w:val="auto"/>
              </w:rPr>
            </w:pPr>
          </w:p>
        </w:tc>
      </w:tr>
      <w:tr>
        <w:trPr>
          <w:trHeight w:val="171"/>
        </w:trPr>
        <w:tc>
          <w:tcPr>
            <w:tcW w:w="832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13,705.9</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12,278.8</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 and accrued expenses</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409.5</w:t>
            </w:r>
          </w:p>
        </w:tc>
        <w:tc>
          <w:tcPr>
            <w:tcW w:w="0" w:type="dxa"/>
            <w:vAlign w:val="bottom"/>
          </w:tcPr>
          <w:p>
            <w:pPr>
              <w:spacing w:after="0"/>
              <w:rPr>
                <w:sz w:val="1"/>
                <w:szCs w:val="1"/>
                <w:color w:val="auto"/>
              </w:rPr>
            </w:pPr>
          </w:p>
        </w:tc>
      </w:tr>
      <w:tr>
        <w:trPr>
          <w:trHeight w:val="138"/>
        </w:trPr>
        <w:tc>
          <w:tcPr>
            <w:tcW w:w="8320" w:type="dxa"/>
            <w:vAlign w:val="bottom"/>
          </w:tcPr>
          <w:p>
            <w:pPr>
              <w:ind w:left="120"/>
              <w:spacing w:after="0" w:line="138" w:lineRule="exact"/>
              <w:rPr>
                <w:sz w:val="20"/>
                <w:szCs w:val="20"/>
                <w:color w:val="auto"/>
              </w:rPr>
            </w:pPr>
            <w:r>
              <w:rPr>
                <w:rFonts w:ascii="Arial" w:cs="Arial" w:eastAsia="Arial" w:hAnsi="Arial"/>
                <w:sz w:val="14"/>
                <w:szCs w:val="14"/>
                <w:color w:val="auto"/>
              </w:rPr>
              <w:t>Liabilities of consolidated sponsored investment products ($38.0 million at September 30, 2024 and $35.2 million at</w:t>
            </w:r>
          </w:p>
        </w:tc>
        <w:tc>
          <w:tcPr>
            <w:tcW w:w="2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91"/>
        </w:trPr>
        <w:tc>
          <w:tcPr>
            <w:tcW w:w="8320" w:type="dxa"/>
            <w:vAlign w:val="bottom"/>
          </w:tcPr>
          <w:p>
            <w:pPr>
              <w:ind w:left="120"/>
              <w:spacing w:after="0"/>
              <w:rPr>
                <w:sz w:val="20"/>
                <w:szCs w:val="20"/>
                <w:color w:val="auto"/>
              </w:rPr>
            </w:pPr>
            <w:r>
              <w:rPr>
                <w:rFonts w:ascii="Arial" w:cs="Arial" w:eastAsia="Arial" w:hAnsi="Arial"/>
                <w:sz w:val="14"/>
                <w:szCs w:val="14"/>
                <w:color w:val="auto"/>
              </w:rPr>
              <w:t>December 31, 2023, related to variable interest entities)</w:t>
            </w: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 liabilities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308.5</w:t>
            </w:r>
          </w:p>
        </w:tc>
        <w:tc>
          <w:tcPr>
            <w:tcW w:w="0" w:type="dxa"/>
            <w:vAlign w:val="bottom"/>
          </w:tcPr>
          <w:p>
            <w:pPr>
              <w:spacing w:after="0"/>
              <w:rPr>
                <w:sz w:val="1"/>
                <w:szCs w:val="1"/>
                <w:color w:val="auto"/>
              </w:rPr>
            </w:pPr>
          </w:p>
        </w:tc>
      </w:tr>
      <w:tr>
        <w:trPr>
          <w:trHeight w:val="180"/>
        </w:trPr>
        <w:tc>
          <w:tcPr>
            <w:tcW w:w="8320" w:type="dxa"/>
            <w:vAlign w:val="bottom"/>
          </w:tcPr>
          <w:p>
            <w:pPr>
              <w:ind w:left="120"/>
              <w:spacing w:after="0"/>
              <w:rPr>
                <w:sz w:val="20"/>
                <w:szCs w:val="20"/>
                <w:color w:val="auto"/>
              </w:rPr>
            </w:pPr>
            <w:r>
              <w:rPr>
                <w:rFonts w:ascii="Arial" w:cs="Arial" w:eastAsia="Arial" w:hAnsi="Arial"/>
                <w:sz w:val="14"/>
                <w:szCs w:val="14"/>
                <w:color w:val="auto"/>
              </w:rPr>
              <w:t>Accrued compensation and related costs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801.6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240.8</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Supplemental savings plan liability</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895.0</w:t>
            </w:r>
          </w:p>
        </w:tc>
        <w:tc>
          <w:tcPr>
            <w:tcW w:w="0" w:type="dxa"/>
            <w:vAlign w:val="bottom"/>
          </w:tcPr>
          <w:p>
            <w:pPr>
              <w:spacing w:after="0"/>
              <w:rPr>
                <w:sz w:val="1"/>
                <w:szCs w:val="1"/>
                <w:color w:val="auto"/>
              </w:rPr>
            </w:pPr>
          </w:p>
        </w:tc>
      </w:tr>
      <w:tr>
        <w:trPr>
          <w:trHeight w:val="180"/>
        </w:trPr>
        <w:tc>
          <w:tcPr>
            <w:tcW w:w="8320" w:type="dxa"/>
            <w:vAlign w:val="bottom"/>
          </w:tcPr>
          <w:p>
            <w:pPr>
              <w:ind w:left="120"/>
              <w:spacing w:after="0"/>
              <w:rPr>
                <w:sz w:val="20"/>
                <w:szCs w:val="20"/>
                <w:color w:val="auto"/>
              </w:rPr>
            </w:pPr>
            <w:r>
              <w:rPr>
                <w:rFonts w:ascii="Arial" w:cs="Arial" w:eastAsia="Arial" w:hAnsi="Arial"/>
                <w:sz w:val="14"/>
                <w:szCs w:val="14"/>
                <w:color w:val="auto"/>
              </w:rPr>
              <w:t>Contingent consideration liability</w:t>
            </w:r>
          </w:p>
        </w:tc>
        <w:tc>
          <w:tcPr>
            <w:tcW w:w="2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taxes payable</w:t>
            </w: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71"/>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2,489.8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1,987.6</w:t>
            </w:r>
          </w:p>
        </w:tc>
        <w:tc>
          <w:tcPr>
            <w:tcW w:w="0" w:type="dxa"/>
            <w:vAlign w:val="bottom"/>
          </w:tcPr>
          <w:p>
            <w:pPr>
              <w:spacing w:after="0"/>
              <w:rPr>
                <w:sz w:val="1"/>
                <w:szCs w:val="1"/>
                <w:color w:val="auto"/>
              </w:rPr>
            </w:pPr>
          </w:p>
        </w:tc>
      </w:tr>
      <w:tr>
        <w:trPr>
          <w:trHeight w:val="65"/>
        </w:trPr>
        <w:tc>
          <w:tcPr>
            <w:tcW w:w="83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Commitments and contingent liabilities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83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Redeemable non-controlling interests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763.4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594.1</w:t>
            </w:r>
          </w:p>
        </w:tc>
        <w:tc>
          <w:tcPr>
            <w:tcW w:w="0" w:type="dxa"/>
            <w:vAlign w:val="bottom"/>
          </w:tcPr>
          <w:p>
            <w:pPr>
              <w:spacing w:after="0"/>
              <w:rPr>
                <w:sz w:val="1"/>
                <w:szCs w:val="1"/>
                <w:color w:val="auto"/>
              </w:rPr>
            </w:pPr>
          </w:p>
        </w:tc>
      </w:tr>
      <w:tr>
        <w:trPr>
          <w:trHeight w:val="85"/>
        </w:trPr>
        <w:tc>
          <w:tcPr>
            <w:tcW w:w="83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Preferred stock, undesignated, $0.20 par value – authorized and unissued 20,000,000 shares</w:t>
            </w:r>
          </w:p>
        </w:tc>
        <w:tc>
          <w:tcPr>
            <w:tcW w:w="2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8320" w:type="dxa"/>
            <w:vAlign w:val="bottom"/>
          </w:tcPr>
          <w:p>
            <w:pPr>
              <w:ind w:left="120"/>
              <w:spacing w:after="0" w:line="138" w:lineRule="exact"/>
              <w:rPr>
                <w:sz w:val="20"/>
                <w:szCs w:val="20"/>
                <w:color w:val="auto"/>
              </w:rPr>
            </w:pPr>
            <w:r>
              <w:rPr>
                <w:rFonts w:ascii="Arial" w:cs="Arial" w:eastAsia="Arial" w:hAnsi="Arial"/>
                <w:sz w:val="14"/>
                <w:szCs w:val="14"/>
                <w:color w:val="auto"/>
              </w:rPr>
              <w:t>Common stock, $0.20 par value—authorized 750,000,000; issued 222,143,000 shares at September 30, 2024 and 223,938,000</w:t>
            </w:r>
          </w:p>
        </w:tc>
        <w:tc>
          <w:tcPr>
            <w:tcW w:w="2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91"/>
        </w:trPr>
        <w:tc>
          <w:tcPr>
            <w:tcW w:w="8320" w:type="dxa"/>
            <w:vAlign w:val="bottom"/>
          </w:tcPr>
          <w:p>
            <w:pPr>
              <w:ind w:left="120"/>
              <w:spacing w:after="0"/>
              <w:rPr>
                <w:sz w:val="20"/>
                <w:szCs w:val="20"/>
                <w:color w:val="auto"/>
              </w:rPr>
            </w:pPr>
            <w:r>
              <w:rPr>
                <w:rFonts w:ascii="Arial" w:cs="Arial" w:eastAsia="Arial" w:hAnsi="Arial"/>
                <w:sz w:val="14"/>
                <w:szCs w:val="14"/>
                <w:color w:val="auto"/>
              </w:rPr>
              <w:t>at December 31, 2023</w:t>
            </w: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Additional capital in excess of par value</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431.7</w:t>
            </w:r>
          </w:p>
        </w:tc>
        <w:tc>
          <w:tcPr>
            <w:tcW w:w="0" w:type="dxa"/>
            <w:vAlign w:val="bottom"/>
          </w:tcPr>
          <w:p>
            <w:pPr>
              <w:spacing w:after="0"/>
              <w:rPr>
                <w:sz w:val="1"/>
                <w:szCs w:val="1"/>
                <w:color w:val="auto"/>
              </w:rPr>
            </w:pPr>
          </w:p>
        </w:tc>
      </w:tr>
      <w:tr>
        <w:trPr>
          <w:trHeight w:val="180"/>
        </w:trPr>
        <w:tc>
          <w:tcPr>
            <w:tcW w:w="8320" w:type="dxa"/>
            <w:vAlign w:val="bottom"/>
          </w:tcPr>
          <w:p>
            <w:pPr>
              <w:ind w:left="120"/>
              <w:spacing w:after="0"/>
              <w:rPr>
                <w:sz w:val="20"/>
                <w:szCs w:val="20"/>
                <w:color w:val="auto"/>
              </w:rPr>
            </w:pPr>
            <w:r>
              <w:rPr>
                <w:rFonts w:ascii="Arial" w:cs="Arial" w:eastAsia="Arial" w:hAnsi="Arial"/>
                <w:sz w:val="14"/>
                <w:szCs w:val="14"/>
                <w:color w:val="auto"/>
              </w:rPr>
              <w:t>Retained earnings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9,885.3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9,076.1</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71"/>
        </w:trPr>
        <w:tc>
          <w:tcPr>
            <w:tcW w:w="8320" w:type="dxa"/>
            <w:vAlign w:val="bottom"/>
          </w:tcPr>
          <w:p>
            <w:pPr>
              <w:ind w:left="20"/>
              <w:spacing w:after="0"/>
              <w:rPr>
                <w:sz w:val="20"/>
                <w:szCs w:val="20"/>
                <w:color w:val="auto"/>
              </w:rPr>
            </w:pPr>
            <w:r>
              <w:rPr>
                <w:rFonts w:ascii="Arial" w:cs="Arial" w:eastAsia="Arial" w:hAnsi="Arial"/>
                <w:sz w:val="14"/>
                <w:szCs w:val="14"/>
                <w:color w:val="auto"/>
              </w:rPr>
              <w:t>Total stockholders’ equity attributable to T. Rowe Price Group, Inc.</w:t>
            </w: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10,249.3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9,505.1</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in consolidated entities</w:t>
            </w: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192.0</w:t>
            </w:r>
          </w:p>
        </w:tc>
        <w:tc>
          <w:tcPr>
            <w:tcW w:w="0" w:type="dxa"/>
            <w:vAlign w:val="bottom"/>
          </w:tcPr>
          <w:p>
            <w:pPr>
              <w:spacing w:after="0"/>
              <w:rPr>
                <w:sz w:val="1"/>
                <w:szCs w:val="1"/>
                <w:color w:val="auto"/>
              </w:rPr>
            </w:pPr>
          </w:p>
        </w:tc>
      </w:tr>
      <w:tr>
        <w:trPr>
          <w:trHeight w:val="171"/>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10,452.7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9,697.1</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redeemable non-controlling interests, and stockholders’ equity</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13,705.9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12,278.8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UNAUDITED CONDENSED CONSOLIDATED STATEMENTS OF INCOME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per-share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580" w:type="dxa"/>
            <w:vAlign w:val="bottom"/>
            <w:gridSpan w:val="5"/>
            <w:shd w:val="clear" w:color="auto" w:fill="CCEEFF"/>
          </w:tcPr>
          <w:p>
            <w:pPr>
              <w:ind w:left="560"/>
              <w:spacing w:after="0"/>
              <w:rPr>
                <w:sz w:val="20"/>
                <w:szCs w:val="20"/>
                <w:color w:val="auto"/>
              </w:rPr>
            </w:pPr>
            <w:r>
              <w:rPr>
                <w:rFonts w:ascii="Arial" w:cs="Arial" w:eastAsia="Arial" w:hAnsi="Arial"/>
                <w:sz w:val="11"/>
                <w:szCs w:val="11"/>
                <w:b w:val="1"/>
                <w:bCs w:val="1"/>
                <w:color w:val="auto"/>
              </w:rPr>
              <w:t>Three months ended</w:t>
            </w:r>
          </w:p>
        </w:tc>
        <w:tc>
          <w:tcPr>
            <w:tcW w:w="240" w:type="dxa"/>
            <w:vAlign w:val="bottom"/>
            <w:shd w:val="clear" w:color="auto" w:fill="CCEEFF"/>
          </w:tcPr>
          <w:p>
            <w:pPr>
              <w:spacing w:after="0"/>
              <w:rPr>
                <w:sz w:val="13"/>
                <w:szCs w:val="13"/>
                <w:color w:val="auto"/>
              </w:rPr>
            </w:pPr>
          </w:p>
        </w:tc>
        <w:tc>
          <w:tcPr>
            <w:tcW w:w="2480" w:type="dxa"/>
            <w:vAlign w:val="bottom"/>
            <w:gridSpan w:val="4"/>
            <w:shd w:val="clear" w:color="auto" w:fill="CCEEFF"/>
          </w:tcPr>
          <w:p>
            <w:pPr>
              <w:jc w:val="right"/>
              <w:ind w:right="770"/>
              <w:spacing w:after="0"/>
              <w:rPr>
                <w:sz w:val="20"/>
                <w:szCs w:val="20"/>
                <w:color w:val="auto"/>
              </w:rPr>
            </w:pPr>
            <w:r>
              <w:rPr>
                <w:rFonts w:ascii="Arial" w:cs="Arial" w:eastAsia="Arial" w:hAnsi="Arial"/>
                <w:sz w:val="11"/>
                <w:szCs w:val="11"/>
                <w:b w:val="1"/>
                <w:bCs w:val="1"/>
                <w:color w:val="auto"/>
              </w:rPr>
              <w:t>Nine months ended</w:t>
            </w:r>
          </w:p>
        </w:tc>
        <w:tc>
          <w:tcPr>
            <w:tcW w:w="0" w:type="dxa"/>
            <w:vAlign w:val="bottom"/>
          </w:tcPr>
          <w:p>
            <w:pPr>
              <w:spacing w:after="0"/>
              <w:rPr>
                <w:sz w:val="1"/>
                <w:szCs w:val="1"/>
                <w:color w:val="auto"/>
              </w:rPr>
            </w:pPr>
          </w:p>
        </w:tc>
      </w:tr>
      <w:tr>
        <w:trPr>
          <w:trHeight w:val="150"/>
        </w:trPr>
        <w:tc>
          <w:tcPr>
            <w:tcW w:w="57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9/30/2024</w:t>
            </w:r>
          </w:p>
        </w:tc>
        <w:tc>
          <w:tcPr>
            <w:tcW w:w="10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9/30/2023</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9/30/2024</w:t>
            </w:r>
          </w:p>
        </w:tc>
        <w:tc>
          <w:tcPr>
            <w:tcW w:w="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9/30/2023</w:t>
            </w:r>
          </w:p>
        </w:tc>
        <w:tc>
          <w:tcPr>
            <w:tcW w:w="0" w:type="dxa"/>
            <w:vAlign w:val="bottom"/>
          </w:tcPr>
          <w:p>
            <w:pPr>
              <w:spacing w:after="0"/>
              <w:rPr>
                <w:sz w:val="1"/>
                <w:szCs w:val="1"/>
                <w:color w:val="auto"/>
              </w:rPr>
            </w:pPr>
          </w:p>
        </w:tc>
      </w:tr>
      <w:tr>
        <w:trPr>
          <w:trHeight w:val="161"/>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40" w:type="dxa"/>
            <w:vAlign w:val="bottom"/>
          </w:tcPr>
          <w:p>
            <w:pPr>
              <w:ind w:left="120"/>
              <w:spacing w:after="0"/>
              <w:rPr>
                <w:sz w:val="20"/>
                <w:szCs w:val="20"/>
                <w:color w:val="auto"/>
              </w:rPr>
            </w:pPr>
            <w:r>
              <w:rPr>
                <w:rFonts w:ascii="Arial" w:cs="Arial" w:eastAsia="Arial" w:hAnsi="Arial"/>
                <w:sz w:val="14"/>
                <w:szCs w:val="14"/>
                <w:color w:val="auto"/>
              </w:rPr>
              <w:t>Investment advisory fees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1,632.9</w:t>
            </w:r>
          </w:p>
        </w:tc>
        <w:tc>
          <w:tcPr>
            <w:tcW w:w="10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1,463.9</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4,772.5</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4,286.5</w:t>
            </w: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Capital allocation-based income</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w:t>
            </w:r>
          </w:p>
        </w:tc>
        <w:tc>
          <w:tcPr>
            <w:tcW w:w="0" w:type="dxa"/>
            <w:vAlign w:val="bottom"/>
          </w:tcPr>
          <w:p>
            <w:pPr>
              <w:spacing w:after="0"/>
              <w:rPr>
                <w:sz w:val="1"/>
                <w:szCs w:val="1"/>
                <w:color w:val="auto"/>
              </w:rPr>
            </w:pPr>
          </w:p>
        </w:tc>
      </w:tr>
      <w:tr>
        <w:trPr>
          <w:trHeight w:val="180"/>
        </w:trPr>
        <w:tc>
          <w:tcPr>
            <w:tcW w:w="57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Administrative, distribution, and servicing fees</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410.3</w:t>
            </w: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revenues</w:t>
            </w: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1,785.6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1,670.7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5,269.1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4,818.5</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40" w:type="dxa"/>
            <w:vAlign w:val="bottom"/>
          </w:tcPr>
          <w:p>
            <w:pPr>
              <w:ind w:left="120"/>
              <w:spacing w:after="0"/>
              <w:rPr>
                <w:sz w:val="20"/>
                <w:szCs w:val="20"/>
                <w:color w:val="auto"/>
              </w:rPr>
            </w:pPr>
            <w:r>
              <w:rPr>
                <w:rFonts w:ascii="Arial" w:cs="Arial" w:eastAsia="Arial" w:hAnsi="Arial"/>
                <w:sz w:val="14"/>
                <w:szCs w:val="14"/>
                <w:color w:val="auto"/>
              </w:rPr>
              <w:t>Compensation and related costs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678.3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2,048.4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1,938.1</w:t>
            </w: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Distribution and servicing</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w:t>
            </w:r>
          </w:p>
        </w:tc>
        <w:tc>
          <w:tcPr>
            <w:tcW w:w="0" w:type="dxa"/>
            <w:vAlign w:val="bottom"/>
          </w:tcPr>
          <w:p>
            <w:pPr>
              <w:spacing w:after="0"/>
              <w:rPr>
                <w:sz w:val="1"/>
                <w:szCs w:val="1"/>
                <w:color w:val="auto"/>
              </w:rPr>
            </w:pPr>
          </w:p>
        </w:tc>
      </w:tr>
      <w:tr>
        <w:trPr>
          <w:trHeight w:val="180"/>
        </w:trPr>
        <w:tc>
          <w:tcPr>
            <w:tcW w:w="5740" w:type="dxa"/>
            <w:vAlign w:val="bottom"/>
          </w:tcPr>
          <w:p>
            <w:pPr>
              <w:ind w:left="120"/>
              <w:spacing w:after="0"/>
              <w:rPr>
                <w:sz w:val="20"/>
                <w:szCs w:val="20"/>
                <w:color w:val="auto"/>
              </w:rPr>
            </w:pPr>
            <w:r>
              <w:rPr>
                <w:rFonts w:ascii="Arial" w:cs="Arial" w:eastAsia="Arial" w:hAnsi="Arial"/>
                <w:sz w:val="14"/>
                <w:szCs w:val="14"/>
                <w:color w:val="auto"/>
              </w:rPr>
              <w:t>Advertising and promotion</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Product and recordkeeping related costs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w:t>
            </w:r>
          </w:p>
        </w:tc>
        <w:tc>
          <w:tcPr>
            <w:tcW w:w="0" w:type="dxa"/>
            <w:vAlign w:val="bottom"/>
          </w:tcPr>
          <w:p>
            <w:pPr>
              <w:spacing w:after="0"/>
              <w:rPr>
                <w:sz w:val="1"/>
                <w:szCs w:val="1"/>
                <w:color w:val="auto"/>
              </w:rPr>
            </w:pPr>
          </w:p>
        </w:tc>
      </w:tr>
      <w:tr>
        <w:trPr>
          <w:trHeight w:val="180"/>
        </w:trPr>
        <w:tc>
          <w:tcPr>
            <w:tcW w:w="5740" w:type="dxa"/>
            <w:vAlign w:val="bottom"/>
          </w:tcPr>
          <w:p>
            <w:pPr>
              <w:ind w:left="120"/>
              <w:spacing w:after="0"/>
              <w:rPr>
                <w:sz w:val="20"/>
                <w:szCs w:val="20"/>
                <w:color w:val="auto"/>
              </w:rPr>
            </w:pPr>
            <w:r>
              <w:rPr>
                <w:rFonts w:ascii="Arial" w:cs="Arial" w:eastAsia="Arial" w:hAnsi="Arial"/>
                <w:sz w:val="14"/>
                <w:szCs w:val="14"/>
                <w:color w:val="auto"/>
              </w:rPr>
              <w:t>Technology, occupancy, and facility costs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164.0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159.7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474.8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461.0</w:t>
            </w: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administrative, and other</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293.2</w:t>
            </w:r>
          </w:p>
        </w:tc>
        <w:tc>
          <w:tcPr>
            <w:tcW w:w="0" w:type="dxa"/>
            <w:vAlign w:val="bottom"/>
          </w:tcPr>
          <w:p>
            <w:pPr>
              <w:spacing w:after="0"/>
              <w:rPr>
                <w:sz w:val="1"/>
                <w:szCs w:val="1"/>
                <w:color w:val="auto"/>
              </w:rPr>
            </w:pPr>
          </w:p>
        </w:tc>
      </w:tr>
      <w:tr>
        <w:trPr>
          <w:trHeight w:val="180"/>
        </w:trPr>
        <w:tc>
          <w:tcPr>
            <w:tcW w:w="5740" w:type="dxa"/>
            <w:vAlign w:val="bottom"/>
          </w:tcPr>
          <w:p>
            <w:pPr>
              <w:ind w:left="120"/>
              <w:spacing w:after="0"/>
              <w:rPr>
                <w:sz w:val="20"/>
                <w:szCs w:val="20"/>
                <w:color w:val="auto"/>
              </w:rPr>
            </w:pPr>
            <w:r>
              <w:rPr>
                <w:rFonts w:ascii="Arial" w:cs="Arial" w:eastAsia="Arial" w:hAnsi="Arial"/>
                <w:sz w:val="14"/>
                <w:szCs w:val="14"/>
                <w:color w:val="auto"/>
              </w:rPr>
              <w:t>Change in fair value of contingent consideration</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Acquisition-related amortization and impairment costs</w:t>
            </w: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125.3</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171"/>
        </w:trPr>
        <w:tc>
          <w:tcPr>
            <w:tcW w:w="5740" w:type="dxa"/>
            <w:vAlign w:val="bottom"/>
          </w:tcPr>
          <w:p>
            <w:pPr>
              <w:ind w:left="12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1,172.0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1,089.4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3,504.2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3,219.5</w:t>
            </w:r>
          </w:p>
        </w:tc>
        <w:tc>
          <w:tcPr>
            <w:tcW w:w="0" w:type="dxa"/>
            <w:vAlign w:val="bottom"/>
          </w:tcPr>
          <w:p>
            <w:pPr>
              <w:spacing w:after="0"/>
              <w:rPr>
                <w:sz w:val="1"/>
                <w:szCs w:val="1"/>
                <w:color w:val="auto"/>
              </w:rPr>
            </w:pPr>
          </w:p>
        </w:tc>
      </w:tr>
      <w:tr>
        <w:trPr>
          <w:trHeight w:val="212"/>
        </w:trPr>
        <w:tc>
          <w:tcPr>
            <w:tcW w:w="5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740" w:type="dxa"/>
            <w:vAlign w:val="bottom"/>
          </w:tcPr>
          <w:p>
            <w:pPr>
              <w:ind w:left="20"/>
              <w:spacing w:after="0"/>
              <w:rPr>
                <w:sz w:val="20"/>
                <w:szCs w:val="20"/>
                <w:color w:val="auto"/>
              </w:rPr>
            </w:pPr>
            <w:r>
              <w:rPr>
                <w:rFonts w:ascii="Arial" w:cs="Arial" w:eastAsia="Arial" w:hAnsi="Arial"/>
                <w:sz w:val="14"/>
                <w:szCs w:val="14"/>
                <w:color w:val="auto"/>
              </w:rPr>
              <w:t>Net operating income</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613.6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1,764.9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1,599.0</w:t>
            </w:r>
          </w:p>
        </w:tc>
        <w:tc>
          <w:tcPr>
            <w:tcW w:w="0" w:type="dxa"/>
            <w:vAlign w:val="bottom"/>
          </w:tcPr>
          <w:p>
            <w:pPr>
              <w:spacing w:after="0"/>
              <w:rPr>
                <w:sz w:val="1"/>
                <w:szCs w:val="1"/>
                <w:color w:val="auto"/>
              </w:rPr>
            </w:pPr>
          </w:p>
        </w:tc>
      </w:tr>
      <w:tr>
        <w:trPr>
          <w:trHeight w:val="212"/>
        </w:trPr>
        <w:tc>
          <w:tcPr>
            <w:tcW w:w="5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740" w:type="dxa"/>
            <w:vAlign w:val="bottom"/>
          </w:tcPr>
          <w:p>
            <w:pPr>
              <w:ind w:left="20"/>
              <w:spacing w:after="0"/>
              <w:rPr>
                <w:sz w:val="20"/>
                <w:szCs w:val="20"/>
                <w:color w:val="auto"/>
              </w:rPr>
            </w:pPr>
            <w:r>
              <w:rPr>
                <w:rFonts w:ascii="Arial" w:cs="Arial" w:eastAsia="Arial" w:hAnsi="Arial"/>
                <w:sz w:val="14"/>
                <w:szCs w:val="14"/>
                <w:color w:val="auto"/>
              </w:rPr>
              <w:t>Non-operating income (loss)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gains (losses) on investments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213.7</w:t>
            </w:r>
          </w:p>
        </w:tc>
        <w:tc>
          <w:tcPr>
            <w:tcW w:w="0" w:type="dxa"/>
            <w:vAlign w:val="bottom"/>
          </w:tcPr>
          <w:p>
            <w:pPr>
              <w:spacing w:after="0"/>
              <w:rPr>
                <w:sz w:val="1"/>
                <w:szCs w:val="1"/>
                <w:color w:val="auto"/>
              </w:rPr>
            </w:pPr>
          </w:p>
        </w:tc>
      </w:tr>
      <w:tr>
        <w:trPr>
          <w:trHeight w:val="180"/>
        </w:trPr>
        <w:tc>
          <w:tcPr>
            <w:tcW w:w="5740" w:type="dxa"/>
            <w:vAlign w:val="bottom"/>
          </w:tcPr>
          <w:p>
            <w:pPr>
              <w:ind w:left="120"/>
              <w:spacing w:after="0"/>
              <w:rPr>
                <w:sz w:val="20"/>
                <w:szCs w:val="20"/>
                <w:color w:val="auto"/>
              </w:rPr>
            </w:pPr>
            <w:r>
              <w:rPr>
                <w:rFonts w:ascii="Arial" w:cs="Arial" w:eastAsia="Arial" w:hAnsi="Arial"/>
                <w:sz w:val="14"/>
                <w:szCs w:val="14"/>
                <w:color w:val="auto"/>
              </w:rPr>
              <w:t>Net gains (losses) on consolidated sponsored investment products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166.7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gains (losses), including foreign currency gains (losses)</w:t>
            </w: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71"/>
        </w:trPr>
        <w:tc>
          <w:tcPr>
            <w:tcW w:w="57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non-operating income (loss)</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244.4</w:t>
            </w:r>
          </w:p>
        </w:tc>
        <w:tc>
          <w:tcPr>
            <w:tcW w:w="0" w:type="dxa"/>
            <w:vAlign w:val="bottom"/>
          </w:tcPr>
          <w:p>
            <w:pPr>
              <w:spacing w:after="0"/>
              <w:rPr>
                <w:sz w:val="1"/>
                <w:szCs w:val="1"/>
                <w:color w:val="auto"/>
              </w:rPr>
            </w:pPr>
          </w:p>
        </w:tc>
      </w:tr>
      <w:tr>
        <w:trPr>
          <w:trHeight w:val="192"/>
        </w:trPr>
        <w:tc>
          <w:tcPr>
            <w:tcW w:w="5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74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826.1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2,246.6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1,843.4</w:t>
            </w: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527.5</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481.3</w:t>
            </w:r>
          </w:p>
        </w:tc>
        <w:tc>
          <w:tcPr>
            <w:tcW w:w="0" w:type="dxa"/>
            <w:vAlign w:val="bottom"/>
          </w:tcPr>
          <w:p>
            <w:pPr>
              <w:spacing w:after="0"/>
              <w:rPr>
                <w:sz w:val="1"/>
                <w:szCs w:val="1"/>
                <w:color w:val="auto"/>
              </w:rPr>
            </w:pPr>
          </w:p>
        </w:tc>
      </w:tr>
      <w:tr>
        <w:trPr>
          <w:trHeight w:val="171"/>
        </w:trPr>
        <w:tc>
          <w:tcPr>
            <w:tcW w:w="57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640.4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439.2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1,719.1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1,362.1</w:t>
            </w:r>
          </w:p>
        </w:tc>
        <w:tc>
          <w:tcPr>
            <w:tcW w:w="0" w:type="dxa"/>
            <w:vAlign w:val="bottom"/>
          </w:tcPr>
          <w:p>
            <w:pPr>
              <w:spacing w:after="0"/>
              <w:rPr>
                <w:sz w:val="1"/>
                <w:szCs w:val="1"/>
                <w:color w:val="auto"/>
              </w:rPr>
            </w:pPr>
          </w:p>
        </w:tc>
      </w:tr>
      <w:tr>
        <w:trPr>
          <w:trHeight w:val="138"/>
        </w:trPr>
        <w:tc>
          <w:tcPr>
            <w:tcW w:w="57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Less: net income (loss) attributable to redeemable</w:t>
            </w:r>
          </w:p>
        </w:tc>
        <w:tc>
          <w:tcPr>
            <w:tcW w:w="2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91"/>
        </w:trPr>
        <w:tc>
          <w:tcPr>
            <w:tcW w:w="5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non-controlling interests</w:t>
            </w:r>
          </w:p>
        </w:tc>
        <w:tc>
          <w:tcPr>
            <w:tcW w:w="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740" w:type="dxa"/>
            <w:vAlign w:val="bottom"/>
          </w:tcPr>
          <w:p>
            <w:pPr>
              <w:ind w:left="20"/>
              <w:spacing w:after="0"/>
              <w:rPr>
                <w:sz w:val="20"/>
                <w:szCs w:val="20"/>
                <w:color w:val="auto"/>
              </w:rPr>
            </w:pPr>
            <w:r>
              <w:rPr>
                <w:rFonts w:ascii="Arial" w:cs="Arial" w:eastAsia="Arial" w:hAnsi="Arial"/>
                <w:sz w:val="14"/>
                <w:szCs w:val="14"/>
                <w:color w:val="auto"/>
              </w:rPr>
              <w:t>Net income attributable to T. Rowe Price Group, Inc.</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603.0</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1,660.2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1,351.1</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40" w:type="dxa"/>
            <w:vAlign w:val="bottom"/>
          </w:tcPr>
          <w:p>
            <w:pPr>
              <w:ind w:left="20"/>
              <w:spacing w:after="0"/>
              <w:rPr>
                <w:sz w:val="20"/>
                <w:szCs w:val="20"/>
                <w:color w:val="auto"/>
              </w:rPr>
            </w:pPr>
            <w:r>
              <w:rPr>
                <w:rFonts w:ascii="Arial" w:cs="Arial" w:eastAsia="Arial" w:hAnsi="Arial"/>
                <w:sz w:val="14"/>
                <w:szCs w:val="14"/>
                <w:color w:val="auto"/>
              </w:rPr>
              <w:t>Earnings per share on common stock of T. Rowe Price Group, Inc.</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40" w:type="dxa"/>
            <w:vAlign w:val="bottom"/>
          </w:tcPr>
          <w:p>
            <w:pPr>
              <w:ind w:left="120"/>
              <w:spacing w:after="0" w:line="143" w:lineRule="exact"/>
              <w:rPr>
                <w:sz w:val="20"/>
                <w:szCs w:val="20"/>
                <w:color w:val="auto"/>
              </w:rPr>
            </w:pPr>
            <w:r>
              <w:rPr>
                <w:rFonts w:ascii="Arial" w:cs="Arial" w:eastAsia="Arial" w:hAnsi="Arial"/>
                <w:sz w:val="14"/>
                <w:szCs w:val="14"/>
                <w:color w:val="auto"/>
              </w:rPr>
              <w:t>Diluted</w:t>
            </w:r>
          </w:p>
        </w:tc>
        <w:tc>
          <w:tcPr>
            <w:tcW w:w="240" w:type="dxa"/>
            <w:vAlign w:val="bottom"/>
            <w:tcBorders>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2.64</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1.97</w:t>
            </w:r>
          </w:p>
        </w:tc>
        <w:tc>
          <w:tcPr>
            <w:tcW w:w="100" w:type="dxa"/>
            <w:vAlign w:val="bottom"/>
          </w:tcPr>
          <w:p>
            <w:pPr>
              <w:spacing w:after="0"/>
              <w:rPr>
                <w:sz w:val="12"/>
                <w:szCs w:val="12"/>
                <w:color w:val="auto"/>
              </w:rPr>
            </w:pPr>
          </w:p>
        </w:tc>
        <w:tc>
          <w:tcPr>
            <w:tcW w:w="240" w:type="dxa"/>
            <w:vAlign w:val="bottom"/>
            <w:tcBorders>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7.23</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 w:name="page4"/>
    <w:bookmarkEnd w:id="3"/>
    <w:p>
      <w:pPr>
        <w:ind w:right="5240"/>
        <w:spacing w:after="0" w:line="302" w:lineRule="auto"/>
        <w:rPr>
          <w:sz w:val="20"/>
          <w:szCs w:val="20"/>
          <w:color w:val="auto"/>
        </w:rPr>
      </w:pPr>
      <w:r>
        <w:rPr>
          <w:rFonts w:ascii="Arial" w:cs="Arial" w:eastAsia="Arial" w:hAnsi="Arial"/>
          <w:sz w:val="14"/>
          <w:szCs w:val="14"/>
          <w:b w:val="1"/>
          <w:bCs w:val="1"/>
          <w:color w:val="auto"/>
        </w:rPr>
        <w:t>UNAUDITED CONDENSED CONSOLIDATED STATEMENTS OF COMPREHENSIVE INCOME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500" w:type="dxa"/>
            <w:vAlign w:val="bottom"/>
            <w:shd w:val="clear" w:color="auto" w:fill="CCEEFF"/>
          </w:tcPr>
          <w:p>
            <w:pPr>
              <w:spacing w:after="0"/>
              <w:rPr>
                <w:sz w:val="13"/>
                <w:szCs w:val="13"/>
                <w:color w:val="auto"/>
              </w:rPr>
            </w:pPr>
          </w:p>
        </w:tc>
        <w:tc>
          <w:tcPr>
            <w:tcW w:w="2520" w:type="dxa"/>
            <w:vAlign w:val="bottom"/>
            <w:tcBorders>
              <w:bottom w:val="single" w:sz="8" w:color="auto"/>
            </w:tcBorders>
            <w:gridSpan w:val="4"/>
            <w:shd w:val="clear" w:color="auto" w:fill="CCEEFF"/>
          </w:tcPr>
          <w:p>
            <w:pPr>
              <w:jc w:val="right"/>
              <w:ind w:right="416"/>
              <w:spacing w:after="0"/>
              <w:rPr>
                <w:sz w:val="20"/>
                <w:szCs w:val="20"/>
                <w:color w:val="auto"/>
              </w:rPr>
            </w:pPr>
            <w:r>
              <w:rPr>
                <w:rFonts w:ascii="Arial" w:cs="Arial" w:eastAsia="Arial" w:hAnsi="Arial"/>
                <w:sz w:val="11"/>
                <w:szCs w:val="11"/>
                <w:b w:val="1"/>
                <w:bCs w:val="1"/>
                <w:color w:val="auto"/>
              </w:rPr>
              <w:t>Three months ended</w:t>
            </w:r>
          </w:p>
        </w:tc>
        <w:tc>
          <w:tcPr>
            <w:tcW w:w="4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2480" w:type="dxa"/>
            <w:vAlign w:val="bottom"/>
            <w:tcBorders>
              <w:bottom w:val="single" w:sz="8" w:color="auto"/>
            </w:tcBorders>
            <w:gridSpan w:val="4"/>
            <w:shd w:val="clear" w:color="auto" w:fill="CCEEFF"/>
          </w:tcPr>
          <w:p>
            <w:pPr>
              <w:jc w:val="right"/>
              <w:ind w:right="771"/>
              <w:spacing w:after="0"/>
              <w:rPr>
                <w:sz w:val="20"/>
                <w:szCs w:val="20"/>
                <w:color w:val="auto"/>
              </w:rPr>
            </w:pPr>
            <w:r>
              <w:rPr>
                <w:rFonts w:ascii="Arial" w:cs="Arial" w:eastAsia="Arial" w:hAnsi="Arial"/>
                <w:sz w:val="11"/>
                <w:szCs w:val="11"/>
                <w:b w:val="1"/>
                <w:bCs w:val="1"/>
                <w:color w:val="auto"/>
              </w:rPr>
              <w:t>Nine months ended</w:t>
            </w:r>
          </w:p>
        </w:tc>
      </w:tr>
      <w:tr>
        <w:trPr>
          <w:trHeight w:val="150"/>
        </w:trPr>
        <w:tc>
          <w:tcPr>
            <w:tcW w:w="55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9/30/2024</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9/30/2023</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rPr>
              <w:t>9/30/2024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9/30/2023</w:t>
            </w:r>
          </w:p>
        </w:tc>
      </w:tr>
      <w:tr>
        <w:trPr>
          <w:trHeight w:val="192"/>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0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640.4</w:t>
            </w:r>
          </w:p>
        </w:tc>
        <w:tc>
          <w:tcPr>
            <w:tcW w:w="8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1,719.1</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1,362.1</w:t>
            </w:r>
          </w:p>
        </w:tc>
      </w:tr>
      <w:tr>
        <w:trPr>
          <w:trHeight w:val="182"/>
        </w:trPr>
        <w:tc>
          <w:tcPr>
            <w:tcW w:w="550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2"/>
        </w:trPr>
        <w:tc>
          <w:tcPr>
            <w:tcW w:w="5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Currency translation adjustments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2"/>
        </w:trPr>
        <w:tc>
          <w:tcPr>
            <w:tcW w:w="5500" w:type="dxa"/>
            <w:vAlign w:val="bottom"/>
          </w:tcPr>
          <w:p>
            <w:pPr>
              <w:ind w:left="180"/>
              <w:spacing w:after="0"/>
              <w:rPr>
                <w:sz w:val="20"/>
                <w:szCs w:val="20"/>
                <w:color w:val="auto"/>
              </w:rPr>
            </w:pPr>
            <w:r>
              <w:rPr>
                <w:rFonts w:ascii="Arial" w:cs="Arial" w:eastAsia="Arial" w:hAnsi="Arial"/>
                <w:sz w:val="14"/>
                <w:szCs w:val="14"/>
                <w:color w:val="auto"/>
              </w:rPr>
              <w:t>Consolidated T. Rowe Price investment products - variable interest entities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176"/>
        </w:trPr>
        <w:tc>
          <w:tcPr>
            <w:tcW w:w="5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Reclassification (gains) losses recognized in non-operating income upon</w:t>
            </w: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6"/>
        </w:trPr>
        <w:tc>
          <w:tcPr>
            <w:tcW w:w="5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deconsolidation of certain T. Rowe Price investment products</w:t>
            </w:r>
          </w:p>
        </w:tc>
        <w:tc>
          <w:tcPr>
            <w:tcW w:w="10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56"/>
        </w:trPr>
        <w:tc>
          <w:tcPr>
            <w:tcW w:w="5500" w:type="dxa"/>
            <w:vAlign w:val="bottom"/>
          </w:tcPr>
          <w:p>
            <w:pPr>
              <w:ind w:left="180"/>
              <w:spacing w:after="0" w:line="157" w:lineRule="exact"/>
              <w:rPr>
                <w:sz w:val="20"/>
                <w:szCs w:val="20"/>
                <w:color w:val="auto"/>
              </w:rPr>
            </w:pPr>
            <w:r>
              <w:rPr>
                <w:rFonts w:ascii="Arial" w:cs="Arial" w:eastAsia="Arial" w:hAnsi="Arial"/>
                <w:sz w:val="14"/>
                <w:szCs w:val="14"/>
                <w:color w:val="auto"/>
              </w:rPr>
              <w:t>Total currency translation adjustments of consolidated T. Rowe Price investment</w:t>
            </w: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6"/>
        </w:trPr>
        <w:tc>
          <w:tcPr>
            <w:tcW w:w="5500" w:type="dxa"/>
            <w:vAlign w:val="bottom"/>
          </w:tcPr>
          <w:p>
            <w:pPr>
              <w:ind w:left="180"/>
              <w:spacing w:after="0"/>
              <w:rPr>
                <w:sz w:val="20"/>
                <w:szCs w:val="20"/>
                <w:color w:val="auto"/>
              </w:rPr>
            </w:pPr>
            <w:r>
              <w:rPr>
                <w:rFonts w:ascii="Arial" w:cs="Arial" w:eastAsia="Arial" w:hAnsi="Arial"/>
                <w:sz w:val="14"/>
                <w:szCs w:val="14"/>
                <w:color w:val="auto"/>
              </w:rPr>
              <w:t>products - variable interest entities</w:t>
            </w:r>
          </w:p>
        </w:tc>
        <w:tc>
          <w:tcPr>
            <w:tcW w:w="10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17.5</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12"/>
        </w:trPr>
        <w:tc>
          <w:tcPr>
            <w:tcW w:w="5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method investments</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92"/>
        </w:trPr>
        <w:tc>
          <w:tcPr>
            <w:tcW w:w="55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currency translation adjustments</w:t>
            </w:r>
          </w:p>
        </w:tc>
        <w:tc>
          <w:tcPr>
            <w:tcW w:w="10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r>
      <w:tr>
        <w:trPr>
          <w:trHeight w:val="192"/>
        </w:trPr>
        <w:tc>
          <w:tcPr>
            <w:tcW w:w="5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bl>
    <w:p>
      <w:pPr>
        <w:spacing w:after="0" w:line="7" w:lineRule="exact"/>
        <w:rPr>
          <w:sz w:val="20"/>
          <w:szCs w:val="20"/>
          <w:color w:val="auto"/>
        </w:rPr>
      </w:pPr>
    </w:p>
    <w:p>
      <w:pPr>
        <w:sectPr>
          <w:pgSz w:w="11900" w:h="16838" w:orient="portrait"/>
          <w:cols w:equalWidth="0" w:num="1">
            <w:col w:w="11280"/>
          </w:cols>
          <w:pgMar w:left="300" w:top="761" w:right="319" w:bottom="1440" w:gutter="0" w:footer="0" w:header="0"/>
        </w:sectPr>
      </w:pPr>
    </w:p>
    <w:p>
      <w:pPr>
        <w:ind w:left="120" w:right="1220" w:hanging="94"/>
        <w:spacing w:after="0" w:line="316" w:lineRule="auto"/>
        <w:rPr>
          <w:sz w:val="20"/>
          <w:szCs w:val="20"/>
          <w:color w:val="auto"/>
        </w:rPr>
      </w:pPr>
      <w:r>
        <w:rPr>
          <w:rFonts w:ascii="Arial" w:cs="Arial" w:eastAsia="Arial" w:hAnsi="Arial"/>
          <w:sz w:val="14"/>
          <w:szCs w:val="14"/>
          <w:color w:val="auto"/>
        </w:rPr>
        <w:t>Other comprehensive income (loss) before income taxes Net deferred tax (expense) benefits</w:t>
      </w:r>
    </w:p>
    <w:p>
      <w:pPr>
        <w:ind w:left="20"/>
        <w:spacing w:after="0"/>
        <w:rPr>
          <w:sz w:val="20"/>
          <w:szCs w:val="20"/>
          <w:color w:val="auto"/>
        </w:rPr>
      </w:pPr>
      <w:r>
        <w:rPr>
          <w:rFonts w:ascii="Arial" w:cs="Arial" w:eastAsia="Arial" w:hAnsi="Arial"/>
          <w:sz w:val="14"/>
          <w:szCs w:val="14"/>
          <w:color w:val="auto"/>
        </w:rPr>
        <w:t>Total other comprehensive income (loss)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440" w:type="dxa"/>
            <w:vAlign w:val="bottom"/>
          </w:tcPr>
          <w:p>
            <w:pPr>
              <w:jc w:val="right"/>
              <w:spacing w:after="0"/>
              <w:rPr>
                <w:sz w:val="20"/>
                <w:szCs w:val="20"/>
                <w:color w:val="auto"/>
              </w:rPr>
            </w:pPr>
            <w:r>
              <w:rPr>
                <w:rFonts w:ascii="Arial" w:cs="Arial" w:eastAsia="Arial" w:hAnsi="Arial"/>
                <w:sz w:val="14"/>
                <w:szCs w:val="14"/>
                <w:color w:val="auto"/>
              </w:rPr>
              <w:t>17.6</w:t>
            </w:r>
          </w:p>
        </w:tc>
        <w:tc>
          <w:tcPr>
            <w:tcW w:w="80" w:type="dxa"/>
            <w:vAlign w:val="bottom"/>
          </w:tcPr>
          <w:p>
            <w:pPr>
              <w:spacing w:after="0"/>
              <w:rPr>
                <w:sz w:val="16"/>
                <w:szCs w:val="16"/>
                <w:color w:val="auto"/>
              </w:rPr>
            </w:pPr>
          </w:p>
        </w:tc>
        <w:tc>
          <w:tcPr>
            <w:tcW w:w="1440" w:type="dxa"/>
            <w:vAlign w:val="bottom"/>
          </w:tcPr>
          <w:p>
            <w:pPr>
              <w:jc w:val="center"/>
              <w:ind w:left="1029"/>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14.3</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211"/>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center"/>
              <w:ind w:left="1049"/>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r>
      <w:tr>
        <w:trPr>
          <w:trHeight w:val="192"/>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16"/>
                <w:szCs w:val="16"/>
                <w:color w:val="auto"/>
              </w:rPr>
            </w:pPr>
          </w:p>
        </w:tc>
        <w:tc>
          <w:tcPr>
            <w:tcW w:w="1440" w:type="dxa"/>
            <w:vAlign w:val="bottom"/>
            <w:tcBorders>
              <w:bottom w:val="single" w:sz="8" w:color="auto"/>
            </w:tcBorders>
          </w:tcPr>
          <w:p>
            <w:pPr>
              <w:jc w:val="center"/>
              <w:ind w:left="1029"/>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-275590</wp:posOffset>
            </wp:positionV>
            <wp:extent cx="7161530" cy="134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-6350</wp:posOffset>
            </wp:positionV>
            <wp:extent cx="7161530" cy="134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5780"/>
          </w:cols>
          <w:pgMar w:left="300" w:top="761" w:right="319" w:bottom="1440"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00" w:type="dxa"/>
            <w:vAlign w:val="bottom"/>
          </w:tcPr>
          <w:p>
            <w:pPr>
              <w:ind w:left="20"/>
              <w:spacing w:after="0"/>
              <w:rPr>
                <w:sz w:val="20"/>
                <w:szCs w:val="20"/>
                <w:color w:val="auto"/>
              </w:rPr>
            </w:pPr>
            <w:r>
              <w:rPr>
                <w:rFonts w:ascii="Arial" w:cs="Arial" w:eastAsia="Arial" w:hAnsi="Arial"/>
                <w:sz w:val="14"/>
                <w:szCs w:val="14"/>
                <w:color w:val="auto"/>
              </w:rPr>
              <w:t>Total comprehensive income</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657.5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436.9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1,733.3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1,376.6</w:t>
            </w:r>
          </w:p>
        </w:tc>
      </w:tr>
      <w:tr>
        <w:trPr>
          <w:trHeight w:val="176"/>
        </w:trPr>
        <w:tc>
          <w:tcPr>
            <w:tcW w:w="5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comprehensive income (loss) attributable to redeemable non-controlling</w:t>
            </w: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06"/>
        </w:trPr>
        <w:tc>
          <w:tcPr>
            <w:tcW w:w="5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interests</w:t>
            </w:r>
          </w:p>
        </w:tc>
        <w:tc>
          <w:tcPr>
            <w:tcW w:w="5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171"/>
        </w:trPr>
        <w:tc>
          <w:tcPr>
            <w:tcW w:w="5500" w:type="dxa"/>
            <w:vAlign w:val="bottom"/>
          </w:tcPr>
          <w:p>
            <w:pPr>
              <w:ind w:left="20"/>
              <w:spacing w:after="0"/>
              <w:rPr>
                <w:sz w:val="20"/>
                <w:szCs w:val="20"/>
                <w:color w:val="auto"/>
              </w:rPr>
            </w:pPr>
            <w:r>
              <w:rPr>
                <w:rFonts w:ascii="Arial" w:cs="Arial" w:eastAsia="Arial" w:hAnsi="Arial"/>
                <w:sz w:val="14"/>
                <w:szCs w:val="14"/>
                <w:color w:val="auto"/>
              </w:rPr>
              <w:t>Total comprehensive income attributable to T. Rowe Price Group, Inc.</w:t>
            </w:r>
          </w:p>
        </w:tc>
        <w:tc>
          <w:tcPr>
            <w:tcW w:w="5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612.7</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454.8</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1,668.2</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1,357.9</w:t>
            </w:r>
          </w:p>
        </w:tc>
      </w:tr>
      <w:tr>
        <w:trPr>
          <w:trHeight w:val="20"/>
        </w:trPr>
        <w:tc>
          <w:tcPr>
            <w:tcW w:w="5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b w:val="1"/>
          <w:bCs w:val="1"/>
          <w:color w:val="auto"/>
        </w:rPr>
        <w:t>UNAUDITED CONDENSED 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2680" w:type="dxa"/>
            <w:vAlign w:val="bottom"/>
            <w:tcBorders>
              <w:bottom w:val="single" w:sz="8" w:color="auto"/>
            </w:tcBorders>
            <w:gridSpan w:val="4"/>
            <w:shd w:val="clear" w:color="auto" w:fill="CCEEFF"/>
          </w:tcPr>
          <w:p>
            <w:pPr>
              <w:jc w:val="right"/>
              <w:ind w:right="890"/>
              <w:spacing w:after="0"/>
              <w:rPr>
                <w:sz w:val="20"/>
                <w:szCs w:val="20"/>
                <w:color w:val="auto"/>
              </w:rPr>
            </w:pPr>
            <w:r>
              <w:rPr>
                <w:rFonts w:ascii="Arial" w:cs="Arial" w:eastAsia="Arial" w:hAnsi="Arial"/>
                <w:sz w:val="11"/>
                <w:szCs w:val="11"/>
                <w:b w:val="1"/>
                <w:bCs w:val="1"/>
                <w:color w:val="auto"/>
              </w:rPr>
              <w:t>Nine months ended</w:t>
            </w:r>
          </w:p>
        </w:tc>
        <w:tc>
          <w:tcPr>
            <w:tcW w:w="0" w:type="dxa"/>
            <w:vAlign w:val="bottom"/>
          </w:tcPr>
          <w:p>
            <w:pPr>
              <w:spacing w:after="0"/>
              <w:rPr>
                <w:sz w:val="1"/>
                <w:szCs w:val="1"/>
                <w:color w:val="auto"/>
              </w:rPr>
            </w:pPr>
          </w:p>
        </w:tc>
      </w:tr>
      <w:tr>
        <w:trPr>
          <w:trHeight w:val="150"/>
        </w:trPr>
        <w:tc>
          <w:tcPr>
            <w:tcW w:w="83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1"/>
                <w:szCs w:val="11"/>
                <w:b w:val="1"/>
                <w:bCs w:val="1"/>
                <w:color w:val="auto"/>
              </w:rPr>
              <w:t>9/30/2024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1"/>
                <w:szCs w:val="11"/>
                <w:b w:val="1"/>
                <w:bCs w:val="1"/>
                <w:color w:val="auto"/>
              </w:rPr>
              <w:t>9/30/2023</w:t>
            </w:r>
          </w:p>
        </w:tc>
        <w:tc>
          <w:tcPr>
            <w:tcW w:w="0" w:type="dxa"/>
            <w:vAlign w:val="bottom"/>
          </w:tcPr>
          <w:p>
            <w:pPr>
              <w:spacing w:after="0"/>
              <w:rPr>
                <w:sz w:val="1"/>
                <w:szCs w:val="1"/>
                <w:color w:val="auto"/>
              </w:rPr>
            </w:pPr>
          </w:p>
        </w:tc>
      </w:tr>
      <w:tr>
        <w:trPr>
          <w:trHeight w:val="16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1,719.1</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1,362.1</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240"/>
              <w:spacing w:after="0"/>
              <w:rPr>
                <w:sz w:val="20"/>
                <w:szCs w:val="20"/>
                <w:color w:val="auto"/>
              </w:rPr>
            </w:pPr>
            <w:r>
              <w:rPr>
                <w:rFonts w:ascii="Arial" w:cs="Arial" w:eastAsia="Arial" w:hAnsi="Arial"/>
                <w:sz w:val="14"/>
                <w:szCs w:val="14"/>
                <w:color w:val="auto"/>
              </w:rPr>
              <w:t>Depreciation, amortization and impairment of property, equipment and software</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181.6</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 and impairment of acquisition-related assets and retention arrangements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0" w:type="dxa"/>
            <w:vAlign w:val="bottom"/>
          </w:tcPr>
          <w:p>
            <w:pPr>
              <w:spacing w:after="0"/>
              <w:rPr>
                <w:sz w:val="1"/>
                <w:szCs w:val="1"/>
                <w:color w:val="auto"/>
              </w:rPr>
            </w:pPr>
          </w:p>
        </w:tc>
      </w:tr>
      <w:tr>
        <w:trPr>
          <w:trHeight w:val="180"/>
        </w:trPr>
        <w:tc>
          <w:tcPr>
            <w:tcW w:w="8320" w:type="dxa"/>
            <w:vAlign w:val="bottom"/>
          </w:tcPr>
          <w:p>
            <w:pPr>
              <w:ind w:left="240"/>
              <w:spacing w:after="0"/>
              <w:rPr>
                <w:sz w:val="20"/>
                <w:szCs w:val="20"/>
                <w:color w:val="auto"/>
              </w:rPr>
            </w:pPr>
            <w:r>
              <w:rPr>
                <w:rFonts w:ascii="Arial" w:cs="Arial" w:eastAsia="Arial" w:hAnsi="Arial"/>
                <w:sz w:val="14"/>
                <w:szCs w:val="14"/>
                <w:color w:val="auto"/>
              </w:rPr>
              <w:t>Fair value remeasurement of contingent consideration liability</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w:t>
            </w:r>
          </w:p>
        </w:tc>
        <w:tc>
          <w:tcPr>
            <w:tcW w:w="0" w:type="dxa"/>
            <w:vAlign w:val="bottom"/>
          </w:tcPr>
          <w:p>
            <w:pPr>
              <w:spacing w:after="0"/>
              <w:rPr>
                <w:sz w:val="1"/>
                <w:szCs w:val="1"/>
                <w:color w:val="auto"/>
              </w:rPr>
            </w:pPr>
          </w:p>
        </w:tc>
      </w:tr>
      <w:tr>
        <w:trPr>
          <w:trHeight w:val="180"/>
        </w:trPr>
        <w:tc>
          <w:tcPr>
            <w:tcW w:w="8320" w:type="dxa"/>
            <w:vAlign w:val="bottom"/>
          </w:tcPr>
          <w:p>
            <w:pPr>
              <w:ind w:left="240"/>
              <w:spacing w:after="0"/>
              <w:rPr>
                <w:sz w:val="20"/>
                <w:szCs w:val="20"/>
                <w:color w:val="auto"/>
              </w:rPr>
            </w:pPr>
            <w:r>
              <w:rPr>
                <w:rFonts w:ascii="Arial" w:cs="Arial" w:eastAsia="Arial" w:hAnsi="Arial"/>
                <w:sz w:val="14"/>
                <w:szCs w:val="14"/>
                <w:color w:val="auto"/>
              </w:rPr>
              <w:t>Net gains recognized on investments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(300.4)</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redemptions in sponsored investment products used to economically hedge supplemental savings plan liability</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80"/>
        </w:trPr>
        <w:tc>
          <w:tcPr>
            <w:tcW w:w="8320" w:type="dxa"/>
            <w:vAlign w:val="bottom"/>
          </w:tcPr>
          <w:p>
            <w:pPr>
              <w:ind w:left="240"/>
              <w:spacing w:after="0"/>
              <w:rPr>
                <w:sz w:val="20"/>
                <w:szCs w:val="20"/>
                <w:color w:val="auto"/>
              </w:rPr>
            </w:pPr>
            <w:r>
              <w:rPr>
                <w:rFonts w:ascii="Arial" w:cs="Arial" w:eastAsia="Arial" w:hAnsi="Arial"/>
                <w:sz w:val="14"/>
                <w:szCs w:val="14"/>
                <w:color w:val="auto"/>
              </w:rPr>
              <w:t>Net change in securities held by consolidated sponsored investment products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(517.9)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(779.9)</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changes in assets and liabilities</w:t>
            </w: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549.3</w:t>
            </w:r>
          </w:p>
        </w:tc>
        <w:tc>
          <w:tcPr>
            <w:tcW w:w="0" w:type="dxa"/>
            <w:vAlign w:val="bottom"/>
          </w:tcPr>
          <w:p>
            <w:pPr>
              <w:spacing w:after="0"/>
              <w:rPr>
                <w:sz w:val="1"/>
                <w:szCs w:val="1"/>
                <w:color w:val="auto"/>
              </w:rPr>
            </w:pPr>
          </w:p>
        </w:tc>
      </w:tr>
      <w:tr>
        <w:trPr>
          <w:trHeight w:val="171"/>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1,967.5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1,376.5</w:t>
            </w:r>
          </w:p>
        </w:tc>
        <w:tc>
          <w:tcPr>
            <w:tcW w:w="0" w:type="dxa"/>
            <w:vAlign w:val="bottom"/>
          </w:tcPr>
          <w:p>
            <w:pPr>
              <w:spacing w:after="0"/>
              <w:rPr>
                <w:sz w:val="1"/>
                <w:szCs w:val="1"/>
                <w:color w:val="auto"/>
              </w:rPr>
            </w:pPr>
          </w:p>
        </w:tc>
      </w:tr>
      <w:tr>
        <w:trPr>
          <w:trHeight w:val="192"/>
        </w:trPr>
        <w:tc>
          <w:tcPr>
            <w:tcW w:w="8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sponsored investment products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80"/>
        </w:trPr>
        <w:tc>
          <w:tcPr>
            <w:tcW w:w="8320" w:type="dxa"/>
            <w:vAlign w:val="bottom"/>
          </w:tcPr>
          <w:p>
            <w:pPr>
              <w:ind w:left="120"/>
              <w:spacing w:after="0"/>
              <w:rPr>
                <w:sz w:val="20"/>
                <w:szCs w:val="20"/>
                <w:color w:val="auto"/>
              </w:rPr>
            </w:pPr>
            <w:r>
              <w:rPr>
                <w:rFonts w:ascii="Arial" w:cs="Arial" w:eastAsia="Arial" w:hAnsi="Arial"/>
                <w:sz w:val="14"/>
                <w:szCs w:val="14"/>
                <w:color w:val="auto"/>
              </w:rPr>
              <w:t>Dispositions of sponsored investment products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370.7</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of sponsored investment products on deconsolidation</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80"/>
        </w:trPr>
        <w:tc>
          <w:tcPr>
            <w:tcW w:w="8320" w:type="dxa"/>
            <w:vAlign w:val="bottom"/>
          </w:tcPr>
          <w:p>
            <w:pPr>
              <w:ind w:left="120"/>
              <w:spacing w:after="0"/>
              <w:rPr>
                <w:sz w:val="20"/>
                <w:szCs w:val="20"/>
                <w:color w:val="auto"/>
              </w:rPr>
            </w:pPr>
            <w:r>
              <w:rPr>
                <w:rFonts w:ascii="Arial" w:cs="Arial" w:eastAsia="Arial" w:hAnsi="Arial"/>
                <w:sz w:val="14"/>
                <w:szCs w:val="14"/>
                <w:color w:val="auto"/>
              </w:rPr>
              <w:t>Additions to property, equipment and software</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(226.0)</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investing activity</w:t>
            </w: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71"/>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(used in) provided by investing activities</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92"/>
        </w:trPr>
        <w:tc>
          <w:tcPr>
            <w:tcW w:w="8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Repurchases of common stock</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w:t>
            </w:r>
          </w:p>
        </w:tc>
        <w:tc>
          <w:tcPr>
            <w:tcW w:w="0" w:type="dxa"/>
            <w:vAlign w:val="bottom"/>
          </w:tcPr>
          <w:p>
            <w:pPr>
              <w:spacing w:after="0"/>
              <w:rPr>
                <w:sz w:val="1"/>
                <w:szCs w:val="1"/>
                <w:color w:val="auto"/>
              </w:rPr>
            </w:pPr>
          </w:p>
        </w:tc>
      </w:tr>
      <w:tr>
        <w:trPr>
          <w:trHeight w:val="180"/>
        </w:trPr>
        <w:tc>
          <w:tcPr>
            <w:tcW w:w="8320" w:type="dxa"/>
            <w:vAlign w:val="bottom"/>
          </w:tcPr>
          <w:p>
            <w:pPr>
              <w:ind w:left="120"/>
              <w:spacing w:after="0"/>
              <w:rPr>
                <w:sz w:val="20"/>
                <w:szCs w:val="20"/>
                <w:color w:val="auto"/>
              </w:rPr>
            </w:pPr>
            <w:r>
              <w:rPr>
                <w:rFonts w:ascii="Arial" w:cs="Arial" w:eastAsia="Arial" w:hAnsi="Arial"/>
                <w:sz w:val="14"/>
                <w:szCs w:val="14"/>
                <w:color w:val="auto"/>
              </w:rPr>
              <w:t>Common share issuances under stock-based compensation plans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Dividends paid to common stockholders of T. Rowe Price Group, Inc.</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(842.0)</w:t>
            </w:r>
          </w:p>
        </w:tc>
        <w:tc>
          <w:tcPr>
            <w:tcW w:w="0" w:type="dxa"/>
            <w:vAlign w:val="bottom"/>
          </w:tcPr>
          <w:p>
            <w:pPr>
              <w:spacing w:after="0"/>
              <w:rPr>
                <w:sz w:val="1"/>
                <w:szCs w:val="1"/>
                <w:color w:val="auto"/>
              </w:rPr>
            </w:pPr>
          </w:p>
        </w:tc>
      </w:tr>
      <w:tr>
        <w:trPr>
          <w:trHeight w:val="180"/>
        </w:trPr>
        <w:tc>
          <w:tcPr>
            <w:tcW w:w="8320" w:type="dxa"/>
            <w:vAlign w:val="bottom"/>
          </w:tcPr>
          <w:p>
            <w:pPr>
              <w:ind w:left="120"/>
              <w:spacing w:after="0"/>
              <w:rPr>
                <w:sz w:val="20"/>
                <w:szCs w:val="20"/>
                <w:color w:val="auto"/>
              </w:rPr>
            </w:pPr>
            <w:r>
              <w:rPr>
                <w:rFonts w:ascii="Arial" w:cs="Arial" w:eastAsia="Arial" w:hAnsi="Arial"/>
                <w:sz w:val="14"/>
                <w:szCs w:val="14"/>
                <w:color w:val="auto"/>
              </w:rPr>
              <w:t>Net contributions (distributions) to non-controlling interests in consolidated entities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subscriptions from redeemable non-controlling interest holders</w:t>
            </w: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343.7</w:t>
            </w:r>
          </w:p>
        </w:tc>
        <w:tc>
          <w:tcPr>
            <w:tcW w:w="0" w:type="dxa"/>
            <w:vAlign w:val="bottom"/>
          </w:tcPr>
          <w:p>
            <w:pPr>
              <w:spacing w:after="0"/>
              <w:rPr>
                <w:sz w:val="1"/>
                <w:szCs w:val="1"/>
                <w:color w:val="auto"/>
              </w:rPr>
            </w:pPr>
          </w:p>
        </w:tc>
      </w:tr>
      <w:tr>
        <w:trPr>
          <w:trHeight w:val="171"/>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used in financing activities</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(617.2)</w:t>
            </w:r>
          </w:p>
        </w:tc>
        <w:tc>
          <w:tcPr>
            <w:tcW w:w="0" w:type="dxa"/>
            <w:vAlign w:val="bottom"/>
          </w:tcPr>
          <w:p>
            <w:pPr>
              <w:spacing w:after="0"/>
              <w:rPr>
                <w:sz w:val="1"/>
                <w:szCs w:val="1"/>
                <w:color w:val="auto"/>
              </w:rPr>
            </w:pPr>
          </w:p>
        </w:tc>
      </w:tr>
      <w:tr>
        <w:trPr>
          <w:trHeight w:val="192"/>
        </w:trPr>
        <w:tc>
          <w:tcPr>
            <w:tcW w:w="8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320" w:type="dxa"/>
            <w:vAlign w:val="bottom"/>
          </w:tcPr>
          <w:p>
            <w:pPr>
              <w:ind w:left="20"/>
              <w:spacing w:after="0" w:line="138" w:lineRule="exact"/>
              <w:rPr>
                <w:sz w:val="20"/>
                <w:szCs w:val="20"/>
                <w:color w:val="auto"/>
              </w:rPr>
            </w:pPr>
            <w:r>
              <w:rPr>
                <w:rFonts w:ascii="Arial" w:cs="Arial" w:eastAsia="Arial" w:hAnsi="Arial"/>
                <w:sz w:val="14"/>
                <w:szCs w:val="14"/>
                <w:color w:val="auto"/>
              </w:rPr>
              <w:t>Effect of exchange rate changes on cash and cash equivalents of consolidated</w:t>
            </w:r>
          </w:p>
        </w:tc>
        <w:tc>
          <w:tcPr>
            <w:tcW w:w="2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1"/>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 Rowe Price investment products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Net change in cash and cash equivalents during period</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1,084.8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795.6</w:t>
            </w:r>
          </w:p>
        </w:tc>
        <w:tc>
          <w:tcPr>
            <w:tcW w:w="0" w:type="dxa"/>
            <w:vAlign w:val="bottom"/>
          </w:tcPr>
          <w:p>
            <w:pPr>
              <w:spacing w:after="0"/>
              <w:rPr>
                <w:sz w:val="1"/>
                <w:szCs w:val="1"/>
                <w:color w:val="auto"/>
              </w:rPr>
            </w:pPr>
          </w:p>
        </w:tc>
      </w:tr>
      <w:tr>
        <w:trPr>
          <w:trHeight w:val="138"/>
        </w:trPr>
        <w:tc>
          <w:tcPr>
            <w:tcW w:w="832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Cash and cash equivalents at beginning of period, including $77.2 million at December 31, 2023, and $119.1 million at</w:t>
            </w:r>
          </w:p>
        </w:tc>
        <w:tc>
          <w:tcPr>
            <w:tcW w:w="28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2,143.8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1,874.7</w:t>
            </w:r>
          </w:p>
        </w:tc>
        <w:tc>
          <w:tcPr>
            <w:tcW w:w="0" w:type="dxa"/>
            <w:vAlign w:val="bottom"/>
          </w:tcPr>
          <w:p>
            <w:pPr>
              <w:spacing w:after="0"/>
              <w:rPr>
                <w:sz w:val="1"/>
                <w:szCs w:val="1"/>
                <w:color w:val="auto"/>
              </w:rPr>
            </w:pPr>
          </w:p>
        </w:tc>
      </w:tr>
      <w:tr>
        <w:trPr>
          <w:trHeight w:val="19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2022, held by consolidated sponsored investment products</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8320" w:type="dxa"/>
            <w:vAlign w:val="bottom"/>
          </w:tcPr>
          <w:p>
            <w:pPr>
              <w:ind w:left="20"/>
              <w:spacing w:after="0" w:line="118" w:lineRule="exact"/>
              <w:rPr>
                <w:sz w:val="20"/>
                <w:szCs w:val="20"/>
                <w:color w:val="auto"/>
              </w:rPr>
            </w:pPr>
            <w:r>
              <w:rPr>
                <w:rFonts w:ascii="Arial" w:cs="Arial" w:eastAsia="Arial" w:hAnsi="Arial"/>
                <w:sz w:val="13"/>
                <w:szCs w:val="13"/>
                <w:color w:val="auto"/>
              </w:rPr>
              <w:t>Cash and cash equivalents at end of period, including $55.1 million at September 30, 2024, and $91.6 million at September 30,</w:t>
            </w:r>
          </w:p>
        </w:tc>
        <w:tc>
          <w:tcPr>
            <w:tcW w:w="28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3,228.6</w:t>
            </w:r>
          </w:p>
        </w:tc>
        <w:tc>
          <w:tcPr>
            <w:tcW w:w="100" w:type="dxa"/>
            <w:vAlign w:val="bottom"/>
          </w:tcPr>
          <w:p>
            <w:pPr>
              <w:spacing w:after="0"/>
              <w:rPr>
                <w:sz w:val="10"/>
                <w:szCs w:val="10"/>
                <w:color w:val="auto"/>
              </w:rPr>
            </w:pPr>
          </w:p>
        </w:tc>
        <w:tc>
          <w:tcPr>
            <w:tcW w:w="260" w:type="dxa"/>
            <w:vAlign w:val="bottom"/>
            <w:vMerge w:val="restart"/>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2,670.3</w:t>
            </w:r>
          </w:p>
        </w:tc>
        <w:tc>
          <w:tcPr>
            <w:tcW w:w="0" w:type="dxa"/>
            <w:vAlign w:val="bottom"/>
          </w:tcPr>
          <w:p>
            <w:pPr>
              <w:spacing w:after="0"/>
              <w:rPr>
                <w:sz w:val="1"/>
                <w:szCs w:val="1"/>
                <w:color w:val="auto"/>
              </w:rPr>
            </w:pPr>
          </w:p>
        </w:tc>
      </w:tr>
      <w:tr>
        <w:trPr>
          <w:trHeight w:val="175"/>
        </w:trPr>
        <w:tc>
          <w:tcPr>
            <w:tcW w:w="8320" w:type="dxa"/>
            <w:vAlign w:val="bottom"/>
          </w:tcPr>
          <w:p>
            <w:pPr>
              <w:ind w:left="20"/>
              <w:spacing w:after="0"/>
              <w:rPr>
                <w:sz w:val="20"/>
                <w:szCs w:val="20"/>
                <w:color w:val="auto"/>
              </w:rPr>
            </w:pPr>
            <w:r>
              <w:rPr>
                <w:rFonts w:ascii="Arial" w:cs="Arial" w:eastAsia="Arial" w:hAnsi="Arial"/>
                <w:sz w:val="14"/>
                <w:szCs w:val="14"/>
                <w:color w:val="auto"/>
              </w:rPr>
              <w:t>2023, held by consolidated sponsored investment products</w:t>
            </w:r>
          </w:p>
        </w:tc>
        <w:tc>
          <w:tcPr>
            <w:tcW w:w="28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 w:name="page6"/>
    <w:bookmarkEnd w:id="5"/>
    <w:p>
      <w:pPr>
        <w:ind w:right="5260"/>
        <w:spacing w:after="0" w:line="302" w:lineRule="auto"/>
        <w:rPr>
          <w:sz w:val="20"/>
          <w:szCs w:val="20"/>
          <w:color w:val="auto"/>
        </w:rPr>
      </w:pPr>
      <w:r>
        <w:rPr>
          <w:rFonts w:ascii="Arial" w:cs="Arial" w:eastAsia="Arial" w:hAnsi="Arial"/>
          <w:sz w:val="14"/>
          <w:szCs w:val="14"/>
          <w:b w:val="1"/>
          <w:bCs w:val="1"/>
          <w:color w:val="auto"/>
        </w:rPr>
        <w:t>UNAUDITED CONDENSED CONSOLIDATED STATEMENTS OF STOCKHOLDERS’ EQUITY (shares in thousands; dollars in millions)</w:t>
      </w:r>
    </w:p>
    <w:p>
      <w:pPr>
        <w:spacing w:after="0" w:line="45"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408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260" w:type="dxa"/>
            <w:vAlign w:val="bottom"/>
            <w:tcBorders>
              <w:bottom w:val="single" w:sz="8" w:color="auto"/>
            </w:tcBorders>
            <w:gridSpan w:val="8"/>
            <w:shd w:val="clear" w:color="auto" w:fill="CCEEFF"/>
          </w:tcPr>
          <w:p>
            <w:pPr>
              <w:ind w:left="500"/>
              <w:spacing w:after="0"/>
              <w:rPr>
                <w:sz w:val="20"/>
                <w:szCs w:val="20"/>
                <w:color w:val="auto"/>
              </w:rPr>
            </w:pPr>
            <w:r>
              <w:rPr>
                <w:rFonts w:ascii="Arial" w:cs="Arial" w:eastAsia="Arial" w:hAnsi="Arial"/>
                <w:sz w:val="10"/>
                <w:szCs w:val="10"/>
                <w:b w:val="1"/>
                <w:bCs w:val="1"/>
                <w:color w:val="auto"/>
              </w:rPr>
              <w:t>Three months ended 9/30/2024</w:t>
            </w: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tcPr>
          <w:p>
            <w:pPr>
              <w:jc w:val="center"/>
              <w:ind w:right="200"/>
              <w:spacing w:after="0" w:line="86" w:lineRule="exact"/>
              <w:rPr>
                <w:sz w:val="20"/>
                <w:szCs w:val="20"/>
                <w:color w:val="auto"/>
              </w:rPr>
            </w:pPr>
            <w:r>
              <w:rPr>
                <w:rFonts w:ascii="Arial" w:cs="Arial" w:eastAsia="Arial" w:hAnsi="Arial"/>
                <w:sz w:val="9"/>
                <w:szCs w:val="9"/>
                <w:b w:val="1"/>
                <w:bCs w:val="1"/>
                <w:color w:val="auto"/>
              </w:rPr>
              <w:t>Total</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8"/>
              </w:rPr>
              <w:t>Additional</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160"/>
              <w:spacing w:after="0" w:line="96" w:lineRule="exact"/>
              <w:rPr>
                <w:sz w:val="20"/>
                <w:szCs w:val="20"/>
                <w:color w:val="auto"/>
              </w:rPr>
            </w:pPr>
            <w:r>
              <w:rPr>
                <w:rFonts w:ascii="Arial" w:cs="Arial" w:eastAsia="Arial" w:hAnsi="Arial"/>
                <w:sz w:val="10"/>
                <w:szCs w:val="10"/>
                <w:b w:val="1"/>
                <w:bCs w:val="1"/>
                <w:color w:val="auto"/>
                <w:w w:val="98"/>
              </w:rPr>
              <w:t>stockholders’</w:t>
            </w: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0"/>
                <w:szCs w:val="10"/>
                <w:b w:val="1"/>
                <w:bCs w:val="1"/>
                <w:color w:val="auto"/>
                <w:w w:val="99"/>
              </w:rPr>
              <w:t>Non-controlling</w:t>
            </w: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080" w:type="dxa"/>
            <w:vAlign w:val="bottom"/>
          </w:tcPr>
          <w:p>
            <w:pPr>
              <w:spacing w:after="0"/>
              <w:rPr>
                <w:sz w:val="9"/>
                <w:szCs w:val="9"/>
                <w:color w:val="auto"/>
              </w:rPr>
            </w:pP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rPr>
              <w:t>Common</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60"/>
              <w:spacing w:after="0" w:line="106" w:lineRule="exact"/>
              <w:rPr>
                <w:sz w:val="20"/>
                <w:szCs w:val="20"/>
                <w:color w:val="auto"/>
              </w:rPr>
            </w:pPr>
            <w:r>
              <w:rPr>
                <w:rFonts w:ascii="Arial" w:cs="Arial" w:eastAsia="Arial" w:hAnsi="Arial"/>
                <w:sz w:val="10"/>
                <w:szCs w:val="10"/>
                <w:b w:val="1"/>
                <w:bCs w:val="1"/>
                <w:color w:val="auto"/>
                <w:w w:val="94"/>
              </w:rPr>
              <w:t>equity</w:t>
            </w:r>
          </w:p>
        </w:tc>
        <w:tc>
          <w:tcPr>
            <w:tcW w:w="8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1"/>
              </w:rPr>
              <w:t>Total</w:t>
            </w:r>
          </w:p>
        </w:tc>
        <w:tc>
          <w:tcPr>
            <w:tcW w:w="80" w:type="dxa"/>
            <w:vAlign w:val="bottom"/>
          </w:tcPr>
          <w:p>
            <w:pPr>
              <w:spacing w:after="0"/>
              <w:rPr>
                <w:sz w:val="9"/>
                <w:szCs w:val="9"/>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0"/>
                <w:szCs w:val="10"/>
                <w:b w:val="1"/>
                <w:bCs w:val="1"/>
                <w:color w:val="auto"/>
                <w:w w:val="98"/>
              </w:rPr>
              <w:t>Redeemable</w:t>
            </w:r>
          </w:p>
        </w:tc>
        <w:tc>
          <w:tcPr>
            <w:tcW w:w="0" w:type="dxa"/>
            <w:vAlign w:val="bottom"/>
          </w:tcPr>
          <w:p>
            <w:pPr>
              <w:spacing w:after="0"/>
              <w:rPr>
                <w:sz w:val="1"/>
                <w:szCs w:val="1"/>
                <w:color w:val="auto"/>
              </w:rPr>
            </w:pPr>
          </w:p>
        </w:tc>
      </w:tr>
      <w:tr>
        <w:trPr>
          <w:trHeight w:val="95"/>
        </w:trPr>
        <w:tc>
          <w:tcPr>
            <w:tcW w:w="40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rPr>
              <w:t>Common</w:t>
            </w:r>
          </w:p>
        </w:tc>
        <w:tc>
          <w:tcPr>
            <w:tcW w:w="80" w:type="dxa"/>
            <w:vAlign w:val="bottom"/>
          </w:tcPr>
          <w:p>
            <w:pPr>
              <w:spacing w:after="0"/>
              <w:rPr>
                <w:sz w:val="8"/>
                <w:szCs w:val="8"/>
                <w:color w:val="auto"/>
              </w:rPr>
            </w:pPr>
          </w:p>
        </w:tc>
        <w:tc>
          <w:tcPr>
            <w:tcW w:w="640" w:type="dxa"/>
            <w:vAlign w:val="bottom"/>
            <w:gridSpan w:val="2"/>
          </w:tcPr>
          <w:p>
            <w:pPr>
              <w:jc w:val="center"/>
              <w:ind w:right="140"/>
              <w:spacing w:after="0" w:line="96" w:lineRule="exact"/>
              <w:rPr>
                <w:sz w:val="20"/>
                <w:szCs w:val="20"/>
                <w:color w:val="auto"/>
              </w:rPr>
            </w:pPr>
            <w:r>
              <w:rPr>
                <w:rFonts w:ascii="Arial" w:cs="Arial" w:eastAsia="Arial" w:hAnsi="Arial"/>
                <w:sz w:val="10"/>
                <w:szCs w:val="10"/>
                <w:b w:val="1"/>
                <w:bCs w:val="1"/>
                <w:color w:val="auto"/>
                <w:w w:val="96"/>
              </w:rPr>
              <w:t>capital in</w:t>
            </w:r>
          </w:p>
        </w:tc>
        <w:tc>
          <w:tcPr>
            <w:tcW w:w="100" w:type="dxa"/>
            <w:vAlign w:val="bottom"/>
          </w:tcPr>
          <w:p>
            <w:pPr>
              <w:spacing w:after="0"/>
              <w:rPr>
                <w:sz w:val="8"/>
                <w:szCs w:val="8"/>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Retained</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3"/>
          </w:tcPr>
          <w:p>
            <w:pPr>
              <w:jc w:val="center"/>
              <w:ind w:right="60"/>
              <w:spacing w:after="0" w:line="96" w:lineRule="exact"/>
              <w:rPr>
                <w:sz w:val="20"/>
                <w:szCs w:val="20"/>
                <w:color w:val="auto"/>
              </w:rPr>
            </w:pPr>
            <w:r>
              <w:rPr>
                <w:rFonts w:ascii="Arial" w:cs="Arial" w:eastAsia="Arial" w:hAnsi="Arial"/>
                <w:sz w:val="10"/>
                <w:szCs w:val="10"/>
                <w:b w:val="1"/>
                <w:bCs w:val="1"/>
                <w:color w:val="auto"/>
                <w:w w:val="96"/>
              </w:rPr>
              <w:t>attributable to T.</w:t>
            </w:r>
          </w:p>
        </w:tc>
        <w:tc>
          <w:tcPr>
            <w:tcW w:w="80" w:type="dxa"/>
            <w:vAlign w:val="bottom"/>
          </w:tcPr>
          <w:p>
            <w:pPr>
              <w:spacing w:after="0"/>
              <w:rPr>
                <w:sz w:val="8"/>
                <w:szCs w:val="8"/>
                <w:color w:val="auto"/>
              </w:rPr>
            </w:pPr>
          </w:p>
        </w:tc>
        <w:tc>
          <w:tcPr>
            <w:tcW w:w="780" w:type="dxa"/>
            <w:vAlign w:val="bottom"/>
            <w:gridSpan w:val="2"/>
          </w:tcPr>
          <w:p>
            <w:pPr>
              <w:jc w:val="center"/>
              <w:ind w:right="160"/>
              <w:spacing w:after="0" w:line="96" w:lineRule="exact"/>
              <w:rPr>
                <w:sz w:val="20"/>
                <w:szCs w:val="20"/>
                <w:color w:val="auto"/>
              </w:rPr>
            </w:pPr>
            <w:r>
              <w:rPr>
                <w:rFonts w:ascii="Arial" w:cs="Arial" w:eastAsia="Arial" w:hAnsi="Arial"/>
                <w:sz w:val="10"/>
                <w:szCs w:val="10"/>
                <w:b w:val="1"/>
                <w:bCs w:val="1"/>
                <w:color w:val="auto"/>
              </w:rPr>
              <w:t>interests in</w:t>
            </w: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80" w:type="dxa"/>
            <w:vAlign w:val="bottom"/>
          </w:tcPr>
          <w:p>
            <w:pPr>
              <w:spacing w:after="0"/>
              <w:rPr>
                <w:sz w:val="8"/>
                <w:szCs w:val="8"/>
                <w:color w:val="auto"/>
              </w:rPr>
            </w:pPr>
          </w:p>
        </w:tc>
        <w:tc>
          <w:tcPr>
            <w:tcW w:w="80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9"/>
              </w:rPr>
              <w:t>shares</w:t>
            </w:r>
          </w:p>
        </w:tc>
        <w:tc>
          <w:tcPr>
            <w:tcW w:w="1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center"/>
              <w:ind w:right="140"/>
              <w:spacing w:after="0" w:line="96" w:lineRule="exact"/>
              <w:rPr>
                <w:sz w:val="20"/>
                <w:szCs w:val="20"/>
                <w:color w:val="auto"/>
              </w:rPr>
            </w:pPr>
            <w:r>
              <w:rPr>
                <w:rFonts w:ascii="Arial" w:cs="Arial" w:eastAsia="Arial" w:hAnsi="Arial"/>
                <w:sz w:val="10"/>
                <w:szCs w:val="10"/>
                <w:b w:val="1"/>
                <w:bCs w:val="1"/>
                <w:color w:val="auto"/>
              </w:rPr>
              <w:t>excess of</w:t>
            </w:r>
          </w:p>
        </w:tc>
        <w:tc>
          <w:tcPr>
            <w:tcW w:w="10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AOCI</w:t>
            </w:r>
            <w:r>
              <w:rPr>
                <w:rFonts w:ascii="Arial" w:cs="Arial" w:eastAsia="Arial" w:hAnsi="Arial"/>
                <w:sz w:val="12"/>
                <w:szCs w:val="12"/>
                <w:b w:val="1"/>
                <w:bCs w:val="1"/>
                <w:color w:val="auto"/>
                <w:vertAlign w:val="superscript"/>
              </w:rPr>
              <w:t>(1)</w:t>
            </w:r>
          </w:p>
        </w:tc>
        <w:tc>
          <w:tcPr>
            <w:tcW w:w="100" w:type="dxa"/>
            <w:vAlign w:val="bottom"/>
          </w:tcPr>
          <w:p>
            <w:pPr>
              <w:spacing w:after="0"/>
              <w:rPr>
                <w:sz w:val="8"/>
                <w:szCs w:val="8"/>
                <w:color w:val="auto"/>
              </w:rPr>
            </w:pPr>
          </w:p>
        </w:tc>
        <w:tc>
          <w:tcPr>
            <w:tcW w:w="840" w:type="dxa"/>
            <w:vAlign w:val="bottom"/>
            <w:gridSpan w:val="2"/>
          </w:tcPr>
          <w:p>
            <w:pPr>
              <w:jc w:val="center"/>
              <w:ind w:right="160"/>
              <w:spacing w:after="0" w:line="96" w:lineRule="exact"/>
              <w:rPr>
                <w:sz w:val="20"/>
                <w:szCs w:val="20"/>
                <w:color w:val="auto"/>
              </w:rPr>
            </w:pPr>
            <w:r>
              <w:rPr>
                <w:rFonts w:ascii="Arial" w:cs="Arial" w:eastAsia="Arial" w:hAnsi="Arial"/>
                <w:sz w:val="10"/>
                <w:szCs w:val="10"/>
                <w:b w:val="1"/>
                <w:bCs w:val="1"/>
                <w:color w:val="auto"/>
                <w:w w:val="96"/>
              </w:rPr>
              <w:t>Rowe Price</w:t>
            </w:r>
          </w:p>
        </w:tc>
        <w:tc>
          <w:tcPr>
            <w:tcW w:w="80" w:type="dxa"/>
            <w:vAlign w:val="bottom"/>
          </w:tcPr>
          <w:p>
            <w:pPr>
              <w:spacing w:after="0"/>
              <w:rPr>
                <w:sz w:val="8"/>
                <w:szCs w:val="8"/>
                <w:color w:val="auto"/>
              </w:rPr>
            </w:pPr>
          </w:p>
        </w:tc>
        <w:tc>
          <w:tcPr>
            <w:tcW w:w="780" w:type="dxa"/>
            <w:vAlign w:val="bottom"/>
            <w:gridSpan w:val="2"/>
          </w:tcPr>
          <w:p>
            <w:pPr>
              <w:jc w:val="center"/>
              <w:ind w:right="160"/>
              <w:spacing w:after="0" w:line="96" w:lineRule="exact"/>
              <w:rPr>
                <w:sz w:val="20"/>
                <w:szCs w:val="20"/>
                <w:color w:val="auto"/>
              </w:rPr>
            </w:pPr>
            <w:r>
              <w:rPr>
                <w:rFonts w:ascii="Arial" w:cs="Arial" w:eastAsia="Arial" w:hAnsi="Arial"/>
                <w:sz w:val="10"/>
                <w:szCs w:val="10"/>
                <w:b w:val="1"/>
                <w:bCs w:val="1"/>
                <w:color w:val="auto"/>
              </w:rPr>
              <w:t>consolidated</w:t>
            </w:r>
          </w:p>
        </w:tc>
        <w:tc>
          <w:tcPr>
            <w:tcW w:w="80" w:type="dxa"/>
            <w:vAlign w:val="bottom"/>
          </w:tcPr>
          <w:p>
            <w:pPr>
              <w:spacing w:after="0"/>
              <w:rPr>
                <w:sz w:val="8"/>
                <w:szCs w:val="8"/>
                <w:color w:val="auto"/>
              </w:rPr>
            </w:pPr>
          </w:p>
        </w:tc>
        <w:tc>
          <w:tcPr>
            <w:tcW w:w="800" w:type="dxa"/>
            <w:vAlign w:val="bottom"/>
            <w:gridSpan w:val="2"/>
          </w:tcPr>
          <w:p>
            <w:pPr>
              <w:jc w:val="center"/>
              <w:ind w:right="140"/>
              <w:spacing w:after="0" w:line="96" w:lineRule="exact"/>
              <w:rPr>
                <w:sz w:val="20"/>
                <w:szCs w:val="20"/>
                <w:color w:val="auto"/>
              </w:rPr>
            </w:pPr>
            <w:r>
              <w:rPr>
                <w:rFonts w:ascii="Arial" w:cs="Arial" w:eastAsia="Arial" w:hAnsi="Arial"/>
                <w:sz w:val="10"/>
                <w:szCs w:val="10"/>
                <w:b w:val="1"/>
                <w:bCs w:val="1"/>
                <w:color w:val="auto"/>
              </w:rPr>
              <w:t>stockholders’</w:t>
            </w:r>
          </w:p>
        </w:tc>
        <w:tc>
          <w:tcPr>
            <w:tcW w:w="780" w:type="dxa"/>
            <w:vAlign w:val="bottom"/>
            <w:gridSpan w:val="2"/>
          </w:tcPr>
          <w:p>
            <w:pPr>
              <w:ind w:left="20"/>
              <w:spacing w:after="0" w:line="96"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outstanding</w:t>
            </w:r>
          </w:p>
        </w:tc>
        <w:tc>
          <w:tcPr>
            <w:tcW w:w="100" w:type="dxa"/>
            <w:vAlign w:val="bottom"/>
          </w:tcPr>
          <w:p>
            <w:pPr>
              <w:spacing w:after="0"/>
              <w:rPr>
                <w:sz w:val="12"/>
                <w:szCs w:val="12"/>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9"/>
              </w:rPr>
              <w:t>stock</w:t>
            </w:r>
          </w:p>
        </w:tc>
        <w:tc>
          <w:tcPr>
            <w:tcW w:w="80" w:type="dxa"/>
            <w:vAlign w:val="bottom"/>
          </w:tcPr>
          <w:p>
            <w:pPr>
              <w:spacing w:after="0"/>
              <w:rPr>
                <w:sz w:val="12"/>
                <w:szCs w:val="12"/>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par value</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8"/>
              </w:rPr>
              <w:t>Group, Inc.</w:t>
            </w:r>
          </w:p>
        </w:tc>
        <w:tc>
          <w:tcPr>
            <w:tcW w:w="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6"/>
              </w:rPr>
              <w:t>entities</w:t>
            </w:r>
          </w:p>
        </w:tc>
        <w:tc>
          <w:tcPr>
            <w:tcW w:w="8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equity</w:t>
            </w:r>
          </w:p>
        </w:tc>
        <w:tc>
          <w:tcPr>
            <w:tcW w:w="80" w:type="dxa"/>
            <w:vAlign w:val="bottom"/>
          </w:tcPr>
          <w:p>
            <w:pPr>
              <w:spacing w:after="0"/>
              <w:rPr>
                <w:sz w:val="12"/>
                <w:szCs w:val="12"/>
                <w:color w:val="auto"/>
              </w:rPr>
            </w:pPr>
          </w:p>
        </w:tc>
        <w:tc>
          <w:tcPr>
            <w:tcW w:w="700" w:type="dxa"/>
            <w:vAlign w:val="bottom"/>
          </w:tcPr>
          <w:p>
            <w:pPr>
              <w:jc w:val="right"/>
              <w:ind w:right="124"/>
              <w:spacing w:after="0"/>
              <w:rPr>
                <w:sz w:val="20"/>
                <w:szCs w:val="20"/>
                <w:color w:val="auto"/>
              </w:rPr>
            </w:pPr>
            <w:r>
              <w:rPr>
                <w:rFonts w:ascii="Arial" w:cs="Arial" w:eastAsia="Arial" w:hAnsi="Arial"/>
                <w:sz w:val="10"/>
                <w:szCs w:val="10"/>
                <w:b w:val="1"/>
                <w:bCs w:val="1"/>
                <w:color w:val="auto"/>
              </w:rPr>
              <w:t>interests</w:t>
            </w:r>
          </w:p>
        </w:tc>
        <w:tc>
          <w:tcPr>
            <w:tcW w:w="0" w:type="dxa"/>
            <w:vAlign w:val="bottom"/>
          </w:tcPr>
          <w:p>
            <w:pPr>
              <w:spacing w:after="0"/>
              <w:rPr>
                <w:sz w:val="1"/>
                <w:szCs w:val="1"/>
                <w:color w:val="auto"/>
              </w:rPr>
            </w:pPr>
          </w:p>
        </w:tc>
      </w:tr>
      <w:tr>
        <w:trPr>
          <w:trHeight w:val="15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Balances at June 30, 2024</w:t>
            </w:r>
          </w:p>
        </w:tc>
        <w:tc>
          <w:tcPr>
            <w:tcW w:w="7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222,612</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44.5</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368.8</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9,564.6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(49.2)</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9,928.7</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205.3</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10,134.0</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689.0</w:t>
            </w:r>
          </w:p>
        </w:tc>
        <w:tc>
          <w:tcPr>
            <w:tcW w:w="0" w:type="dxa"/>
            <w:vAlign w:val="bottom"/>
          </w:tcPr>
          <w:p>
            <w:pPr>
              <w:spacing w:after="0"/>
              <w:rPr>
                <w:sz w:val="1"/>
                <w:szCs w:val="1"/>
                <w:color w:val="auto"/>
              </w:rPr>
            </w:pPr>
          </w:p>
        </w:tc>
      </w:tr>
      <w:tr>
        <w:trPr>
          <w:trHeight w:val="156"/>
        </w:trPr>
        <w:tc>
          <w:tcPr>
            <w:tcW w:w="408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603.0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603.0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601.0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37.4</w:t>
            </w:r>
          </w:p>
        </w:tc>
        <w:tc>
          <w:tcPr>
            <w:tcW w:w="0" w:type="dxa"/>
            <w:vAlign w:val="bottom"/>
          </w:tcPr>
          <w:p>
            <w:pPr>
              <w:spacing w:after="0"/>
              <w:rPr>
                <w:sz w:val="1"/>
                <w:szCs w:val="1"/>
                <w:color w:val="auto"/>
              </w:rPr>
            </w:pPr>
          </w:p>
        </w:tc>
      </w:tr>
      <w:tr>
        <w:trPr>
          <w:trHeight w:val="162"/>
        </w:trPr>
        <w:tc>
          <w:tcPr>
            <w:tcW w:w="4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 (loss), net of tax</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156"/>
        </w:trPr>
        <w:tc>
          <w:tcPr>
            <w:tcW w:w="4080" w:type="dxa"/>
            <w:vAlign w:val="bottom"/>
          </w:tcPr>
          <w:p>
            <w:pPr>
              <w:ind w:left="20"/>
              <w:spacing w:after="0"/>
              <w:rPr>
                <w:sz w:val="20"/>
                <w:szCs w:val="20"/>
                <w:color w:val="auto"/>
              </w:rPr>
            </w:pPr>
            <w:r>
              <w:rPr>
                <w:rFonts w:ascii="Arial" w:cs="Arial" w:eastAsia="Arial" w:hAnsi="Arial"/>
                <w:sz w:val="11"/>
                <w:szCs w:val="11"/>
                <w:color w:val="auto"/>
              </w:rPr>
              <w:t>Dividends declared ($1.24 per share)</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(282.2)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(282.2)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(282.2)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4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 issued upon option exercises</w:t>
            </w: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187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12.1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4080" w:type="dxa"/>
            <w:vAlign w:val="bottom"/>
          </w:tcPr>
          <w:p>
            <w:pPr>
              <w:ind w:left="20"/>
              <w:spacing w:after="0"/>
              <w:rPr>
                <w:sz w:val="20"/>
                <w:szCs w:val="20"/>
                <w:color w:val="auto"/>
              </w:rPr>
            </w:pPr>
            <w:r>
              <w:rPr>
                <w:rFonts w:ascii="Arial" w:cs="Arial" w:eastAsia="Arial" w:hAnsi="Arial"/>
                <w:sz w:val="11"/>
                <w:szCs w:val="11"/>
                <w:color w:val="auto"/>
              </w:rPr>
              <w:t>Net shares issued upon vesting of restricted stock units</w:t>
            </w: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(0.2)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(0.2)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4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49.5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49.5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4080" w:type="dxa"/>
            <w:vAlign w:val="bottom"/>
          </w:tcPr>
          <w:p>
            <w:pPr>
              <w:ind w:left="20"/>
              <w:spacing w:after="0"/>
              <w:rPr>
                <w:sz w:val="20"/>
                <w:szCs w:val="20"/>
                <w:color w:val="auto"/>
              </w:rPr>
            </w:pPr>
            <w:r>
              <w:rPr>
                <w:rFonts w:ascii="Arial" w:cs="Arial" w:eastAsia="Arial" w:hAnsi="Arial"/>
                <w:sz w:val="11"/>
                <w:szCs w:val="11"/>
                <w:color w:val="auto"/>
              </w:rPr>
              <w:t>Restricted stock units issued as dividend equivalents</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0.1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4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shares repurchased</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4080" w:type="dxa"/>
            <w:vAlign w:val="bottom"/>
          </w:tcPr>
          <w:p>
            <w:pPr>
              <w:ind w:left="20"/>
              <w:spacing w:after="0"/>
              <w:rPr>
                <w:sz w:val="20"/>
                <w:szCs w:val="20"/>
                <w:color w:val="auto"/>
              </w:rPr>
            </w:pPr>
            <w:r>
              <w:rPr>
                <w:rFonts w:ascii="Arial" w:cs="Arial" w:eastAsia="Arial" w:hAnsi="Arial"/>
                <w:sz w:val="11"/>
                <w:szCs w:val="11"/>
                <w:color w:val="auto"/>
              </w:rPr>
              <w:t>Net contributions to non-controlling interests in consolidated entities</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0.1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0.1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4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subscriptions into T. Rowe Price investment products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190.2</w:t>
            </w:r>
          </w:p>
        </w:tc>
        <w:tc>
          <w:tcPr>
            <w:tcW w:w="0" w:type="dxa"/>
            <w:vAlign w:val="bottom"/>
          </w:tcPr>
          <w:p>
            <w:pPr>
              <w:spacing w:after="0"/>
              <w:rPr>
                <w:sz w:val="1"/>
                <w:szCs w:val="1"/>
                <w:color w:val="auto"/>
              </w:rPr>
            </w:pPr>
          </w:p>
        </w:tc>
      </w:tr>
      <w:tr>
        <w:trPr>
          <w:trHeight w:val="156"/>
        </w:trPr>
        <w:tc>
          <w:tcPr>
            <w:tcW w:w="4080" w:type="dxa"/>
            <w:vAlign w:val="bottom"/>
          </w:tcPr>
          <w:p>
            <w:pPr>
              <w:ind w:left="20"/>
              <w:spacing w:after="0"/>
              <w:rPr>
                <w:sz w:val="20"/>
                <w:szCs w:val="20"/>
                <w:color w:val="auto"/>
              </w:rPr>
            </w:pPr>
            <w:r>
              <w:rPr>
                <w:rFonts w:ascii="Arial" w:cs="Arial" w:eastAsia="Arial" w:hAnsi="Arial"/>
                <w:sz w:val="11"/>
                <w:szCs w:val="11"/>
                <w:color w:val="auto"/>
              </w:rPr>
              <w:t>Net deconsolidations of T. Rowe Price investment products</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(160.6)</w:t>
            </w:r>
          </w:p>
        </w:tc>
        <w:tc>
          <w:tcPr>
            <w:tcW w:w="0" w:type="dxa"/>
            <w:vAlign w:val="bottom"/>
          </w:tcPr>
          <w:p>
            <w:pPr>
              <w:spacing w:after="0"/>
              <w:rPr>
                <w:sz w:val="1"/>
                <w:szCs w:val="1"/>
                <w:color w:val="auto"/>
              </w:rPr>
            </w:pPr>
          </w:p>
        </w:tc>
      </w:tr>
      <w:tr>
        <w:trPr>
          <w:trHeight w:val="17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Balances at September 30, 2024</w:t>
            </w:r>
          </w:p>
        </w:tc>
        <w:tc>
          <w:tcPr>
            <w:tcW w:w="7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222,143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359.1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9,885.3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10,249.3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203.4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10,452.7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763.4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left="6840"/>
        <w:spacing w:after="0"/>
        <w:rPr>
          <w:sz w:val="20"/>
          <w:szCs w:val="20"/>
          <w:color w:val="auto"/>
        </w:rPr>
      </w:pPr>
      <w:r>
        <w:rPr>
          <w:rFonts w:ascii="Arial" w:cs="Arial" w:eastAsia="Arial" w:hAnsi="Arial"/>
          <w:sz w:val="10"/>
          <w:szCs w:val="10"/>
          <w:b w:val="1"/>
          <w:bCs w:val="1"/>
          <w:color w:val="auto"/>
        </w:rPr>
        <w:t>Three months ended 9/30/2023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7026910" cy="94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6910" cy="94615"/>
                    </a:xfrm>
                    <a:prstGeom prst="rect">
                      <a:avLst/>
                    </a:prstGeom>
                    <a:noFill/>
                  </pic:spPr>
                </pic:pic>
              </a:graphicData>
            </a:graphic>
          </wp:anchor>
        </w:drawing>
      </w:r>
    </w:p>
    <w:p>
      <w:pPr>
        <w:sectPr>
          <w:pgSz w:w="11900" w:h="16838" w:orient="portrait"/>
          <w:cols w:equalWidth="0" w:num="1">
            <w:col w:w="11240"/>
          </w:cols>
          <w:pgMar w:left="300" w:top="761" w:right="359" w:bottom="1440" w:gutter="0" w:footer="0" w:header="0"/>
        </w:sectPr>
      </w:pPr>
    </w:p>
    <w:p>
      <w:pPr>
        <w:spacing w:after="0" w:line="226" w:lineRule="exact"/>
        <w:rPr>
          <w:sz w:val="20"/>
          <w:szCs w:val="20"/>
          <w:color w:val="auto"/>
        </w:rPr>
      </w:pPr>
    </w:p>
    <w:tbl>
      <w:tblPr>
        <w:tblLayout w:type="fixed"/>
        <w:tblInd w:w="4140" w:type="dxa"/>
        <w:tblCellMar>
          <w:top w:w="0" w:type="dxa"/>
          <w:left w:w="0" w:type="dxa"/>
          <w:bottom w:w="0" w:type="dxa"/>
          <w:right w:w="0" w:type="dxa"/>
        </w:tblCellMar>
      </w:tblPr>
      <w:tr>
        <w:trPr>
          <w:trHeight w:val="115"/>
        </w:trPr>
        <w:tc>
          <w:tcPr>
            <w:tcW w:w="700" w:type="dxa"/>
            <w:vAlign w:val="bottom"/>
            <w:vMerge w:val="restart"/>
          </w:tcPr>
          <w:p>
            <w:pPr>
              <w:jc w:val="center"/>
              <w:ind w:right="91"/>
              <w:spacing w:after="0"/>
              <w:rPr>
                <w:sz w:val="20"/>
                <w:szCs w:val="20"/>
                <w:color w:val="auto"/>
              </w:rPr>
            </w:pPr>
            <w:r>
              <w:rPr>
                <w:rFonts w:ascii="Arial" w:cs="Arial" w:eastAsia="Arial" w:hAnsi="Arial"/>
                <w:sz w:val="10"/>
                <w:szCs w:val="10"/>
                <w:b w:val="1"/>
                <w:bCs w:val="1"/>
                <w:color w:val="auto"/>
              </w:rPr>
              <w:t>Common</w:t>
            </w:r>
          </w:p>
        </w:tc>
        <w:tc>
          <w:tcPr>
            <w:tcW w:w="66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98"/>
              </w:rPr>
              <w:t>Additional</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700" w:type="dxa"/>
            <w:vAlign w:val="bottom"/>
            <w:vMerge w:val="continue"/>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Common</w:t>
            </w:r>
          </w:p>
        </w:tc>
        <w:tc>
          <w:tcPr>
            <w:tcW w:w="7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96"/>
              </w:rPr>
              <w:t>capital in</w:t>
            </w:r>
          </w:p>
        </w:tc>
        <w:tc>
          <w:tcPr>
            <w:tcW w:w="70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Retained</w:t>
            </w: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00" w:type="dxa"/>
            <w:vAlign w:val="bottom"/>
          </w:tcPr>
          <w:p>
            <w:pPr>
              <w:jc w:val="center"/>
              <w:ind w:right="91"/>
              <w:spacing w:after="0" w:line="96" w:lineRule="exact"/>
              <w:rPr>
                <w:sz w:val="20"/>
                <w:szCs w:val="20"/>
                <w:color w:val="auto"/>
              </w:rPr>
            </w:pPr>
            <w:r>
              <w:rPr>
                <w:rFonts w:ascii="Arial" w:cs="Arial" w:eastAsia="Arial" w:hAnsi="Arial"/>
                <w:sz w:val="10"/>
                <w:szCs w:val="10"/>
                <w:b w:val="1"/>
                <w:bCs w:val="1"/>
                <w:color w:val="auto"/>
                <w:w w:val="99"/>
              </w:rPr>
              <w:t>shares</w:t>
            </w:r>
          </w:p>
        </w:tc>
        <w:tc>
          <w:tcPr>
            <w:tcW w:w="660" w:type="dxa"/>
            <w:vAlign w:val="bottom"/>
            <w:vMerge w:val="continue"/>
          </w:tcPr>
          <w:p>
            <w:pPr>
              <w:spacing w:after="0"/>
              <w:rPr>
                <w:sz w:val="8"/>
                <w:szCs w:val="8"/>
                <w:color w:val="auto"/>
              </w:rPr>
            </w:pPr>
          </w:p>
        </w:tc>
        <w:tc>
          <w:tcPr>
            <w:tcW w:w="740" w:type="dxa"/>
            <w:vAlign w:val="bottom"/>
          </w:tcPr>
          <w:p>
            <w:pPr>
              <w:jc w:val="center"/>
              <w:spacing w:after="0" w:line="96" w:lineRule="exact"/>
              <w:rPr>
                <w:sz w:val="20"/>
                <w:szCs w:val="20"/>
                <w:color w:val="auto"/>
              </w:rPr>
            </w:pPr>
            <w:r>
              <w:rPr>
                <w:rFonts w:ascii="Arial" w:cs="Arial" w:eastAsia="Arial" w:hAnsi="Arial"/>
                <w:sz w:val="10"/>
                <w:szCs w:val="10"/>
                <w:b w:val="1"/>
                <w:bCs w:val="1"/>
                <w:color w:val="auto"/>
              </w:rPr>
              <w:t>excess of</w:t>
            </w:r>
          </w:p>
        </w:tc>
        <w:tc>
          <w:tcPr>
            <w:tcW w:w="70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0"/>
                <w:szCs w:val="10"/>
                <w:b w:val="1"/>
                <w:bCs w:val="1"/>
                <w:color w:val="auto"/>
                <w:w w:val="91"/>
              </w:rPr>
              <w:t>AOCI</w:t>
            </w:r>
            <w:r>
              <w:rPr>
                <w:rFonts w:ascii="Arial" w:cs="Arial" w:eastAsia="Arial" w:hAnsi="Arial"/>
                <w:sz w:val="12"/>
                <w:szCs w:val="12"/>
                <w:b w:val="1"/>
                <w:bCs w:val="1"/>
                <w:color w:val="auto"/>
                <w:w w:val="91"/>
                <w:vertAlign w:val="superscript"/>
              </w:rPr>
              <w:t>(1)</w:t>
            </w:r>
          </w:p>
        </w:tc>
        <w:tc>
          <w:tcPr>
            <w:tcW w:w="0" w:type="dxa"/>
            <w:vAlign w:val="bottom"/>
          </w:tcPr>
          <w:p>
            <w:pPr>
              <w:spacing w:after="0"/>
              <w:rPr>
                <w:sz w:val="1"/>
                <w:szCs w:val="1"/>
                <w:color w:val="auto"/>
              </w:rPr>
            </w:pPr>
          </w:p>
        </w:tc>
      </w:tr>
      <w:tr>
        <w:trPr>
          <w:trHeight w:val="138"/>
        </w:trPr>
        <w:tc>
          <w:tcPr>
            <w:tcW w:w="700" w:type="dxa"/>
            <w:vAlign w:val="bottom"/>
          </w:tcPr>
          <w:p>
            <w:pPr>
              <w:jc w:val="center"/>
              <w:ind w:right="91"/>
              <w:spacing w:after="0"/>
              <w:rPr>
                <w:sz w:val="20"/>
                <w:szCs w:val="20"/>
                <w:color w:val="auto"/>
              </w:rPr>
            </w:pPr>
            <w:r>
              <w:rPr>
                <w:rFonts w:ascii="Arial" w:cs="Arial" w:eastAsia="Arial" w:hAnsi="Arial"/>
                <w:sz w:val="10"/>
                <w:szCs w:val="10"/>
                <w:b w:val="1"/>
                <w:bCs w:val="1"/>
                <w:color w:val="auto"/>
                <w:w w:val="97"/>
              </w:rPr>
              <w:t>outstanding</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9"/>
              </w:rPr>
              <w:t>stock</w:t>
            </w: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95"/>
              </w:rPr>
              <w:t>par value</w:t>
            </w:r>
          </w:p>
        </w:tc>
        <w:tc>
          <w:tcPr>
            <w:tcW w:w="700" w:type="dxa"/>
            <w:vAlign w:val="bottom"/>
          </w:tcPr>
          <w:p>
            <w:pPr>
              <w:ind w:left="120"/>
              <w:spacing w:after="0"/>
              <w:rPr>
                <w:sz w:val="20"/>
                <w:szCs w:val="20"/>
                <w:color w:val="auto"/>
              </w:rPr>
            </w:pPr>
            <w:r>
              <w:rPr>
                <w:rFonts w:ascii="Arial" w:cs="Arial" w:eastAsia="Arial" w:hAnsi="Arial"/>
                <w:sz w:val="10"/>
                <w:szCs w:val="10"/>
                <w:b w:val="1"/>
                <w:bCs w:val="1"/>
                <w:color w:val="auto"/>
              </w:rPr>
              <w:t>earnings</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840" w:type="dxa"/>
            <w:vAlign w:val="bottom"/>
          </w:tcPr>
          <w:p>
            <w:pPr>
              <w:jc w:val="center"/>
              <w:ind w:right="51"/>
              <w:spacing w:after="0"/>
              <w:rPr>
                <w:sz w:val="20"/>
                <w:szCs w:val="20"/>
                <w:color w:val="auto"/>
              </w:rPr>
            </w:pPr>
            <w:r>
              <w:rPr>
                <w:rFonts w:ascii="Arial" w:cs="Arial" w:eastAsia="Arial" w:hAnsi="Arial"/>
                <w:sz w:val="10"/>
                <w:szCs w:val="10"/>
                <w:b w:val="1"/>
                <w:bCs w:val="1"/>
                <w:color w:val="auto"/>
                <w:w w:val="91"/>
              </w:rPr>
              <w:t>Total</w:t>
            </w: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840" w:type="dxa"/>
            <w:vAlign w:val="bottom"/>
          </w:tcPr>
          <w:p>
            <w:pPr>
              <w:jc w:val="center"/>
              <w:ind w:right="31"/>
              <w:spacing w:after="0" w:line="100" w:lineRule="exact"/>
              <w:rPr>
                <w:sz w:val="20"/>
                <w:szCs w:val="20"/>
                <w:color w:val="auto"/>
              </w:rPr>
            </w:pPr>
            <w:r>
              <w:rPr>
                <w:rFonts w:ascii="Arial" w:cs="Arial" w:eastAsia="Arial" w:hAnsi="Arial"/>
                <w:sz w:val="10"/>
                <w:szCs w:val="10"/>
                <w:b w:val="1"/>
                <w:bCs w:val="1"/>
                <w:color w:val="auto"/>
                <w:w w:val="98"/>
              </w:rPr>
              <w:t>stockholders’</w:t>
            </w:r>
          </w:p>
        </w:tc>
        <w:tc>
          <w:tcPr>
            <w:tcW w:w="8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9"/>
              </w:rPr>
              <w:t>Non-controlling</w:t>
            </w: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40" w:type="dxa"/>
            <w:vAlign w:val="bottom"/>
          </w:tcPr>
          <w:p>
            <w:pPr>
              <w:jc w:val="center"/>
              <w:ind w:right="11"/>
              <w:spacing w:after="0" w:line="96" w:lineRule="exact"/>
              <w:rPr>
                <w:sz w:val="20"/>
                <w:szCs w:val="20"/>
                <w:color w:val="auto"/>
              </w:rPr>
            </w:pPr>
            <w:r>
              <w:rPr>
                <w:rFonts w:ascii="Arial" w:cs="Arial" w:eastAsia="Arial" w:hAnsi="Arial"/>
                <w:sz w:val="10"/>
                <w:szCs w:val="10"/>
                <w:b w:val="1"/>
                <w:bCs w:val="1"/>
                <w:color w:val="auto"/>
              </w:rPr>
              <w:t>equity</w:t>
            </w:r>
          </w:p>
        </w:tc>
        <w:tc>
          <w:tcPr>
            <w:tcW w:w="880" w:type="dxa"/>
            <w:vAlign w:val="bottom"/>
            <w:vMerge w:val="continue"/>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Total</w:t>
            </w:r>
          </w:p>
        </w:tc>
        <w:tc>
          <w:tcPr>
            <w:tcW w:w="820" w:type="dxa"/>
            <w:vAlign w:val="bottom"/>
            <w:vMerge w:val="restart"/>
          </w:tcPr>
          <w:p>
            <w:pPr>
              <w:jc w:val="center"/>
              <w:ind w:left="31"/>
              <w:spacing w:after="0"/>
              <w:rPr>
                <w:sz w:val="20"/>
                <w:szCs w:val="20"/>
                <w:color w:val="auto"/>
              </w:rPr>
            </w:pPr>
            <w:r>
              <w:rPr>
                <w:rFonts w:ascii="Arial" w:cs="Arial" w:eastAsia="Arial" w:hAnsi="Arial"/>
                <w:sz w:val="10"/>
                <w:szCs w:val="10"/>
                <w:b w:val="1"/>
                <w:bCs w:val="1"/>
                <w:color w:val="auto"/>
                <w:w w:val="98"/>
              </w:rPr>
              <w:t>Redeemable</w:t>
            </w:r>
          </w:p>
        </w:tc>
        <w:tc>
          <w:tcPr>
            <w:tcW w:w="0" w:type="dxa"/>
            <w:vAlign w:val="bottom"/>
          </w:tcPr>
          <w:p>
            <w:pPr>
              <w:spacing w:after="0"/>
              <w:rPr>
                <w:sz w:val="1"/>
                <w:szCs w:val="1"/>
                <w:color w:val="auto"/>
              </w:rPr>
            </w:pPr>
          </w:p>
        </w:tc>
      </w:tr>
      <w:tr>
        <w:trPr>
          <w:trHeight w:val="106"/>
        </w:trPr>
        <w:tc>
          <w:tcPr>
            <w:tcW w:w="840" w:type="dxa"/>
            <w:vAlign w:val="bottom"/>
          </w:tcPr>
          <w:p>
            <w:pPr>
              <w:jc w:val="center"/>
              <w:ind w:right="31"/>
              <w:spacing w:after="0" w:line="106" w:lineRule="exact"/>
              <w:rPr>
                <w:sz w:val="20"/>
                <w:szCs w:val="20"/>
                <w:color w:val="auto"/>
              </w:rPr>
            </w:pPr>
            <w:r>
              <w:rPr>
                <w:rFonts w:ascii="Arial" w:cs="Arial" w:eastAsia="Arial" w:hAnsi="Arial"/>
                <w:sz w:val="10"/>
                <w:szCs w:val="10"/>
                <w:b w:val="1"/>
                <w:bCs w:val="1"/>
                <w:color w:val="auto"/>
                <w:w w:val="96"/>
              </w:rPr>
              <w:t>attributable to T.</w:t>
            </w:r>
          </w:p>
        </w:tc>
        <w:tc>
          <w:tcPr>
            <w:tcW w:w="88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rPr>
              <w:t>interests in</w:t>
            </w:r>
          </w:p>
        </w:tc>
        <w:tc>
          <w:tcPr>
            <w:tcW w:w="8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840" w:type="dxa"/>
            <w:vAlign w:val="bottom"/>
          </w:tcPr>
          <w:p>
            <w:pPr>
              <w:jc w:val="center"/>
              <w:ind w:right="11"/>
              <w:spacing w:after="0" w:line="96" w:lineRule="exact"/>
              <w:rPr>
                <w:sz w:val="20"/>
                <w:szCs w:val="20"/>
                <w:color w:val="auto"/>
              </w:rPr>
            </w:pPr>
            <w:r>
              <w:rPr>
                <w:rFonts w:ascii="Arial" w:cs="Arial" w:eastAsia="Arial" w:hAnsi="Arial"/>
                <w:sz w:val="10"/>
                <w:szCs w:val="10"/>
                <w:b w:val="1"/>
                <w:bCs w:val="1"/>
                <w:color w:val="auto"/>
              </w:rPr>
              <w:t>Rowe Price</w:t>
            </w:r>
          </w:p>
        </w:tc>
        <w:tc>
          <w:tcPr>
            <w:tcW w:w="880" w:type="dxa"/>
            <w:vAlign w:val="bottom"/>
          </w:tcPr>
          <w:p>
            <w:pPr>
              <w:jc w:val="center"/>
              <w:spacing w:after="0" w:line="96" w:lineRule="exact"/>
              <w:rPr>
                <w:sz w:val="20"/>
                <w:szCs w:val="20"/>
                <w:color w:val="auto"/>
              </w:rPr>
            </w:pPr>
            <w:r>
              <w:rPr>
                <w:rFonts w:ascii="Arial" w:cs="Arial" w:eastAsia="Arial" w:hAnsi="Arial"/>
                <w:sz w:val="10"/>
                <w:szCs w:val="10"/>
                <w:b w:val="1"/>
                <w:bCs w:val="1"/>
                <w:color w:val="auto"/>
              </w:rPr>
              <w:t>consolidated</w:t>
            </w:r>
          </w:p>
        </w:tc>
        <w:tc>
          <w:tcPr>
            <w:tcW w:w="82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98"/>
              </w:rPr>
              <w:t>stockholders’</w:t>
            </w:r>
          </w:p>
        </w:tc>
        <w:tc>
          <w:tcPr>
            <w:tcW w:w="820" w:type="dxa"/>
            <w:vAlign w:val="bottom"/>
          </w:tcPr>
          <w:p>
            <w:pPr>
              <w:jc w:val="center"/>
              <w:ind w:left="31"/>
              <w:spacing w:after="0" w:line="96"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136"/>
        </w:trPr>
        <w:tc>
          <w:tcPr>
            <w:tcW w:w="840" w:type="dxa"/>
            <w:vAlign w:val="bottom"/>
          </w:tcPr>
          <w:p>
            <w:pPr>
              <w:jc w:val="center"/>
              <w:ind w:right="31"/>
              <w:spacing w:after="0"/>
              <w:rPr>
                <w:sz w:val="20"/>
                <w:szCs w:val="20"/>
                <w:color w:val="auto"/>
              </w:rPr>
            </w:pPr>
            <w:r>
              <w:rPr>
                <w:rFonts w:ascii="Arial" w:cs="Arial" w:eastAsia="Arial" w:hAnsi="Arial"/>
                <w:sz w:val="10"/>
                <w:szCs w:val="10"/>
                <w:b w:val="1"/>
                <w:bCs w:val="1"/>
                <w:color w:val="auto"/>
                <w:w w:val="98"/>
              </w:rPr>
              <w:t>Group, Inc.</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6"/>
              </w:rPr>
              <w:t>entities</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equity</w:t>
            </w:r>
          </w:p>
        </w:tc>
        <w:tc>
          <w:tcPr>
            <w:tcW w:w="820" w:type="dxa"/>
            <w:vAlign w:val="bottom"/>
          </w:tcPr>
          <w:p>
            <w:pPr>
              <w:jc w:val="center"/>
              <w:ind w:left="31"/>
              <w:spacing w:after="0"/>
              <w:rPr>
                <w:sz w:val="20"/>
                <w:szCs w:val="20"/>
                <w:color w:val="auto"/>
              </w:rPr>
            </w:pPr>
            <w:r>
              <w:rPr>
                <w:rFonts w:ascii="Arial" w:cs="Arial" w:eastAsia="Arial" w:hAnsi="Arial"/>
                <w:sz w:val="10"/>
                <w:szCs w:val="10"/>
                <w:b w:val="1"/>
                <w:bCs w:val="1"/>
                <w:color w:val="auto"/>
              </w:rPr>
              <w:t>interests</w:t>
            </w: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2">
            <w:col w:w="7440" w:space="260"/>
            <w:col w:w="3540"/>
          </w:cols>
          <w:pgMar w:left="300" w:top="761" w:right="35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Balances at June 30,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224,281</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44.8</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520.6</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8,746.2</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(47.8)</w:t>
            </w:r>
          </w:p>
        </w:tc>
        <w:tc>
          <w:tcPr>
            <w:tcW w:w="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9,263.8</w:t>
            </w: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202.1</w:t>
            </w: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9,465.9</w:t>
            </w:r>
          </w:p>
        </w:tc>
        <w:tc>
          <w:tcPr>
            <w:tcW w:w="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985.2</w:t>
            </w:r>
          </w:p>
        </w:tc>
      </w:tr>
      <w:tr>
        <w:trPr>
          <w:trHeight w:val="156"/>
        </w:trPr>
        <w:tc>
          <w:tcPr>
            <w:tcW w:w="406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453.2</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453.2</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ind w:right="23"/>
              <w:spacing w:after="0"/>
              <w:rPr>
                <w:sz w:val="20"/>
                <w:szCs w:val="20"/>
                <w:color w:val="auto"/>
              </w:rPr>
            </w:pPr>
            <w:r>
              <w:rPr>
                <w:rFonts w:ascii="Arial" w:cs="Arial" w:eastAsia="Arial" w:hAnsi="Arial"/>
                <w:sz w:val="11"/>
                <w:szCs w:val="11"/>
                <w:color w:val="auto"/>
              </w:rPr>
              <w:t>19.9</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473.1</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(14.0)</w:t>
            </w:r>
          </w:p>
        </w:tc>
      </w:tr>
      <w:tr>
        <w:trPr>
          <w:trHeight w:val="162"/>
        </w:trPr>
        <w:tc>
          <w:tcPr>
            <w:tcW w:w="4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 (loss), net of tax</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w:t>
            </w:r>
          </w:p>
        </w:tc>
      </w:tr>
      <w:tr>
        <w:trPr>
          <w:trHeight w:val="156"/>
        </w:trPr>
        <w:tc>
          <w:tcPr>
            <w:tcW w:w="4060" w:type="dxa"/>
            <w:vAlign w:val="bottom"/>
          </w:tcPr>
          <w:p>
            <w:pPr>
              <w:ind w:left="20"/>
              <w:spacing w:after="0"/>
              <w:rPr>
                <w:sz w:val="20"/>
                <w:szCs w:val="20"/>
                <w:color w:val="auto"/>
              </w:rPr>
            </w:pPr>
            <w:r>
              <w:rPr>
                <w:rFonts w:ascii="Arial" w:cs="Arial" w:eastAsia="Arial" w:hAnsi="Arial"/>
                <w:sz w:val="11"/>
                <w:szCs w:val="11"/>
                <w:color w:val="auto"/>
              </w:rPr>
              <w:t>Dividends declared ($1.22 per share)</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(279.9)</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(279.9)</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(279.9)</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62"/>
        </w:trPr>
        <w:tc>
          <w:tcPr>
            <w:tcW w:w="4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 issued upon option exercises</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13.5</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13.6</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56"/>
        </w:trPr>
        <w:tc>
          <w:tcPr>
            <w:tcW w:w="4060" w:type="dxa"/>
            <w:vAlign w:val="bottom"/>
          </w:tcPr>
          <w:p>
            <w:pPr>
              <w:ind w:left="20"/>
              <w:spacing w:after="0"/>
              <w:rPr>
                <w:sz w:val="20"/>
                <w:szCs w:val="20"/>
                <w:color w:val="auto"/>
              </w:rPr>
            </w:pPr>
            <w:r>
              <w:rPr>
                <w:rFonts w:ascii="Arial" w:cs="Arial" w:eastAsia="Arial" w:hAnsi="Arial"/>
                <w:sz w:val="11"/>
                <w:szCs w:val="11"/>
                <w:color w:val="auto"/>
              </w:rPr>
              <w:t>Restricted shares issued, net of shares withheld for taxes</w:t>
            </w:r>
          </w:p>
        </w:tc>
        <w:tc>
          <w:tcPr>
            <w:tcW w:w="72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5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62"/>
        </w:trPr>
        <w:tc>
          <w:tcPr>
            <w:tcW w:w="4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shares issued upon vesting of restricted stock units</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56"/>
        </w:trPr>
        <w:tc>
          <w:tcPr>
            <w:tcW w:w="406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54.2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54.2</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54.2</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62"/>
        </w:trPr>
        <w:tc>
          <w:tcPr>
            <w:tcW w:w="4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stock units issued as dividend equivalents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56"/>
        </w:trPr>
        <w:tc>
          <w:tcPr>
            <w:tcW w:w="4060" w:type="dxa"/>
            <w:vAlign w:val="bottom"/>
          </w:tcPr>
          <w:p>
            <w:pPr>
              <w:ind w:left="20"/>
              <w:spacing w:after="0"/>
              <w:rPr>
                <w:sz w:val="20"/>
                <w:szCs w:val="20"/>
                <w:color w:val="auto"/>
              </w:rPr>
            </w:pPr>
            <w:r>
              <w:rPr>
                <w:rFonts w:ascii="Arial" w:cs="Arial" w:eastAsia="Arial" w:hAnsi="Arial"/>
                <w:sz w:val="11"/>
                <w:szCs w:val="11"/>
                <w:color w:val="auto"/>
              </w:rPr>
              <w:t>Common shares repurchased</w:t>
            </w:r>
          </w:p>
        </w:tc>
        <w:tc>
          <w:tcPr>
            <w:tcW w:w="720" w:type="dxa"/>
            <w:vAlign w:val="bottom"/>
          </w:tcPr>
          <w:p>
            <w:pPr>
              <w:jc w:val="right"/>
              <w:spacing w:after="0"/>
              <w:rPr>
                <w:sz w:val="20"/>
                <w:szCs w:val="20"/>
                <w:color w:val="auto"/>
              </w:rPr>
            </w:pPr>
            <w:r>
              <w:rPr>
                <w:rFonts w:ascii="Arial" w:cs="Arial" w:eastAsia="Arial" w:hAnsi="Arial"/>
                <w:sz w:val="11"/>
                <w:szCs w:val="11"/>
                <w:color w:val="auto"/>
              </w:rPr>
              <w:t>(978)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(106.0)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(106.2)</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(106.2)</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62"/>
        </w:trPr>
        <w:tc>
          <w:tcPr>
            <w:tcW w:w="4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distributions to non-controlling interests in consolidated entities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(0.5)</w:t>
            </w: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56"/>
        </w:trPr>
        <w:tc>
          <w:tcPr>
            <w:tcW w:w="4060" w:type="dxa"/>
            <w:vAlign w:val="bottom"/>
          </w:tcPr>
          <w:p>
            <w:pPr>
              <w:ind w:left="20"/>
              <w:spacing w:after="0"/>
              <w:rPr>
                <w:sz w:val="20"/>
                <w:szCs w:val="20"/>
                <w:color w:val="auto"/>
              </w:rPr>
            </w:pPr>
            <w:r>
              <w:rPr>
                <w:rFonts w:ascii="Arial" w:cs="Arial" w:eastAsia="Arial" w:hAnsi="Arial"/>
                <w:sz w:val="11"/>
                <w:szCs w:val="11"/>
                <w:color w:val="auto"/>
              </w:rPr>
              <w:t>Net subscriptions into T. Rowe Price investment products</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5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59.0</w:t>
            </w:r>
          </w:p>
        </w:tc>
      </w:tr>
      <w:tr>
        <w:trPr>
          <w:trHeight w:val="159"/>
        </w:trPr>
        <w:tc>
          <w:tcPr>
            <w:tcW w:w="4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deconsolidations of T. Rowe Price investment products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(466.1)</w:t>
            </w:r>
          </w:p>
        </w:tc>
      </w:tr>
      <w:tr>
        <w:trPr>
          <w:trHeight w:val="153"/>
        </w:trPr>
        <w:tc>
          <w:tcPr>
            <w:tcW w:w="4060" w:type="dxa"/>
            <w:vAlign w:val="bottom"/>
          </w:tcPr>
          <w:p>
            <w:pPr>
              <w:ind w:left="20"/>
              <w:spacing w:after="0"/>
              <w:rPr>
                <w:sz w:val="20"/>
                <w:szCs w:val="20"/>
                <w:color w:val="auto"/>
              </w:rPr>
            </w:pPr>
            <w:r>
              <w:rPr>
                <w:rFonts w:ascii="Arial" w:cs="Arial" w:eastAsia="Arial" w:hAnsi="Arial"/>
                <w:sz w:val="11"/>
                <w:szCs w:val="11"/>
                <w:color w:val="auto"/>
              </w:rPr>
              <w:t>Balances at September 30, 2023</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223,540</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44.7</w:t>
            </w: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482.0</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8,919.4</w:t>
            </w: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(46.2)</w:t>
            </w:r>
          </w:p>
        </w:tc>
        <w:tc>
          <w:tcPr>
            <w:tcW w:w="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9,399.9</w:t>
            </w:r>
          </w:p>
        </w:tc>
        <w:tc>
          <w:tcPr>
            <w:tcW w:w="6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rPr>
              <w:t>221.5</w:t>
            </w: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9,621.4</w:t>
            </w:r>
          </w:p>
        </w:tc>
        <w:tc>
          <w:tcPr>
            <w:tcW w:w="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560.2</w:t>
            </w:r>
          </w:p>
        </w:tc>
      </w:tr>
      <w:tr>
        <w:trPr>
          <w:trHeight w:val="20"/>
        </w:trPr>
        <w:tc>
          <w:tcPr>
            <w:tcW w:w="40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left="120" w:hanging="115"/>
        <w:spacing w:after="0"/>
        <w:tabs>
          <w:tab w:leader="none" w:pos="120" w:val="left"/>
        </w:tabs>
        <w:numPr>
          <w:ilvl w:val="0"/>
          <w:numId w:val="3"/>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statements.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61" w:right="359" w:bottom="1440" w:gutter="0" w:footer="0" w:header="0"/>
          <w:type w:val="continuous"/>
        </w:sectPr>
      </w:pPr>
    </w:p>
    <w:bookmarkStart w:id="6" w:name="page7"/>
    <w:bookmarkEnd w:id="6"/>
    <w:p>
      <w:pPr>
        <w:ind w:right="5180"/>
        <w:spacing w:after="0" w:line="286" w:lineRule="auto"/>
        <w:rPr>
          <w:sz w:val="20"/>
          <w:szCs w:val="20"/>
          <w:color w:val="auto"/>
        </w:rPr>
      </w:pPr>
      <w:r>
        <w:rPr>
          <w:rFonts w:ascii="Arial" w:cs="Arial" w:eastAsia="Arial" w:hAnsi="Arial"/>
          <w:sz w:val="14"/>
          <w:szCs w:val="14"/>
          <w:b w:val="1"/>
          <w:bCs w:val="1"/>
          <w:color w:val="auto"/>
        </w:rPr>
        <w:t>UNAUDITED CONDENSED CONSOLIDATED STATEMENTS OF STOCKHOLDERS’ EQUITY (shares in thousands; dollars in millions)</w:t>
      </w:r>
    </w:p>
    <w:tbl>
      <w:tblPr>
        <w:tblLayout w:type="fixed"/>
        <w:tblInd w:w="0" w:type="dxa"/>
        <w:tblCellMar>
          <w:top w:w="0" w:type="dxa"/>
          <w:left w:w="0" w:type="dxa"/>
          <w:bottom w:w="0" w:type="dxa"/>
          <w:right w:w="0" w:type="dxa"/>
        </w:tblCellMar>
      </w:tblPr>
      <w:tr>
        <w:trPr>
          <w:trHeight w:val="130"/>
        </w:trPr>
        <w:tc>
          <w:tcPr>
            <w:tcW w:w="404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1740" w:type="dxa"/>
            <w:vAlign w:val="bottom"/>
            <w:tcBorders>
              <w:bottom w:val="single" w:sz="8" w:color="auto"/>
            </w:tcBorders>
            <w:gridSpan w:val="8"/>
            <w:shd w:val="clear" w:color="auto" w:fill="CCEEFF"/>
          </w:tcPr>
          <w:p>
            <w:pPr>
              <w:spacing w:after="0"/>
              <w:rPr>
                <w:sz w:val="20"/>
                <w:szCs w:val="20"/>
                <w:color w:val="auto"/>
              </w:rPr>
            </w:pPr>
            <w:r>
              <w:rPr>
                <w:rFonts w:ascii="Arial" w:cs="Arial" w:eastAsia="Arial" w:hAnsi="Arial"/>
                <w:sz w:val="10"/>
                <w:szCs w:val="10"/>
                <w:b w:val="1"/>
                <w:bCs w:val="1"/>
                <w:color w:val="auto"/>
              </w:rPr>
              <w:t>Nine months ended 9/30/2024</w:t>
            </w: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tcPr>
          <w:p>
            <w:pPr>
              <w:jc w:val="center"/>
              <w:ind w:right="200"/>
              <w:spacing w:after="0" w:line="86" w:lineRule="exact"/>
              <w:rPr>
                <w:sz w:val="20"/>
                <w:szCs w:val="20"/>
                <w:color w:val="auto"/>
              </w:rPr>
            </w:pPr>
            <w:r>
              <w:rPr>
                <w:rFonts w:ascii="Arial" w:cs="Arial" w:eastAsia="Arial" w:hAnsi="Arial"/>
                <w:sz w:val="9"/>
                <w:szCs w:val="9"/>
                <w:b w:val="1"/>
                <w:bCs w:val="1"/>
                <w:color w:val="auto"/>
              </w:rPr>
              <w:t>Total</w:t>
            </w: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4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160"/>
              <w:spacing w:after="0" w:line="102" w:lineRule="exact"/>
              <w:rPr>
                <w:sz w:val="20"/>
                <w:szCs w:val="20"/>
                <w:color w:val="auto"/>
              </w:rPr>
            </w:pPr>
            <w:r>
              <w:rPr>
                <w:rFonts w:ascii="Arial" w:cs="Arial" w:eastAsia="Arial" w:hAnsi="Arial"/>
                <w:sz w:val="10"/>
                <w:szCs w:val="10"/>
                <w:b w:val="1"/>
                <w:bCs w:val="1"/>
                <w:color w:val="auto"/>
                <w:w w:val="98"/>
              </w:rPr>
              <w:t>stockholders’</w:t>
            </w:r>
          </w:p>
        </w:tc>
        <w:tc>
          <w:tcPr>
            <w:tcW w:w="86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Non-controlling</w:t>
            </w: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40" w:type="dxa"/>
            <w:vAlign w:val="bottom"/>
          </w:tcPr>
          <w:p>
            <w:pPr>
              <w:spacing w:after="0"/>
              <w:rPr>
                <w:sz w:val="8"/>
                <w:szCs w:val="8"/>
                <w:color w:val="auto"/>
              </w:rPr>
            </w:pPr>
          </w:p>
        </w:tc>
        <w:tc>
          <w:tcPr>
            <w:tcW w:w="82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rPr>
              <w:t>Common</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180"/>
              <w:spacing w:after="0" w:line="100" w:lineRule="exact"/>
              <w:rPr>
                <w:sz w:val="20"/>
                <w:szCs w:val="20"/>
                <w:color w:val="auto"/>
              </w:rPr>
            </w:pPr>
            <w:r>
              <w:rPr>
                <w:rFonts w:ascii="Arial" w:cs="Arial" w:eastAsia="Arial" w:hAnsi="Arial"/>
                <w:sz w:val="10"/>
                <w:szCs w:val="10"/>
                <w:b w:val="1"/>
                <w:bCs w:val="1"/>
                <w:color w:val="auto"/>
              </w:rPr>
              <w:t>equity</w:t>
            </w:r>
          </w:p>
        </w:tc>
        <w:tc>
          <w:tcPr>
            <w:tcW w:w="8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1"/>
              </w:rPr>
              <w:t>Total</w:t>
            </w:r>
          </w:p>
        </w:tc>
        <w:tc>
          <w:tcPr>
            <w:tcW w:w="80" w:type="dxa"/>
            <w:vAlign w:val="bottom"/>
          </w:tcPr>
          <w:p>
            <w:pPr>
              <w:spacing w:after="0"/>
              <w:rPr>
                <w:sz w:val="8"/>
                <w:szCs w:val="8"/>
                <w:color w:val="auto"/>
              </w:rPr>
            </w:pPr>
          </w:p>
        </w:tc>
        <w:tc>
          <w:tcPr>
            <w:tcW w:w="680" w:type="dxa"/>
            <w:vAlign w:val="bottom"/>
            <w:vMerge w:val="restart"/>
          </w:tcPr>
          <w:p>
            <w:pPr>
              <w:jc w:val="center"/>
              <w:ind w:right="44"/>
              <w:spacing w:after="0"/>
              <w:rPr>
                <w:sz w:val="20"/>
                <w:szCs w:val="20"/>
                <w:color w:val="auto"/>
              </w:rPr>
            </w:pPr>
            <w:r>
              <w:rPr>
                <w:rFonts w:ascii="Arial" w:cs="Arial" w:eastAsia="Arial" w:hAnsi="Arial"/>
                <w:sz w:val="10"/>
                <w:szCs w:val="10"/>
                <w:b w:val="1"/>
                <w:bCs w:val="1"/>
                <w:color w:val="auto"/>
                <w:w w:val="98"/>
              </w:rPr>
              <w:t>Redeemable</w:t>
            </w:r>
          </w:p>
        </w:tc>
        <w:tc>
          <w:tcPr>
            <w:tcW w:w="0" w:type="dxa"/>
            <w:vAlign w:val="bottom"/>
          </w:tcPr>
          <w:p>
            <w:pPr>
              <w:spacing w:after="0"/>
              <w:rPr>
                <w:sz w:val="1"/>
                <w:szCs w:val="1"/>
                <w:color w:val="auto"/>
              </w:rPr>
            </w:pPr>
          </w:p>
        </w:tc>
      </w:tr>
      <w:tr>
        <w:trPr>
          <w:trHeight w:val="95"/>
        </w:trPr>
        <w:tc>
          <w:tcPr>
            <w:tcW w:w="40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rPr>
              <w:t>Common</w:t>
            </w:r>
          </w:p>
        </w:tc>
        <w:tc>
          <w:tcPr>
            <w:tcW w:w="80" w:type="dxa"/>
            <w:vAlign w:val="bottom"/>
          </w:tcPr>
          <w:p>
            <w:pPr>
              <w:spacing w:after="0"/>
              <w:rPr>
                <w:sz w:val="8"/>
                <w:szCs w:val="8"/>
                <w:color w:val="auto"/>
              </w:rPr>
            </w:pPr>
          </w:p>
        </w:tc>
        <w:tc>
          <w:tcPr>
            <w:tcW w:w="640" w:type="dxa"/>
            <w:vAlign w:val="bottom"/>
            <w:gridSpan w:val="2"/>
          </w:tcPr>
          <w:p>
            <w:pPr>
              <w:jc w:val="center"/>
              <w:ind w:right="140"/>
              <w:spacing w:after="0" w:line="96" w:lineRule="exact"/>
              <w:rPr>
                <w:sz w:val="20"/>
                <w:szCs w:val="20"/>
                <w:color w:val="auto"/>
              </w:rPr>
            </w:pPr>
            <w:r>
              <w:rPr>
                <w:rFonts w:ascii="Arial" w:cs="Arial" w:eastAsia="Arial" w:hAnsi="Arial"/>
                <w:sz w:val="10"/>
                <w:szCs w:val="10"/>
                <w:b w:val="1"/>
                <w:bCs w:val="1"/>
                <w:color w:val="auto"/>
                <w:w w:val="96"/>
              </w:rPr>
              <w:t>capital in</w:t>
            </w:r>
          </w:p>
        </w:tc>
        <w:tc>
          <w:tcPr>
            <w:tcW w:w="100" w:type="dxa"/>
            <w:vAlign w:val="bottom"/>
          </w:tcPr>
          <w:p>
            <w:pPr>
              <w:spacing w:after="0"/>
              <w:rPr>
                <w:sz w:val="8"/>
                <w:szCs w:val="8"/>
                <w:color w:val="auto"/>
              </w:rPr>
            </w:pPr>
          </w:p>
        </w:tc>
        <w:tc>
          <w:tcPr>
            <w:tcW w:w="520" w:type="dxa"/>
            <w:vAlign w:val="bottom"/>
            <w:vMerge w:val="restart"/>
          </w:tcPr>
          <w:p>
            <w:pPr>
              <w:jc w:val="right"/>
              <w:ind w:right="44"/>
              <w:spacing w:after="0"/>
              <w:rPr>
                <w:sz w:val="20"/>
                <w:szCs w:val="20"/>
                <w:color w:val="auto"/>
              </w:rPr>
            </w:pPr>
            <w:r>
              <w:rPr>
                <w:rFonts w:ascii="Arial" w:cs="Arial" w:eastAsia="Arial" w:hAnsi="Arial"/>
                <w:sz w:val="10"/>
                <w:szCs w:val="10"/>
                <w:b w:val="1"/>
                <w:bCs w:val="1"/>
                <w:color w:val="auto"/>
                <w:w w:val="94"/>
              </w:rPr>
              <w:t>Retained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3"/>
          </w:tcPr>
          <w:p>
            <w:pPr>
              <w:jc w:val="center"/>
              <w:ind w:right="80"/>
              <w:spacing w:after="0" w:line="96" w:lineRule="exact"/>
              <w:rPr>
                <w:sz w:val="20"/>
                <w:szCs w:val="20"/>
                <w:color w:val="auto"/>
              </w:rPr>
            </w:pPr>
            <w:r>
              <w:rPr>
                <w:rFonts w:ascii="Arial" w:cs="Arial" w:eastAsia="Arial" w:hAnsi="Arial"/>
                <w:sz w:val="10"/>
                <w:szCs w:val="10"/>
                <w:b w:val="1"/>
                <w:bCs w:val="1"/>
                <w:color w:val="auto"/>
                <w:w w:val="99"/>
              </w:rPr>
              <w:t>attributable to T.</w:t>
            </w:r>
          </w:p>
        </w:tc>
        <w:tc>
          <w:tcPr>
            <w:tcW w:w="80" w:type="dxa"/>
            <w:vAlign w:val="bottom"/>
          </w:tcPr>
          <w:p>
            <w:pPr>
              <w:spacing w:after="0"/>
              <w:rPr>
                <w:sz w:val="8"/>
                <w:szCs w:val="8"/>
                <w:color w:val="auto"/>
              </w:rPr>
            </w:pPr>
          </w:p>
        </w:tc>
        <w:tc>
          <w:tcPr>
            <w:tcW w:w="780" w:type="dxa"/>
            <w:vAlign w:val="bottom"/>
            <w:gridSpan w:val="2"/>
          </w:tcPr>
          <w:p>
            <w:pPr>
              <w:jc w:val="center"/>
              <w:ind w:right="160"/>
              <w:spacing w:after="0" w:line="96" w:lineRule="exact"/>
              <w:rPr>
                <w:sz w:val="20"/>
                <w:szCs w:val="20"/>
                <w:color w:val="auto"/>
              </w:rPr>
            </w:pPr>
            <w:r>
              <w:rPr>
                <w:rFonts w:ascii="Arial" w:cs="Arial" w:eastAsia="Arial" w:hAnsi="Arial"/>
                <w:sz w:val="10"/>
                <w:szCs w:val="10"/>
                <w:b w:val="1"/>
                <w:bCs w:val="1"/>
                <w:color w:val="auto"/>
              </w:rPr>
              <w:t>interests in</w:t>
            </w:r>
          </w:p>
        </w:tc>
        <w:tc>
          <w:tcPr>
            <w:tcW w:w="8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040" w:type="dxa"/>
            <w:vAlign w:val="bottom"/>
          </w:tcPr>
          <w:p>
            <w:pPr>
              <w:spacing w:after="0"/>
              <w:rPr>
                <w:sz w:val="9"/>
                <w:szCs w:val="9"/>
                <w:color w:val="auto"/>
              </w:rPr>
            </w:pPr>
          </w:p>
        </w:tc>
        <w:tc>
          <w:tcPr>
            <w:tcW w:w="820" w:type="dxa"/>
            <w:vAlign w:val="bottom"/>
            <w:gridSpan w:val="2"/>
          </w:tcPr>
          <w:p>
            <w:pPr>
              <w:jc w:val="center"/>
              <w:ind w:right="60"/>
              <w:spacing w:after="0" w:line="106" w:lineRule="exact"/>
              <w:rPr>
                <w:sz w:val="20"/>
                <w:szCs w:val="20"/>
                <w:color w:val="auto"/>
              </w:rPr>
            </w:pPr>
            <w:r>
              <w:rPr>
                <w:rFonts w:ascii="Arial" w:cs="Arial" w:eastAsia="Arial" w:hAnsi="Arial"/>
                <w:sz w:val="10"/>
                <w:szCs w:val="10"/>
                <w:b w:val="1"/>
                <w:bCs w:val="1"/>
                <w:color w:val="auto"/>
                <w:w w:val="99"/>
              </w:rPr>
              <w:t>shares</w:t>
            </w: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40"/>
              <w:spacing w:after="0" w:line="106" w:lineRule="exact"/>
              <w:rPr>
                <w:sz w:val="20"/>
                <w:szCs w:val="20"/>
                <w:color w:val="auto"/>
              </w:rPr>
            </w:pPr>
            <w:r>
              <w:rPr>
                <w:rFonts w:ascii="Arial" w:cs="Arial" w:eastAsia="Arial" w:hAnsi="Arial"/>
                <w:sz w:val="10"/>
                <w:szCs w:val="10"/>
                <w:b w:val="1"/>
                <w:bCs w:val="1"/>
                <w:color w:val="auto"/>
              </w:rPr>
              <w:t>excess of</w:t>
            </w: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104"/>
              <w:spacing w:after="0"/>
              <w:rPr>
                <w:sz w:val="20"/>
                <w:szCs w:val="20"/>
                <w:color w:val="auto"/>
              </w:rPr>
            </w:pPr>
            <w:r>
              <w:rPr>
                <w:rFonts w:ascii="Arial" w:cs="Arial" w:eastAsia="Arial" w:hAnsi="Arial"/>
                <w:sz w:val="10"/>
                <w:szCs w:val="10"/>
                <w:b w:val="1"/>
                <w:bCs w:val="1"/>
                <w:color w:val="auto"/>
              </w:rPr>
              <w:t>AOCI</w:t>
            </w:r>
            <w:r>
              <w:rPr>
                <w:rFonts w:ascii="Arial" w:cs="Arial" w:eastAsia="Arial" w:hAnsi="Arial"/>
                <w:sz w:val="12"/>
                <w:szCs w:val="12"/>
                <w:b w:val="1"/>
                <w:bCs w:val="1"/>
                <w:color w:val="auto"/>
                <w:vertAlign w:val="superscript"/>
              </w:rPr>
              <w:t>(1)</w:t>
            </w:r>
          </w:p>
        </w:tc>
        <w:tc>
          <w:tcPr>
            <w:tcW w:w="6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6" w:lineRule="exact"/>
              <w:rPr>
                <w:sz w:val="20"/>
                <w:szCs w:val="20"/>
                <w:color w:val="auto"/>
              </w:rPr>
            </w:pPr>
            <w:r>
              <w:rPr>
                <w:rFonts w:ascii="Arial" w:cs="Arial" w:eastAsia="Arial" w:hAnsi="Arial"/>
                <w:sz w:val="10"/>
                <w:szCs w:val="10"/>
                <w:b w:val="1"/>
                <w:bCs w:val="1"/>
                <w:color w:val="auto"/>
              </w:rPr>
              <w:t>Rowe Price</w:t>
            </w:r>
          </w:p>
        </w:tc>
        <w:tc>
          <w:tcPr>
            <w:tcW w:w="80" w:type="dxa"/>
            <w:vAlign w:val="bottom"/>
          </w:tcPr>
          <w:p>
            <w:pPr>
              <w:spacing w:after="0"/>
              <w:rPr>
                <w:sz w:val="9"/>
                <w:szCs w:val="9"/>
                <w:color w:val="auto"/>
              </w:rPr>
            </w:pPr>
          </w:p>
        </w:tc>
        <w:tc>
          <w:tcPr>
            <w:tcW w:w="780" w:type="dxa"/>
            <w:vAlign w:val="bottom"/>
            <w:gridSpan w:val="2"/>
          </w:tcPr>
          <w:p>
            <w:pPr>
              <w:jc w:val="center"/>
              <w:ind w:right="160"/>
              <w:spacing w:after="0" w:line="106" w:lineRule="exact"/>
              <w:rPr>
                <w:sz w:val="20"/>
                <w:szCs w:val="20"/>
                <w:color w:val="auto"/>
              </w:rPr>
            </w:pPr>
            <w:r>
              <w:rPr>
                <w:rFonts w:ascii="Arial" w:cs="Arial" w:eastAsia="Arial" w:hAnsi="Arial"/>
                <w:sz w:val="10"/>
                <w:szCs w:val="10"/>
                <w:b w:val="1"/>
                <w:bCs w:val="1"/>
                <w:color w:val="auto"/>
              </w:rPr>
              <w:t>consolidated</w:t>
            </w: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06" w:lineRule="exact"/>
              <w:rPr>
                <w:sz w:val="20"/>
                <w:szCs w:val="20"/>
                <w:color w:val="auto"/>
              </w:rPr>
            </w:pPr>
            <w:r>
              <w:rPr>
                <w:rFonts w:ascii="Arial" w:cs="Arial" w:eastAsia="Arial" w:hAnsi="Arial"/>
                <w:sz w:val="10"/>
                <w:szCs w:val="10"/>
                <w:b w:val="1"/>
                <w:bCs w:val="1"/>
                <w:color w:val="auto"/>
                <w:w w:val="99"/>
              </w:rPr>
              <w:t>Stockholders’</w:t>
            </w:r>
          </w:p>
        </w:tc>
        <w:tc>
          <w:tcPr>
            <w:tcW w:w="760" w:type="dxa"/>
            <w:vAlign w:val="bottom"/>
            <w:gridSpan w:val="2"/>
          </w:tcPr>
          <w:p>
            <w:pPr>
              <w:ind w:left="20"/>
              <w:spacing w:after="0" w:line="106" w:lineRule="exact"/>
              <w:rPr>
                <w:sz w:val="20"/>
                <w:szCs w:val="20"/>
                <w:color w:val="auto"/>
              </w:rPr>
            </w:pPr>
            <w:r>
              <w:rPr>
                <w:rFonts w:ascii="Arial" w:cs="Arial" w:eastAsia="Arial" w:hAnsi="Arial"/>
                <w:sz w:val="10"/>
                <w:szCs w:val="10"/>
                <w:b w:val="1"/>
                <w:bCs w:val="1"/>
                <w:color w:val="auto"/>
                <w:w w:val="98"/>
              </w:rPr>
              <w:t>non-controlling</w:t>
            </w:r>
          </w:p>
        </w:tc>
        <w:tc>
          <w:tcPr>
            <w:tcW w:w="0" w:type="dxa"/>
            <w:vAlign w:val="bottom"/>
          </w:tcPr>
          <w:p>
            <w:pPr>
              <w:spacing w:after="0"/>
              <w:rPr>
                <w:sz w:val="1"/>
                <w:szCs w:val="1"/>
                <w:color w:val="auto"/>
              </w:rPr>
            </w:pPr>
          </w:p>
        </w:tc>
      </w:tr>
      <w:tr>
        <w:trPr>
          <w:trHeight w:val="138"/>
        </w:trPr>
        <w:tc>
          <w:tcPr>
            <w:tcW w:w="40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outstanding</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44"/>
              <w:spacing w:after="0"/>
              <w:rPr>
                <w:sz w:val="20"/>
                <w:szCs w:val="20"/>
                <w:color w:val="auto"/>
              </w:rPr>
            </w:pPr>
            <w:r>
              <w:rPr>
                <w:rFonts w:ascii="Arial" w:cs="Arial" w:eastAsia="Arial" w:hAnsi="Arial"/>
                <w:sz w:val="10"/>
                <w:szCs w:val="10"/>
                <w:b w:val="1"/>
                <w:bCs w:val="1"/>
                <w:color w:val="auto"/>
                <w:w w:val="99"/>
              </w:rPr>
              <w:t>stock</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25"/>
              <w:spacing w:after="0"/>
              <w:rPr>
                <w:sz w:val="20"/>
                <w:szCs w:val="20"/>
                <w:color w:val="auto"/>
              </w:rPr>
            </w:pPr>
            <w:r>
              <w:rPr>
                <w:rFonts w:ascii="Arial" w:cs="Arial" w:eastAsia="Arial" w:hAnsi="Arial"/>
                <w:sz w:val="10"/>
                <w:szCs w:val="10"/>
                <w:b w:val="1"/>
                <w:bCs w:val="1"/>
                <w:color w:val="auto"/>
                <w:w w:val="95"/>
              </w:rPr>
              <w:t>par value</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w w:val="95"/>
              </w:rPr>
              <w:t>earnings</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5"/>
              <w:spacing w:after="0"/>
              <w:rPr>
                <w:sz w:val="20"/>
                <w:szCs w:val="20"/>
                <w:color w:val="auto"/>
              </w:rPr>
            </w:pPr>
            <w:r>
              <w:rPr>
                <w:rFonts w:ascii="Arial" w:cs="Arial" w:eastAsia="Arial" w:hAnsi="Arial"/>
                <w:sz w:val="10"/>
                <w:szCs w:val="10"/>
                <w:b w:val="1"/>
                <w:bCs w:val="1"/>
                <w:color w:val="auto"/>
                <w:w w:val="98"/>
              </w:rPr>
              <w:t>Group, Inc.</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25"/>
              <w:spacing w:after="0"/>
              <w:rPr>
                <w:sz w:val="20"/>
                <w:szCs w:val="20"/>
                <w:color w:val="auto"/>
              </w:rPr>
            </w:pPr>
            <w:r>
              <w:rPr>
                <w:rFonts w:ascii="Arial" w:cs="Arial" w:eastAsia="Arial" w:hAnsi="Arial"/>
                <w:sz w:val="10"/>
                <w:szCs w:val="10"/>
                <w:b w:val="1"/>
                <w:bCs w:val="1"/>
                <w:color w:val="auto"/>
                <w:w w:val="96"/>
              </w:rPr>
              <w:t>entities</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25"/>
              <w:spacing w:after="0"/>
              <w:rPr>
                <w:sz w:val="20"/>
                <w:szCs w:val="20"/>
                <w:color w:val="auto"/>
              </w:rPr>
            </w:pPr>
            <w:r>
              <w:rPr>
                <w:rFonts w:ascii="Arial" w:cs="Arial" w:eastAsia="Arial" w:hAnsi="Arial"/>
                <w:sz w:val="10"/>
                <w:szCs w:val="10"/>
                <w:b w:val="1"/>
                <w:bCs w:val="1"/>
                <w:color w:val="auto"/>
              </w:rPr>
              <w:t>equity</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44"/>
              <w:spacing w:after="0"/>
              <w:rPr>
                <w:sz w:val="20"/>
                <w:szCs w:val="20"/>
                <w:color w:val="auto"/>
              </w:rPr>
            </w:pPr>
            <w:r>
              <w:rPr>
                <w:rFonts w:ascii="Arial" w:cs="Arial" w:eastAsia="Arial" w:hAnsi="Arial"/>
                <w:sz w:val="10"/>
                <w:szCs w:val="10"/>
                <w:b w:val="1"/>
                <w:bCs w:val="1"/>
                <w:color w:val="auto"/>
              </w:rPr>
              <w:t>interests</w:t>
            </w:r>
          </w:p>
        </w:tc>
        <w:tc>
          <w:tcPr>
            <w:tcW w:w="0" w:type="dxa"/>
            <w:vAlign w:val="bottom"/>
          </w:tcPr>
          <w:p>
            <w:pPr>
              <w:spacing w:after="0"/>
              <w:rPr>
                <w:sz w:val="1"/>
                <w:szCs w:val="1"/>
                <w:color w:val="auto"/>
              </w:rPr>
            </w:pPr>
          </w:p>
        </w:tc>
      </w:tr>
      <w:tr>
        <w:trPr>
          <w:trHeight w:val="150"/>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Balances at December 31, 2023</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223,938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44.8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431.7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9,076.1</w:t>
            </w: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9,505.1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9,697.1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594.1</w:t>
            </w:r>
          </w:p>
        </w:tc>
        <w:tc>
          <w:tcPr>
            <w:tcW w:w="0" w:type="dxa"/>
            <w:vAlign w:val="bottom"/>
          </w:tcPr>
          <w:p>
            <w:pPr>
              <w:spacing w:after="0"/>
              <w:rPr>
                <w:sz w:val="1"/>
                <w:szCs w:val="1"/>
                <w:color w:val="auto"/>
              </w:rPr>
            </w:pPr>
          </w:p>
        </w:tc>
      </w:tr>
      <w:tr>
        <w:trPr>
          <w:trHeight w:val="156"/>
        </w:trPr>
        <w:tc>
          <w:tcPr>
            <w:tcW w:w="404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1,660.2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1,660.2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1,669.0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58.9</w:t>
            </w: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 net of tax</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156"/>
        </w:trPr>
        <w:tc>
          <w:tcPr>
            <w:tcW w:w="4040" w:type="dxa"/>
            <w:vAlign w:val="bottom"/>
          </w:tcPr>
          <w:p>
            <w:pPr>
              <w:ind w:left="20"/>
              <w:spacing w:after="0"/>
              <w:rPr>
                <w:sz w:val="20"/>
                <w:szCs w:val="20"/>
                <w:color w:val="auto"/>
              </w:rPr>
            </w:pPr>
            <w:r>
              <w:rPr>
                <w:rFonts w:ascii="Arial" w:cs="Arial" w:eastAsia="Arial" w:hAnsi="Arial"/>
                <w:sz w:val="11"/>
                <w:szCs w:val="11"/>
                <w:color w:val="auto"/>
              </w:rPr>
              <w:t>Dividends declared ($3.72 per share)</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(850.7)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(850.7)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(850.7)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 issued upon option exercises</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0.1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30.4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4040" w:type="dxa"/>
            <w:vAlign w:val="bottom"/>
          </w:tcPr>
          <w:p>
            <w:pPr>
              <w:ind w:left="20"/>
              <w:spacing w:after="0"/>
              <w:rPr>
                <w:sz w:val="20"/>
                <w:szCs w:val="20"/>
                <w:color w:val="auto"/>
              </w:rPr>
            </w:pPr>
            <w:r>
              <w:rPr>
                <w:rFonts w:ascii="Arial" w:cs="Arial" w:eastAsia="Arial" w:hAnsi="Arial"/>
                <w:sz w:val="11"/>
                <w:szCs w:val="11"/>
                <w:color w:val="auto"/>
              </w:rPr>
              <w:t>Restricted shares issued, net of shares withheld for taxes</w:t>
            </w:r>
          </w:p>
        </w:tc>
        <w:tc>
          <w:tcPr>
            <w:tcW w:w="740" w:type="dxa"/>
            <w:vAlign w:val="bottom"/>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shares issued upon vesting of restricted stock units</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404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162.2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162.2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stock units issued as dividend equivalents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0.3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4040" w:type="dxa"/>
            <w:vAlign w:val="bottom"/>
          </w:tcPr>
          <w:p>
            <w:pPr>
              <w:ind w:left="20"/>
              <w:spacing w:after="0"/>
              <w:rPr>
                <w:sz w:val="20"/>
                <w:szCs w:val="20"/>
                <w:color w:val="auto"/>
              </w:rPr>
            </w:pPr>
            <w:r>
              <w:rPr>
                <w:rFonts w:ascii="Arial" w:cs="Arial" w:eastAsia="Arial" w:hAnsi="Arial"/>
                <w:sz w:val="11"/>
                <w:szCs w:val="11"/>
                <w:color w:val="auto"/>
              </w:rPr>
              <w:t>Common shares repurchased</w:t>
            </w:r>
          </w:p>
        </w:tc>
        <w:tc>
          <w:tcPr>
            <w:tcW w:w="740" w:type="dxa"/>
            <w:vAlign w:val="bottom"/>
          </w:tcPr>
          <w:p>
            <w:pPr>
              <w:jc w:val="right"/>
              <w:spacing w:after="0"/>
              <w:rPr>
                <w:sz w:val="20"/>
                <w:szCs w:val="20"/>
                <w:color w:val="auto"/>
              </w:rPr>
            </w:pPr>
            <w:r>
              <w:rPr>
                <w:rFonts w:ascii="Arial" w:cs="Arial" w:eastAsia="Arial" w:hAnsi="Arial"/>
                <w:sz w:val="11"/>
                <w:szCs w:val="11"/>
                <w:color w:val="auto"/>
              </w:rPr>
              <w:t>(2,348)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(263.2)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(263.7)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(263.7)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contributions to non-controlling interests in consolidated entities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4040" w:type="dxa"/>
            <w:vAlign w:val="bottom"/>
          </w:tcPr>
          <w:p>
            <w:pPr>
              <w:ind w:left="20"/>
              <w:spacing w:after="0"/>
              <w:rPr>
                <w:sz w:val="20"/>
                <w:szCs w:val="20"/>
                <w:color w:val="auto"/>
              </w:rPr>
            </w:pPr>
            <w:r>
              <w:rPr>
                <w:rFonts w:ascii="Arial" w:cs="Arial" w:eastAsia="Arial" w:hAnsi="Arial"/>
                <w:sz w:val="11"/>
                <w:szCs w:val="11"/>
                <w:color w:val="auto"/>
              </w:rPr>
              <w:t>Net subscriptions into T. Rowe Price investment products</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361.0</w:t>
            </w:r>
          </w:p>
        </w:tc>
        <w:tc>
          <w:tcPr>
            <w:tcW w:w="0" w:type="dxa"/>
            <w:vAlign w:val="bottom"/>
          </w:tcPr>
          <w:p>
            <w:pPr>
              <w:spacing w:after="0"/>
              <w:rPr>
                <w:sz w:val="1"/>
                <w:szCs w:val="1"/>
                <w:color w:val="auto"/>
              </w:rPr>
            </w:pPr>
          </w:p>
        </w:tc>
      </w:tr>
      <w:tr>
        <w:trPr>
          <w:trHeight w:val="159"/>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deconsolidations of T. Rowe Price investment products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(256.8)</w:t>
            </w:r>
          </w:p>
        </w:tc>
        <w:tc>
          <w:tcPr>
            <w:tcW w:w="0" w:type="dxa"/>
            <w:vAlign w:val="bottom"/>
          </w:tcPr>
          <w:p>
            <w:pPr>
              <w:spacing w:after="0"/>
              <w:rPr>
                <w:sz w:val="1"/>
                <w:szCs w:val="1"/>
                <w:color w:val="auto"/>
              </w:rPr>
            </w:pPr>
          </w:p>
        </w:tc>
      </w:tr>
      <w:tr>
        <w:trPr>
          <w:trHeight w:val="153"/>
        </w:trPr>
        <w:tc>
          <w:tcPr>
            <w:tcW w:w="4040" w:type="dxa"/>
            <w:vAlign w:val="bottom"/>
          </w:tcPr>
          <w:p>
            <w:pPr>
              <w:ind w:left="20"/>
              <w:spacing w:after="0"/>
              <w:rPr>
                <w:sz w:val="20"/>
                <w:szCs w:val="20"/>
                <w:color w:val="auto"/>
              </w:rPr>
            </w:pPr>
            <w:r>
              <w:rPr>
                <w:rFonts w:ascii="Arial" w:cs="Arial" w:eastAsia="Arial" w:hAnsi="Arial"/>
                <w:sz w:val="11"/>
                <w:szCs w:val="11"/>
                <w:color w:val="auto"/>
              </w:rPr>
              <w:t>Balances at September 30, 2024</w:t>
            </w:r>
          </w:p>
        </w:tc>
        <w:tc>
          <w:tcPr>
            <w:tcW w:w="740" w:type="dxa"/>
            <w:vAlign w:val="bottom"/>
          </w:tcPr>
          <w:p>
            <w:pPr>
              <w:jc w:val="right"/>
              <w:spacing w:after="0"/>
              <w:rPr>
                <w:sz w:val="20"/>
                <w:szCs w:val="20"/>
                <w:color w:val="auto"/>
              </w:rPr>
            </w:pPr>
            <w:r>
              <w:rPr>
                <w:rFonts w:ascii="Arial" w:cs="Arial" w:eastAsia="Arial" w:hAnsi="Arial"/>
                <w:sz w:val="11"/>
                <w:szCs w:val="11"/>
                <w:color w:val="auto"/>
              </w:rPr>
              <w:t>222,143</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
              <w:spacing w:after="0"/>
              <w:rPr>
                <w:sz w:val="20"/>
                <w:szCs w:val="20"/>
                <w:color w:val="auto"/>
              </w:rPr>
            </w:pPr>
            <w:r>
              <w:rPr>
                <w:rFonts w:ascii="Arial" w:cs="Arial" w:eastAsia="Arial" w:hAnsi="Arial"/>
                <w:sz w:val="11"/>
                <w:szCs w:val="11"/>
                <w:color w:val="auto"/>
              </w:rPr>
              <w:t>44.4</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359.1</w:t>
            </w: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9,885.3</w:t>
            </w:r>
          </w:p>
        </w:tc>
        <w:tc>
          <w:tcPr>
            <w:tcW w:w="20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(39.5)</w:t>
            </w: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10,249.3</w:t>
            </w:r>
          </w:p>
        </w:tc>
        <w:tc>
          <w:tcPr>
            <w:tcW w:w="8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203.4</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10,452.7</w:t>
            </w:r>
          </w:p>
        </w:tc>
        <w:tc>
          <w:tcPr>
            <w:tcW w:w="8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763.4</w:t>
            </w:r>
          </w:p>
        </w:tc>
        <w:tc>
          <w:tcPr>
            <w:tcW w:w="0" w:type="dxa"/>
            <w:vAlign w:val="bottom"/>
          </w:tcPr>
          <w:p>
            <w:pPr>
              <w:spacing w:after="0"/>
              <w:rPr>
                <w:sz w:val="1"/>
                <w:szCs w:val="1"/>
                <w:color w:val="auto"/>
              </w:rPr>
            </w:pPr>
          </w:p>
        </w:tc>
      </w:tr>
      <w:tr>
        <w:trPr>
          <w:trHeight w:val="24"/>
        </w:trPr>
        <w:tc>
          <w:tcPr>
            <w:tcW w:w="404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gridSpan w:val="2"/>
          </w:tcPr>
          <w:p>
            <w:pPr>
              <w:spacing w:after="0"/>
              <w:rPr>
                <w:sz w:val="21"/>
                <w:szCs w:val="21"/>
                <w:color w:val="auto"/>
              </w:rPr>
            </w:pPr>
          </w:p>
        </w:tc>
        <w:tc>
          <w:tcPr>
            <w:tcW w:w="92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404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1740" w:type="dxa"/>
            <w:vAlign w:val="bottom"/>
            <w:tcBorders>
              <w:bottom w:val="single" w:sz="8" w:color="auto"/>
            </w:tcBorders>
            <w:gridSpan w:val="8"/>
            <w:shd w:val="clear" w:color="auto" w:fill="CCEEFF"/>
          </w:tcPr>
          <w:p>
            <w:pPr>
              <w:spacing w:after="0"/>
              <w:rPr>
                <w:sz w:val="20"/>
                <w:szCs w:val="20"/>
                <w:color w:val="auto"/>
              </w:rPr>
            </w:pPr>
            <w:r>
              <w:rPr>
                <w:rFonts w:ascii="Arial" w:cs="Arial" w:eastAsia="Arial" w:hAnsi="Arial"/>
                <w:sz w:val="10"/>
                <w:szCs w:val="10"/>
                <w:b w:val="1"/>
                <w:bCs w:val="1"/>
                <w:color w:val="auto"/>
              </w:rPr>
              <w:t>Nine months ended 9/30/2023</w:t>
            </w: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tcPr>
          <w:p>
            <w:pPr>
              <w:jc w:val="center"/>
              <w:ind w:right="200"/>
              <w:spacing w:after="0" w:line="88" w:lineRule="exact"/>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4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160"/>
              <w:spacing w:after="0" w:line="102" w:lineRule="exact"/>
              <w:rPr>
                <w:sz w:val="20"/>
                <w:szCs w:val="20"/>
                <w:color w:val="auto"/>
              </w:rPr>
            </w:pPr>
            <w:r>
              <w:rPr>
                <w:rFonts w:ascii="Arial" w:cs="Arial" w:eastAsia="Arial" w:hAnsi="Arial"/>
                <w:sz w:val="10"/>
                <w:szCs w:val="10"/>
                <w:b w:val="1"/>
                <w:bCs w:val="1"/>
                <w:color w:val="auto"/>
                <w:w w:val="98"/>
              </w:rPr>
              <w:t>stockholders’</w:t>
            </w:r>
          </w:p>
        </w:tc>
        <w:tc>
          <w:tcPr>
            <w:tcW w:w="86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Non-controlling</w:t>
            </w: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40" w:type="dxa"/>
            <w:vAlign w:val="bottom"/>
          </w:tcPr>
          <w:p>
            <w:pPr>
              <w:spacing w:after="0"/>
              <w:rPr>
                <w:sz w:val="8"/>
                <w:szCs w:val="8"/>
                <w:color w:val="auto"/>
              </w:rPr>
            </w:pPr>
          </w:p>
        </w:tc>
        <w:tc>
          <w:tcPr>
            <w:tcW w:w="82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rPr>
              <w:t>Common</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180"/>
              <w:spacing w:after="0" w:line="100" w:lineRule="exact"/>
              <w:rPr>
                <w:sz w:val="20"/>
                <w:szCs w:val="20"/>
                <w:color w:val="auto"/>
              </w:rPr>
            </w:pPr>
            <w:r>
              <w:rPr>
                <w:rFonts w:ascii="Arial" w:cs="Arial" w:eastAsia="Arial" w:hAnsi="Arial"/>
                <w:sz w:val="10"/>
                <w:szCs w:val="10"/>
                <w:b w:val="1"/>
                <w:bCs w:val="1"/>
                <w:color w:val="auto"/>
              </w:rPr>
              <w:t>equity</w:t>
            </w:r>
          </w:p>
        </w:tc>
        <w:tc>
          <w:tcPr>
            <w:tcW w:w="8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1"/>
              </w:rPr>
              <w:t>Total</w:t>
            </w:r>
          </w:p>
        </w:tc>
        <w:tc>
          <w:tcPr>
            <w:tcW w:w="80" w:type="dxa"/>
            <w:vAlign w:val="bottom"/>
          </w:tcPr>
          <w:p>
            <w:pPr>
              <w:spacing w:after="0"/>
              <w:rPr>
                <w:sz w:val="8"/>
                <w:szCs w:val="8"/>
                <w:color w:val="auto"/>
              </w:rPr>
            </w:pPr>
          </w:p>
        </w:tc>
        <w:tc>
          <w:tcPr>
            <w:tcW w:w="680" w:type="dxa"/>
            <w:vAlign w:val="bottom"/>
            <w:vMerge w:val="restart"/>
          </w:tcPr>
          <w:p>
            <w:pPr>
              <w:jc w:val="center"/>
              <w:ind w:right="44"/>
              <w:spacing w:after="0"/>
              <w:rPr>
                <w:sz w:val="20"/>
                <w:szCs w:val="20"/>
                <w:color w:val="auto"/>
              </w:rPr>
            </w:pPr>
            <w:r>
              <w:rPr>
                <w:rFonts w:ascii="Arial" w:cs="Arial" w:eastAsia="Arial" w:hAnsi="Arial"/>
                <w:sz w:val="10"/>
                <w:szCs w:val="10"/>
                <w:b w:val="1"/>
                <w:bCs w:val="1"/>
                <w:color w:val="auto"/>
                <w:w w:val="98"/>
              </w:rPr>
              <w:t>Redeemable</w:t>
            </w:r>
          </w:p>
        </w:tc>
        <w:tc>
          <w:tcPr>
            <w:tcW w:w="0" w:type="dxa"/>
            <w:vAlign w:val="bottom"/>
          </w:tcPr>
          <w:p>
            <w:pPr>
              <w:spacing w:after="0"/>
              <w:rPr>
                <w:sz w:val="1"/>
                <w:szCs w:val="1"/>
                <w:color w:val="auto"/>
              </w:rPr>
            </w:pPr>
          </w:p>
        </w:tc>
      </w:tr>
      <w:tr>
        <w:trPr>
          <w:trHeight w:val="95"/>
        </w:trPr>
        <w:tc>
          <w:tcPr>
            <w:tcW w:w="40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rPr>
              <w:t>Common</w:t>
            </w:r>
          </w:p>
        </w:tc>
        <w:tc>
          <w:tcPr>
            <w:tcW w:w="80" w:type="dxa"/>
            <w:vAlign w:val="bottom"/>
          </w:tcPr>
          <w:p>
            <w:pPr>
              <w:spacing w:after="0"/>
              <w:rPr>
                <w:sz w:val="8"/>
                <w:szCs w:val="8"/>
                <w:color w:val="auto"/>
              </w:rPr>
            </w:pPr>
          </w:p>
        </w:tc>
        <w:tc>
          <w:tcPr>
            <w:tcW w:w="640" w:type="dxa"/>
            <w:vAlign w:val="bottom"/>
            <w:gridSpan w:val="2"/>
          </w:tcPr>
          <w:p>
            <w:pPr>
              <w:jc w:val="center"/>
              <w:ind w:right="140"/>
              <w:spacing w:after="0" w:line="96" w:lineRule="exact"/>
              <w:rPr>
                <w:sz w:val="20"/>
                <w:szCs w:val="20"/>
                <w:color w:val="auto"/>
              </w:rPr>
            </w:pPr>
            <w:r>
              <w:rPr>
                <w:rFonts w:ascii="Arial" w:cs="Arial" w:eastAsia="Arial" w:hAnsi="Arial"/>
                <w:sz w:val="10"/>
                <w:szCs w:val="10"/>
                <w:b w:val="1"/>
                <w:bCs w:val="1"/>
                <w:color w:val="auto"/>
                <w:w w:val="96"/>
              </w:rPr>
              <w:t>capital in</w:t>
            </w:r>
          </w:p>
        </w:tc>
        <w:tc>
          <w:tcPr>
            <w:tcW w:w="100" w:type="dxa"/>
            <w:vAlign w:val="bottom"/>
          </w:tcPr>
          <w:p>
            <w:pPr>
              <w:spacing w:after="0"/>
              <w:rPr>
                <w:sz w:val="8"/>
                <w:szCs w:val="8"/>
                <w:color w:val="auto"/>
              </w:rPr>
            </w:pPr>
          </w:p>
        </w:tc>
        <w:tc>
          <w:tcPr>
            <w:tcW w:w="520" w:type="dxa"/>
            <w:vAlign w:val="bottom"/>
            <w:vMerge w:val="restart"/>
          </w:tcPr>
          <w:p>
            <w:pPr>
              <w:jc w:val="right"/>
              <w:ind w:right="44"/>
              <w:spacing w:after="0"/>
              <w:rPr>
                <w:sz w:val="20"/>
                <w:szCs w:val="20"/>
                <w:color w:val="auto"/>
              </w:rPr>
            </w:pPr>
            <w:r>
              <w:rPr>
                <w:rFonts w:ascii="Arial" w:cs="Arial" w:eastAsia="Arial" w:hAnsi="Arial"/>
                <w:sz w:val="10"/>
                <w:szCs w:val="10"/>
                <w:b w:val="1"/>
                <w:bCs w:val="1"/>
                <w:color w:val="auto"/>
                <w:w w:val="94"/>
              </w:rPr>
              <w:t>Retained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3"/>
          </w:tcPr>
          <w:p>
            <w:pPr>
              <w:jc w:val="center"/>
              <w:ind w:right="80"/>
              <w:spacing w:after="0" w:line="96" w:lineRule="exact"/>
              <w:rPr>
                <w:sz w:val="20"/>
                <w:szCs w:val="20"/>
                <w:color w:val="auto"/>
              </w:rPr>
            </w:pPr>
            <w:r>
              <w:rPr>
                <w:rFonts w:ascii="Arial" w:cs="Arial" w:eastAsia="Arial" w:hAnsi="Arial"/>
                <w:sz w:val="10"/>
                <w:szCs w:val="10"/>
                <w:b w:val="1"/>
                <w:bCs w:val="1"/>
                <w:color w:val="auto"/>
                <w:w w:val="99"/>
              </w:rPr>
              <w:t>attributable to T.</w:t>
            </w:r>
          </w:p>
        </w:tc>
        <w:tc>
          <w:tcPr>
            <w:tcW w:w="80" w:type="dxa"/>
            <w:vAlign w:val="bottom"/>
          </w:tcPr>
          <w:p>
            <w:pPr>
              <w:spacing w:after="0"/>
              <w:rPr>
                <w:sz w:val="8"/>
                <w:szCs w:val="8"/>
                <w:color w:val="auto"/>
              </w:rPr>
            </w:pPr>
          </w:p>
        </w:tc>
        <w:tc>
          <w:tcPr>
            <w:tcW w:w="780" w:type="dxa"/>
            <w:vAlign w:val="bottom"/>
            <w:gridSpan w:val="2"/>
          </w:tcPr>
          <w:p>
            <w:pPr>
              <w:jc w:val="center"/>
              <w:ind w:right="160"/>
              <w:spacing w:after="0" w:line="96" w:lineRule="exact"/>
              <w:rPr>
                <w:sz w:val="20"/>
                <w:szCs w:val="20"/>
                <w:color w:val="auto"/>
              </w:rPr>
            </w:pPr>
            <w:r>
              <w:rPr>
                <w:rFonts w:ascii="Arial" w:cs="Arial" w:eastAsia="Arial" w:hAnsi="Arial"/>
                <w:sz w:val="10"/>
                <w:szCs w:val="10"/>
                <w:b w:val="1"/>
                <w:bCs w:val="1"/>
                <w:color w:val="auto"/>
              </w:rPr>
              <w:t>interests in</w:t>
            </w:r>
          </w:p>
        </w:tc>
        <w:tc>
          <w:tcPr>
            <w:tcW w:w="8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040" w:type="dxa"/>
            <w:vAlign w:val="bottom"/>
          </w:tcPr>
          <w:p>
            <w:pPr>
              <w:spacing w:after="0"/>
              <w:rPr>
                <w:sz w:val="9"/>
                <w:szCs w:val="9"/>
                <w:color w:val="auto"/>
              </w:rPr>
            </w:pPr>
          </w:p>
        </w:tc>
        <w:tc>
          <w:tcPr>
            <w:tcW w:w="820" w:type="dxa"/>
            <w:vAlign w:val="bottom"/>
            <w:gridSpan w:val="2"/>
          </w:tcPr>
          <w:p>
            <w:pPr>
              <w:jc w:val="center"/>
              <w:ind w:right="60"/>
              <w:spacing w:after="0" w:line="106" w:lineRule="exact"/>
              <w:rPr>
                <w:sz w:val="20"/>
                <w:szCs w:val="20"/>
                <w:color w:val="auto"/>
              </w:rPr>
            </w:pPr>
            <w:r>
              <w:rPr>
                <w:rFonts w:ascii="Arial" w:cs="Arial" w:eastAsia="Arial" w:hAnsi="Arial"/>
                <w:sz w:val="10"/>
                <w:szCs w:val="10"/>
                <w:b w:val="1"/>
                <w:bCs w:val="1"/>
                <w:color w:val="auto"/>
                <w:w w:val="99"/>
              </w:rPr>
              <w:t>shares</w:t>
            </w: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40"/>
              <w:spacing w:after="0" w:line="106" w:lineRule="exact"/>
              <w:rPr>
                <w:sz w:val="20"/>
                <w:szCs w:val="20"/>
                <w:color w:val="auto"/>
              </w:rPr>
            </w:pPr>
            <w:r>
              <w:rPr>
                <w:rFonts w:ascii="Arial" w:cs="Arial" w:eastAsia="Arial" w:hAnsi="Arial"/>
                <w:sz w:val="10"/>
                <w:szCs w:val="10"/>
                <w:b w:val="1"/>
                <w:bCs w:val="1"/>
                <w:color w:val="auto"/>
              </w:rPr>
              <w:t>excess of</w:t>
            </w: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104"/>
              <w:spacing w:after="0"/>
              <w:rPr>
                <w:sz w:val="20"/>
                <w:szCs w:val="20"/>
                <w:color w:val="auto"/>
              </w:rPr>
            </w:pPr>
            <w:r>
              <w:rPr>
                <w:rFonts w:ascii="Arial" w:cs="Arial" w:eastAsia="Arial" w:hAnsi="Arial"/>
                <w:sz w:val="10"/>
                <w:szCs w:val="10"/>
                <w:b w:val="1"/>
                <w:bCs w:val="1"/>
                <w:color w:val="auto"/>
              </w:rPr>
              <w:t>AOCI</w:t>
            </w:r>
            <w:r>
              <w:rPr>
                <w:rFonts w:ascii="Arial" w:cs="Arial" w:eastAsia="Arial" w:hAnsi="Arial"/>
                <w:sz w:val="12"/>
                <w:szCs w:val="12"/>
                <w:b w:val="1"/>
                <w:bCs w:val="1"/>
                <w:color w:val="auto"/>
                <w:vertAlign w:val="superscript"/>
              </w:rPr>
              <w:t>(1)</w:t>
            </w:r>
          </w:p>
        </w:tc>
        <w:tc>
          <w:tcPr>
            <w:tcW w:w="6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6" w:lineRule="exact"/>
              <w:rPr>
                <w:sz w:val="20"/>
                <w:szCs w:val="20"/>
                <w:color w:val="auto"/>
              </w:rPr>
            </w:pPr>
            <w:r>
              <w:rPr>
                <w:rFonts w:ascii="Arial" w:cs="Arial" w:eastAsia="Arial" w:hAnsi="Arial"/>
                <w:sz w:val="10"/>
                <w:szCs w:val="10"/>
                <w:b w:val="1"/>
                <w:bCs w:val="1"/>
                <w:color w:val="auto"/>
              </w:rPr>
              <w:t>Rowe Price</w:t>
            </w:r>
          </w:p>
        </w:tc>
        <w:tc>
          <w:tcPr>
            <w:tcW w:w="80" w:type="dxa"/>
            <w:vAlign w:val="bottom"/>
          </w:tcPr>
          <w:p>
            <w:pPr>
              <w:spacing w:after="0"/>
              <w:rPr>
                <w:sz w:val="9"/>
                <w:szCs w:val="9"/>
                <w:color w:val="auto"/>
              </w:rPr>
            </w:pPr>
          </w:p>
        </w:tc>
        <w:tc>
          <w:tcPr>
            <w:tcW w:w="780" w:type="dxa"/>
            <w:vAlign w:val="bottom"/>
            <w:gridSpan w:val="2"/>
          </w:tcPr>
          <w:p>
            <w:pPr>
              <w:jc w:val="center"/>
              <w:ind w:right="160"/>
              <w:spacing w:after="0" w:line="106" w:lineRule="exact"/>
              <w:rPr>
                <w:sz w:val="20"/>
                <w:szCs w:val="20"/>
                <w:color w:val="auto"/>
              </w:rPr>
            </w:pPr>
            <w:r>
              <w:rPr>
                <w:rFonts w:ascii="Arial" w:cs="Arial" w:eastAsia="Arial" w:hAnsi="Arial"/>
                <w:sz w:val="10"/>
                <w:szCs w:val="10"/>
                <w:b w:val="1"/>
                <w:bCs w:val="1"/>
                <w:color w:val="auto"/>
              </w:rPr>
              <w:t>consolidated</w:t>
            </w: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06" w:lineRule="exact"/>
              <w:rPr>
                <w:sz w:val="20"/>
                <w:szCs w:val="20"/>
                <w:color w:val="auto"/>
              </w:rPr>
            </w:pPr>
            <w:r>
              <w:rPr>
                <w:rFonts w:ascii="Arial" w:cs="Arial" w:eastAsia="Arial" w:hAnsi="Arial"/>
                <w:sz w:val="10"/>
                <w:szCs w:val="10"/>
                <w:b w:val="1"/>
                <w:bCs w:val="1"/>
                <w:color w:val="auto"/>
                <w:w w:val="99"/>
              </w:rPr>
              <w:t>Stockholders’</w:t>
            </w:r>
          </w:p>
        </w:tc>
        <w:tc>
          <w:tcPr>
            <w:tcW w:w="760" w:type="dxa"/>
            <w:vAlign w:val="bottom"/>
            <w:gridSpan w:val="2"/>
          </w:tcPr>
          <w:p>
            <w:pPr>
              <w:ind w:left="20"/>
              <w:spacing w:after="0" w:line="106" w:lineRule="exact"/>
              <w:rPr>
                <w:sz w:val="20"/>
                <w:szCs w:val="20"/>
                <w:color w:val="auto"/>
              </w:rPr>
            </w:pPr>
            <w:r>
              <w:rPr>
                <w:rFonts w:ascii="Arial" w:cs="Arial" w:eastAsia="Arial" w:hAnsi="Arial"/>
                <w:sz w:val="10"/>
                <w:szCs w:val="10"/>
                <w:b w:val="1"/>
                <w:bCs w:val="1"/>
                <w:color w:val="auto"/>
                <w:w w:val="98"/>
              </w:rPr>
              <w:t>non-controlling</w:t>
            </w:r>
          </w:p>
        </w:tc>
        <w:tc>
          <w:tcPr>
            <w:tcW w:w="0" w:type="dxa"/>
            <w:vAlign w:val="bottom"/>
          </w:tcPr>
          <w:p>
            <w:pPr>
              <w:spacing w:after="0"/>
              <w:rPr>
                <w:sz w:val="1"/>
                <w:szCs w:val="1"/>
                <w:color w:val="auto"/>
              </w:rPr>
            </w:pPr>
          </w:p>
        </w:tc>
      </w:tr>
      <w:tr>
        <w:trPr>
          <w:trHeight w:val="138"/>
        </w:trPr>
        <w:tc>
          <w:tcPr>
            <w:tcW w:w="40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outstanding</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44"/>
              <w:spacing w:after="0"/>
              <w:rPr>
                <w:sz w:val="20"/>
                <w:szCs w:val="20"/>
                <w:color w:val="auto"/>
              </w:rPr>
            </w:pPr>
            <w:r>
              <w:rPr>
                <w:rFonts w:ascii="Arial" w:cs="Arial" w:eastAsia="Arial" w:hAnsi="Arial"/>
                <w:sz w:val="10"/>
                <w:szCs w:val="10"/>
                <w:b w:val="1"/>
                <w:bCs w:val="1"/>
                <w:color w:val="auto"/>
                <w:w w:val="99"/>
              </w:rPr>
              <w:t>stock</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25"/>
              <w:spacing w:after="0"/>
              <w:rPr>
                <w:sz w:val="20"/>
                <w:szCs w:val="20"/>
                <w:color w:val="auto"/>
              </w:rPr>
            </w:pPr>
            <w:r>
              <w:rPr>
                <w:rFonts w:ascii="Arial" w:cs="Arial" w:eastAsia="Arial" w:hAnsi="Arial"/>
                <w:sz w:val="10"/>
                <w:szCs w:val="10"/>
                <w:b w:val="1"/>
                <w:bCs w:val="1"/>
                <w:color w:val="auto"/>
                <w:w w:val="95"/>
              </w:rPr>
              <w:t>par value</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w w:val="95"/>
              </w:rPr>
              <w:t>earnings</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5"/>
              <w:spacing w:after="0"/>
              <w:rPr>
                <w:sz w:val="20"/>
                <w:szCs w:val="20"/>
                <w:color w:val="auto"/>
              </w:rPr>
            </w:pPr>
            <w:r>
              <w:rPr>
                <w:rFonts w:ascii="Arial" w:cs="Arial" w:eastAsia="Arial" w:hAnsi="Arial"/>
                <w:sz w:val="10"/>
                <w:szCs w:val="10"/>
                <w:b w:val="1"/>
                <w:bCs w:val="1"/>
                <w:color w:val="auto"/>
                <w:w w:val="98"/>
              </w:rPr>
              <w:t>Group, Inc.</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25"/>
              <w:spacing w:after="0"/>
              <w:rPr>
                <w:sz w:val="20"/>
                <w:szCs w:val="20"/>
                <w:color w:val="auto"/>
              </w:rPr>
            </w:pPr>
            <w:r>
              <w:rPr>
                <w:rFonts w:ascii="Arial" w:cs="Arial" w:eastAsia="Arial" w:hAnsi="Arial"/>
                <w:sz w:val="10"/>
                <w:szCs w:val="10"/>
                <w:b w:val="1"/>
                <w:bCs w:val="1"/>
                <w:color w:val="auto"/>
                <w:w w:val="96"/>
              </w:rPr>
              <w:t>entities</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25"/>
              <w:spacing w:after="0"/>
              <w:rPr>
                <w:sz w:val="20"/>
                <w:szCs w:val="20"/>
                <w:color w:val="auto"/>
              </w:rPr>
            </w:pPr>
            <w:r>
              <w:rPr>
                <w:rFonts w:ascii="Arial" w:cs="Arial" w:eastAsia="Arial" w:hAnsi="Arial"/>
                <w:sz w:val="10"/>
                <w:szCs w:val="10"/>
                <w:b w:val="1"/>
                <w:bCs w:val="1"/>
                <w:color w:val="auto"/>
              </w:rPr>
              <w:t>equity</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44"/>
              <w:spacing w:after="0"/>
              <w:rPr>
                <w:sz w:val="20"/>
                <w:szCs w:val="20"/>
                <w:color w:val="auto"/>
              </w:rPr>
            </w:pPr>
            <w:r>
              <w:rPr>
                <w:rFonts w:ascii="Arial" w:cs="Arial" w:eastAsia="Arial" w:hAnsi="Arial"/>
                <w:sz w:val="10"/>
                <w:szCs w:val="10"/>
                <w:b w:val="1"/>
                <w:bCs w:val="1"/>
                <w:color w:val="auto"/>
              </w:rPr>
              <w:t>interests</w:t>
            </w:r>
          </w:p>
        </w:tc>
        <w:tc>
          <w:tcPr>
            <w:tcW w:w="0" w:type="dxa"/>
            <w:vAlign w:val="bottom"/>
          </w:tcPr>
          <w:p>
            <w:pPr>
              <w:spacing w:after="0"/>
              <w:rPr>
                <w:sz w:val="1"/>
                <w:szCs w:val="1"/>
                <w:color w:val="auto"/>
              </w:rPr>
            </w:pPr>
          </w:p>
        </w:tc>
      </w:tr>
      <w:tr>
        <w:trPr>
          <w:trHeight w:val="150"/>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Balances at December 31, 2022</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224,310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44.9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437.9</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8,409.7</w:t>
            </w: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8,839.5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9,030.2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656.7</w:t>
            </w:r>
          </w:p>
        </w:tc>
        <w:tc>
          <w:tcPr>
            <w:tcW w:w="0" w:type="dxa"/>
            <w:vAlign w:val="bottom"/>
          </w:tcPr>
          <w:p>
            <w:pPr>
              <w:spacing w:after="0"/>
              <w:rPr>
                <w:sz w:val="1"/>
                <w:szCs w:val="1"/>
                <w:color w:val="auto"/>
              </w:rPr>
            </w:pPr>
          </w:p>
        </w:tc>
      </w:tr>
      <w:tr>
        <w:trPr>
          <w:trHeight w:val="156"/>
        </w:trPr>
        <w:tc>
          <w:tcPr>
            <w:tcW w:w="404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1,351.1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1,351.1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34.0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1,385.1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11.0</w:t>
            </w: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 (loss), net of tax</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156"/>
        </w:trPr>
        <w:tc>
          <w:tcPr>
            <w:tcW w:w="4040" w:type="dxa"/>
            <w:vAlign w:val="bottom"/>
          </w:tcPr>
          <w:p>
            <w:pPr>
              <w:ind w:left="20"/>
              <w:spacing w:after="0"/>
              <w:rPr>
                <w:sz w:val="20"/>
                <w:szCs w:val="20"/>
                <w:color w:val="auto"/>
              </w:rPr>
            </w:pPr>
            <w:r>
              <w:rPr>
                <w:rFonts w:ascii="Arial" w:cs="Arial" w:eastAsia="Arial" w:hAnsi="Arial"/>
                <w:sz w:val="11"/>
                <w:szCs w:val="11"/>
                <w:color w:val="auto"/>
              </w:rPr>
              <w:t>Dividends declared ($3.66 per share)</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(841.1)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(841.1)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(841.1)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 issued upon option exercises</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0.1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28.4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4040" w:type="dxa"/>
            <w:vAlign w:val="bottom"/>
          </w:tcPr>
          <w:p>
            <w:pPr>
              <w:ind w:left="20"/>
              <w:spacing w:after="0"/>
              <w:rPr>
                <w:sz w:val="20"/>
                <w:szCs w:val="20"/>
                <w:color w:val="auto"/>
              </w:rPr>
            </w:pPr>
            <w:r>
              <w:rPr>
                <w:rFonts w:ascii="Arial" w:cs="Arial" w:eastAsia="Arial" w:hAnsi="Arial"/>
                <w:sz w:val="11"/>
                <w:szCs w:val="11"/>
                <w:color w:val="auto"/>
              </w:rPr>
              <w:t>Restricted shares issued, net of shares withheld for taxes</w:t>
            </w:r>
          </w:p>
        </w:tc>
        <w:tc>
          <w:tcPr>
            <w:tcW w:w="740" w:type="dxa"/>
            <w:vAlign w:val="bottom"/>
          </w:tcPr>
          <w:p>
            <w:pPr>
              <w:jc w:val="right"/>
              <w:spacing w:after="0"/>
              <w:rPr>
                <w:sz w:val="20"/>
                <w:szCs w:val="20"/>
                <w:color w:val="auto"/>
              </w:rPr>
            </w:pPr>
            <w:r>
              <w:rPr>
                <w:rFonts w:ascii="Arial" w:cs="Arial" w:eastAsia="Arial" w:hAnsi="Arial"/>
                <w:sz w:val="11"/>
                <w:szCs w:val="11"/>
                <w:color w:val="auto"/>
              </w:rPr>
              <w:t>57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shares issued upon vesting of restricted stock units</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404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169.7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169.7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169.7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stock units issued as dividend equivalents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0.3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4040" w:type="dxa"/>
            <w:vAlign w:val="bottom"/>
          </w:tcPr>
          <w:p>
            <w:pPr>
              <w:ind w:left="20"/>
              <w:spacing w:after="0"/>
              <w:rPr>
                <w:sz w:val="20"/>
                <w:szCs w:val="20"/>
                <w:color w:val="auto"/>
              </w:rPr>
            </w:pPr>
            <w:r>
              <w:rPr>
                <w:rFonts w:ascii="Arial" w:cs="Arial" w:eastAsia="Arial" w:hAnsi="Arial"/>
                <w:sz w:val="11"/>
                <w:szCs w:val="11"/>
                <w:color w:val="auto"/>
              </w:rPr>
              <w:t>Common shares repurchased</w:t>
            </w:r>
          </w:p>
        </w:tc>
        <w:tc>
          <w:tcPr>
            <w:tcW w:w="740" w:type="dxa"/>
            <w:vAlign w:val="bottom"/>
          </w:tcPr>
          <w:p>
            <w:pPr>
              <w:jc w:val="right"/>
              <w:spacing w:after="0"/>
              <w:rPr>
                <w:sz w:val="20"/>
                <w:szCs w:val="20"/>
                <w:color w:val="auto"/>
              </w:rPr>
            </w:pPr>
            <w:r>
              <w:rPr>
                <w:rFonts w:ascii="Arial" w:cs="Arial" w:eastAsia="Arial" w:hAnsi="Arial"/>
                <w:sz w:val="11"/>
                <w:szCs w:val="11"/>
                <w:color w:val="auto"/>
              </w:rPr>
              <w:t>(1,398)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(151.1)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(151.4)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(151.4)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distributions to non-controlling interests in consolidated entities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4040" w:type="dxa"/>
            <w:vAlign w:val="bottom"/>
          </w:tcPr>
          <w:p>
            <w:pPr>
              <w:ind w:left="20"/>
              <w:spacing w:after="0"/>
              <w:rPr>
                <w:sz w:val="20"/>
                <w:szCs w:val="20"/>
                <w:color w:val="auto"/>
              </w:rPr>
            </w:pPr>
            <w:r>
              <w:rPr>
                <w:rFonts w:ascii="Arial" w:cs="Arial" w:eastAsia="Arial" w:hAnsi="Arial"/>
                <w:sz w:val="11"/>
                <w:szCs w:val="11"/>
                <w:color w:val="auto"/>
              </w:rPr>
              <w:t>Net subscriptions into T. Rowe Price investment products</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345.0</w:t>
            </w:r>
          </w:p>
        </w:tc>
        <w:tc>
          <w:tcPr>
            <w:tcW w:w="0" w:type="dxa"/>
            <w:vAlign w:val="bottom"/>
          </w:tcPr>
          <w:p>
            <w:pPr>
              <w:spacing w:after="0"/>
              <w:rPr>
                <w:sz w:val="1"/>
                <w:szCs w:val="1"/>
                <w:color w:val="auto"/>
              </w:rPr>
            </w:pPr>
          </w:p>
        </w:tc>
      </w:tr>
      <w:tr>
        <w:trPr>
          <w:trHeight w:val="159"/>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deconsolidations of T. Rowe Price investment products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(460.2)</w:t>
            </w:r>
          </w:p>
        </w:tc>
        <w:tc>
          <w:tcPr>
            <w:tcW w:w="0" w:type="dxa"/>
            <w:vAlign w:val="bottom"/>
          </w:tcPr>
          <w:p>
            <w:pPr>
              <w:spacing w:after="0"/>
              <w:rPr>
                <w:sz w:val="1"/>
                <w:szCs w:val="1"/>
                <w:color w:val="auto"/>
              </w:rPr>
            </w:pPr>
          </w:p>
        </w:tc>
      </w:tr>
      <w:tr>
        <w:trPr>
          <w:trHeight w:val="153"/>
        </w:trPr>
        <w:tc>
          <w:tcPr>
            <w:tcW w:w="4040" w:type="dxa"/>
            <w:vAlign w:val="bottom"/>
          </w:tcPr>
          <w:p>
            <w:pPr>
              <w:ind w:left="20"/>
              <w:spacing w:after="0"/>
              <w:rPr>
                <w:sz w:val="20"/>
                <w:szCs w:val="20"/>
                <w:color w:val="auto"/>
              </w:rPr>
            </w:pPr>
            <w:r>
              <w:rPr>
                <w:rFonts w:ascii="Arial" w:cs="Arial" w:eastAsia="Arial" w:hAnsi="Arial"/>
                <w:sz w:val="11"/>
                <w:szCs w:val="11"/>
                <w:color w:val="auto"/>
              </w:rPr>
              <w:t>Balances at September 30, 2023</w:t>
            </w:r>
          </w:p>
        </w:tc>
        <w:tc>
          <w:tcPr>
            <w:tcW w:w="740" w:type="dxa"/>
            <w:vAlign w:val="bottom"/>
          </w:tcPr>
          <w:p>
            <w:pPr>
              <w:jc w:val="right"/>
              <w:spacing w:after="0"/>
              <w:rPr>
                <w:sz w:val="20"/>
                <w:szCs w:val="20"/>
                <w:color w:val="auto"/>
              </w:rPr>
            </w:pPr>
            <w:r>
              <w:rPr>
                <w:rFonts w:ascii="Arial" w:cs="Arial" w:eastAsia="Arial" w:hAnsi="Arial"/>
                <w:sz w:val="11"/>
                <w:szCs w:val="11"/>
                <w:color w:val="auto"/>
              </w:rPr>
              <w:t>223,540</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
              <w:spacing w:after="0"/>
              <w:rPr>
                <w:sz w:val="20"/>
                <w:szCs w:val="20"/>
                <w:color w:val="auto"/>
              </w:rPr>
            </w:pPr>
            <w:r>
              <w:rPr>
                <w:rFonts w:ascii="Arial" w:cs="Arial" w:eastAsia="Arial" w:hAnsi="Arial"/>
                <w:sz w:val="11"/>
                <w:szCs w:val="11"/>
                <w:color w:val="auto"/>
              </w:rPr>
              <w:t>44.7</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482.0</w:t>
            </w: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8,919.4</w:t>
            </w:r>
          </w:p>
        </w:tc>
        <w:tc>
          <w:tcPr>
            <w:tcW w:w="20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(46.2)</w:t>
            </w: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9,399.9</w:t>
            </w:r>
          </w:p>
        </w:tc>
        <w:tc>
          <w:tcPr>
            <w:tcW w:w="8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221.5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9,621.4</w:t>
            </w:r>
          </w:p>
        </w:tc>
        <w:tc>
          <w:tcPr>
            <w:tcW w:w="8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560.2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120" w:hanging="115"/>
        <w:spacing w:after="0"/>
        <w:tabs>
          <w:tab w:leader="none" w:pos="120" w:val="left"/>
        </w:tabs>
        <w:numPr>
          <w:ilvl w:val="0"/>
          <w:numId w:val="4"/>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Accumulated other comprehensive income</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The accompanying notes are an integral part of these statements.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761" w:right="4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auto"/>
        </w:rPr>
        <w:t>NOTES TO UNAUDITED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THE COMPANY AND BASIS OF PREPARATION.</w:t>
      </w:r>
    </w:p>
    <w:p>
      <w:pPr>
        <w:spacing w:after="0" w:line="200"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color w:val="auto"/>
        </w:rPr>
        <w:t>T. Rowe Price Group, Inc. derives its consolidated revenues and net income primarily from investment advisory services that its subsidiaries provide to individual and institutional investors that invest in a broad range of investment solutions across equity, fixed income, multi-asset, and alternative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159"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investment solutions are provided in a number of vehicles, including the T. Rowe Price U.S. mutual funds ("U.S. mutual funds"), subadvised funds, separately managed accounts, collective investment trusts, and other T. Rowe Price products. The other T. Rowe Price products include: open-ended investment products offered to investors outside the U.S., exchange-traded funds, products offered through variable annuity life insurance plans in the U.S., affiliated private investment funds and collateralized loan obligations.</w:t>
      </w:r>
    </w:p>
    <w:p>
      <w:pPr>
        <w:spacing w:after="0" w:line="155" w:lineRule="exact"/>
        <w:rPr>
          <w:sz w:val="20"/>
          <w:szCs w:val="20"/>
          <w:color w:val="auto"/>
        </w:rPr>
      </w:pPr>
    </w:p>
    <w:p>
      <w:pPr>
        <w:ind w:right="620"/>
        <w:spacing w:after="0" w:line="290" w:lineRule="auto"/>
        <w:rPr>
          <w:sz w:val="20"/>
          <w:szCs w:val="20"/>
          <w:color w:val="auto"/>
        </w:rPr>
      </w:pPr>
      <w:r>
        <w:rPr>
          <w:rFonts w:ascii="Arial" w:cs="Arial" w:eastAsia="Arial" w:hAnsi="Arial"/>
          <w:sz w:val="14"/>
          <w:szCs w:val="14"/>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BASIS OF PRESENTATION.</w:t>
      </w:r>
    </w:p>
    <w:p>
      <w:pPr>
        <w:spacing w:after="0" w:line="198" w:lineRule="exact"/>
        <w:rPr>
          <w:sz w:val="20"/>
          <w:szCs w:val="20"/>
          <w:color w:val="auto"/>
        </w:rPr>
      </w:pPr>
    </w:p>
    <w:p>
      <w:pPr>
        <w:jc w:val="both"/>
        <w:ind w:right="280"/>
        <w:spacing w:after="0" w:line="271" w:lineRule="auto"/>
        <w:rPr>
          <w:sz w:val="20"/>
          <w:szCs w:val="20"/>
          <w:color w:val="auto"/>
        </w:rPr>
      </w:pPr>
      <w:r>
        <w:rPr>
          <w:rFonts w:ascii="Arial" w:cs="Arial" w:eastAsia="Arial" w:hAnsi="Arial"/>
          <w:sz w:val="14"/>
          <w:szCs w:val="14"/>
          <w:color w:val="auto"/>
        </w:rPr>
        <w:t>These unaudited condensed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w:t>
      </w:r>
    </w:p>
    <w:p>
      <w:pPr>
        <w:spacing w:after="0" w:line="155" w:lineRule="exact"/>
        <w:rPr>
          <w:sz w:val="20"/>
          <w:szCs w:val="20"/>
          <w:color w:val="auto"/>
        </w:rPr>
      </w:pPr>
    </w:p>
    <w:p>
      <w:pPr>
        <w:ind w:right="500"/>
        <w:spacing w:after="0" w:line="290" w:lineRule="auto"/>
        <w:rPr>
          <w:sz w:val="20"/>
          <w:szCs w:val="20"/>
          <w:color w:val="auto"/>
        </w:rPr>
      </w:pPr>
      <w:r>
        <w:rPr>
          <w:rFonts w:ascii="Arial" w:cs="Arial" w:eastAsia="Arial" w:hAnsi="Arial"/>
          <w:sz w:val="14"/>
          <w:szCs w:val="14"/>
          <w:color w:val="auto"/>
        </w:rPr>
        <w:t>The unaudited financial information contained in these condensed consolidated financial statements should be read in conjunction with the consolidated financial statements contained in our 2023 Annual Report.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NEWLY ISSUED BUT NOT YET ADOPTED ACCOUNTING GUIDANCE.</w:t>
      </w:r>
    </w:p>
    <w:p>
      <w:pPr>
        <w:spacing w:after="0" w:line="198"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 xml:space="preserve">In November 2023, the Financial Accounting Standards Board ("FASB") issued Accounting Standards Update ("ASU") No. 2023-07 - </w:t>
      </w:r>
      <w:r>
        <w:rPr>
          <w:rFonts w:ascii="Arial" w:cs="Arial" w:eastAsia="Arial" w:hAnsi="Arial"/>
          <w:sz w:val="14"/>
          <w:szCs w:val="14"/>
          <w:i w:val="1"/>
          <w:iCs w:val="1"/>
          <w:color w:val="auto"/>
        </w:rPr>
        <w:t>Segment Reporting (Topic 280) -</w:t>
      </w:r>
      <w:r>
        <w:rPr>
          <w:rFonts w:ascii="Arial" w:cs="Arial" w:eastAsia="Arial" w:hAnsi="Arial"/>
          <w:sz w:val="14"/>
          <w:szCs w:val="14"/>
          <w:color w:val="auto"/>
        </w:rPr>
        <w:t xml:space="preserve"> </w:t>
      </w:r>
      <w:r>
        <w:rPr>
          <w:rFonts w:ascii="Arial" w:cs="Arial" w:eastAsia="Arial" w:hAnsi="Arial"/>
          <w:sz w:val="14"/>
          <w:szCs w:val="14"/>
          <w:i w:val="1"/>
          <w:iCs w:val="1"/>
          <w:color w:val="auto"/>
        </w:rPr>
        <w:t>Improvements to Reportable Segment Disclosures</w:t>
      </w:r>
      <w:r>
        <w:rPr>
          <w:rFonts w:ascii="Arial" w:cs="Arial" w:eastAsia="Arial" w:hAnsi="Arial"/>
          <w:sz w:val="14"/>
          <w:szCs w:val="14"/>
          <w:color w:val="auto"/>
        </w:rPr>
        <w:t>. As required by the guidance, we will adopt the annual disclosures of significant segment expenses that are regularly provided to</w:t>
      </w:r>
      <w:r>
        <w:rPr>
          <w:rFonts w:ascii="Arial" w:cs="Arial" w:eastAsia="Arial" w:hAnsi="Arial"/>
          <w:sz w:val="14"/>
          <w:szCs w:val="14"/>
          <w:i w:val="1"/>
          <w:iCs w:val="1"/>
          <w:color w:val="auto"/>
        </w:rPr>
        <w:t xml:space="preserve"> </w:t>
      </w:r>
      <w:r>
        <w:rPr>
          <w:rFonts w:ascii="Arial" w:cs="Arial" w:eastAsia="Arial" w:hAnsi="Arial"/>
          <w:sz w:val="14"/>
          <w:szCs w:val="14"/>
          <w:color w:val="auto"/>
        </w:rPr>
        <w:t>the chief operating decision maker  in our 2024 year-end reporting. Interim segment reporting will become effective under the amendment on January 1, 2025.</w:t>
      </w:r>
    </w:p>
    <w:p>
      <w:pPr>
        <w:spacing w:after="0" w:line="155"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 xml:space="preserve">In December 2023, the FASB issued Accounting Standards Update No. 2023-09 - </w:t>
      </w:r>
      <w:r>
        <w:rPr>
          <w:rFonts w:ascii="Arial" w:cs="Arial" w:eastAsia="Arial" w:hAnsi="Arial"/>
          <w:sz w:val="14"/>
          <w:szCs w:val="14"/>
          <w:i w:val="1"/>
          <w:iCs w:val="1"/>
          <w:color w:val="auto"/>
        </w:rPr>
        <w:t>Income Taxes (Topic 740) - Improvements to Income Tax Disclosures,</w:t>
      </w:r>
      <w:r>
        <w:rPr>
          <w:rFonts w:ascii="Arial" w:cs="Arial" w:eastAsia="Arial" w:hAnsi="Arial"/>
          <w:sz w:val="14"/>
          <w:szCs w:val="14"/>
          <w:color w:val="auto"/>
        </w:rPr>
        <w:t xml:space="preserve"> which requires public entities, on an annual basis, to provide disclosure of specific categories in the rate reconciliation, as well as disclosure of income taxes paid disaggregated by jurisdiction. This amendment is effective for the firm on January 1, 2025 using prospective adoption method. We do not expect the additional disclosure requirements under the ASU to have material impact on our consolidated financial statements.</w:t>
      </w:r>
    </w:p>
    <w:p>
      <w:pPr>
        <w:spacing w:after="0" w:line="159" w:lineRule="exact"/>
        <w:rPr>
          <w:sz w:val="20"/>
          <w:szCs w:val="20"/>
          <w:color w:val="auto"/>
        </w:rPr>
      </w:pPr>
    </w:p>
    <w:p>
      <w:pPr>
        <w:ind w:right="400"/>
        <w:spacing w:after="0" w:line="290" w:lineRule="auto"/>
        <w:rPr>
          <w:sz w:val="20"/>
          <w:szCs w:val="20"/>
          <w:color w:val="auto"/>
        </w:rPr>
      </w:pPr>
      <w:r>
        <w:rPr>
          <w:rFonts w:ascii="Arial" w:cs="Arial" w:eastAsia="Arial" w:hAnsi="Arial"/>
          <w:sz w:val="14"/>
          <w:szCs w:val="14"/>
          <w:color w:val="auto"/>
        </w:rPr>
        <w:t>We have considered all other newly issued accounting guidance that is applicable to our operations and the preparation of our unaudited condensed consolidated statements, including those we have not yet adopted. We do not believe that any such guidance has or will have a material effect on our financial position or results of operations.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NOTE 2 – INFORMATION ABOUT RECEIVABLES, REVENUES, AND SERVICES.</w:t>
      </w:r>
    </w:p>
    <w:p>
      <w:pPr>
        <w:spacing w:after="0" w:line="200"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Net revenues earned in the three- and nine-month periods ended September 30, 2024 and 2023, are included in the table below along with details of investment advisory revenues earned from clients by their underlying asset class. We also included average assets under management by asset class, on which we earn the investment advisory revenues.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560" w:type="dxa"/>
            <w:vAlign w:val="bottom"/>
            <w:tcBorders>
              <w:right w:val="single" w:sz="8" w:color="auto"/>
            </w:tcBorders>
            <w:gridSpan w:val="5"/>
            <w:shd w:val="clear" w:color="auto" w:fill="CCEEFF"/>
          </w:tcPr>
          <w:p>
            <w:pPr>
              <w:ind w:left="580"/>
              <w:spacing w:after="0"/>
              <w:rPr>
                <w:sz w:val="20"/>
                <w:szCs w:val="20"/>
                <w:color w:val="auto"/>
              </w:rPr>
            </w:pPr>
            <w:r>
              <w:rPr>
                <w:rFonts w:ascii="Arial" w:cs="Arial" w:eastAsia="Arial" w:hAnsi="Arial"/>
                <w:sz w:val="11"/>
                <w:szCs w:val="11"/>
                <w:b w:val="1"/>
                <w:bCs w:val="1"/>
                <w:color w:val="auto"/>
              </w:rPr>
              <w:t>Three months ended</w:t>
            </w:r>
          </w:p>
        </w:tc>
        <w:tc>
          <w:tcPr>
            <w:tcW w:w="240" w:type="dxa"/>
            <w:vAlign w:val="bottom"/>
            <w:shd w:val="clear" w:color="auto" w:fill="CCEEFF"/>
          </w:tcPr>
          <w:p>
            <w:pPr>
              <w:spacing w:after="0"/>
              <w:rPr>
                <w:sz w:val="12"/>
                <w:szCs w:val="12"/>
                <w:color w:val="auto"/>
              </w:rPr>
            </w:pPr>
          </w:p>
        </w:tc>
        <w:tc>
          <w:tcPr>
            <w:tcW w:w="2460" w:type="dxa"/>
            <w:vAlign w:val="bottom"/>
            <w:gridSpan w:val="4"/>
            <w:shd w:val="clear" w:color="auto" w:fill="CCEEFF"/>
          </w:tcPr>
          <w:p>
            <w:pPr>
              <w:jc w:val="right"/>
              <w:ind w:right="790"/>
              <w:spacing w:after="0"/>
              <w:rPr>
                <w:sz w:val="20"/>
                <w:szCs w:val="20"/>
                <w:color w:val="auto"/>
              </w:rPr>
            </w:pPr>
            <w:r>
              <w:rPr>
                <w:rFonts w:ascii="Arial" w:cs="Arial" w:eastAsia="Arial" w:hAnsi="Arial"/>
                <w:sz w:val="11"/>
                <w:szCs w:val="11"/>
                <w:b w:val="1"/>
                <w:bCs w:val="1"/>
                <w:color w:val="auto"/>
              </w:rPr>
              <w:t>Nine months ended</w:t>
            </w:r>
          </w:p>
        </w:tc>
      </w:tr>
      <w:tr>
        <w:trPr>
          <w:trHeight w:val="150"/>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millions)</w:t>
            </w:r>
          </w:p>
        </w:tc>
        <w:tc>
          <w:tcPr>
            <w:tcW w:w="2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9/30/2024</w:t>
            </w:r>
          </w:p>
        </w:tc>
        <w:tc>
          <w:tcPr>
            <w:tcW w:w="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9/30/2023</w:t>
            </w:r>
          </w:p>
        </w:tc>
        <w:tc>
          <w:tcPr>
            <w:tcW w:w="100" w:type="dxa"/>
            <w:vAlign w:val="bottom"/>
            <w:tcBorders>
              <w:bottom w:val="single" w:sz="8" w:color="CCEEFF"/>
              <w:right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9/30/2024</w:t>
            </w:r>
          </w:p>
        </w:tc>
        <w:tc>
          <w:tcPr>
            <w:tcW w:w="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9/30/2023</w:t>
            </w:r>
          </w:p>
        </w:tc>
      </w:tr>
      <w:tr>
        <w:trPr>
          <w:trHeight w:val="161"/>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advisory fees</w:t>
            </w: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80"/>
        </w:trPr>
        <w:tc>
          <w:tcPr>
            <w:tcW w:w="5760" w:type="dxa"/>
            <w:vAlign w:val="bottom"/>
          </w:tcPr>
          <w:p>
            <w:pPr>
              <w:ind w:left="100"/>
              <w:spacing w:after="0"/>
              <w:rPr>
                <w:sz w:val="20"/>
                <w:szCs w:val="20"/>
                <w:color w:val="auto"/>
              </w:rPr>
            </w:pPr>
            <w:r>
              <w:rPr>
                <w:rFonts w:ascii="Arial" w:cs="Arial" w:eastAsia="Arial" w:hAnsi="Arial"/>
                <w:sz w:val="14"/>
                <w:szCs w:val="14"/>
                <w:color w:val="auto"/>
              </w:rPr>
              <w:t>Equity</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978.5</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885.0</w:t>
            </w:r>
          </w:p>
        </w:tc>
        <w:tc>
          <w:tcPr>
            <w:tcW w:w="100" w:type="dxa"/>
            <w:vAlign w:val="bottom"/>
            <w:tcBorders>
              <w:right w:val="single" w:sz="8" w:color="auto"/>
            </w:tcBorders>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2,877.0</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2,581.2</w:t>
            </w:r>
          </w:p>
        </w:tc>
      </w:tr>
      <w:tr>
        <w:trPr>
          <w:trHeight w:val="180"/>
        </w:trPr>
        <w:tc>
          <w:tcPr>
            <w:tcW w:w="5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Fixed income, including money market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100" w:type="dxa"/>
            <w:vAlign w:val="bottom"/>
            <w:tcBorders>
              <w:right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w:t>
            </w:r>
          </w:p>
        </w:tc>
      </w:tr>
      <w:tr>
        <w:trPr>
          <w:trHeight w:val="180"/>
        </w:trPr>
        <w:tc>
          <w:tcPr>
            <w:tcW w:w="5760" w:type="dxa"/>
            <w:vAlign w:val="bottom"/>
          </w:tcPr>
          <w:p>
            <w:pPr>
              <w:ind w:left="100"/>
              <w:spacing w:after="0"/>
              <w:rPr>
                <w:sz w:val="20"/>
                <w:szCs w:val="20"/>
                <w:color w:val="auto"/>
              </w:rPr>
            </w:pPr>
            <w:r>
              <w:rPr>
                <w:rFonts w:ascii="Arial" w:cs="Arial" w:eastAsia="Arial" w:hAnsi="Arial"/>
                <w:sz w:val="14"/>
                <w:szCs w:val="14"/>
                <w:color w:val="auto"/>
              </w:rPr>
              <w:t>Multi-asset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465.8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405.5</w:t>
            </w:r>
          </w:p>
        </w:tc>
        <w:tc>
          <w:tcPr>
            <w:tcW w:w="10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1,340.3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1,182.8</w:t>
            </w:r>
          </w:p>
        </w:tc>
      </w:tr>
      <w:tr>
        <w:trPr>
          <w:trHeight w:val="180"/>
        </w:trPr>
        <w:tc>
          <w:tcPr>
            <w:tcW w:w="5760" w:type="dxa"/>
            <w:vAlign w:val="bottom"/>
            <w:shd w:val="clear" w:color="auto" w:fill="CCEEFF"/>
          </w:tcPr>
          <w:p>
            <w:pPr>
              <w:ind w:left="80"/>
              <w:spacing w:after="0"/>
              <w:rPr>
                <w:sz w:val="20"/>
                <w:szCs w:val="20"/>
                <w:color w:val="auto"/>
              </w:rPr>
            </w:pPr>
            <w:r>
              <w:rPr>
                <w:rFonts w:ascii="Arial" w:cs="Arial" w:eastAsia="Arial" w:hAnsi="Arial"/>
                <w:sz w:val="14"/>
                <w:szCs w:val="14"/>
                <w:color w:val="auto"/>
              </w:rPr>
              <w:t>Alternatives</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84.5</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Borders>
              <w:right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250.3</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219.2</w:t>
            </w:r>
          </w:p>
        </w:tc>
      </w:tr>
      <w:tr>
        <w:trPr>
          <w:trHeight w:val="171"/>
        </w:trPr>
        <w:tc>
          <w:tcPr>
            <w:tcW w:w="5760" w:type="dxa"/>
            <w:vAlign w:val="bottom"/>
          </w:tcPr>
          <w:p>
            <w:pPr>
              <w:ind w:left="20"/>
              <w:spacing w:after="0"/>
              <w:rPr>
                <w:sz w:val="20"/>
                <w:szCs w:val="20"/>
                <w:color w:val="auto"/>
              </w:rPr>
            </w:pPr>
            <w:r>
              <w:rPr>
                <w:rFonts w:ascii="Arial" w:cs="Arial" w:eastAsia="Arial" w:hAnsi="Arial"/>
                <w:sz w:val="14"/>
                <w:szCs w:val="14"/>
                <w:color w:val="auto"/>
              </w:rPr>
              <w:t>Total investment advisory fees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1,632.9</w:t>
            </w:r>
          </w:p>
        </w:tc>
        <w:tc>
          <w:tcPr>
            <w:tcW w:w="80" w:type="dxa"/>
            <w:vAlign w:val="bottom"/>
          </w:tcPr>
          <w:p>
            <w:pPr>
              <w:spacing w:after="0"/>
              <w:rPr>
                <w:sz w:val="14"/>
                <w:szCs w:val="1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1,463.9</w:t>
            </w:r>
          </w:p>
        </w:tc>
        <w:tc>
          <w:tcPr>
            <w:tcW w:w="100" w:type="dxa"/>
            <w:vAlign w:val="bottom"/>
            <w:tcBorders>
              <w:right w:val="single" w:sz="8" w:color="auto"/>
            </w:tcBorders>
          </w:tcPr>
          <w:p>
            <w:pPr>
              <w:spacing w:after="0"/>
              <w:rPr>
                <w:sz w:val="14"/>
                <w:szCs w:val="14"/>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4,772.5</w:t>
            </w:r>
          </w:p>
        </w:tc>
        <w:tc>
          <w:tcPr>
            <w:tcW w:w="80" w:type="dxa"/>
            <w:vAlign w:val="bottom"/>
          </w:tcPr>
          <w:p>
            <w:pPr>
              <w:spacing w:after="0"/>
              <w:rPr>
                <w:sz w:val="14"/>
                <w:szCs w:val="1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4,286.5</w:t>
            </w:r>
          </w:p>
        </w:tc>
      </w:tr>
      <w:tr>
        <w:trPr>
          <w:trHeight w:val="180"/>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allocation-based income</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00" w:type="dxa"/>
            <w:vAlign w:val="bottom"/>
            <w:tcBorders>
              <w:right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w:t>
            </w:r>
          </w:p>
        </w:tc>
      </w:tr>
      <w:tr>
        <w:trPr>
          <w:trHeight w:val="180"/>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administrative, distribution, and servicing fees</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w:t>
            </w:r>
          </w:p>
        </w:tc>
        <w:tc>
          <w:tcPr>
            <w:tcW w:w="100" w:type="dxa"/>
            <w:vAlign w:val="bottom"/>
            <w:tcBorders>
              <w:bottom w:val="single" w:sz="8" w:color="CCEEFF"/>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410.3</w:t>
            </w:r>
          </w:p>
        </w:tc>
      </w:tr>
      <w:tr>
        <w:trPr>
          <w:trHeight w:val="196"/>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1,785.6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1,670.7</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5,269.1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4,818.5</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0"/>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Average AUM </w:t>
            </w:r>
            <w:r>
              <w:rPr>
                <w:rFonts w:ascii="Arial" w:cs="Arial" w:eastAsia="Arial" w:hAnsi="Arial"/>
                <w:sz w:val="11"/>
                <w:szCs w:val="11"/>
                <w:color w:val="auto"/>
              </w:rPr>
              <w:t>(in billions)</w:t>
            </w: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5760" w:type="dxa"/>
            <w:vAlign w:val="bottom"/>
          </w:tcPr>
          <w:p>
            <w:pPr>
              <w:ind w:left="100"/>
              <w:spacing w:after="0"/>
              <w:rPr>
                <w:sz w:val="20"/>
                <w:szCs w:val="20"/>
                <w:color w:val="auto"/>
              </w:rPr>
            </w:pPr>
            <w:r>
              <w:rPr>
                <w:rFonts w:ascii="Arial" w:cs="Arial" w:eastAsia="Arial" w:hAnsi="Arial"/>
                <w:sz w:val="14"/>
                <w:szCs w:val="14"/>
                <w:color w:val="auto"/>
              </w:rPr>
              <w:t>Equity</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813.1</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725.0</w:t>
            </w:r>
          </w:p>
        </w:tc>
        <w:tc>
          <w:tcPr>
            <w:tcW w:w="100" w:type="dxa"/>
            <w:vAlign w:val="bottom"/>
            <w:tcBorders>
              <w:right w:val="single" w:sz="8" w:color="auto"/>
            </w:tcBorders>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791.4</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705.3</w:t>
            </w:r>
          </w:p>
        </w:tc>
      </w:tr>
      <w:tr>
        <w:trPr>
          <w:trHeight w:val="180"/>
        </w:trPr>
        <w:tc>
          <w:tcPr>
            <w:tcW w:w="5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Fixed income, including money market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w:t>
            </w:r>
          </w:p>
        </w:tc>
        <w:tc>
          <w:tcPr>
            <w:tcW w:w="100" w:type="dxa"/>
            <w:vAlign w:val="bottom"/>
            <w:tcBorders>
              <w:right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w:t>
            </w:r>
          </w:p>
        </w:tc>
      </w:tr>
      <w:tr>
        <w:trPr>
          <w:trHeight w:val="180"/>
        </w:trPr>
        <w:tc>
          <w:tcPr>
            <w:tcW w:w="5760" w:type="dxa"/>
            <w:vAlign w:val="bottom"/>
          </w:tcPr>
          <w:p>
            <w:pPr>
              <w:ind w:left="100"/>
              <w:spacing w:after="0"/>
              <w:rPr>
                <w:sz w:val="20"/>
                <w:szCs w:val="20"/>
                <w:color w:val="auto"/>
              </w:rPr>
            </w:pPr>
            <w:r>
              <w:rPr>
                <w:rFonts w:ascii="Arial" w:cs="Arial" w:eastAsia="Arial" w:hAnsi="Arial"/>
                <w:sz w:val="14"/>
                <w:szCs w:val="14"/>
                <w:color w:val="auto"/>
              </w:rPr>
              <w:t>Multi-asset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542.3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453.8</w:t>
            </w:r>
          </w:p>
        </w:tc>
        <w:tc>
          <w:tcPr>
            <w:tcW w:w="10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519.9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438.5</w:t>
            </w:r>
          </w:p>
        </w:tc>
      </w:tr>
      <w:tr>
        <w:trPr>
          <w:trHeight w:val="180"/>
        </w:trPr>
        <w:tc>
          <w:tcPr>
            <w:tcW w:w="5760" w:type="dxa"/>
            <w:vAlign w:val="bottom"/>
            <w:shd w:val="clear" w:color="auto" w:fill="CCEEFF"/>
          </w:tcPr>
          <w:p>
            <w:pPr>
              <w:ind w:left="80"/>
              <w:spacing w:after="0"/>
              <w:rPr>
                <w:sz w:val="20"/>
                <w:szCs w:val="20"/>
                <w:color w:val="auto"/>
              </w:rPr>
            </w:pPr>
            <w:r>
              <w:rPr>
                <w:rFonts w:ascii="Arial" w:cs="Arial" w:eastAsia="Arial" w:hAnsi="Arial"/>
                <w:sz w:val="14"/>
                <w:szCs w:val="14"/>
                <w:color w:val="auto"/>
              </w:rPr>
              <w:t>Alternatives</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Borders>
              <w:right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w:t>
            </w:r>
          </w:p>
        </w:tc>
      </w:tr>
      <w:tr>
        <w:trPr>
          <w:trHeight w:val="171"/>
        </w:trPr>
        <w:tc>
          <w:tcPr>
            <w:tcW w:w="5760" w:type="dxa"/>
            <w:vAlign w:val="bottom"/>
          </w:tcPr>
          <w:p>
            <w:pPr>
              <w:ind w:left="20"/>
              <w:spacing w:after="0"/>
              <w:rPr>
                <w:sz w:val="20"/>
                <w:szCs w:val="20"/>
                <w:color w:val="auto"/>
              </w:rPr>
            </w:pPr>
            <w:r>
              <w:rPr>
                <w:rFonts w:ascii="Arial" w:cs="Arial" w:eastAsia="Arial" w:hAnsi="Arial"/>
                <w:sz w:val="14"/>
                <w:szCs w:val="14"/>
                <w:color w:val="auto"/>
              </w:rPr>
              <w:t>Average AUM</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1,589.5</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1,393.6</w:t>
            </w:r>
          </w:p>
        </w:tc>
        <w:tc>
          <w:tcPr>
            <w:tcW w:w="100" w:type="dxa"/>
            <w:vAlign w:val="bottom"/>
            <w:tcBorders>
              <w:right w:val="single" w:sz="8" w:color="auto"/>
            </w:tcBorders>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1,536.2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1,358.2</w:t>
            </w:r>
          </w:p>
        </w:tc>
      </w:tr>
      <w:tr>
        <w:trPr>
          <w:trHeight w:val="20"/>
        </w:trPr>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Total net revenues earned from our sponsored products, primarily our sponsored U.S. mutual funds and collective investment trusts, aggregate $1,486.5 million and $1,387.5 million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2024 and 2023, respectively. Total net revenues earned during the nine months ended September 30, 2024 and 2023 aggregate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$4,359.5 million and $3,979.9 million, respectively. Accounts receivable from our sponsored products aggregate to $613.3 million at September 30, 2024 and $533.9 million at</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2023.</w:t>
      </w:r>
    </w:p>
    <w:p>
      <w:pPr>
        <w:spacing w:after="0" w:line="249"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Investors that we serve are primarily domiciled in the U.S.; investment advisory clients outside the U.S. account for 8.6% at September 30, 2024, June 30, 2024, and December 31, 2023 of our assets under management.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NOTE 3 – INVESTMENTS.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carrying values of our investments that are not consolidated sponsored investment products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2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1"/>
                <w:szCs w:val="11"/>
                <w:b w:val="1"/>
                <w:bCs w:val="1"/>
                <w:color w:val="auto"/>
              </w:rPr>
              <w:t>9/30/2024</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1"/>
                <w:szCs w:val="11"/>
                <w:b w:val="1"/>
                <w:bCs w:val="1"/>
                <w:color w:val="auto"/>
              </w:rPr>
              <w:t>12/31/2023</w:t>
            </w:r>
          </w:p>
        </w:tc>
      </w:tr>
      <w:tr>
        <w:trPr>
          <w:trHeight w:val="160"/>
        </w:trPr>
        <w:tc>
          <w:tcPr>
            <w:tcW w:w="8320" w:type="dxa"/>
            <w:vAlign w:val="bottom"/>
          </w:tcPr>
          <w:p>
            <w:pPr>
              <w:ind w:left="20"/>
              <w:spacing w:after="0"/>
              <w:rPr>
                <w:sz w:val="20"/>
                <w:szCs w:val="20"/>
                <w:color w:val="auto"/>
              </w:rPr>
            </w:pPr>
            <w:r>
              <w:rPr>
                <w:rFonts w:ascii="Arial" w:cs="Arial" w:eastAsia="Arial" w:hAnsi="Arial"/>
                <w:sz w:val="14"/>
                <w:szCs w:val="14"/>
                <w:color w:val="auto"/>
              </w:rPr>
              <w:t>Investments held at fair value</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 Rowe Price investment products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8320" w:type="dxa"/>
            <w:vAlign w:val="bottom"/>
          </w:tcPr>
          <w:p>
            <w:pPr>
              <w:ind w:left="280"/>
              <w:spacing w:after="0"/>
              <w:rPr>
                <w:sz w:val="20"/>
                <w:szCs w:val="20"/>
                <w:color w:val="auto"/>
              </w:rPr>
            </w:pPr>
            <w:r>
              <w:rPr>
                <w:rFonts w:ascii="Arial" w:cs="Arial" w:eastAsia="Arial" w:hAnsi="Arial"/>
                <w:sz w:val="14"/>
                <w:szCs w:val="14"/>
                <w:color w:val="auto"/>
              </w:rPr>
              <w:t>Discretionary investments</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261.0</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246.4</w:t>
            </w:r>
          </w:p>
        </w:tc>
      </w:tr>
      <w:tr>
        <w:trPr>
          <w:trHeight w:val="180"/>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Seed capital</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247.8</w:t>
            </w:r>
          </w:p>
        </w:tc>
      </w:tr>
      <w:tr>
        <w:trPr>
          <w:trHeight w:val="180"/>
        </w:trPr>
        <w:tc>
          <w:tcPr>
            <w:tcW w:w="8320" w:type="dxa"/>
            <w:vAlign w:val="bottom"/>
          </w:tcPr>
          <w:p>
            <w:pPr>
              <w:ind w:left="280"/>
              <w:spacing w:after="0"/>
              <w:rPr>
                <w:sz w:val="20"/>
                <w:szCs w:val="20"/>
                <w:color w:val="auto"/>
              </w:rPr>
            </w:pPr>
            <w:r>
              <w:rPr>
                <w:rFonts w:ascii="Arial" w:cs="Arial" w:eastAsia="Arial" w:hAnsi="Arial"/>
                <w:sz w:val="14"/>
                <w:szCs w:val="14"/>
                <w:color w:val="auto"/>
              </w:rPr>
              <w:t>Supplemental savings plan liability economic hedges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806.6</w:t>
            </w:r>
          </w:p>
        </w:tc>
      </w:tr>
      <w:tr>
        <w:trPr>
          <w:trHeight w:val="180"/>
        </w:trPr>
        <w:tc>
          <w:tcPr>
            <w:tcW w:w="8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 partnerships and other investments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w:t>
            </w:r>
          </w:p>
        </w:tc>
      </w:tr>
      <w:tr>
        <w:trPr>
          <w:trHeight w:val="180"/>
        </w:trPr>
        <w:tc>
          <w:tcPr>
            <w:tcW w:w="8320" w:type="dxa"/>
            <w:vAlign w:val="bottom"/>
          </w:tcPr>
          <w:p>
            <w:pPr>
              <w:ind w:left="120"/>
              <w:spacing w:after="0"/>
              <w:rPr>
                <w:sz w:val="20"/>
                <w:szCs w:val="20"/>
                <w:color w:val="auto"/>
              </w:rPr>
            </w:pPr>
            <w:r>
              <w:rPr>
                <w:rFonts w:ascii="Arial" w:cs="Arial" w:eastAsia="Arial" w:hAnsi="Arial"/>
                <w:sz w:val="14"/>
                <w:szCs w:val="14"/>
                <w:color w:val="auto"/>
              </w:rPr>
              <w:t>Investments in affiliated collateralized loan obligations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method investments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8320" w:type="dxa"/>
            <w:vAlign w:val="bottom"/>
          </w:tcPr>
          <w:p>
            <w:pPr>
              <w:ind w:left="120"/>
              <w:spacing w:after="0"/>
              <w:rPr>
                <w:sz w:val="20"/>
                <w:szCs w:val="20"/>
                <w:color w:val="auto"/>
              </w:rPr>
            </w:pPr>
            <w:r>
              <w:rPr>
                <w:rFonts w:ascii="Arial" w:cs="Arial" w:eastAsia="Arial" w:hAnsi="Arial"/>
                <w:sz w:val="14"/>
                <w:szCs w:val="14"/>
                <w:color w:val="auto"/>
              </w:rPr>
              <w:t>T. Rowe Price investment products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Discretionary investments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80"/>
        </w:trPr>
        <w:tc>
          <w:tcPr>
            <w:tcW w:w="8320" w:type="dxa"/>
            <w:vAlign w:val="bottom"/>
          </w:tcPr>
          <w:p>
            <w:pPr>
              <w:ind w:left="280"/>
              <w:spacing w:after="0"/>
              <w:rPr>
                <w:sz w:val="20"/>
                <w:szCs w:val="20"/>
                <w:color w:val="auto"/>
              </w:rPr>
            </w:pPr>
            <w:r>
              <w:rPr>
                <w:rFonts w:ascii="Arial" w:cs="Arial" w:eastAsia="Arial" w:hAnsi="Arial"/>
                <w:sz w:val="14"/>
                <w:szCs w:val="14"/>
                <w:color w:val="auto"/>
              </w:rPr>
              <w:t>Seed capital</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91.1</w:t>
            </w:r>
          </w:p>
        </w:tc>
      </w:tr>
      <w:tr>
        <w:trPr>
          <w:trHeight w:val="180"/>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Supplemental savings plan liability economic hedges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180"/>
        </w:trPr>
        <w:tc>
          <w:tcPr>
            <w:tcW w:w="8320" w:type="dxa"/>
            <w:vAlign w:val="bottom"/>
          </w:tcPr>
          <w:p>
            <w:pPr>
              <w:ind w:left="120"/>
              <w:spacing w:after="0"/>
              <w:rPr>
                <w:sz w:val="20"/>
                <w:szCs w:val="20"/>
                <w:color w:val="auto"/>
              </w:rPr>
            </w:pPr>
            <w:r>
              <w:rPr>
                <w:rFonts w:ascii="Arial" w:cs="Arial" w:eastAsia="Arial" w:hAnsi="Arial"/>
                <w:sz w:val="14"/>
                <w:szCs w:val="14"/>
                <w:color w:val="auto"/>
              </w:rPr>
              <w:t>23% Investment in UTI Asset Management Company Limited (India)</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166.3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164.5</w:t>
            </w:r>
          </w:p>
        </w:tc>
      </w:tr>
      <w:tr>
        <w:trPr>
          <w:trHeight w:val="180"/>
        </w:trPr>
        <w:tc>
          <w:tcPr>
            <w:tcW w:w="8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Investments in affiliated private investment funds - carried interest</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519.9</w:t>
            </w:r>
          </w:p>
        </w:tc>
      </w:tr>
      <w:tr>
        <w:trPr>
          <w:trHeight w:val="180"/>
        </w:trPr>
        <w:tc>
          <w:tcPr>
            <w:tcW w:w="8320" w:type="dxa"/>
            <w:vAlign w:val="bottom"/>
          </w:tcPr>
          <w:p>
            <w:pPr>
              <w:ind w:left="120"/>
              <w:spacing w:after="0"/>
              <w:rPr>
                <w:sz w:val="20"/>
                <w:szCs w:val="20"/>
                <w:color w:val="auto"/>
              </w:rPr>
            </w:pPr>
            <w:r>
              <w:rPr>
                <w:rFonts w:ascii="Arial" w:cs="Arial" w:eastAsia="Arial" w:hAnsi="Arial"/>
                <w:sz w:val="14"/>
                <w:szCs w:val="14"/>
                <w:color w:val="auto"/>
              </w:rPr>
              <w:t>Investments in affiliated private investment funds - seed/co-investment</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286.1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253.4</w:t>
            </w:r>
          </w:p>
        </w:tc>
      </w:tr>
      <w:tr>
        <w:trPr>
          <w:trHeight w:val="180"/>
        </w:trPr>
        <w:tc>
          <w:tcPr>
            <w:tcW w:w="8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Investments in partnerships and other investments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Held to maturity</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Investments in affiliated collateralized loan obligations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w:t>
            </w:r>
          </w:p>
        </w:tc>
      </w:tr>
      <w:tr>
        <w:trPr>
          <w:trHeight w:val="180"/>
        </w:trPr>
        <w:tc>
          <w:tcPr>
            <w:tcW w:w="8320" w:type="dxa"/>
            <w:vAlign w:val="bottom"/>
          </w:tcPr>
          <w:p>
            <w:pPr>
              <w:ind w:left="120"/>
              <w:spacing w:after="0"/>
              <w:rPr>
                <w:sz w:val="20"/>
                <w:szCs w:val="20"/>
                <w:color w:val="auto"/>
              </w:rPr>
            </w:pPr>
            <w:r>
              <w:rPr>
                <w:rFonts w:ascii="Arial" w:cs="Arial" w:eastAsia="Arial" w:hAnsi="Arial"/>
                <w:sz w:val="14"/>
                <w:szCs w:val="14"/>
                <w:color w:val="auto"/>
              </w:rPr>
              <w:t>Certificates of deposit</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23.3</w:t>
            </w:r>
          </w:p>
        </w:tc>
      </w:tr>
      <w:tr>
        <w:trPr>
          <w:trHeight w:val="180"/>
        </w:trPr>
        <w:tc>
          <w:tcPr>
            <w:tcW w:w="8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U.S. Treasury note</w:t>
            </w: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71"/>
        </w:trPr>
        <w:tc>
          <w:tcPr>
            <w:tcW w:w="8320" w:type="dxa"/>
            <w:vAlign w:val="bottom"/>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2,966.0</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2,554.7</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investment partnerships held at fair value are valued using net asset value (“NAV”) per share as a practical expedient. Our interests in these partnerships are generally not redeemable and are subject to significant transferability restrictions.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155" w:lineRule="exact"/>
        <w:rPr>
          <w:sz w:val="20"/>
          <w:szCs w:val="20"/>
          <w:color w:val="auto"/>
        </w:rPr>
      </w:pPr>
    </w:p>
    <w:p>
      <w:pPr>
        <w:jc w:val="both"/>
        <w:ind w:right="140"/>
        <w:spacing w:after="0" w:line="271" w:lineRule="auto"/>
        <w:rPr>
          <w:sz w:val="20"/>
          <w:szCs w:val="20"/>
          <w:color w:val="auto"/>
        </w:rPr>
      </w:pPr>
      <w:r>
        <w:rPr>
          <w:rFonts w:ascii="Arial" w:cs="Arial" w:eastAsia="Arial" w:hAnsi="Arial"/>
          <w:sz w:val="14"/>
          <w:szCs w:val="14"/>
          <w:color w:val="auto"/>
        </w:rPr>
        <w:t>During the three- and nine-months ended September 30, 2024, net gains on investments included $ 44.3 million and $129.3 million, respectively, of net unrealized gains related to investments carried at fair value that were still held at September 30, 2024. For the same periods of 2023, net gains on investments included $46.1 million of net unrealized losses and and $28.9 million of net unrealized gains, respectively, related to investments carried at fair value that were still held at September 30, 2023.</w:t>
      </w:r>
    </w:p>
    <w:p>
      <w:pPr>
        <w:spacing w:after="0" w:line="155"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During the nine months ended September 30, 2024 and 2023, certain sponsored investment products in which we provided initial seed capital at the time of formation were deconsolidated, as we no longer had a controlling interest. Depending on our ownership interest, we report our residual interests in these sponsored investment products as either an equity method investment or an investment held at fair value. The net impact of these changes on our unaudited condensed consolidated balance sheets and statements of income as of the dates the products were deconsolidated is detailed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0" w:name="page11"/>
    <w:bookmarkEnd w:id="10"/>
    <w:tbl>
      <w:tblPr>
        <w:tblLayout w:type="fixed"/>
        <w:tblInd w:w="40" w:type="dxa"/>
        <w:tblCellMar>
          <w:top w:w="0" w:type="dxa"/>
          <w:left w:w="0" w:type="dxa"/>
          <w:bottom w:w="0" w:type="dxa"/>
          <w:right w:w="0" w:type="dxa"/>
        </w:tblCellMar>
      </w:tblPr>
      <w:tr>
        <w:trPr>
          <w:trHeight w:val="159"/>
        </w:trPr>
        <w:tc>
          <w:tcPr>
            <w:tcW w:w="5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60" w:type="dxa"/>
            <w:vAlign w:val="bottom"/>
            <w:gridSpan w:val="5"/>
            <w:shd w:val="clear" w:color="auto" w:fill="CCEEFF"/>
          </w:tcPr>
          <w:p>
            <w:pPr>
              <w:ind w:left="520"/>
              <w:spacing w:after="0"/>
              <w:rPr>
                <w:sz w:val="20"/>
                <w:szCs w:val="20"/>
                <w:color w:val="auto"/>
              </w:rPr>
            </w:pPr>
            <w:r>
              <w:rPr>
                <w:rFonts w:ascii="Arial" w:cs="Arial" w:eastAsia="Arial" w:hAnsi="Arial"/>
                <w:sz w:val="11"/>
                <w:szCs w:val="11"/>
                <w:b w:val="1"/>
                <w:bCs w:val="1"/>
                <w:color w:val="auto"/>
              </w:rPr>
              <w:t>Three months ended</w:t>
            </w:r>
          </w:p>
        </w:tc>
        <w:tc>
          <w:tcPr>
            <w:tcW w:w="240" w:type="dxa"/>
            <w:vAlign w:val="bottom"/>
            <w:shd w:val="clear" w:color="auto" w:fill="CCEEFF"/>
          </w:tcPr>
          <w:p>
            <w:pPr>
              <w:spacing w:after="0"/>
              <w:rPr>
                <w:sz w:val="13"/>
                <w:szCs w:val="13"/>
                <w:color w:val="auto"/>
              </w:rPr>
            </w:pPr>
          </w:p>
        </w:tc>
        <w:tc>
          <w:tcPr>
            <w:tcW w:w="2360" w:type="dxa"/>
            <w:vAlign w:val="bottom"/>
            <w:gridSpan w:val="4"/>
            <w:shd w:val="clear" w:color="auto" w:fill="CCEEFF"/>
          </w:tcPr>
          <w:p>
            <w:pPr>
              <w:jc w:val="right"/>
              <w:ind w:right="712"/>
              <w:spacing w:after="0"/>
              <w:rPr>
                <w:sz w:val="20"/>
                <w:szCs w:val="20"/>
                <w:color w:val="auto"/>
              </w:rPr>
            </w:pPr>
            <w:r>
              <w:rPr>
                <w:rFonts w:ascii="Arial" w:cs="Arial" w:eastAsia="Arial" w:hAnsi="Arial"/>
                <w:sz w:val="11"/>
                <w:szCs w:val="11"/>
                <w:b w:val="1"/>
                <w:bCs w:val="1"/>
                <w:color w:val="auto"/>
              </w:rPr>
              <w:t>Nine months ended</w:t>
            </w:r>
          </w:p>
        </w:tc>
      </w:tr>
      <w:tr>
        <w:trPr>
          <w:trHeight w:val="15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1"/>
                <w:szCs w:val="11"/>
                <w:b w:val="1"/>
                <w:bCs w:val="1"/>
                <w:color w:val="auto"/>
              </w:rPr>
              <w:t>9/30/2024</w:t>
            </w:r>
          </w:p>
        </w:tc>
        <w:tc>
          <w:tcPr>
            <w:tcW w:w="1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1"/>
                <w:szCs w:val="11"/>
                <w:b w:val="1"/>
                <w:bCs w:val="1"/>
                <w:color w:val="auto"/>
              </w:rPr>
              <w:t>9/30/2023</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1"/>
                <w:szCs w:val="11"/>
                <w:b w:val="1"/>
                <w:bCs w:val="1"/>
                <w:color w:val="auto"/>
              </w:rPr>
              <w:t>9/30/2024</w:t>
            </w:r>
          </w:p>
        </w:tc>
        <w:tc>
          <w:tcPr>
            <w:tcW w:w="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1"/>
                <w:szCs w:val="11"/>
                <w:b w:val="1"/>
                <w:bCs w:val="1"/>
                <w:color w:val="auto"/>
              </w:rPr>
              <w:t>9/30/2023</w:t>
            </w:r>
          </w:p>
        </w:tc>
      </w:tr>
      <w:tr>
        <w:trPr>
          <w:trHeight w:val="171"/>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assets of consolidated sponsored investment products</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(650.1)</w:t>
            </w:r>
          </w:p>
        </w:tc>
      </w:tr>
      <w:tr>
        <w:trPr>
          <w:trHeight w:val="180"/>
        </w:trPr>
        <w:tc>
          <w:tcPr>
            <w:tcW w:w="5900" w:type="dxa"/>
            <w:vAlign w:val="bottom"/>
          </w:tcPr>
          <w:p>
            <w:pPr>
              <w:ind w:left="20"/>
              <w:spacing w:after="0"/>
              <w:rPr>
                <w:sz w:val="20"/>
                <w:szCs w:val="20"/>
                <w:color w:val="auto"/>
              </w:rPr>
            </w:pPr>
            <w:r>
              <w:rPr>
                <w:rFonts w:ascii="Arial" w:cs="Arial" w:eastAsia="Arial" w:hAnsi="Arial"/>
                <w:sz w:val="14"/>
                <w:szCs w:val="14"/>
                <w:color w:val="auto"/>
              </w:rPr>
              <w:t>Net increase (decrease) in liabilities of consolidated sponsored investment products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(19.5)</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(43.5)</w:t>
            </w:r>
          </w:p>
        </w:tc>
      </w:tr>
      <w:tr>
        <w:trPr>
          <w:trHeight w:val="18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redeemable non-controlling interests</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(460.2)</w:t>
            </w:r>
          </w:p>
        </w:tc>
      </w:tr>
      <w:tr>
        <w:trPr>
          <w:trHeight w:val="117"/>
        </w:trPr>
        <w:tc>
          <w:tcPr>
            <w:tcW w:w="5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8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Gains recognized upon deconsolidation</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INVESTMENTS IN AFFILIATED COLLATERALIZED LOAN OBLIGATIONS.</w:t>
      </w:r>
    </w:p>
    <w:p>
      <w:pPr>
        <w:spacing w:after="0" w:line="200"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There is debt associated with our long-term investments in affiliated collateralized loan obligations (“CLOs”). This debt is carried at $ 75.8 million at September 30, 2024 and $89.4 million at December 31, 2023, and is reported in accounts payable and accrued expenses in our unaudited condensed consolidated balance sheets. The debt includes outstanding repurchase agreements of €59.4 million (equivalent to $66.3 million at September 30, 2024 and $72.3 million at December 31, 2023 at the respective EUR spot rates) that are collateralized by the CLO investments. The debt also includes outstanding note facilities of €8.5 million (equivalent to $9.5 million at September 30, 2024 and $17.1 million at December 31, 2023, at the respective EUR spot rates) that are collateralized by first priority security interests in the assets of a consolidated subsidiary that is party to the notes. These note facilities bear interest at rates based on EURIBOR plus the initial margin, which equals all-in rates ranging from 1.15% to 12.60% as of September 30, 2024. The debt matures on various dates through 2035 or if the investments are paid back in full or cancelled, whichever is sooner.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VARIABLE INTEREST ENTITIES.</w:t>
      </w:r>
    </w:p>
    <w:p>
      <w:pPr>
        <w:spacing w:after="0" w:line="200" w:lineRule="exact"/>
        <w:rPr>
          <w:sz w:val="20"/>
          <w:szCs w:val="20"/>
          <w:color w:val="auto"/>
        </w:rPr>
      </w:pPr>
    </w:p>
    <w:p>
      <w:pPr>
        <w:ind w:right="600"/>
        <w:spacing w:after="0" w:line="290" w:lineRule="auto"/>
        <w:rPr>
          <w:sz w:val="20"/>
          <w:szCs w:val="20"/>
          <w:color w:val="auto"/>
        </w:rPr>
      </w:pPr>
      <w:r>
        <w:rPr>
          <w:rFonts w:ascii="Arial" w:cs="Arial" w:eastAsia="Arial" w:hAnsi="Arial"/>
          <w:sz w:val="14"/>
          <w:szCs w:val="14"/>
          <w:color w:val="auto"/>
        </w:rPr>
        <w:t>Our investments at September 30, 2024 and December 31, 2023 include interests in variable interest entities that we do not consolidate as we are not deemed the primary beneficiary. Our maximum risk of loss related to our involvement with these entities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2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1"/>
                <w:szCs w:val="11"/>
                <w:b w:val="1"/>
                <w:bCs w:val="1"/>
                <w:color w:val="auto"/>
              </w:rPr>
              <w:t>9/30/2024</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1"/>
                <w:szCs w:val="11"/>
                <w:b w:val="1"/>
                <w:bCs w:val="1"/>
                <w:color w:val="auto"/>
              </w:rPr>
              <w:t>12/31/2023</w:t>
            </w:r>
          </w:p>
        </w:tc>
      </w:tr>
      <w:tr>
        <w:trPr>
          <w:trHeight w:val="171"/>
        </w:trPr>
        <w:tc>
          <w:tcPr>
            <w:tcW w:w="8320" w:type="dxa"/>
            <w:vAlign w:val="bottom"/>
          </w:tcPr>
          <w:p>
            <w:pPr>
              <w:ind w:left="20"/>
              <w:spacing w:after="0"/>
              <w:rPr>
                <w:sz w:val="20"/>
                <w:szCs w:val="20"/>
                <w:color w:val="auto"/>
              </w:rPr>
            </w:pPr>
            <w:r>
              <w:rPr>
                <w:rFonts w:ascii="Arial" w:cs="Arial" w:eastAsia="Arial" w:hAnsi="Arial"/>
                <w:sz w:val="14"/>
                <w:szCs w:val="14"/>
                <w:color w:val="auto"/>
              </w:rPr>
              <w:t>Investment carrying values</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886.1</w:t>
            </w:r>
          </w:p>
        </w:tc>
        <w:tc>
          <w:tcPr>
            <w:tcW w:w="10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919.3</w:t>
            </w: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Unfunded capital commitments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w:t>
            </w:r>
          </w:p>
        </w:tc>
      </w:tr>
      <w:tr>
        <w:trPr>
          <w:trHeight w:val="18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Accounts receivable</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w:t>
            </w:r>
          </w:p>
        </w:tc>
      </w:tr>
      <w:tr>
        <w:trPr>
          <w:trHeight w:val="196"/>
        </w:trPr>
        <w:tc>
          <w:tcPr>
            <w:tcW w:w="83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1,088.6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1,105.5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The unfunded capital commitments, totaling $117.3 million at September 30, 2024 and $94.1 million at December 31, 2023, relate primarily to the affiliated private investment funds and the investment partnerships in which we have an existing investment. In addition to such amounts, a percentage of prior distributions may be called under certain circumstances.</w:t>
      </w:r>
    </w:p>
    <w:p>
      <w:pPr>
        <w:spacing w:after="0" w:line="322"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Certain of the investments in affiliated funds represent interests in the general partners of affiliated private investment funds that are entitled to a disproportionate allocation of income or carried interest. The entities holding such interests are considered variable interest entities and are consolidated as we were determined to be the primary beneficiary.</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The total assets, liabilities, and non-controlling interests of these consolidated variable interest entities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2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 millions)</w:t>
            </w:r>
          </w:p>
        </w:tc>
        <w:tc>
          <w:tcPr>
            <w:tcW w:w="15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1"/>
                <w:szCs w:val="11"/>
                <w:b w:val="1"/>
                <w:bCs w:val="1"/>
                <w:color w:val="auto"/>
              </w:rPr>
              <w:t>9/30/2024</w:t>
            </w:r>
          </w:p>
        </w:tc>
        <w:tc>
          <w:tcPr>
            <w:tcW w:w="6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78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1"/>
                <w:szCs w:val="11"/>
                <w:b w:val="1"/>
                <w:bCs w:val="1"/>
                <w:color w:val="auto"/>
              </w:rPr>
              <w:t>12/31/2023</w:t>
            </w:r>
          </w:p>
        </w:tc>
      </w:tr>
      <w:tr>
        <w:trPr>
          <w:trHeight w:val="171"/>
        </w:trPr>
        <w:tc>
          <w:tcPr>
            <w:tcW w:w="6720" w:type="dxa"/>
            <w:vAlign w:val="bottom"/>
          </w:tcPr>
          <w:p>
            <w:pPr>
              <w:ind w:left="20"/>
              <w:spacing w:after="0"/>
              <w:rPr>
                <w:sz w:val="20"/>
                <w:szCs w:val="20"/>
                <w:color w:val="auto"/>
              </w:rPr>
            </w:pPr>
            <w:r>
              <w:rPr>
                <w:rFonts w:ascii="Arial" w:cs="Arial" w:eastAsia="Arial" w:hAnsi="Arial"/>
                <w:sz w:val="14"/>
                <w:szCs w:val="14"/>
                <w:color w:val="auto"/>
              </w:rPr>
              <w:t>Assets</w:t>
            </w:r>
          </w:p>
        </w:tc>
        <w:tc>
          <w:tcPr>
            <w:tcW w:w="1580" w:type="dxa"/>
            <w:vAlign w:val="bottom"/>
            <w:tcBorders>
              <w:bottom w:val="single" w:sz="8" w:color="auto"/>
            </w:tcBorders>
          </w:tcPr>
          <w:p>
            <w:pPr>
              <w:jc w:val="right"/>
              <w:ind w:right="1433"/>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566.5</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564.7</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580" w:type="dxa"/>
            <w:vAlign w:val="bottom"/>
            <w:tcBorders>
              <w:bottom w:val="single" w:sz="8" w:color="auto"/>
            </w:tcBorders>
            <w:shd w:val="clear" w:color="auto" w:fill="CCEEFF"/>
          </w:tcPr>
          <w:p>
            <w:pPr>
              <w:jc w:val="right"/>
              <w:ind w:right="1433"/>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720" w:type="dxa"/>
            <w:vAlign w:val="bottom"/>
          </w:tcPr>
          <w:p>
            <w:pPr>
              <w:ind w:left="20"/>
              <w:spacing w:after="0" w:line="143" w:lineRule="exact"/>
              <w:rPr>
                <w:sz w:val="20"/>
                <w:szCs w:val="20"/>
                <w:color w:val="auto"/>
              </w:rPr>
            </w:pPr>
            <w:r>
              <w:rPr>
                <w:rFonts w:ascii="Arial" w:cs="Arial" w:eastAsia="Arial" w:hAnsi="Arial"/>
                <w:sz w:val="14"/>
                <w:szCs w:val="14"/>
                <w:color w:val="auto"/>
              </w:rPr>
              <w:t>Non-controlling interest</w:t>
            </w:r>
          </w:p>
        </w:tc>
        <w:tc>
          <w:tcPr>
            <w:tcW w:w="1580" w:type="dxa"/>
            <w:vAlign w:val="bottom"/>
            <w:tcBorders>
              <w:bottom w:val="single" w:sz="8" w:color="auto"/>
            </w:tcBorders>
          </w:tcPr>
          <w:p>
            <w:pPr>
              <w:jc w:val="right"/>
              <w:ind w:right="1433"/>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203.4</w:t>
            </w:r>
          </w:p>
        </w:tc>
        <w:tc>
          <w:tcPr>
            <w:tcW w:w="100" w:type="dxa"/>
            <w:vAlign w:val="bottom"/>
          </w:tcPr>
          <w:p>
            <w:pPr>
              <w:spacing w:after="0"/>
              <w:rPr>
                <w:sz w:val="12"/>
                <w:szCs w:val="12"/>
                <w:color w:val="auto"/>
              </w:rPr>
            </w:pPr>
          </w:p>
        </w:tc>
        <w:tc>
          <w:tcPr>
            <w:tcW w:w="460" w:type="dxa"/>
            <w:vAlign w:val="bottom"/>
            <w:tcBorders>
              <w:bottom w:val="single" w:sz="8" w:color="auto"/>
            </w:tcBorders>
          </w:tcPr>
          <w:p>
            <w:pPr>
              <w:jc w:val="right"/>
              <w:ind w:right="289"/>
              <w:spacing w:after="0" w:line="143" w:lineRule="exact"/>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192.0</w:t>
            </w:r>
          </w:p>
        </w:tc>
      </w:tr>
      <w:tr>
        <w:trPr>
          <w:trHeight w:val="20"/>
        </w:trPr>
        <w:tc>
          <w:tcPr>
            <w:tcW w:w="67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0"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NOTE 4 – FAIR VALUE MEASUREMENTS.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determine the fair value of our cash equivalents and investments held at fair value using the following broad levels of inputs as defined by related accounting standards: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Level 1 – quoted prices in active markets for identical securities.</w:t>
      </w:r>
    </w:p>
    <w:p>
      <w:pPr>
        <w:spacing w:after="0" w:line="23" w:lineRule="exact"/>
        <w:rPr>
          <w:sz w:val="20"/>
          <w:szCs w:val="20"/>
          <w:color w:val="auto"/>
        </w:rPr>
      </w:pPr>
    </w:p>
    <w:p>
      <w:pPr>
        <w:ind w:left="200" w:right="4200" w:hanging="196"/>
        <w:spacing w:after="0" w:line="253" w:lineRule="auto"/>
        <w:rPr>
          <w:sz w:val="20"/>
          <w:szCs w:val="20"/>
          <w:color w:val="auto"/>
        </w:rPr>
      </w:pPr>
      <w:r>
        <w:rPr>
          <w:rFonts w:ascii="Arial" w:cs="Arial" w:eastAsia="Arial" w:hAnsi="Arial"/>
          <w:sz w:val="14"/>
          <w:szCs w:val="14"/>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ind w:left="580" w:right="860" w:hanging="572"/>
        <w:spacing w:after="0" w:line="269" w:lineRule="auto"/>
        <w:rPr>
          <w:sz w:val="20"/>
          <w:szCs w:val="20"/>
          <w:color w:val="auto"/>
        </w:rPr>
      </w:pPr>
      <w:r>
        <w:rPr>
          <w:rFonts w:ascii="Arial" w:cs="Arial" w:eastAsia="Arial" w:hAnsi="Arial"/>
          <w:sz w:val="14"/>
          <w:szCs w:val="14"/>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w:t>
      </w:r>
    </w:p>
    <w:p>
      <w:pPr>
        <w:spacing w:after="0" w:line="156"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These levels are not necessarily an indication of the risk or liquidity associated with our investments. The following table summarizes our investments and liabilities that are recognized in our unaudited condensed consolidated balance sheets using fair value measurements determined based on the differing levels of inputs. This table excludes investments held by the consolidated sponsored investment products which are presented separately in our unaudited condensed consolidated balance sheets and are detailed in Note 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1"/>
                <w:szCs w:val="11"/>
                <w:b w:val="1"/>
                <w:bCs w:val="1"/>
                <w:color w:val="auto"/>
              </w:rPr>
              <w:t>9/30/2024</w:t>
            </w: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1"/>
                <w:szCs w:val="11"/>
                <w:b w:val="1"/>
                <w:bCs w:val="1"/>
                <w:color w:val="auto"/>
              </w:rPr>
              <w:t>12/31/2023</w:t>
            </w: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r>
      <w:tr>
        <w:trPr>
          <w:trHeight w:val="150"/>
        </w:trPr>
        <w:tc>
          <w:tcPr>
            <w:tcW w:w="492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00" w:type="dxa"/>
            <w:vAlign w:val="bottom"/>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Level 1</w:t>
            </w:r>
          </w:p>
        </w:tc>
        <w:tc>
          <w:tcPr>
            <w:tcW w:w="1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1"/>
                <w:szCs w:val="11"/>
                <w:b w:val="1"/>
                <w:bCs w:val="1"/>
                <w:color w:val="auto"/>
              </w:rPr>
              <w:t>Level 2</w:t>
            </w:r>
          </w:p>
        </w:tc>
        <w:tc>
          <w:tcPr>
            <w:tcW w:w="18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1"/>
                <w:szCs w:val="11"/>
                <w:b w:val="1"/>
                <w:bCs w:val="1"/>
                <w:color w:val="auto"/>
              </w:rPr>
              <w:t>Level 3</w:t>
            </w:r>
          </w:p>
        </w:tc>
        <w:tc>
          <w:tcPr>
            <w:tcW w:w="200" w:type="dxa"/>
            <w:vAlign w:val="bottom"/>
          </w:tcPr>
          <w:p>
            <w:pPr>
              <w:spacing w:after="0"/>
              <w:rPr>
                <w:sz w:val="13"/>
                <w:szCs w:val="13"/>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Level 1</w:t>
            </w:r>
          </w:p>
        </w:tc>
        <w:tc>
          <w:tcPr>
            <w:tcW w:w="1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1"/>
                <w:szCs w:val="11"/>
                <w:b w:val="1"/>
                <w:bCs w:val="1"/>
                <w:color w:val="auto"/>
              </w:rPr>
              <w:t>Level 2</w:t>
            </w:r>
          </w:p>
        </w:tc>
        <w:tc>
          <w:tcPr>
            <w:tcW w:w="200" w:type="dxa"/>
            <w:vAlign w:val="bottom"/>
          </w:tcPr>
          <w:p>
            <w:pPr>
              <w:spacing w:after="0"/>
              <w:rPr>
                <w:sz w:val="13"/>
                <w:szCs w:val="13"/>
                <w:color w:val="auto"/>
              </w:rPr>
            </w:pPr>
          </w:p>
        </w:tc>
        <w:tc>
          <w:tcPr>
            <w:tcW w:w="780" w:type="dxa"/>
            <w:vAlign w:val="bottom"/>
          </w:tcPr>
          <w:p>
            <w:pPr>
              <w:jc w:val="right"/>
              <w:ind w:right="231"/>
              <w:spacing w:after="0"/>
              <w:rPr>
                <w:sz w:val="20"/>
                <w:szCs w:val="20"/>
                <w:color w:val="auto"/>
              </w:rPr>
            </w:pPr>
            <w:r>
              <w:rPr>
                <w:rFonts w:ascii="Arial" w:cs="Arial" w:eastAsia="Arial" w:hAnsi="Arial"/>
                <w:sz w:val="11"/>
                <w:szCs w:val="11"/>
                <w:b w:val="1"/>
                <w:bCs w:val="1"/>
                <w:color w:val="auto"/>
              </w:rPr>
              <w:t>Level 3</w:t>
            </w:r>
          </w:p>
        </w:tc>
      </w:tr>
      <w:tr>
        <w:trPr>
          <w:trHeight w:val="161"/>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 Rowe Price investment products</w:t>
            </w: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r>
      <w:tr>
        <w:trPr>
          <w:trHeight w:val="180"/>
        </w:trPr>
        <w:tc>
          <w:tcPr>
            <w:tcW w:w="4920" w:type="dxa"/>
            <w:vAlign w:val="bottom"/>
          </w:tcPr>
          <w:p>
            <w:pPr>
              <w:ind w:left="140"/>
              <w:spacing w:after="0"/>
              <w:rPr>
                <w:sz w:val="20"/>
                <w:szCs w:val="20"/>
                <w:color w:val="auto"/>
              </w:rPr>
            </w:pPr>
            <w:r>
              <w:rPr>
                <w:rFonts w:ascii="Arial" w:cs="Arial" w:eastAsia="Arial" w:hAnsi="Arial"/>
                <w:sz w:val="14"/>
                <w:szCs w:val="14"/>
                <w:color w:val="auto"/>
              </w:rPr>
              <w:t>Cash equivalents held in money market funds</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2,735.3</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1,678.1</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Discretionary investments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920" w:type="dxa"/>
            <w:vAlign w:val="bottom"/>
          </w:tcPr>
          <w:p>
            <w:pPr>
              <w:ind w:left="140"/>
              <w:spacing w:after="0"/>
              <w:rPr>
                <w:sz w:val="20"/>
                <w:szCs w:val="20"/>
                <w:color w:val="auto"/>
              </w:rPr>
            </w:pPr>
            <w:r>
              <w:rPr>
                <w:rFonts w:ascii="Arial" w:cs="Arial" w:eastAsia="Arial" w:hAnsi="Arial"/>
                <w:sz w:val="14"/>
                <w:szCs w:val="14"/>
                <w:color w:val="auto"/>
              </w:rPr>
              <w:t>Seed capital</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240.1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206.0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Supplemental savings plan liability economic hedges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920" w:type="dxa"/>
            <w:vAlign w:val="bottom"/>
          </w:tcPr>
          <w:p>
            <w:pPr>
              <w:ind w:left="20"/>
              <w:spacing w:after="0"/>
              <w:rPr>
                <w:sz w:val="20"/>
                <w:szCs w:val="20"/>
                <w:color w:val="auto"/>
              </w:rPr>
            </w:pPr>
            <w:r>
              <w:rPr>
                <w:rFonts w:ascii="Arial" w:cs="Arial" w:eastAsia="Arial" w:hAnsi="Arial"/>
                <w:sz w:val="14"/>
                <w:szCs w:val="14"/>
                <w:color w:val="auto"/>
              </w:rPr>
              <w:t>Other investments</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in affiliated collateralized loan obligations</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920" w:type="dxa"/>
            <w:vAlign w:val="bottom"/>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4,138.4</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2,937.8</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50.2</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89"/>
        </w:trPr>
        <w:tc>
          <w:tcPr>
            <w:tcW w:w="49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r>
      <w:tr>
        <w:trPr>
          <w:trHeight w:val="180"/>
        </w:trPr>
        <w:tc>
          <w:tcPr>
            <w:tcW w:w="4920" w:type="dxa"/>
            <w:vAlign w:val="bottom"/>
          </w:tcPr>
          <w:p>
            <w:pPr>
              <w:ind w:left="20"/>
              <w:spacing w:after="0"/>
              <w:rPr>
                <w:sz w:val="20"/>
                <w:szCs w:val="20"/>
                <w:color w:val="auto"/>
              </w:rPr>
            </w:pPr>
            <w:r>
              <w:rPr>
                <w:rFonts w:ascii="Arial" w:cs="Arial" w:eastAsia="Arial" w:hAnsi="Arial"/>
                <w:sz w:val="14"/>
                <w:szCs w:val="14"/>
                <w:color w:val="auto"/>
              </w:rPr>
              <w:t>Contingent consideration liability</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20"/>
        </w:trPr>
        <w:tc>
          <w:tcPr>
            <w:tcW w:w="4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The fair value hierarchy level table above does not include the investment partnerships and other investments for which fair value is estimated using their NAV per share as a practical expedient. The carrying value of these investments as disclosed in Note 3 were $63.4 million at September 30, 2024, and $69.0 million at December 31, 2023.</w:t>
      </w:r>
    </w:p>
    <w:p>
      <w:pPr>
        <w:spacing w:after="0" w:line="141"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The Level 3 investments’ fair value is derived from inputs that are unobservable and that reflect our own determinations about the assumptions that market participants would use in pricing the investments, including assumptions about risk. These inputs are developed based on our data, which is adjusted if information indicates that market participants would use different assumptions. For the nine months ended September 30, 2024, the change in Level 3 fair values were solely attributable to the purchases of new investments and there were no transfers into or out of Level 3. The following table provides information about the significant Level 3 inputs: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840" w:type="dxa"/>
            <w:vAlign w:val="bottom"/>
            <w:tcBorders>
              <w:bottom w:val="single" w:sz="8" w:color="auto"/>
            </w:tcBorders>
            <w:gridSpan w:val="4"/>
            <w:shd w:val="clear" w:color="auto" w:fill="CCEEFF"/>
          </w:tcPr>
          <w:p>
            <w:pPr>
              <w:ind w:left="1100"/>
              <w:spacing w:after="0"/>
              <w:rPr>
                <w:sz w:val="20"/>
                <w:szCs w:val="20"/>
                <w:color w:val="auto"/>
              </w:rPr>
            </w:pPr>
            <w:r>
              <w:rPr>
                <w:rFonts w:ascii="Arial" w:cs="Arial" w:eastAsia="Arial" w:hAnsi="Arial"/>
                <w:sz w:val="11"/>
                <w:szCs w:val="11"/>
                <w:b w:val="1"/>
                <w:bCs w:val="1"/>
                <w:color w:val="auto"/>
              </w:rPr>
              <w:t>Fair value measurements as of September 30, 2024</w:t>
            </w:r>
          </w:p>
        </w:tc>
        <w:tc>
          <w:tcPr>
            <w:tcW w:w="1500" w:type="dxa"/>
            <w:vAlign w:val="bottom"/>
            <w:tcBorders>
              <w:bottom w:val="single" w:sz="8" w:color="auto"/>
            </w:tcBorders>
            <w:shd w:val="clear" w:color="auto" w:fill="CCEEFF"/>
          </w:tcPr>
          <w:p>
            <w:pPr>
              <w:spacing w:after="0"/>
              <w:rPr>
                <w:sz w:val="13"/>
                <w:szCs w:val="13"/>
                <w:color w:val="auto"/>
              </w:rPr>
            </w:pPr>
          </w:p>
        </w:tc>
      </w:tr>
      <w:tr>
        <w:trPr>
          <w:trHeight w:val="16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Fair value</w:t>
            </w:r>
          </w:p>
        </w:tc>
        <w:tc>
          <w:tcPr>
            <w:tcW w:w="100" w:type="dxa"/>
            <w:vAlign w:val="bottom"/>
            <w:tcBorders>
              <w:bottom w:val="single" w:sz="8" w:color="CCEEFF"/>
            </w:tcBorders>
          </w:tcPr>
          <w:p>
            <w:pPr>
              <w:spacing w:after="0"/>
              <w:rPr>
                <w:sz w:val="13"/>
                <w:szCs w:val="13"/>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Valuation techniques</w:t>
            </w:r>
          </w:p>
        </w:tc>
        <w:tc>
          <w:tcPr>
            <w:tcW w:w="10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Unobservable inputs</w:t>
            </w:r>
          </w:p>
        </w:tc>
        <w:tc>
          <w:tcPr>
            <w:tcW w:w="10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Interest rate input</w:t>
            </w:r>
          </w:p>
        </w:tc>
      </w:tr>
      <w:tr>
        <w:trPr>
          <w:trHeight w:val="160"/>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investments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w:t>
            </w:r>
          </w:p>
        </w:tc>
        <w:tc>
          <w:tcPr>
            <w:tcW w:w="100" w:type="dxa"/>
            <w:vAlign w:val="bottom"/>
            <w:shd w:val="clear" w:color="auto" w:fill="CCEEFF"/>
          </w:tcPr>
          <w:p>
            <w:pPr>
              <w:spacing w:after="0"/>
              <w:rPr>
                <w:sz w:val="13"/>
                <w:szCs w:val="13"/>
                <w:color w:val="auto"/>
              </w:rPr>
            </w:pPr>
          </w:p>
        </w:tc>
        <w:tc>
          <w:tcPr>
            <w:tcW w:w="29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Market Yield (Comparables)</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7"/>
              </w:rPr>
              <w:t>Yield</w:t>
            </w:r>
          </w:p>
        </w:tc>
        <w:tc>
          <w:tcPr>
            <w:tcW w:w="1500" w:type="dxa"/>
            <w:vAlign w:val="bottom"/>
            <w:shd w:val="clear" w:color="auto" w:fill="CCEEFF"/>
          </w:tcPr>
          <w:p>
            <w:pPr>
              <w:jc w:val="right"/>
              <w:ind w:right="563"/>
              <w:spacing w:after="0"/>
              <w:rPr>
                <w:sz w:val="20"/>
                <w:szCs w:val="20"/>
                <w:color w:val="auto"/>
              </w:rPr>
            </w:pPr>
            <w:r>
              <w:rPr>
                <w:rFonts w:ascii="Arial" w:cs="Arial" w:eastAsia="Arial" w:hAnsi="Arial"/>
                <w:sz w:val="11"/>
                <w:szCs w:val="11"/>
                <w:color w:val="auto"/>
              </w:rPr>
              <w:t>8.9%</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Contingent Consideration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As part of the purchase consideration for our acquisition of OHA in December 2021, there is contingent</w:t>
      </w:r>
    </w:p>
    <w:p>
      <w:pPr>
        <w:spacing w:after="0" w:line="23"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consideration in the amount of up to $900 million, payable in cash, that may be due as part of an earnout payment starting in 2025 and ending in 2027 upon satisfying or exceeding certain defined revenue targets. These defined revenue targets will be evaluated on a cumulative basis beginning at the end of 2024, with the ability to extend two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2" w:name="page13"/>
    <w:bookmarkEnd w:id="12"/>
    <w:p>
      <w:pPr>
        <w:ind w:right="140"/>
        <w:spacing w:after="0" w:line="271" w:lineRule="auto"/>
        <w:rPr>
          <w:sz w:val="20"/>
          <w:szCs w:val="20"/>
          <w:color w:val="auto"/>
        </w:rPr>
      </w:pPr>
      <w:r>
        <w:rPr>
          <w:rFonts w:ascii="Arial" w:cs="Arial" w:eastAsia="Arial" w:hAnsi="Arial"/>
          <w:sz w:val="14"/>
          <w:szCs w:val="14"/>
          <w:color w:val="auto"/>
        </w:rPr>
        <w:t>additional years if the defined revenue targets are not achieved. About 22% of the earnout is conditioned upon continued service with T. Rowe Price Group, Inc. and was excluded from the purchase consideration and deemed compensatory. The fair value of the earnout, deemed compensatory, is remeasured each reporting period and recognized in compensation expense over the related service period.</w:t>
      </w:r>
    </w:p>
    <w:p>
      <w:pPr>
        <w:spacing w:after="0" w:line="155"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As of September 30, 2024, the fair value of the contingent consideration, including the portion deemed compensatory, was zero. The change in the contingent consideration liability measured at fair value for which we used Level 3 inputs to determine fair value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540" w:type="dxa"/>
            <w:vAlign w:val="bottom"/>
            <w:gridSpan w:val="5"/>
            <w:shd w:val="clear" w:color="auto" w:fill="CCEEFF"/>
          </w:tcPr>
          <w:p>
            <w:pPr>
              <w:ind w:left="540"/>
              <w:spacing w:after="0"/>
              <w:rPr>
                <w:sz w:val="20"/>
                <w:szCs w:val="20"/>
                <w:color w:val="auto"/>
              </w:rPr>
            </w:pPr>
            <w:r>
              <w:rPr>
                <w:rFonts w:ascii="Arial" w:cs="Arial" w:eastAsia="Arial" w:hAnsi="Arial"/>
                <w:sz w:val="11"/>
                <w:szCs w:val="11"/>
                <w:b w:val="1"/>
                <w:bCs w:val="1"/>
                <w:color w:val="auto"/>
              </w:rPr>
              <w:t>Three months ended</w:t>
            </w:r>
          </w:p>
        </w:tc>
        <w:tc>
          <w:tcPr>
            <w:tcW w:w="260" w:type="dxa"/>
            <w:vAlign w:val="bottom"/>
            <w:shd w:val="clear" w:color="auto" w:fill="CCEEFF"/>
          </w:tcPr>
          <w:p>
            <w:pPr>
              <w:spacing w:after="0"/>
              <w:rPr>
                <w:sz w:val="13"/>
                <w:szCs w:val="13"/>
                <w:color w:val="auto"/>
              </w:rPr>
            </w:pPr>
          </w:p>
        </w:tc>
        <w:tc>
          <w:tcPr>
            <w:tcW w:w="2460" w:type="dxa"/>
            <w:vAlign w:val="bottom"/>
            <w:gridSpan w:val="4"/>
            <w:shd w:val="clear" w:color="auto" w:fill="CCEEFF"/>
          </w:tcPr>
          <w:p>
            <w:pPr>
              <w:jc w:val="right"/>
              <w:ind w:right="773"/>
              <w:spacing w:after="0"/>
              <w:rPr>
                <w:sz w:val="20"/>
                <w:szCs w:val="20"/>
                <w:color w:val="auto"/>
              </w:rPr>
            </w:pPr>
            <w:r>
              <w:rPr>
                <w:rFonts w:ascii="Arial" w:cs="Arial" w:eastAsia="Arial" w:hAnsi="Arial"/>
                <w:sz w:val="11"/>
                <w:szCs w:val="11"/>
                <w:b w:val="1"/>
                <w:bCs w:val="1"/>
                <w:color w:val="auto"/>
              </w:rPr>
              <w:t>Nine months ended</w:t>
            </w:r>
          </w:p>
        </w:tc>
      </w:tr>
      <w:tr>
        <w:trPr>
          <w:trHeight w:val="150"/>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millions)</w:t>
            </w:r>
          </w:p>
        </w:tc>
        <w:tc>
          <w:tcPr>
            <w:tcW w:w="2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1"/>
                <w:szCs w:val="11"/>
                <w:b w:val="1"/>
                <w:bCs w:val="1"/>
                <w:color w:val="auto"/>
              </w:rPr>
              <w:t>9/30/2024</w:t>
            </w:r>
          </w:p>
        </w:tc>
        <w:tc>
          <w:tcPr>
            <w:tcW w:w="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9/30/2023</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1"/>
                <w:szCs w:val="11"/>
                <w:b w:val="1"/>
                <w:bCs w:val="1"/>
                <w:color w:val="auto"/>
              </w:rPr>
              <w:t>9/30/2024</w:t>
            </w:r>
          </w:p>
        </w:tc>
        <w:tc>
          <w:tcPr>
            <w:tcW w:w="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9/30/2023</w:t>
            </w:r>
          </w:p>
        </w:tc>
      </w:tr>
      <w:tr>
        <w:trPr>
          <w:trHeight w:val="171"/>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center"/>
              <w:ind w:left="593"/>
              <w:spacing w:after="0"/>
              <w:rPr>
                <w:sz w:val="20"/>
                <w:szCs w:val="20"/>
                <w:color w:val="auto"/>
              </w:rPr>
            </w:pPr>
            <w:r>
              <w:rPr>
                <w:rFonts w:ascii="Arial" w:cs="Arial" w:eastAsia="Arial" w:hAnsi="Arial"/>
                <w:sz w:val="14"/>
                <w:szCs w:val="14"/>
                <w:color w:val="auto"/>
              </w:rPr>
              <w:t>95.8</w:t>
            </w:r>
          </w:p>
        </w:tc>
      </w:tr>
      <w:tr>
        <w:trPr>
          <w:trHeight w:val="180"/>
        </w:trPr>
        <w:tc>
          <w:tcPr>
            <w:tcW w:w="5760" w:type="dxa"/>
            <w:vAlign w:val="bottom"/>
          </w:tcPr>
          <w:p>
            <w:pPr>
              <w:ind w:left="20"/>
              <w:spacing w:after="0"/>
              <w:rPr>
                <w:sz w:val="20"/>
                <w:szCs w:val="20"/>
                <w:color w:val="auto"/>
              </w:rPr>
            </w:pPr>
            <w:r>
              <w:rPr>
                <w:rFonts w:ascii="Arial" w:cs="Arial" w:eastAsia="Arial" w:hAnsi="Arial"/>
                <w:sz w:val="14"/>
                <w:szCs w:val="14"/>
                <w:color w:val="auto"/>
              </w:rPr>
              <w:t>Unrealized gains, included in earnings</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center"/>
              <w:ind w:left="593"/>
              <w:spacing w:after="0"/>
              <w:rPr>
                <w:sz w:val="20"/>
                <w:szCs w:val="20"/>
                <w:color w:val="auto"/>
              </w:rPr>
            </w:pPr>
            <w:r>
              <w:rPr>
                <w:rFonts w:ascii="Arial" w:cs="Arial" w:eastAsia="Arial" w:hAnsi="Arial"/>
                <w:sz w:val="14"/>
                <w:szCs w:val="14"/>
                <w:color w:val="auto"/>
                <w:w w:val="98"/>
              </w:rPr>
              <w:t>(72.8)</w:t>
            </w:r>
          </w:p>
        </w:tc>
      </w:tr>
      <w:tr>
        <w:trPr>
          <w:trHeight w:val="196"/>
        </w:trPr>
        <w:tc>
          <w:tcPr>
            <w:tcW w:w="5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end of period</w:t>
            </w: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center"/>
              <w:ind w:left="593"/>
              <w:spacing w:after="0"/>
              <w:rPr>
                <w:sz w:val="20"/>
                <w:szCs w:val="20"/>
                <w:color w:val="auto"/>
              </w:rPr>
            </w:pPr>
            <w:r>
              <w:rPr>
                <w:rFonts w:ascii="Arial" w:cs="Arial" w:eastAsia="Arial" w:hAnsi="Arial"/>
                <w:sz w:val="14"/>
                <w:szCs w:val="14"/>
                <w:color w:val="auto"/>
              </w:rPr>
              <w:t>23.0</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80"/>
        <w:spacing w:after="0" w:line="263" w:lineRule="auto"/>
        <w:rPr>
          <w:sz w:val="20"/>
          <w:szCs w:val="20"/>
          <w:color w:val="auto"/>
        </w:rPr>
      </w:pPr>
      <w:r>
        <w:rPr>
          <w:rFonts w:ascii="Arial" w:cs="Arial" w:eastAsia="Arial" w:hAnsi="Arial"/>
          <w:sz w:val="14"/>
          <w:szCs w:val="14"/>
          <w:color w:val="auto"/>
        </w:rPr>
        <w:t>The fair value of the contingent consideration was measured using the Monte Carlo simulation methodology of valuation. The most significant assumptions used relate to the discount rates and from changes pertaining to the achievement of the defined financial targets.</w:t>
      </w:r>
    </w:p>
    <w:p>
      <w:pPr>
        <w:spacing w:after="0" w:line="1" w:lineRule="exact"/>
        <w:rPr>
          <w:sz w:val="20"/>
          <w:szCs w:val="20"/>
          <w:color w:val="auto"/>
        </w:rPr>
      </w:pPr>
    </w:p>
    <w:p>
      <w:pPr>
        <w:ind w:right="180"/>
        <w:spacing w:after="0" w:line="257" w:lineRule="auto"/>
        <w:rPr>
          <w:sz w:val="20"/>
          <w:szCs w:val="20"/>
          <w:color w:val="auto"/>
        </w:rPr>
      </w:pPr>
      <w:r>
        <w:rPr>
          <w:rFonts w:ascii="Arial" w:cs="Arial" w:eastAsia="Arial" w:hAnsi="Arial"/>
          <w:sz w:val="14"/>
          <w:szCs w:val="14"/>
          <w:color w:val="auto"/>
        </w:rPr>
        <w:t>In addition, simultaneously with the OHA acquisition, a Value Creation Agreement was entered into whereby certain employees of OHA will receive incentive payments in the aggregate equal to 10% of the appreciated value of the OHA business, subject to an annualized preferred return to T. Rowe Price Group, Inc., on the fifth anniversary of the acquisition date. This arrangement is treated as a post-combination compensation expense. This arrangement will be remeasured at fair value at each reporting date and recognized as part of compensation expense over the related service period. For the three- and nine-months ended September 30, 2024 and 2023, the amounts recognized were immaterial.</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CONSOLIDATED SPONSORED INVESTMENT PRODUCTS.</w:t>
      </w:r>
    </w:p>
    <w:p>
      <w:pPr>
        <w:spacing w:after="0" w:line="200"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The sponsored investment products that we consolidate in our unaudited condensed consolidated financial statements are generally those products we provided initial seed capital at the time of their formation and have a controlling interest. Our U.S. mutual funds and certain other sponsored products are considered voting interest entities, while those regulated outside the U.S. are considered variable interest entities.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details the net assets of the consolidated sponsored investment products: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1"/>
                <w:szCs w:val="11"/>
                <w:b w:val="1"/>
                <w:bCs w:val="1"/>
                <w:color w:val="auto"/>
              </w:rPr>
              <w:t>9/30/2024</w:t>
            </w: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1"/>
                <w:szCs w:val="11"/>
                <w:b w:val="1"/>
                <w:bCs w:val="1"/>
                <w:color w:val="auto"/>
              </w:rPr>
              <w:t>12/31/2023</w:t>
            </w: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460" w:type="dxa"/>
            <w:vAlign w:val="bottom"/>
            <w:vMerge w:val="restart"/>
          </w:tcPr>
          <w:p>
            <w:pPr>
              <w:ind w:left="20"/>
              <w:spacing w:after="0"/>
              <w:rPr>
                <w:sz w:val="20"/>
                <w:szCs w:val="20"/>
                <w:color w:val="auto"/>
              </w:rPr>
            </w:pPr>
            <w:r>
              <w:rPr>
                <w:rFonts w:ascii="Arial" w:cs="Arial" w:eastAsia="Arial" w:hAnsi="Arial"/>
                <w:sz w:val="11"/>
                <w:szCs w:val="11"/>
                <w:color w:val="auto"/>
              </w:rPr>
              <w:t>(in millions)</w:t>
            </w:r>
          </w:p>
        </w:tc>
        <w:tc>
          <w:tcPr>
            <w:tcW w:w="100" w:type="dxa"/>
            <w:vAlign w:val="bottom"/>
          </w:tcPr>
          <w:p>
            <w:pPr>
              <w:spacing w:after="0"/>
              <w:rPr>
                <w:sz w:val="9"/>
                <w:szCs w:val="9"/>
                <w:color w:val="auto"/>
              </w:rPr>
            </w:pPr>
          </w:p>
        </w:tc>
        <w:tc>
          <w:tcPr>
            <w:tcW w:w="1040" w:type="dxa"/>
            <w:vAlign w:val="bottom"/>
            <w:gridSpan w:val="2"/>
          </w:tcPr>
          <w:p>
            <w:pPr>
              <w:jc w:val="center"/>
              <w:ind w:right="240"/>
              <w:spacing w:after="0" w:line="112" w:lineRule="exact"/>
              <w:rPr>
                <w:sz w:val="20"/>
                <w:szCs w:val="20"/>
                <w:color w:val="auto"/>
              </w:rPr>
            </w:pPr>
            <w:r>
              <w:rPr>
                <w:rFonts w:ascii="Arial" w:cs="Arial" w:eastAsia="Arial" w:hAnsi="Arial"/>
                <w:sz w:val="11"/>
                <w:szCs w:val="11"/>
                <w:b w:val="1"/>
                <w:bCs w:val="1"/>
                <w:color w:val="auto"/>
              </w:rPr>
              <w:t>Voting</w:t>
            </w:r>
          </w:p>
        </w:tc>
        <w:tc>
          <w:tcPr>
            <w:tcW w:w="1140" w:type="dxa"/>
            <w:vAlign w:val="bottom"/>
            <w:gridSpan w:val="3"/>
          </w:tcPr>
          <w:p>
            <w:pPr>
              <w:jc w:val="center"/>
              <w:ind w:right="100"/>
              <w:spacing w:after="0" w:line="112" w:lineRule="exact"/>
              <w:rPr>
                <w:sz w:val="20"/>
                <w:szCs w:val="20"/>
                <w:color w:val="auto"/>
              </w:rPr>
            </w:pPr>
            <w:r>
              <w:rPr>
                <w:rFonts w:ascii="Arial" w:cs="Arial" w:eastAsia="Arial" w:hAnsi="Arial"/>
                <w:sz w:val="11"/>
                <w:szCs w:val="11"/>
                <w:b w:val="1"/>
                <w:bCs w:val="1"/>
                <w:color w:val="auto"/>
              </w:rPr>
              <w:t>Variable interest</w:t>
            </w:r>
          </w:p>
        </w:tc>
        <w:tc>
          <w:tcPr>
            <w:tcW w:w="240" w:type="dxa"/>
            <w:vAlign w:val="bottom"/>
          </w:tcPr>
          <w:p>
            <w:pPr>
              <w:spacing w:after="0"/>
              <w:rPr>
                <w:sz w:val="9"/>
                <w:szCs w:val="9"/>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9"/>
                <w:szCs w:val="9"/>
                <w:color w:val="auto"/>
              </w:rPr>
            </w:pPr>
          </w:p>
        </w:tc>
        <w:tc>
          <w:tcPr>
            <w:tcW w:w="1060" w:type="dxa"/>
            <w:vAlign w:val="bottom"/>
            <w:gridSpan w:val="2"/>
          </w:tcPr>
          <w:p>
            <w:pPr>
              <w:jc w:val="center"/>
              <w:ind w:right="240"/>
              <w:spacing w:after="0" w:line="112" w:lineRule="exact"/>
              <w:rPr>
                <w:sz w:val="20"/>
                <w:szCs w:val="20"/>
                <w:color w:val="auto"/>
              </w:rPr>
            </w:pPr>
            <w:r>
              <w:rPr>
                <w:rFonts w:ascii="Arial" w:cs="Arial" w:eastAsia="Arial" w:hAnsi="Arial"/>
                <w:sz w:val="11"/>
                <w:szCs w:val="11"/>
                <w:b w:val="1"/>
                <w:bCs w:val="1"/>
                <w:color w:val="auto"/>
                <w:w w:val="99"/>
              </w:rPr>
              <w:t>Voting</w:t>
            </w:r>
          </w:p>
        </w:tc>
        <w:tc>
          <w:tcPr>
            <w:tcW w:w="1140" w:type="dxa"/>
            <w:vAlign w:val="bottom"/>
            <w:gridSpan w:val="3"/>
          </w:tcPr>
          <w:p>
            <w:pPr>
              <w:jc w:val="center"/>
              <w:ind w:right="100"/>
              <w:spacing w:after="0" w:line="112" w:lineRule="exact"/>
              <w:rPr>
                <w:sz w:val="20"/>
                <w:szCs w:val="20"/>
                <w:color w:val="auto"/>
              </w:rPr>
            </w:pPr>
            <w:r>
              <w:rPr>
                <w:rFonts w:ascii="Arial" w:cs="Arial" w:eastAsia="Arial" w:hAnsi="Arial"/>
                <w:sz w:val="11"/>
                <w:szCs w:val="11"/>
                <w:b w:val="1"/>
                <w:bCs w:val="1"/>
                <w:color w:val="auto"/>
              </w:rPr>
              <w:t>Variable interest</w:t>
            </w:r>
          </w:p>
        </w:tc>
        <w:tc>
          <w:tcPr>
            <w:tcW w:w="240" w:type="dxa"/>
            <w:vAlign w:val="bottom"/>
          </w:tcPr>
          <w:p>
            <w:pPr>
              <w:spacing w:after="0"/>
              <w:rPr>
                <w:sz w:val="9"/>
                <w:szCs w:val="9"/>
                <w:color w:val="auto"/>
              </w:rPr>
            </w:pPr>
          </w:p>
        </w:tc>
        <w:tc>
          <w:tcPr>
            <w:tcW w:w="820" w:type="dxa"/>
            <w:vAlign w:val="bottom"/>
            <w:vMerge w:val="restart"/>
          </w:tcPr>
          <w:p>
            <w:pPr>
              <w:jc w:val="right"/>
              <w:ind w:right="33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4"/>
        </w:trPr>
        <w:tc>
          <w:tcPr>
            <w:tcW w:w="4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interest entities</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entities</w:t>
            </w:r>
          </w:p>
        </w:tc>
        <w:tc>
          <w:tcPr>
            <w:tcW w:w="2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interest entities</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entities</w:t>
            </w: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Borders>
              <w:top w:val="single" w:sz="8" w:color="CCEEFF"/>
            </w:tcBorders>
            <w:shd w:val="clear" w:color="auto" w:fill="CCEEFF"/>
          </w:tcPr>
          <w:p>
            <w:pPr>
              <w:ind w:left="20"/>
              <w:spacing w:after="0" w:line="171" w:lineRule="exact"/>
              <w:rPr>
                <w:sz w:val="20"/>
                <w:szCs w:val="20"/>
                <w:color w:val="auto"/>
              </w:rPr>
            </w:pPr>
            <w:r>
              <w:rPr>
                <w:rFonts w:ascii="Arial" w:cs="Arial" w:eastAsia="Arial" w:hAnsi="Arial"/>
                <w:sz w:val="14"/>
                <w:szCs w:val="14"/>
                <w:color w:val="auto"/>
              </w:rPr>
              <w:t>Cash and cash equivalents</w:t>
            </w:r>
            <w:r>
              <w:rPr>
                <w:rFonts w:ascii="Arial" w:cs="Arial" w:eastAsia="Arial" w:hAnsi="Arial"/>
                <w:sz w:val="18"/>
                <w:szCs w:val="18"/>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80"/>
        </w:trPr>
        <w:tc>
          <w:tcPr>
            <w:tcW w:w="4460" w:type="dxa"/>
            <w:vAlign w:val="bottom"/>
          </w:tcPr>
          <w:p>
            <w:pPr>
              <w:ind w:left="20"/>
              <w:spacing w:after="0" w:line="181" w:lineRule="exact"/>
              <w:rPr>
                <w:sz w:val="20"/>
                <w:szCs w:val="20"/>
                <w:color w:val="auto"/>
              </w:rPr>
            </w:pPr>
            <w:r>
              <w:rPr>
                <w:rFonts w:ascii="Arial" w:cs="Arial" w:eastAsia="Arial" w:hAnsi="Arial"/>
                <w:sz w:val="14"/>
                <w:szCs w:val="14"/>
                <w:color w:val="auto"/>
              </w:rPr>
              <w:t>Investments</w:t>
            </w:r>
            <w:r>
              <w:rPr>
                <w:rFonts w:ascii="Arial" w:cs="Arial" w:eastAsia="Arial" w:hAnsi="Arial"/>
                <w:sz w:val="18"/>
                <w:szCs w:val="18"/>
                <w:color w:val="auto"/>
                <w:vertAlign w:val="superscript"/>
              </w:rPr>
              <w:t>(2)</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1,348.3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1,766.9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1,847.0</w:t>
            </w:r>
          </w:p>
        </w:tc>
        <w:tc>
          <w:tcPr>
            <w:tcW w:w="0" w:type="dxa"/>
            <w:vAlign w:val="bottom"/>
          </w:tcPr>
          <w:p>
            <w:pPr>
              <w:spacing w:after="0"/>
              <w:rPr>
                <w:sz w:val="1"/>
                <w:szCs w:val="1"/>
                <w:color w:val="auto"/>
              </w:rPr>
            </w:pPr>
          </w:p>
        </w:tc>
      </w:tr>
      <w:tr>
        <w:trPr>
          <w:trHeight w:val="180"/>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71"/>
        </w:trPr>
        <w:tc>
          <w:tcPr>
            <w:tcW w:w="446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1,419.4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1,857.2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1,204.4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1,959.3</w:t>
            </w:r>
          </w:p>
        </w:tc>
        <w:tc>
          <w:tcPr>
            <w:tcW w:w="0" w:type="dxa"/>
            <w:vAlign w:val="bottom"/>
          </w:tcPr>
          <w:p>
            <w:pPr>
              <w:spacing w:after="0"/>
              <w:rPr>
                <w:sz w:val="1"/>
                <w:szCs w:val="1"/>
                <w:color w:val="auto"/>
              </w:rPr>
            </w:pPr>
          </w:p>
        </w:tc>
      </w:tr>
      <w:tr>
        <w:trPr>
          <w:trHeight w:val="180"/>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71"/>
        </w:trPr>
        <w:tc>
          <w:tcPr>
            <w:tcW w:w="4460" w:type="dxa"/>
            <w:vAlign w:val="bottom"/>
          </w:tcPr>
          <w:p>
            <w:pPr>
              <w:ind w:left="20"/>
              <w:spacing w:after="0"/>
              <w:rPr>
                <w:sz w:val="20"/>
                <w:szCs w:val="20"/>
                <w:color w:val="auto"/>
              </w:rPr>
            </w:pPr>
            <w:r>
              <w:rPr>
                <w:rFonts w:ascii="Arial" w:cs="Arial" w:eastAsia="Arial" w:hAnsi="Arial"/>
                <w:sz w:val="14"/>
                <w:szCs w:val="14"/>
                <w:color w:val="auto"/>
              </w:rPr>
              <w:t>Net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1,381.4</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1,799.4</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735.9</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1,169.2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1,905.1</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60" w:type="dxa"/>
            <w:vAlign w:val="bottom"/>
          </w:tcPr>
          <w:p>
            <w:pPr>
              <w:ind w:left="20"/>
              <w:spacing w:after="0"/>
              <w:rPr>
                <w:sz w:val="20"/>
                <w:szCs w:val="20"/>
                <w:color w:val="auto"/>
              </w:rPr>
            </w:pPr>
            <w:r>
              <w:rPr>
                <w:rFonts w:ascii="Arial" w:cs="Arial" w:eastAsia="Arial" w:hAnsi="Arial"/>
                <w:sz w:val="14"/>
                <w:szCs w:val="14"/>
                <w:color w:val="auto"/>
              </w:rPr>
              <w:t>Attributable to T. Rowe Price Group, Inc.</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319.3</w:t>
            </w:r>
          </w:p>
        </w:tc>
        <w:tc>
          <w:tcPr>
            <w:tcW w:w="100" w:type="dxa"/>
            <w:vAlign w:val="bottom"/>
          </w:tcPr>
          <w:p>
            <w:pPr>
              <w:spacing w:after="0"/>
              <w:rPr>
                <w:sz w:val="15"/>
                <w:szCs w:val="15"/>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716.7</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1,036.0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589.9</w:t>
            </w:r>
          </w:p>
        </w:tc>
        <w:tc>
          <w:tcPr>
            <w:tcW w:w="10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721.1</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1,311.0</w:t>
            </w:r>
          </w:p>
        </w:tc>
        <w:tc>
          <w:tcPr>
            <w:tcW w:w="0" w:type="dxa"/>
            <w:vAlign w:val="bottom"/>
          </w:tcPr>
          <w:p>
            <w:pPr>
              <w:spacing w:after="0"/>
              <w:rPr>
                <w:sz w:val="1"/>
                <w:szCs w:val="1"/>
                <w:color w:val="auto"/>
              </w:rPr>
            </w:pPr>
          </w:p>
        </w:tc>
      </w:tr>
      <w:tr>
        <w:trPr>
          <w:trHeight w:val="180"/>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 redeemable non-controlling interests</w:t>
            </w: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763.4</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594.1</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1,381.4</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1,799.4</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735.9</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1,169.2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1,905.1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120" w:hanging="115"/>
        <w:spacing w:after="0"/>
        <w:tabs>
          <w:tab w:leader="none" w:pos="120" w:val="left"/>
        </w:tabs>
        <w:numPr>
          <w:ilvl w:val="0"/>
          <w:numId w:val="5"/>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Cash and cash equivalents includes $5.2 million at September 30, 2024, and $16.2 million at December 31, 2023, of investments in T. Rowe Price money market mutual funds.</w:t>
      </w:r>
    </w:p>
    <w:p>
      <w:pPr>
        <w:ind w:left="120" w:hanging="115"/>
        <w:spacing w:after="0" w:line="206" w:lineRule="auto"/>
        <w:tabs>
          <w:tab w:leader="none" w:pos="120" w:val="left"/>
        </w:tabs>
        <w:numPr>
          <w:ilvl w:val="0"/>
          <w:numId w:val="5"/>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Investments include $6.5 million at September 30, 2024, and $6.2 million at December 31, 2023 of other sponsored investment products.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3" w:name="page14"/>
    <w:bookmarkEnd w:id="13"/>
    <w:p>
      <w:pPr>
        <w:spacing w:after="0" w:line="290" w:lineRule="auto"/>
        <w:rPr>
          <w:sz w:val="20"/>
          <w:szCs w:val="20"/>
          <w:color w:val="auto"/>
        </w:rPr>
      </w:pPr>
      <w:r>
        <w:rPr>
          <w:rFonts w:ascii="Arial" w:cs="Arial" w:eastAsia="Arial" w:hAnsi="Arial"/>
          <w:sz w:val="14"/>
          <w:szCs w:val="14"/>
          <w:color w:val="auto"/>
        </w:rPr>
        <w:t>Although we can redeem our interest in these consolidated sponsored investment products at any time, we cannot directly access or sell the assets held by these products to obtain cash for general operations. Additionally, the assets of these investment products are not available to our general creditors.</w:t>
      </w:r>
    </w:p>
    <w:p>
      <w:pPr>
        <w:spacing w:after="0" w:line="141"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Since third party investors in these investment products have no recourse to our credit, our overall risk related to the net assets of consolidated sponsored investment products is limited to valuation changes associated with our interest. We, however, are required to recognize the valuation changes associated with all underlying investments held by these products in our unaudited condensed consolidated statements of income and disclose the portion attributable to third party investors as net income attributable to redeemable non-controlling interests.</w:t>
      </w:r>
    </w:p>
    <w:p>
      <w:pPr>
        <w:spacing w:after="0" w:line="159"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The operating results of the consolidated sponsored investment products for the three- and nine-months ended September 30, 2024 and 2023, are reflected in our unaudited condensed consolidated statements of income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 w:type="dxa"/>
            <w:vAlign w:val="bottom"/>
            <w:shd w:val="clear" w:color="auto" w:fill="CCEEFF"/>
          </w:tcPr>
          <w:p>
            <w:pPr>
              <w:spacing w:after="0"/>
              <w:rPr>
                <w:sz w:val="13"/>
                <w:szCs w:val="13"/>
                <w:color w:val="auto"/>
              </w:rPr>
            </w:pPr>
          </w:p>
        </w:tc>
        <w:tc>
          <w:tcPr>
            <w:tcW w:w="43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2040" w:type="dxa"/>
            <w:vAlign w:val="bottom"/>
            <w:tcBorders>
              <w:bottom w:val="single" w:sz="8" w:color="auto"/>
            </w:tcBorders>
            <w:gridSpan w:val="8"/>
            <w:shd w:val="clear" w:color="auto" w:fill="CCEEFF"/>
          </w:tcPr>
          <w:p>
            <w:pPr>
              <w:jc w:val="right"/>
              <w:ind w:right="640"/>
              <w:spacing w:after="0"/>
              <w:rPr>
                <w:sz w:val="20"/>
                <w:szCs w:val="20"/>
                <w:color w:val="auto"/>
              </w:rPr>
            </w:pPr>
            <w:r>
              <w:rPr>
                <w:rFonts w:ascii="Arial" w:cs="Arial" w:eastAsia="Arial" w:hAnsi="Arial"/>
                <w:sz w:val="11"/>
                <w:szCs w:val="11"/>
                <w:b w:val="1"/>
                <w:bCs w:val="1"/>
                <w:color w:val="auto"/>
              </w:rPr>
              <w:t>Three months ended</w:t>
            </w: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 w:type="dxa"/>
            <w:vAlign w:val="bottom"/>
            <w:tcBorders>
              <w:bottom w:val="single" w:sz="8" w:color="CCEEFF"/>
            </w:tcBorders>
          </w:tcPr>
          <w:p>
            <w:pPr>
              <w:spacing w:after="0"/>
              <w:rPr>
                <w:sz w:val="13"/>
                <w:szCs w:val="13"/>
                <w:color w:val="auto"/>
              </w:rPr>
            </w:pPr>
          </w:p>
        </w:tc>
        <w:tc>
          <w:tcPr>
            <w:tcW w:w="43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33"/>
              <w:spacing w:after="0"/>
              <w:rPr>
                <w:sz w:val="20"/>
                <w:szCs w:val="20"/>
                <w:color w:val="auto"/>
              </w:rPr>
            </w:pPr>
            <w:r>
              <w:rPr>
                <w:rFonts w:ascii="Arial" w:cs="Arial" w:eastAsia="Arial" w:hAnsi="Arial"/>
                <w:sz w:val="11"/>
                <w:szCs w:val="11"/>
                <w:b w:val="1"/>
                <w:bCs w:val="1"/>
                <w:color w:val="auto"/>
              </w:rPr>
              <w:t>9/30/2024</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3"/>
              <w:spacing w:after="0"/>
              <w:rPr>
                <w:sz w:val="20"/>
                <w:szCs w:val="20"/>
                <w:color w:val="auto"/>
              </w:rPr>
            </w:pPr>
            <w:r>
              <w:rPr>
                <w:rFonts w:ascii="Arial" w:cs="Arial" w:eastAsia="Arial" w:hAnsi="Arial"/>
                <w:sz w:val="11"/>
                <w:szCs w:val="11"/>
                <w:b w:val="1"/>
                <w:bCs w:val="1"/>
                <w:color w:val="auto"/>
              </w:rPr>
              <w:t>9/30/2023</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4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gridSpan w:val="3"/>
            <w:shd w:val="clear" w:color="auto" w:fill="CCEEFF"/>
          </w:tcPr>
          <w:p>
            <w:pPr>
              <w:jc w:val="center"/>
              <w:ind w:right="260"/>
              <w:spacing w:after="0" w:line="112" w:lineRule="exact"/>
              <w:rPr>
                <w:sz w:val="20"/>
                <w:szCs w:val="20"/>
                <w:color w:val="auto"/>
              </w:rPr>
            </w:pPr>
            <w:r>
              <w:rPr>
                <w:rFonts w:ascii="Arial" w:cs="Arial" w:eastAsia="Arial" w:hAnsi="Arial"/>
                <w:sz w:val="11"/>
                <w:szCs w:val="11"/>
                <w:b w:val="1"/>
                <w:bCs w:val="1"/>
                <w:color w:val="auto"/>
              </w:rPr>
              <w:t>Voting</w:t>
            </w:r>
          </w:p>
        </w:tc>
        <w:tc>
          <w:tcPr>
            <w:tcW w:w="20" w:type="dxa"/>
            <w:vAlign w:val="bottom"/>
            <w:shd w:val="clear" w:color="auto" w:fill="CCEEFF"/>
          </w:tcPr>
          <w:p>
            <w:pPr>
              <w:spacing w:after="0"/>
              <w:rPr>
                <w:sz w:val="9"/>
                <w:szCs w:val="9"/>
                <w:color w:val="auto"/>
              </w:rPr>
            </w:pPr>
          </w:p>
        </w:tc>
        <w:tc>
          <w:tcPr>
            <w:tcW w:w="1120" w:type="dxa"/>
            <w:vAlign w:val="bottom"/>
            <w:gridSpan w:val="4"/>
            <w:shd w:val="clear" w:color="auto" w:fill="CCEEFF"/>
          </w:tcPr>
          <w:p>
            <w:pPr>
              <w:jc w:val="center"/>
              <w:ind w:right="120"/>
              <w:spacing w:after="0" w:line="112" w:lineRule="exact"/>
              <w:rPr>
                <w:sz w:val="20"/>
                <w:szCs w:val="20"/>
                <w:color w:val="auto"/>
              </w:rPr>
            </w:pPr>
            <w:r>
              <w:rPr>
                <w:rFonts w:ascii="Arial" w:cs="Arial" w:eastAsia="Arial" w:hAnsi="Arial"/>
                <w:sz w:val="11"/>
                <w:szCs w:val="11"/>
                <w:b w:val="1"/>
                <w:bCs w:val="1"/>
                <w:color w:val="auto"/>
              </w:rPr>
              <w:t>Variable interest</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gridSpan w:val="3"/>
            <w:vMerge w:val="restart"/>
            <w:shd w:val="clear" w:color="auto" w:fill="CCEEFF"/>
          </w:tcPr>
          <w:p>
            <w:pPr>
              <w:ind w:left="140"/>
              <w:spacing w:after="0"/>
              <w:rPr>
                <w:sz w:val="20"/>
                <w:szCs w:val="20"/>
                <w:color w:val="auto"/>
              </w:rPr>
            </w:pPr>
            <w:r>
              <w:rPr>
                <w:rFonts w:ascii="Arial" w:cs="Arial" w:eastAsia="Arial" w:hAnsi="Arial"/>
                <w:sz w:val="11"/>
                <w:szCs w:val="11"/>
                <w:b w:val="1"/>
                <w:bCs w:val="1"/>
                <w:color w:val="auto"/>
              </w:rPr>
              <w:t>Total</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gridSpan w:val="3"/>
            <w:shd w:val="clear" w:color="auto" w:fill="CCEEFF"/>
          </w:tcPr>
          <w:p>
            <w:pPr>
              <w:jc w:val="center"/>
              <w:ind w:right="280"/>
              <w:spacing w:after="0" w:line="112" w:lineRule="exact"/>
              <w:rPr>
                <w:sz w:val="20"/>
                <w:szCs w:val="20"/>
                <w:color w:val="auto"/>
              </w:rPr>
            </w:pPr>
            <w:r>
              <w:rPr>
                <w:rFonts w:ascii="Arial" w:cs="Arial" w:eastAsia="Arial" w:hAnsi="Arial"/>
                <w:sz w:val="11"/>
                <w:szCs w:val="11"/>
                <w:b w:val="1"/>
                <w:bCs w:val="1"/>
                <w:color w:val="auto"/>
                <w:w w:val="99"/>
              </w:rPr>
              <w:t>Voting</w:t>
            </w:r>
          </w:p>
        </w:tc>
        <w:tc>
          <w:tcPr>
            <w:tcW w:w="20" w:type="dxa"/>
            <w:vAlign w:val="bottom"/>
            <w:shd w:val="clear" w:color="auto" w:fill="CCEEFF"/>
          </w:tcPr>
          <w:p>
            <w:pPr>
              <w:spacing w:after="0"/>
              <w:rPr>
                <w:sz w:val="9"/>
                <w:szCs w:val="9"/>
                <w:color w:val="auto"/>
              </w:rPr>
            </w:pPr>
          </w:p>
        </w:tc>
        <w:tc>
          <w:tcPr>
            <w:tcW w:w="1120" w:type="dxa"/>
            <w:vAlign w:val="bottom"/>
            <w:gridSpan w:val="4"/>
            <w:shd w:val="clear" w:color="auto" w:fill="CCEEFF"/>
          </w:tcPr>
          <w:p>
            <w:pPr>
              <w:jc w:val="center"/>
              <w:ind w:right="120"/>
              <w:spacing w:after="0" w:line="112" w:lineRule="exact"/>
              <w:rPr>
                <w:sz w:val="20"/>
                <w:szCs w:val="20"/>
                <w:color w:val="auto"/>
              </w:rPr>
            </w:pPr>
            <w:r>
              <w:rPr>
                <w:rFonts w:ascii="Arial" w:cs="Arial" w:eastAsia="Arial" w:hAnsi="Arial"/>
                <w:sz w:val="11"/>
                <w:szCs w:val="11"/>
                <w:b w:val="1"/>
                <w:bCs w:val="1"/>
                <w:color w:val="auto"/>
              </w:rPr>
              <w:t>Variable interest</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311"/>
              <w:spacing w:after="0"/>
              <w:rPr>
                <w:sz w:val="20"/>
                <w:szCs w:val="20"/>
                <w:color w:val="auto"/>
              </w:rPr>
            </w:pPr>
            <w:r>
              <w:rPr>
                <w:rFonts w:ascii="Arial" w:cs="Arial" w:eastAsia="Arial" w:hAnsi="Arial"/>
                <w:sz w:val="11"/>
                <w:szCs w:val="11"/>
                <w:b w:val="1"/>
                <w:bCs w:val="1"/>
                <w:color w:val="auto"/>
              </w:rPr>
              <w:t>Total</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42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center"/>
              <w:ind w:right="140"/>
              <w:spacing w:after="0"/>
              <w:rPr>
                <w:sz w:val="20"/>
                <w:szCs w:val="20"/>
                <w:color w:val="auto"/>
              </w:rPr>
            </w:pPr>
            <w:r>
              <w:rPr>
                <w:rFonts w:ascii="Arial" w:cs="Arial" w:eastAsia="Arial" w:hAnsi="Arial"/>
                <w:sz w:val="11"/>
                <w:szCs w:val="11"/>
                <w:b w:val="1"/>
                <w:bCs w:val="1"/>
                <w:color w:val="auto"/>
              </w:rPr>
              <w:t>interest entities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center"/>
              <w:ind w:right="300"/>
              <w:spacing w:after="0"/>
              <w:rPr>
                <w:sz w:val="20"/>
                <w:szCs w:val="20"/>
                <w:color w:val="auto"/>
              </w:rPr>
            </w:pPr>
            <w:r>
              <w:rPr>
                <w:rFonts w:ascii="Arial" w:cs="Arial" w:eastAsia="Arial" w:hAnsi="Arial"/>
                <w:sz w:val="11"/>
                <w:szCs w:val="11"/>
                <w:b w:val="1"/>
                <w:bCs w:val="1"/>
                <w:color w:val="auto"/>
              </w:rPr>
              <w:t>entities</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center"/>
              <w:ind w:right="140"/>
              <w:spacing w:after="0"/>
              <w:rPr>
                <w:sz w:val="20"/>
                <w:szCs w:val="20"/>
                <w:color w:val="auto"/>
              </w:rPr>
            </w:pPr>
            <w:r>
              <w:rPr>
                <w:rFonts w:ascii="Arial" w:cs="Arial" w:eastAsia="Arial" w:hAnsi="Arial"/>
                <w:sz w:val="11"/>
                <w:szCs w:val="11"/>
                <w:b w:val="1"/>
                <w:bCs w:val="1"/>
                <w:color w:val="auto"/>
              </w:rPr>
              <w:t>interest entities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center"/>
              <w:ind w:right="300"/>
              <w:spacing w:after="0"/>
              <w:rPr>
                <w:sz w:val="20"/>
                <w:szCs w:val="20"/>
                <w:color w:val="auto"/>
              </w:rPr>
            </w:pPr>
            <w:r>
              <w:rPr>
                <w:rFonts w:ascii="Arial" w:cs="Arial" w:eastAsia="Arial" w:hAnsi="Arial"/>
                <w:sz w:val="11"/>
                <w:szCs w:val="11"/>
                <w:b w:val="1"/>
                <w:bCs w:val="1"/>
                <w:color w:val="auto"/>
              </w:rPr>
              <w:t>entities</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Operating expenses reflected in net operating income</w:t>
            </w: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center"/>
              <w:ind w:left="512"/>
              <w:spacing w:after="0"/>
              <w:rPr>
                <w:sz w:val="20"/>
                <w:szCs w:val="20"/>
                <w:color w:val="auto"/>
              </w:rPr>
            </w:pPr>
            <w:r>
              <w:rPr>
                <w:rFonts w:ascii="Arial" w:cs="Arial" w:eastAsia="Arial" w:hAnsi="Arial"/>
                <w:sz w:val="14"/>
                <w:szCs w:val="14"/>
                <w:color w:val="auto"/>
              </w:rPr>
              <w:t>(0.5)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top w:val="single" w:sz="8" w:color="auto"/>
            </w:tcBorders>
            <w:gridSpan w:val="2"/>
          </w:tcPr>
          <w:p>
            <w:pPr>
              <w:jc w:val="right"/>
              <w:ind w:right="55"/>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auto"/>
            </w:tcBorders>
            <w:gridSpan w:val="2"/>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gridSpan w:val="2"/>
          </w:tcPr>
          <w:p>
            <w:pPr>
              <w:jc w:val="right"/>
              <w:ind w:right="56"/>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center"/>
              <w:ind w:left="453"/>
              <w:spacing w:after="0"/>
              <w:rPr>
                <w:sz w:val="20"/>
                <w:szCs w:val="20"/>
                <w:color w:val="auto"/>
              </w:rPr>
            </w:pPr>
            <w:r>
              <w:rPr>
                <w:rFonts w:ascii="Arial" w:cs="Arial" w:eastAsia="Arial" w:hAnsi="Arial"/>
                <w:sz w:val="14"/>
                <w:szCs w:val="14"/>
                <w:color w:val="auto"/>
                <w:w w:val="97"/>
              </w:rPr>
              <w:t>(0.9)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auto"/>
            </w:tcBorders>
            <w:gridSpan w:val="2"/>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investment income (loss) reflected in non-operating income (loss)</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Impact on income before taxes</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T. Rowe Price Group, Inc.</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gridSpan w:val="2"/>
          </w:tcPr>
          <w:p>
            <w:pPr>
              <w:jc w:val="right"/>
              <w:ind w:right="55"/>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26.9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46.1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gridSpan w:val="2"/>
          </w:tcPr>
          <w:p>
            <w:pPr>
              <w:jc w:val="right"/>
              <w:ind w:right="56"/>
              <w:spacing w:after="0"/>
              <w:rPr>
                <w:sz w:val="20"/>
                <w:szCs w:val="20"/>
                <w:color w:val="auto"/>
              </w:rPr>
            </w:pPr>
            <w:r>
              <w:rPr>
                <w:rFonts w:ascii="Arial" w:cs="Arial" w:eastAsia="Arial" w:hAnsi="Arial"/>
                <w:sz w:val="14"/>
                <w:szCs w:val="14"/>
                <w:color w:val="auto"/>
                <w:w w:val="76"/>
              </w:rPr>
              <w:t>$</w:t>
            </w:r>
          </w:p>
        </w:tc>
        <w:tc>
          <w:tcPr>
            <w:tcW w:w="840" w:type="dxa"/>
            <w:vAlign w:val="bottom"/>
          </w:tcPr>
          <w:p>
            <w:pPr>
              <w:jc w:val="center"/>
              <w:ind w:left="453"/>
              <w:spacing w:after="0"/>
              <w:rPr>
                <w:sz w:val="20"/>
                <w:szCs w:val="20"/>
                <w:color w:val="auto"/>
              </w:rPr>
            </w:pPr>
            <w:r>
              <w:rPr>
                <w:rFonts w:ascii="Arial" w:cs="Arial" w:eastAsia="Arial" w:hAnsi="Arial"/>
                <w:sz w:val="14"/>
                <w:szCs w:val="14"/>
                <w:color w:val="auto"/>
                <w:w w:val="97"/>
              </w:rPr>
              <w:t>(3.2)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redeemable non-controlling interests</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0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4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2040" w:type="dxa"/>
            <w:vAlign w:val="bottom"/>
            <w:tcBorders>
              <w:bottom w:val="single" w:sz="8" w:color="auto"/>
            </w:tcBorders>
            <w:gridSpan w:val="8"/>
            <w:shd w:val="clear" w:color="auto" w:fill="CCEEFF"/>
          </w:tcPr>
          <w:p>
            <w:pPr>
              <w:jc w:val="right"/>
              <w:ind w:right="640"/>
              <w:spacing w:after="0"/>
              <w:rPr>
                <w:sz w:val="20"/>
                <w:szCs w:val="20"/>
                <w:color w:val="auto"/>
              </w:rPr>
            </w:pPr>
            <w:r>
              <w:rPr>
                <w:rFonts w:ascii="Arial" w:cs="Arial" w:eastAsia="Arial" w:hAnsi="Arial"/>
                <w:sz w:val="11"/>
                <w:szCs w:val="11"/>
                <w:b w:val="1"/>
                <w:bCs w:val="1"/>
                <w:color w:val="auto"/>
              </w:rPr>
              <w:t>Nine months ended</w:t>
            </w: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43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1"/>
                <w:szCs w:val="11"/>
                <w:b w:val="1"/>
                <w:bCs w:val="1"/>
                <w:color w:val="auto"/>
              </w:rPr>
              <w:t>9/30/2024</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73"/>
              <w:spacing w:after="0"/>
              <w:rPr>
                <w:sz w:val="20"/>
                <w:szCs w:val="20"/>
                <w:color w:val="auto"/>
              </w:rPr>
            </w:pPr>
            <w:r>
              <w:rPr>
                <w:rFonts w:ascii="Arial" w:cs="Arial" w:eastAsia="Arial" w:hAnsi="Arial"/>
                <w:sz w:val="11"/>
                <w:szCs w:val="11"/>
                <w:b w:val="1"/>
                <w:bCs w:val="1"/>
                <w:color w:val="auto"/>
              </w:rPr>
              <w:t>9/30/2023</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438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gridSpan w:val="3"/>
            <w:shd w:val="clear" w:color="auto" w:fill="CCEEFF"/>
          </w:tcPr>
          <w:p>
            <w:pPr>
              <w:jc w:val="center"/>
              <w:ind w:right="200"/>
              <w:spacing w:after="0" w:line="112" w:lineRule="exact"/>
              <w:rPr>
                <w:sz w:val="20"/>
                <w:szCs w:val="20"/>
                <w:color w:val="auto"/>
              </w:rPr>
            </w:pPr>
            <w:r>
              <w:rPr>
                <w:rFonts w:ascii="Arial" w:cs="Arial" w:eastAsia="Arial" w:hAnsi="Arial"/>
                <w:sz w:val="11"/>
                <w:szCs w:val="11"/>
                <w:b w:val="1"/>
                <w:bCs w:val="1"/>
                <w:color w:val="auto"/>
                <w:w w:val="99"/>
              </w:rPr>
              <w:t>Voting</w:t>
            </w:r>
          </w:p>
        </w:tc>
        <w:tc>
          <w:tcPr>
            <w:tcW w:w="20" w:type="dxa"/>
            <w:vAlign w:val="bottom"/>
            <w:shd w:val="clear" w:color="auto" w:fill="CCEEFF"/>
          </w:tcPr>
          <w:p>
            <w:pPr>
              <w:spacing w:after="0"/>
              <w:rPr>
                <w:sz w:val="9"/>
                <w:szCs w:val="9"/>
                <w:color w:val="auto"/>
              </w:rPr>
            </w:pPr>
          </w:p>
        </w:tc>
        <w:tc>
          <w:tcPr>
            <w:tcW w:w="1120" w:type="dxa"/>
            <w:vAlign w:val="bottom"/>
            <w:gridSpan w:val="4"/>
            <w:shd w:val="clear" w:color="auto" w:fill="CCEEFF"/>
          </w:tcPr>
          <w:p>
            <w:pPr>
              <w:jc w:val="right"/>
              <w:ind w:right="160"/>
              <w:spacing w:after="0" w:line="112" w:lineRule="exact"/>
              <w:rPr>
                <w:sz w:val="20"/>
                <w:szCs w:val="20"/>
                <w:color w:val="auto"/>
              </w:rPr>
            </w:pPr>
            <w:r>
              <w:rPr>
                <w:rFonts w:ascii="Arial" w:cs="Arial" w:eastAsia="Arial" w:hAnsi="Arial"/>
                <w:sz w:val="11"/>
                <w:szCs w:val="11"/>
                <w:b w:val="1"/>
                <w:bCs w:val="1"/>
                <w:color w:val="auto"/>
              </w:rPr>
              <w:t>Variable interest</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gridSpan w:val="3"/>
            <w:vMerge w:val="restart"/>
            <w:shd w:val="clear" w:color="auto" w:fill="CCEEFF"/>
          </w:tcPr>
          <w:p>
            <w:pPr>
              <w:ind w:left="160"/>
              <w:spacing w:after="0"/>
              <w:rPr>
                <w:sz w:val="20"/>
                <w:szCs w:val="20"/>
                <w:color w:val="auto"/>
              </w:rPr>
            </w:pPr>
            <w:r>
              <w:rPr>
                <w:rFonts w:ascii="Arial" w:cs="Arial" w:eastAsia="Arial" w:hAnsi="Arial"/>
                <w:sz w:val="11"/>
                <w:szCs w:val="11"/>
                <w:b w:val="1"/>
                <w:bCs w:val="1"/>
                <w:color w:val="auto"/>
              </w:rPr>
              <w:t>Total</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gridSpan w:val="3"/>
            <w:shd w:val="clear" w:color="auto" w:fill="CCEEFF"/>
          </w:tcPr>
          <w:p>
            <w:pPr>
              <w:jc w:val="center"/>
              <w:ind w:right="200"/>
              <w:spacing w:after="0" w:line="112" w:lineRule="exact"/>
              <w:rPr>
                <w:sz w:val="20"/>
                <w:szCs w:val="20"/>
                <w:color w:val="auto"/>
              </w:rPr>
            </w:pPr>
            <w:r>
              <w:rPr>
                <w:rFonts w:ascii="Arial" w:cs="Arial" w:eastAsia="Arial" w:hAnsi="Arial"/>
                <w:sz w:val="11"/>
                <w:szCs w:val="11"/>
                <w:b w:val="1"/>
                <w:bCs w:val="1"/>
                <w:color w:val="auto"/>
                <w:w w:val="99"/>
              </w:rPr>
              <w:t>Voting</w:t>
            </w:r>
          </w:p>
        </w:tc>
        <w:tc>
          <w:tcPr>
            <w:tcW w:w="20" w:type="dxa"/>
            <w:vAlign w:val="bottom"/>
            <w:shd w:val="clear" w:color="auto" w:fill="CCEEFF"/>
          </w:tcPr>
          <w:p>
            <w:pPr>
              <w:spacing w:after="0"/>
              <w:rPr>
                <w:sz w:val="9"/>
                <w:szCs w:val="9"/>
                <w:color w:val="auto"/>
              </w:rPr>
            </w:pPr>
          </w:p>
        </w:tc>
        <w:tc>
          <w:tcPr>
            <w:tcW w:w="1120" w:type="dxa"/>
            <w:vAlign w:val="bottom"/>
            <w:gridSpan w:val="4"/>
            <w:shd w:val="clear" w:color="auto" w:fill="CCEEFF"/>
          </w:tcPr>
          <w:p>
            <w:pPr>
              <w:jc w:val="center"/>
              <w:ind w:right="60"/>
              <w:spacing w:after="0" w:line="112" w:lineRule="exact"/>
              <w:rPr>
                <w:sz w:val="20"/>
                <w:szCs w:val="20"/>
                <w:color w:val="auto"/>
              </w:rPr>
            </w:pPr>
            <w:r>
              <w:rPr>
                <w:rFonts w:ascii="Arial" w:cs="Arial" w:eastAsia="Arial" w:hAnsi="Arial"/>
                <w:sz w:val="11"/>
                <w:szCs w:val="11"/>
                <w:b w:val="1"/>
                <w:bCs w:val="1"/>
                <w:color w:val="auto"/>
              </w:rPr>
              <w:t>Variable interest</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160"/>
              <w:spacing w:after="0"/>
              <w:rPr>
                <w:sz w:val="20"/>
                <w:szCs w:val="20"/>
                <w:color w:val="auto"/>
              </w:rPr>
            </w:pPr>
            <w:r>
              <w:rPr>
                <w:rFonts w:ascii="Arial" w:cs="Arial" w:eastAsia="Arial" w:hAnsi="Arial"/>
                <w:sz w:val="11"/>
                <w:szCs w:val="11"/>
                <w:b w:val="1"/>
                <w:bCs w:val="1"/>
                <w:color w:val="auto"/>
              </w:rPr>
              <w:t>interest entities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160"/>
              <w:spacing w:after="0"/>
              <w:rPr>
                <w:sz w:val="20"/>
                <w:szCs w:val="20"/>
                <w:color w:val="auto"/>
              </w:rPr>
            </w:pPr>
            <w:r>
              <w:rPr>
                <w:rFonts w:ascii="Arial" w:cs="Arial" w:eastAsia="Arial" w:hAnsi="Arial"/>
                <w:sz w:val="11"/>
                <w:szCs w:val="11"/>
                <w:b w:val="1"/>
                <w:bCs w:val="1"/>
                <w:color w:val="auto"/>
              </w:rPr>
              <w:t>entities</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interest entities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center"/>
              <w:ind w:right="240"/>
              <w:spacing w:after="0"/>
              <w:rPr>
                <w:sz w:val="20"/>
                <w:szCs w:val="20"/>
                <w:color w:val="auto"/>
              </w:rPr>
            </w:pPr>
            <w:r>
              <w:rPr>
                <w:rFonts w:ascii="Arial" w:cs="Arial" w:eastAsia="Arial" w:hAnsi="Arial"/>
                <w:sz w:val="11"/>
                <w:szCs w:val="11"/>
                <w:b w:val="1"/>
                <w:bCs w:val="1"/>
                <w:color w:val="auto"/>
                <w:w w:val="98"/>
              </w:rPr>
              <w:t>entities</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380" w:type="dxa"/>
            <w:vAlign w:val="bottom"/>
          </w:tcPr>
          <w:p>
            <w:pPr>
              <w:ind w:left="20"/>
              <w:spacing w:after="0"/>
              <w:rPr>
                <w:sz w:val="20"/>
                <w:szCs w:val="20"/>
                <w:color w:val="auto"/>
              </w:rPr>
            </w:pPr>
            <w:r>
              <w:rPr>
                <w:rFonts w:ascii="Arial" w:cs="Arial" w:eastAsia="Arial" w:hAnsi="Arial"/>
                <w:sz w:val="14"/>
                <w:szCs w:val="14"/>
                <w:color w:val="auto"/>
              </w:rPr>
              <w:t>Operating expenses reflected in net operating income</w:t>
            </w:r>
          </w:p>
        </w:tc>
        <w:tc>
          <w:tcPr>
            <w:tcW w:w="6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jc w:val="right"/>
              <w:ind w:right="15"/>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gridSpan w:val="2"/>
          </w:tcPr>
          <w:p>
            <w:pPr>
              <w:jc w:val="center"/>
              <w:ind w:left="552"/>
              <w:spacing w:after="0"/>
              <w:rPr>
                <w:sz w:val="20"/>
                <w:szCs w:val="20"/>
                <w:color w:val="auto"/>
              </w:rPr>
            </w:pPr>
            <w:r>
              <w:rPr>
                <w:rFonts w:ascii="Arial" w:cs="Arial" w:eastAsia="Arial" w:hAnsi="Arial"/>
                <w:sz w:val="14"/>
                <w:szCs w:val="14"/>
                <w:color w:val="auto"/>
                <w:w w:val="97"/>
              </w:rPr>
              <w:t>(3.0)</w:t>
            </w: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investment income (loss) reflected in non-operating income (loss)</w:t>
            </w: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center"/>
              <w:ind w:left="532"/>
              <w:spacing w:after="0"/>
              <w:rPr>
                <w:sz w:val="20"/>
                <w:szCs w:val="20"/>
                <w:color w:val="auto"/>
              </w:rPr>
            </w:pPr>
            <w:r>
              <w:rPr>
                <w:rFonts w:ascii="Arial" w:cs="Arial" w:eastAsia="Arial" w:hAnsi="Arial"/>
                <w:sz w:val="14"/>
                <w:szCs w:val="14"/>
                <w:color w:val="auto"/>
              </w:rPr>
              <w:t>57.0</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109.7</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center"/>
              <w:ind w:left="592"/>
              <w:spacing w:after="0"/>
              <w:rPr>
                <w:sz w:val="20"/>
                <w:szCs w:val="20"/>
                <w:color w:val="auto"/>
              </w:rPr>
            </w:pPr>
            <w:r>
              <w:rPr>
                <w:rFonts w:ascii="Arial" w:cs="Arial" w:eastAsia="Arial" w:hAnsi="Arial"/>
                <w:sz w:val="14"/>
                <w:szCs w:val="14"/>
                <w:color w:val="auto"/>
                <w:w w:val="92"/>
              </w:rPr>
              <w:t>1.1</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center"/>
              <w:ind w:left="453"/>
              <w:spacing w:after="0"/>
              <w:rPr>
                <w:sz w:val="20"/>
                <w:szCs w:val="20"/>
                <w:color w:val="auto"/>
              </w:rPr>
            </w:pPr>
            <w:r>
              <w:rPr>
                <w:rFonts w:ascii="Arial" w:cs="Arial" w:eastAsia="Arial" w:hAnsi="Arial"/>
                <w:sz w:val="14"/>
                <w:szCs w:val="14"/>
                <w:color w:val="auto"/>
              </w:rPr>
              <w:t>44.3</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380" w:type="dxa"/>
            <w:vAlign w:val="bottom"/>
          </w:tcPr>
          <w:p>
            <w:pPr>
              <w:ind w:left="20"/>
              <w:spacing w:after="0"/>
              <w:rPr>
                <w:sz w:val="20"/>
                <w:szCs w:val="20"/>
                <w:color w:val="auto"/>
              </w:rPr>
            </w:pPr>
            <w:r>
              <w:rPr>
                <w:rFonts w:ascii="Arial" w:cs="Arial" w:eastAsia="Arial" w:hAnsi="Arial"/>
                <w:sz w:val="14"/>
                <w:szCs w:val="14"/>
                <w:color w:val="auto"/>
              </w:rPr>
              <w:t>Impact on income before taxes</w:t>
            </w:r>
          </w:p>
        </w:tc>
        <w:tc>
          <w:tcPr>
            <w:tcW w:w="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center"/>
              <w:ind w:left="532"/>
              <w:spacing w:after="0"/>
              <w:rPr>
                <w:sz w:val="20"/>
                <w:szCs w:val="20"/>
                <w:color w:val="auto"/>
              </w:rPr>
            </w:pPr>
            <w:r>
              <w:rPr>
                <w:rFonts w:ascii="Arial" w:cs="Arial" w:eastAsia="Arial" w:hAnsi="Arial"/>
                <w:sz w:val="14"/>
                <w:szCs w:val="14"/>
                <w:color w:val="auto"/>
              </w:rPr>
              <w:t>55.0</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104.4</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159.4</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center"/>
              <w:ind w:left="552"/>
              <w:spacing w:after="0"/>
              <w:rPr>
                <w:sz w:val="20"/>
                <w:szCs w:val="20"/>
                <w:color w:val="auto"/>
              </w:rPr>
            </w:pPr>
            <w:r>
              <w:rPr>
                <w:rFonts w:ascii="Arial" w:cs="Arial" w:eastAsia="Arial" w:hAnsi="Arial"/>
                <w:sz w:val="14"/>
                <w:szCs w:val="14"/>
                <w:color w:val="auto"/>
                <w:w w:val="97"/>
              </w:rPr>
              <w:t>(1.9)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center"/>
              <w:ind w:left="453"/>
              <w:spacing w:after="0"/>
              <w:rPr>
                <w:sz w:val="20"/>
                <w:szCs w:val="20"/>
                <w:color w:val="auto"/>
              </w:rPr>
            </w:pPr>
            <w:r>
              <w:rPr>
                <w:rFonts w:ascii="Arial" w:cs="Arial" w:eastAsia="Arial" w:hAnsi="Arial"/>
                <w:sz w:val="14"/>
                <w:szCs w:val="14"/>
                <w:color w:val="auto"/>
              </w:rPr>
              <w:t>38.5</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380" w:type="dxa"/>
            <w:vAlign w:val="bottom"/>
          </w:tcPr>
          <w:p>
            <w:pPr>
              <w:ind w:left="20"/>
              <w:spacing w:after="0"/>
              <w:rPr>
                <w:sz w:val="20"/>
                <w:szCs w:val="20"/>
                <w:color w:val="auto"/>
              </w:rPr>
            </w:pPr>
            <w:r>
              <w:rPr>
                <w:rFonts w:ascii="Arial" w:cs="Arial" w:eastAsia="Arial" w:hAnsi="Arial"/>
                <w:sz w:val="14"/>
                <w:szCs w:val="14"/>
                <w:color w:val="auto"/>
              </w:rPr>
              <w:t>Net income (loss) attributable to T. Rowe Price Group, Inc.</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left="532"/>
              <w:spacing w:after="0"/>
              <w:rPr>
                <w:sz w:val="20"/>
                <w:szCs w:val="20"/>
                <w:color w:val="auto"/>
              </w:rPr>
            </w:pPr>
            <w:r>
              <w:rPr>
                <w:rFonts w:ascii="Arial" w:cs="Arial" w:eastAsia="Arial" w:hAnsi="Arial"/>
                <w:sz w:val="14"/>
                <w:szCs w:val="14"/>
                <w:color w:val="auto"/>
              </w:rPr>
              <w:t>42.0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100.5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center"/>
              <w:ind w:left="552"/>
              <w:spacing w:after="0"/>
              <w:rPr>
                <w:sz w:val="20"/>
                <w:szCs w:val="20"/>
                <w:color w:val="auto"/>
              </w:rPr>
            </w:pPr>
            <w:r>
              <w:rPr>
                <w:rFonts w:ascii="Arial" w:cs="Arial" w:eastAsia="Arial" w:hAnsi="Arial"/>
                <w:sz w:val="14"/>
                <w:szCs w:val="14"/>
                <w:color w:val="auto"/>
                <w:w w:val="97"/>
              </w:rPr>
              <w:t>(0.5)</w:t>
            </w:r>
          </w:p>
        </w:tc>
        <w:tc>
          <w:tcPr>
            <w:tcW w:w="80" w:type="dxa"/>
            <w:vAlign w:val="bottom"/>
          </w:tcPr>
          <w:p>
            <w:pPr>
              <w:spacing w:after="0"/>
              <w:rPr>
                <w:sz w:val="15"/>
                <w:szCs w:val="15"/>
                <w:color w:val="auto"/>
              </w:rPr>
            </w:pPr>
          </w:p>
        </w:tc>
        <w:tc>
          <w:tcPr>
            <w:tcW w:w="200" w:type="dxa"/>
            <w:vAlign w:val="bottom"/>
            <w:gridSpan w:val="2"/>
          </w:tcPr>
          <w:p>
            <w:pPr>
              <w:jc w:val="right"/>
              <w:ind w:right="16"/>
              <w:spacing w:after="0"/>
              <w:rPr>
                <w:sz w:val="20"/>
                <w:szCs w:val="20"/>
                <w:color w:val="auto"/>
              </w:rPr>
            </w:pPr>
            <w:r>
              <w:rPr>
                <w:rFonts w:ascii="Arial" w:cs="Arial" w:eastAsia="Arial" w:hAnsi="Arial"/>
                <w:sz w:val="14"/>
                <w:szCs w:val="14"/>
                <w:color w:val="auto"/>
              </w:rPr>
              <w:t>$</w:t>
            </w:r>
          </w:p>
        </w:tc>
        <w:tc>
          <w:tcPr>
            <w:tcW w:w="840" w:type="dxa"/>
            <w:vAlign w:val="bottom"/>
          </w:tcPr>
          <w:p>
            <w:pPr>
              <w:jc w:val="center"/>
              <w:ind w:left="453"/>
              <w:spacing w:after="0"/>
              <w:rPr>
                <w:sz w:val="20"/>
                <w:szCs w:val="20"/>
                <w:color w:val="auto"/>
              </w:rPr>
            </w:pPr>
            <w:r>
              <w:rPr>
                <w:rFonts w:ascii="Arial" w:cs="Arial" w:eastAsia="Arial" w:hAnsi="Arial"/>
                <w:sz w:val="14"/>
                <w:szCs w:val="14"/>
                <w:color w:val="auto"/>
              </w:rPr>
              <w:t>26.1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redeemable non-controlling interests</w:t>
            </w: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center"/>
              <w:ind w:left="532"/>
              <w:spacing w:after="0"/>
              <w:rPr>
                <w:sz w:val="20"/>
                <w:szCs w:val="20"/>
                <w:color w:val="auto"/>
              </w:rPr>
            </w:pPr>
            <w:r>
              <w:rPr>
                <w:rFonts w:ascii="Arial" w:cs="Arial" w:eastAsia="Arial" w:hAnsi="Arial"/>
                <w:sz w:val="14"/>
                <w:szCs w:val="14"/>
                <w:color w:val="auto"/>
              </w:rPr>
              <w:t>13.0</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gridSpan w:val="2"/>
            <w:shd w:val="clear" w:color="auto" w:fill="CCEEFF"/>
          </w:tcPr>
          <w:p>
            <w:pPr>
              <w:jc w:val="center"/>
              <w:ind w:left="552"/>
              <w:spacing w:after="0"/>
              <w:rPr>
                <w:sz w:val="20"/>
                <w:szCs w:val="20"/>
                <w:color w:val="auto"/>
              </w:rPr>
            </w:pPr>
            <w:r>
              <w:rPr>
                <w:rFonts w:ascii="Arial" w:cs="Arial" w:eastAsia="Arial" w:hAnsi="Arial"/>
                <w:sz w:val="14"/>
                <w:szCs w:val="14"/>
                <w:color w:val="auto"/>
                <w:w w:val="97"/>
              </w:rPr>
              <w:t>(1.4)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center"/>
              <w:ind w:left="453"/>
              <w:spacing w:after="0"/>
              <w:rPr>
                <w:sz w:val="20"/>
                <w:szCs w:val="20"/>
                <w:color w:val="auto"/>
              </w:rPr>
            </w:pPr>
            <w:r>
              <w:rPr>
                <w:rFonts w:ascii="Arial" w:cs="Arial" w:eastAsia="Arial" w:hAnsi="Arial"/>
                <w:sz w:val="14"/>
                <w:szCs w:val="14"/>
                <w:color w:val="auto"/>
              </w:rPr>
              <w:t>12.4</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center"/>
              <w:ind w:left="532"/>
              <w:spacing w:after="0"/>
              <w:rPr>
                <w:sz w:val="20"/>
                <w:szCs w:val="20"/>
                <w:color w:val="auto"/>
              </w:rPr>
            </w:pPr>
            <w:r>
              <w:rPr>
                <w:rFonts w:ascii="Arial" w:cs="Arial" w:eastAsia="Arial" w:hAnsi="Arial"/>
                <w:sz w:val="14"/>
                <w:szCs w:val="14"/>
                <w:color w:val="auto"/>
              </w:rPr>
              <w:t>55.0</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104.4</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159.4</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center"/>
              <w:ind w:left="552"/>
              <w:spacing w:after="0"/>
              <w:rPr>
                <w:sz w:val="20"/>
                <w:szCs w:val="20"/>
                <w:color w:val="auto"/>
              </w:rPr>
            </w:pPr>
            <w:r>
              <w:rPr>
                <w:rFonts w:ascii="Arial" w:cs="Arial" w:eastAsia="Arial" w:hAnsi="Arial"/>
                <w:sz w:val="14"/>
                <w:szCs w:val="14"/>
                <w:color w:val="auto"/>
                <w:w w:val="97"/>
              </w:rPr>
              <w:t>(1.9)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center"/>
              <w:ind w:left="453"/>
              <w:spacing w:after="0"/>
              <w:rPr>
                <w:sz w:val="20"/>
                <w:szCs w:val="20"/>
                <w:color w:val="auto"/>
              </w:rPr>
            </w:pPr>
            <w:r>
              <w:rPr>
                <w:rFonts w:ascii="Arial" w:cs="Arial" w:eastAsia="Arial" w:hAnsi="Arial"/>
                <w:sz w:val="14"/>
                <w:szCs w:val="14"/>
                <w:color w:val="auto"/>
              </w:rPr>
              <w:t>38.5</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The operating expenses of the consolidated investment products are reflected in general, administrative and other expenses. In preparing our unaudited condensed consolidated financial statements, we eliminated operating expenses of $1.3 million and $0.7 million for the three months ended September 30, 2024 and 2023, respectively, against the investment advisory and administrative fees earned from these products. Operating expenses eliminated for the nine months ended September 30, 2024 and 2023, were $3.0 million and $1.6 million, respectively. The net investment income (loss) reflected in non-operating income (loss) includes dividend and interest income as well as realized and unrealized gains and losses on the underlying securities held by the consolidated sponsored investment products.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14" w:name="page15"/>
    <w:bookmarkEnd w:id="14"/>
    <w:p>
      <w:pPr>
        <w:ind w:right="100"/>
        <w:spacing w:after="0" w:line="290" w:lineRule="auto"/>
        <w:rPr>
          <w:sz w:val="20"/>
          <w:szCs w:val="20"/>
          <w:color w:val="auto"/>
        </w:rPr>
      </w:pPr>
      <w:r>
        <w:rPr>
          <w:rFonts w:ascii="Arial" w:cs="Arial" w:eastAsia="Arial" w:hAnsi="Arial"/>
          <w:sz w:val="14"/>
          <w:szCs w:val="14"/>
          <w:color w:val="auto"/>
        </w:rPr>
        <w:t>The table below details the impact of these consolidated investment products on the individual lines of our unaudited condensed consolidated statements of cash flows for the nine months ended September 30, 2024 and 2023.</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44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2040" w:type="dxa"/>
            <w:vAlign w:val="bottom"/>
            <w:tcBorders>
              <w:bottom w:val="single" w:sz="8" w:color="auto"/>
            </w:tcBorders>
            <w:gridSpan w:val="5"/>
            <w:shd w:val="clear" w:color="auto" w:fill="CCEEFF"/>
          </w:tcPr>
          <w:p>
            <w:pPr>
              <w:ind w:left="320"/>
              <w:spacing w:after="0"/>
              <w:rPr>
                <w:sz w:val="20"/>
                <w:szCs w:val="20"/>
                <w:color w:val="auto"/>
              </w:rPr>
            </w:pPr>
            <w:r>
              <w:rPr>
                <w:rFonts w:ascii="Arial" w:cs="Arial" w:eastAsia="Arial" w:hAnsi="Arial"/>
                <w:sz w:val="11"/>
                <w:szCs w:val="11"/>
                <w:b w:val="1"/>
                <w:bCs w:val="1"/>
                <w:color w:val="auto"/>
              </w:rPr>
              <w:t>Nine months ended</w:t>
            </w: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32"/>
              <w:spacing w:after="0"/>
              <w:rPr>
                <w:sz w:val="20"/>
                <w:szCs w:val="20"/>
                <w:color w:val="auto"/>
              </w:rPr>
            </w:pPr>
            <w:r>
              <w:rPr>
                <w:rFonts w:ascii="Arial" w:cs="Arial" w:eastAsia="Arial" w:hAnsi="Arial"/>
                <w:sz w:val="11"/>
                <w:szCs w:val="11"/>
                <w:b w:val="1"/>
                <w:bCs w:val="1"/>
                <w:color w:val="auto"/>
              </w:rPr>
              <w:t>9/30/2024</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12"/>
              <w:spacing w:after="0"/>
              <w:rPr>
                <w:sz w:val="20"/>
                <w:szCs w:val="20"/>
                <w:color w:val="auto"/>
              </w:rPr>
            </w:pPr>
            <w:r>
              <w:rPr>
                <w:rFonts w:ascii="Arial" w:cs="Arial" w:eastAsia="Arial" w:hAnsi="Arial"/>
                <w:sz w:val="11"/>
                <w:szCs w:val="11"/>
                <w:b w:val="1"/>
                <w:bCs w:val="1"/>
                <w:color w:val="auto"/>
              </w:rPr>
              <w:t>9/30/2023</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4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10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center"/>
              <w:ind w:right="220"/>
              <w:spacing w:after="0" w:line="112" w:lineRule="exact"/>
              <w:rPr>
                <w:sz w:val="20"/>
                <w:szCs w:val="20"/>
                <w:color w:val="auto"/>
              </w:rPr>
            </w:pPr>
            <w:r>
              <w:rPr>
                <w:rFonts w:ascii="Arial" w:cs="Arial" w:eastAsia="Arial" w:hAnsi="Arial"/>
                <w:sz w:val="11"/>
                <w:szCs w:val="11"/>
                <w:b w:val="1"/>
                <w:bCs w:val="1"/>
                <w:color w:val="auto"/>
                <w:w w:val="99"/>
              </w:rPr>
              <w:t>Voting</w:t>
            </w:r>
          </w:p>
        </w:tc>
        <w:tc>
          <w:tcPr>
            <w:tcW w:w="1160" w:type="dxa"/>
            <w:vAlign w:val="bottom"/>
            <w:gridSpan w:val="3"/>
            <w:shd w:val="clear" w:color="auto" w:fill="CCEEFF"/>
          </w:tcPr>
          <w:p>
            <w:pPr>
              <w:jc w:val="center"/>
              <w:ind w:right="80"/>
              <w:spacing w:after="0" w:line="112" w:lineRule="exact"/>
              <w:rPr>
                <w:sz w:val="20"/>
                <w:szCs w:val="20"/>
                <w:color w:val="auto"/>
              </w:rPr>
            </w:pPr>
            <w:r>
              <w:rPr>
                <w:rFonts w:ascii="Arial" w:cs="Arial" w:eastAsia="Arial" w:hAnsi="Arial"/>
                <w:sz w:val="11"/>
                <w:szCs w:val="11"/>
                <w:b w:val="1"/>
                <w:bCs w:val="1"/>
                <w:color w:val="auto"/>
              </w:rPr>
              <w:t>Variable interest</w:t>
            </w:r>
          </w:p>
        </w:tc>
        <w:tc>
          <w:tcPr>
            <w:tcW w:w="24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ind w:left="140"/>
              <w:spacing w:after="0"/>
              <w:rPr>
                <w:sz w:val="20"/>
                <w:szCs w:val="20"/>
                <w:color w:val="auto"/>
              </w:rPr>
            </w:pPr>
            <w:r>
              <w:rPr>
                <w:rFonts w:ascii="Arial" w:cs="Arial" w:eastAsia="Arial" w:hAnsi="Arial"/>
                <w:sz w:val="11"/>
                <w:szCs w:val="11"/>
                <w:b w:val="1"/>
                <w:bCs w:val="1"/>
                <w:color w:val="auto"/>
              </w:rPr>
              <w:t>Total</w:t>
            </w:r>
          </w:p>
        </w:tc>
        <w:tc>
          <w:tcPr>
            <w:tcW w:w="10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center"/>
              <w:ind w:right="220"/>
              <w:spacing w:after="0" w:line="112" w:lineRule="exact"/>
              <w:rPr>
                <w:sz w:val="20"/>
                <w:szCs w:val="20"/>
                <w:color w:val="auto"/>
              </w:rPr>
            </w:pPr>
            <w:r>
              <w:rPr>
                <w:rFonts w:ascii="Arial" w:cs="Arial" w:eastAsia="Arial" w:hAnsi="Arial"/>
                <w:sz w:val="11"/>
                <w:szCs w:val="11"/>
                <w:b w:val="1"/>
                <w:bCs w:val="1"/>
                <w:color w:val="auto"/>
                <w:w w:val="99"/>
              </w:rPr>
              <w:t>Voting</w:t>
            </w:r>
          </w:p>
        </w:tc>
        <w:tc>
          <w:tcPr>
            <w:tcW w:w="1160" w:type="dxa"/>
            <w:vAlign w:val="bottom"/>
            <w:gridSpan w:val="3"/>
            <w:shd w:val="clear" w:color="auto" w:fill="CCEEFF"/>
          </w:tcPr>
          <w:p>
            <w:pPr>
              <w:jc w:val="center"/>
              <w:ind w:right="100"/>
              <w:spacing w:after="0" w:line="112" w:lineRule="exact"/>
              <w:rPr>
                <w:sz w:val="20"/>
                <w:szCs w:val="20"/>
                <w:color w:val="auto"/>
              </w:rPr>
            </w:pPr>
            <w:r>
              <w:rPr>
                <w:rFonts w:ascii="Arial" w:cs="Arial" w:eastAsia="Arial" w:hAnsi="Arial"/>
                <w:sz w:val="11"/>
                <w:szCs w:val="11"/>
                <w:b w:val="1"/>
                <w:bCs w:val="1"/>
                <w:color w:val="auto"/>
              </w:rPr>
              <w:t>Variable interest</w:t>
            </w:r>
          </w:p>
        </w:tc>
        <w:tc>
          <w:tcPr>
            <w:tcW w:w="24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33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4"/>
        </w:trPr>
        <w:tc>
          <w:tcPr>
            <w:tcW w:w="44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1"/>
                <w:szCs w:val="11"/>
                <w:b w:val="1"/>
                <w:bCs w:val="1"/>
                <w:color w:val="auto"/>
              </w:rPr>
              <w:t>interest entities</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280"/>
              <w:spacing w:after="0"/>
              <w:rPr>
                <w:sz w:val="20"/>
                <w:szCs w:val="20"/>
                <w:color w:val="auto"/>
              </w:rPr>
            </w:pPr>
            <w:r>
              <w:rPr>
                <w:rFonts w:ascii="Arial" w:cs="Arial" w:eastAsia="Arial" w:hAnsi="Arial"/>
                <w:sz w:val="11"/>
                <w:szCs w:val="11"/>
                <w:b w:val="1"/>
                <w:bCs w:val="1"/>
                <w:color w:val="auto"/>
              </w:rPr>
              <w:t>entities</w:t>
            </w:r>
          </w:p>
        </w:tc>
        <w:tc>
          <w:tcPr>
            <w:tcW w:w="24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1"/>
                <w:szCs w:val="11"/>
                <w:b w:val="1"/>
                <w:bCs w:val="1"/>
                <w:color w:val="auto"/>
              </w:rPr>
              <w:t>interest entities</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1"/>
                <w:szCs w:val="11"/>
                <w:b w:val="1"/>
                <w:bCs w:val="1"/>
                <w:color w:val="auto"/>
                <w:w w:val="98"/>
              </w:rPr>
              <w:t>entities</w:t>
            </w:r>
          </w:p>
        </w:tc>
        <w:tc>
          <w:tcPr>
            <w:tcW w:w="24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(170.5)</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(182.3)</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(352.8)</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(417.5)</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14"/>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(314.0)</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(731.5)</w:t>
            </w:r>
          </w:p>
        </w:tc>
        <w:tc>
          <w:tcPr>
            <w:tcW w:w="0" w:type="dxa"/>
            <w:vAlign w:val="bottom"/>
          </w:tcPr>
          <w:p>
            <w:pPr>
              <w:spacing w:after="0"/>
              <w:rPr>
                <w:sz w:val="1"/>
                <w:szCs w:val="1"/>
                <w:color w:val="auto"/>
              </w:rPr>
            </w:pPr>
          </w:p>
        </w:tc>
      </w:tr>
      <w:tr>
        <w:trPr>
          <w:trHeight w:val="180"/>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80"/>
        </w:trPr>
        <w:tc>
          <w:tcPr>
            <w:tcW w:w="4460" w:type="dxa"/>
            <w:vAlign w:val="bottom"/>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165.3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441.0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741.4</w:t>
            </w:r>
          </w:p>
        </w:tc>
        <w:tc>
          <w:tcPr>
            <w:tcW w:w="0" w:type="dxa"/>
            <w:vAlign w:val="bottom"/>
          </w:tcPr>
          <w:p>
            <w:pPr>
              <w:spacing w:after="0"/>
              <w:rPr>
                <w:sz w:val="1"/>
                <w:szCs w:val="1"/>
                <w:color w:val="auto"/>
              </w:rPr>
            </w:pPr>
          </w:p>
        </w:tc>
      </w:tr>
      <w:tr>
        <w:trPr>
          <w:trHeight w:val="127"/>
        </w:trPr>
        <w:tc>
          <w:tcPr>
            <w:tcW w:w="44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Effect of exchange rate changes on cash and cash equivalents of</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0"/>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consolidated sponsored investment products</w:t>
            </w: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60" w:type="dxa"/>
            <w:vAlign w:val="bottom"/>
          </w:tcPr>
          <w:p>
            <w:pPr>
              <w:ind w:left="20"/>
              <w:spacing w:after="0"/>
              <w:rPr>
                <w:sz w:val="20"/>
                <w:szCs w:val="20"/>
                <w:color w:val="auto"/>
              </w:rPr>
            </w:pPr>
            <w:r>
              <w:rPr>
                <w:rFonts w:ascii="Arial" w:cs="Arial" w:eastAsia="Arial" w:hAnsi="Arial"/>
                <w:sz w:val="13"/>
                <w:szCs w:val="13"/>
                <w:color w:val="auto"/>
              </w:rPr>
              <w:t>Net change in cash and cash equivalents during period</w:t>
            </w: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0"/>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beginning of year</w:t>
            </w: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16.2</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0" w:type="dxa"/>
            <w:vAlign w:val="bottom"/>
          </w:tcPr>
          <w:p>
            <w:pPr>
              <w:spacing w:after="0"/>
              <w:rPr>
                <w:sz w:val="1"/>
                <w:szCs w:val="1"/>
                <w:color w:val="auto"/>
              </w:rPr>
            </w:pPr>
          </w:p>
        </w:tc>
      </w:tr>
      <w:tr>
        <w:trPr>
          <w:trHeight w:val="171"/>
        </w:trPr>
        <w:tc>
          <w:tcPr>
            <w:tcW w:w="4460" w:type="dxa"/>
            <w:vAlign w:val="bottom"/>
          </w:tcPr>
          <w:p>
            <w:pPr>
              <w:ind w:left="20"/>
              <w:spacing w:after="0"/>
              <w:rPr>
                <w:sz w:val="20"/>
                <w:szCs w:val="20"/>
                <w:color w:val="auto"/>
              </w:rPr>
            </w:pPr>
            <w:r>
              <w:rPr>
                <w:rFonts w:ascii="Arial" w:cs="Arial" w:eastAsia="Arial" w:hAnsi="Arial"/>
                <w:sz w:val="13"/>
                <w:szCs w:val="13"/>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27.4</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right="200"/>
        <w:spacing w:after="0"/>
        <w:rPr>
          <w:sz w:val="20"/>
          <w:szCs w:val="20"/>
          <w:color w:val="auto"/>
        </w:rPr>
      </w:pPr>
      <w:r>
        <w:rPr>
          <w:rFonts w:ascii="Arial" w:cs="Arial" w:eastAsia="Arial" w:hAnsi="Arial"/>
          <w:sz w:val="14"/>
          <w:szCs w:val="14"/>
          <w:color w:val="auto"/>
        </w:rPr>
        <w:t>For the nine months ended September 30, 2024, the net cash provided by or used in financing activities includes $15.3 million of net redemptions we made from the consolidated sponsored investment products and dividends received. For the nine months ended September 30, 2023, the net cash provided by or used in financing activities included $397.7 million of net subscriptions we made into the consolidated sponsored investment products, net of dividends received. These cash flows were eliminated in consolidation.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FAIR VALUE MEASUREMENTS.</w:t>
      </w:r>
    </w:p>
    <w:p>
      <w:pPr>
        <w:spacing w:after="0" w:line="200" w:lineRule="exact"/>
        <w:rPr>
          <w:sz w:val="20"/>
          <w:szCs w:val="20"/>
          <w:color w:val="auto"/>
        </w:rPr>
      </w:pPr>
    </w:p>
    <w:p>
      <w:pPr>
        <w:ind w:right="620"/>
        <w:spacing w:after="0" w:line="290" w:lineRule="auto"/>
        <w:rPr>
          <w:sz w:val="20"/>
          <w:szCs w:val="20"/>
          <w:color w:val="auto"/>
        </w:rPr>
      </w:pPr>
      <w:r>
        <w:rPr>
          <w:rFonts w:ascii="Arial" w:cs="Arial" w:eastAsia="Arial" w:hAnsi="Arial"/>
          <w:sz w:val="14"/>
          <w:szCs w:val="14"/>
          <w:color w:val="auto"/>
        </w:rPr>
        <w:t>We determine the fair value of investments held by consolidated sponsored investment products using the following broad levels of inputs as defined by related accounting standards: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Level 1 – quoted prices in active markets for identical securities.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Level 2 – observable inputs other than Level 1 quoted prices including, but not limited to, quoted prices for similar securities, interest rates, prepayment speeds, and credit risk.</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These inputs are based on market data obtained from independent sources.</w:t>
      </w:r>
    </w:p>
    <w:p>
      <w:pPr>
        <w:spacing w:after="0" w:line="9" w:lineRule="exact"/>
        <w:rPr>
          <w:sz w:val="20"/>
          <w:szCs w:val="20"/>
          <w:color w:val="auto"/>
        </w:rPr>
      </w:pPr>
    </w:p>
    <w:p>
      <w:pPr>
        <w:ind w:left="580" w:right="860" w:hanging="572"/>
        <w:spacing w:after="0" w:line="269" w:lineRule="auto"/>
        <w:rPr>
          <w:sz w:val="20"/>
          <w:szCs w:val="20"/>
          <w:color w:val="auto"/>
        </w:rPr>
      </w:pPr>
      <w:r>
        <w:rPr>
          <w:rFonts w:ascii="Arial" w:cs="Arial" w:eastAsia="Arial" w:hAnsi="Arial"/>
          <w:sz w:val="14"/>
          <w:szCs w:val="14"/>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w:t>
      </w:r>
    </w:p>
    <w:p>
      <w:pPr>
        <w:spacing w:after="0" w:line="156"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These levels are not necessarily an indication of the risk or liquidity associated with these investment holdings. The following table summarizes the investment holdings held by our consolidated sponsored investment products using fair value measurements determined based on the differing levels of inputs.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gridSpan w:val="3"/>
            <w:shd w:val="clear" w:color="auto" w:fill="CCEEFF"/>
          </w:tcPr>
          <w:p>
            <w:pPr>
              <w:jc w:val="right"/>
              <w:ind w:right="29"/>
              <w:spacing w:after="0"/>
              <w:rPr>
                <w:sz w:val="20"/>
                <w:szCs w:val="20"/>
                <w:color w:val="auto"/>
              </w:rPr>
            </w:pPr>
            <w:r>
              <w:rPr>
                <w:rFonts w:ascii="Arial" w:cs="Arial" w:eastAsia="Arial" w:hAnsi="Arial"/>
                <w:sz w:val="11"/>
                <w:szCs w:val="11"/>
                <w:b w:val="1"/>
                <w:bCs w:val="1"/>
                <w:color w:val="auto"/>
              </w:rPr>
              <w:t>9/30/2024</w:t>
            </w:r>
          </w:p>
        </w:tc>
        <w:tc>
          <w:tcPr>
            <w:tcW w:w="880" w:type="dxa"/>
            <w:vAlign w:val="bottom"/>
            <w:tcBorders>
              <w:top w:val="single" w:sz="8" w:color="auto"/>
              <w:bottom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360" w:type="dxa"/>
            <w:vAlign w:val="bottom"/>
            <w:tcBorders>
              <w:top w:val="single" w:sz="8" w:color="auto"/>
              <w:bottom w:val="single" w:sz="8" w:color="auto"/>
            </w:tcBorders>
            <w:gridSpan w:val="3"/>
            <w:shd w:val="clear" w:color="auto" w:fill="CCEEFF"/>
          </w:tcPr>
          <w:p>
            <w:pPr>
              <w:jc w:val="right"/>
              <w:ind w:right="9"/>
              <w:spacing w:after="0"/>
              <w:rPr>
                <w:sz w:val="20"/>
                <w:szCs w:val="20"/>
                <w:color w:val="auto"/>
              </w:rPr>
            </w:pPr>
            <w:r>
              <w:rPr>
                <w:rFonts w:ascii="Arial" w:cs="Arial" w:eastAsia="Arial" w:hAnsi="Arial"/>
                <w:sz w:val="11"/>
                <w:szCs w:val="11"/>
                <w:b w:val="1"/>
                <w:bCs w:val="1"/>
                <w:color w:val="auto"/>
              </w:rPr>
              <w:t>12/31/2023</w:t>
            </w:r>
          </w:p>
        </w:tc>
        <w:tc>
          <w:tcPr>
            <w:tcW w:w="860" w:type="dxa"/>
            <w:vAlign w:val="bottom"/>
            <w:tcBorders>
              <w:top w:val="single" w:sz="8" w:color="auto"/>
              <w:bottom w:val="single" w:sz="8" w:color="auto"/>
            </w:tcBorders>
            <w:shd w:val="clear" w:color="auto" w:fill="CCEEFF"/>
          </w:tcPr>
          <w:p>
            <w:pPr>
              <w:spacing w:after="0"/>
              <w:rPr>
                <w:sz w:val="14"/>
                <w:szCs w:val="14"/>
                <w:color w:val="auto"/>
              </w:rPr>
            </w:pPr>
          </w:p>
        </w:tc>
      </w:tr>
      <w:tr>
        <w:trPr>
          <w:trHeight w:val="150"/>
        </w:trPr>
        <w:tc>
          <w:tcPr>
            <w:tcW w:w="606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tcPr>
          <w:p>
            <w:pPr>
              <w:spacing w:after="0"/>
              <w:rPr>
                <w:sz w:val="13"/>
                <w:szCs w:val="13"/>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Level 1</w:t>
            </w:r>
          </w:p>
        </w:tc>
        <w:tc>
          <w:tcPr>
            <w:tcW w:w="320" w:type="dxa"/>
            <w:vAlign w:val="bottom"/>
          </w:tcPr>
          <w:p>
            <w:pPr>
              <w:spacing w:after="0"/>
              <w:rPr>
                <w:sz w:val="13"/>
                <w:szCs w:val="13"/>
                <w:color w:val="auto"/>
              </w:rPr>
            </w:pPr>
          </w:p>
        </w:tc>
        <w:tc>
          <w:tcPr>
            <w:tcW w:w="880" w:type="dxa"/>
            <w:vAlign w:val="bottom"/>
          </w:tcPr>
          <w:p>
            <w:pPr>
              <w:jc w:val="right"/>
              <w:ind w:right="331"/>
              <w:spacing w:after="0"/>
              <w:rPr>
                <w:sz w:val="20"/>
                <w:szCs w:val="20"/>
                <w:color w:val="auto"/>
              </w:rPr>
            </w:pPr>
            <w:r>
              <w:rPr>
                <w:rFonts w:ascii="Arial" w:cs="Arial" w:eastAsia="Arial" w:hAnsi="Arial"/>
                <w:sz w:val="11"/>
                <w:szCs w:val="11"/>
                <w:b w:val="1"/>
                <w:bCs w:val="1"/>
                <w:color w:val="auto"/>
              </w:rPr>
              <w:t>Level 2</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ind w:left="160"/>
              <w:spacing w:after="0"/>
              <w:rPr>
                <w:sz w:val="20"/>
                <w:szCs w:val="20"/>
                <w:color w:val="auto"/>
              </w:rPr>
            </w:pPr>
            <w:r>
              <w:rPr>
                <w:rFonts w:ascii="Arial" w:cs="Arial" w:eastAsia="Arial" w:hAnsi="Arial"/>
                <w:sz w:val="11"/>
                <w:szCs w:val="11"/>
                <w:b w:val="1"/>
                <w:bCs w:val="1"/>
                <w:color w:val="auto"/>
              </w:rPr>
              <w:t>Level 1</w:t>
            </w:r>
          </w:p>
        </w:tc>
        <w:tc>
          <w:tcPr>
            <w:tcW w:w="320" w:type="dxa"/>
            <w:vAlign w:val="bottom"/>
          </w:tcPr>
          <w:p>
            <w:pPr>
              <w:spacing w:after="0"/>
              <w:rPr>
                <w:sz w:val="13"/>
                <w:szCs w:val="13"/>
                <w:color w:val="auto"/>
              </w:rPr>
            </w:pPr>
          </w:p>
        </w:tc>
        <w:tc>
          <w:tcPr>
            <w:tcW w:w="860" w:type="dxa"/>
            <w:vAlign w:val="bottom"/>
          </w:tcPr>
          <w:p>
            <w:pPr>
              <w:jc w:val="right"/>
              <w:ind w:right="331"/>
              <w:spacing w:after="0"/>
              <w:rPr>
                <w:sz w:val="20"/>
                <w:szCs w:val="20"/>
                <w:color w:val="auto"/>
              </w:rPr>
            </w:pPr>
            <w:r>
              <w:rPr>
                <w:rFonts w:ascii="Arial" w:cs="Arial" w:eastAsia="Arial" w:hAnsi="Arial"/>
                <w:sz w:val="11"/>
                <w:szCs w:val="11"/>
                <w:b w:val="1"/>
                <w:bCs w:val="1"/>
                <w:color w:val="auto"/>
              </w:rPr>
              <w:t>Level 2</w:t>
            </w:r>
          </w:p>
        </w:tc>
      </w:tr>
      <w:tr>
        <w:trPr>
          <w:trHeight w:val="161"/>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180"/>
        </w:trPr>
        <w:tc>
          <w:tcPr>
            <w:tcW w:w="6060" w:type="dxa"/>
            <w:vAlign w:val="bottom"/>
          </w:tcPr>
          <w:p>
            <w:pPr>
              <w:ind w:left="100"/>
              <w:spacing w:after="0"/>
              <w:rPr>
                <w:sz w:val="20"/>
                <w:szCs w:val="20"/>
                <w:color w:val="auto"/>
              </w:rPr>
            </w:pPr>
            <w:r>
              <w:rPr>
                <w:rFonts w:ascii="Arial" w:cs="Arial" w:eastAsia="Arial" w:hAnsi="Arial"/>
                <w:sz w:val="14"/>
                <w:szCs w:val="14"/>
                <w:color w:val="auto"/>
              </w:rPr>
              <w:t>Cash equivalents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3.6</w:t>
            </w:r>
          </w:p>
        </w:tc>
        <w:tc>
          <w:tcPr>
            <w:tcW w:w="5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180"/>
        </w:trPr>
        <w:tc>
          <w:tcPr>
            <w:tcW w:w="6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325.3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266.9</w:t>
            </w: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w:t>
            </w:r>
          </w:p>
        </w:tc>
      </w:tr>
      <w:tr>
        <w:trPr>
          <w:trHeight w:val="180"/>
        </w:trPr>
        <w:tc>
          <w:tcPr>
            <w:tcW w:w="6060" w:type="dxa"/>
            <w:vAlign w:val="bottom"/>
          </w:tcPr>
          <w:p>
            <w:pPr>
              <w:ind w:left="120"/>
              <w:spacing w:after="0"/>
              <w:rPr>
                <w:sz w:val="20"/>
                <w:szCs w:val="20"/>
                <w:color w:val="auto"/>
              </w:rPr>
            </w:pPr>
            <w:r>
              <w:rPr>
                <w:rFonts w:ascii="Arial" w:cs="Arial" w:eastAsia="Arial" w:hAnsi="Arial"/>
                <w:sz w:val="14"/>
                <w:szCs w:val="14"/>
                <w:color w:val="auto"/>
              </w:rPr>
              <w:t>Fixed income securities</w:t>
            </w:r>
          </w:p>
        </w:tc>
        <w:tc>
          <w:tcPr>
            <w:tcW w:w="2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1,151.7</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1,241.9</w:t>
            </w:r>
          </w:p>
        </w:tc>
      </w:tr>
      <w:tr>
        <w:trPr>
          <w:trHeight w:val="180"/>
        </w:trPr>
        <w:tc>
          <w:tcPr>
            <w:tcW w:w="6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investments</w:t>
            </w: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3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w:t>
            </w:r>
          </w:p>
        </w:tc>
      </w:tr>
      <w:tr>
        <w:trPr>
          <w:trHeight w:val="171"/>
        </w:trPr>
        <w:tc>
          <w:tcPr>
            <w:tcW w:w="606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332.5</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1,443.8</w:t>
            </w: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1,486.3</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3"/>
        </w:trPr>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0"/>
        </w:trPr>
        <w:tc>
          <w:tcPr>
            <w:tcW w:w="606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(13.0)</w:t>
            </w:r>
          </w:p>
        </w:tc>
        <w:tc>
          <w:tcPr>
            <w:tcW w:w="5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20"/>
        </w:trPr>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auto"/>
        </w:rPr>
        <w:t>NOTE 6 - GOODWILL AND INTANGIBLE ASSETS.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Goodwill and intangible assets consist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2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1"/>
                <w:szCs w:val="11"/>
                <w:b w:val="1"/>
                <w:bCs w:val="1"/>
                <w:color w:val="auto"/>
              </w:rPr>
              <w:t>9/30/2024</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1"/>
                <w:szCs w:val="11"/>
                <w:b w:val="1"/>
                <w:bCs w:val="1"/>
                <w:color w:val="auto"/>
              </w:rPr>
              <w:t>12/31/2023</w:t>
            </w:r>
          </w:p>
        </w:tc>
      </w:tr>
      <w:tr>
        <w:trPr>
          <w:trHeight w:val="171"/>
        </w:trPr>
        <w:tc>
          <w:tcPr>
            <w:tcW w:w="8320" w:type="dxa"/>
            <w:vAlign w:val="bottom"/>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2,642.8</w:t>
            </w:r>
          </w:p>
        </w:tc>
        <w:tc>
          <w:tcPr>
            <w:tcW w:w="10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2,642.8</w:t>
            </w: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Indefinite-lived intangible assets - trade name</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w:t>
            </w: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Indefinite-lived intangible assets - investment advisory agreements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65.6</w:t>
            </w: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Definite-lived intangible assets - investment advisory agreements</w:t>
            </w: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324.6</w:t>
            </w:r>
          </w:p>
        </w:tc>
      </w:tr>
      <w:tr>
        <w:trPr>
          <w:trHeight w:val="171"/>
        </w:trPr>
        <w:tc>
          <w:tcPr>
            <w:tcW w:w="8320" w:type="dxa"/>
            <w:vAlign w:val="bottom"/>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3,038.0</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3,150.1</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560"/>
        <w:spacing w:after="0" w:line="271" w:lineRule="auto"/>
        <w:rPr>
          <w:sz w:val="20"/>
          <w:szCs w:val="20"/>
          <w:color w:val="auto"/>
        </w:rPr>
      </w:pPr>
      <w:r>
        <w:rPr>
          <w:rFonts w:ascii="Arial" w:cs="Arial" w:eastAsia="Arial" w:hAnsi="Arial"/>
          <w:sz w:val="14"/>
          <w:szCs w:val="14"/>
          <w:color w:val="auto"/>
        </w:rPr>
        <w:t>Amortization and impairment expense for the definite-lived intangible assets was $28.3 million and $81.0 million for the three- and nine-months ended September 30, 2024, respectively. For the three- and nine-months ended September 30, 2023, amortization and impairment expense for the definite-lived intangible assets was $35.0 million and $87.4 million, respectively. Estimated amortization expense for the definite-lived intangible assets for the five succeeding years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49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80"/>
        </w:trPr>
        <w:tc>
          <w:tcPr>
            <w:tcW w:w="5580" w:type="dxa"/>
            <w:vAlign w:val="bottom"/>
          </w:tcPr>
          <w:p>
            <w:pPr>
              <w:ind w:left="120"/>
              <w:spacing w:after="0"/>
              <w:rPr>
                <w:sz w:val="20"/>
                <w:szCs w:val="20"/>
                <w:color w:val="auto"/>
              </w:rPr>
            </w:pPr>
            <w:r>
              <w:rPr>
                <w:rFonts w:ascii="Arial" w:cs="Arial" w:eastAsia="Arial" w:hAnsi="Arial"/>
                <w:sz w:val="14"/>
                <w:szCs w:val="14"/>
                <w:color w:val="auto"/>
              </w:rPr>
              <w:t>Remaining 2024</w:t>
            </w:r>
          </w:p>
        </w:tc>
        <w:tc>
          <w:tcPr>
            <w:tcW w:w="494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24.3</w:t>
            </w:r>
          </w:p>
        </w:tc>
      </w:tr>
      <w:tr>
        <w:trPr>
          <w:trHeight w:val="180"/>
        </w:trPr>
        <w:tc>
          <w:tcPr>
            <w:tcW w:w="5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2025</w:t>
            </w:r>
          </w:p>
        </w:tc>
        <w:tc>
          <w:tcPr>
            <w:tcW w:w="49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r>
      <w:tr>
        <w:trPr>
          <w:trHeight w:val="180"/>
        </w:trPr>
        <w:tc>
          <w:tcPr>
            <w:tcW w:w="5580" w:type="dxa"/>
            <w:vAlign w:val="bottom"/>
          </w:tcPr>
          <w:p>
            <w:pPr>
              <w:ind w:left="120"/>
              <w:spacing w:after="0"/>
              <w:rPr>
                <w:sz w:val="20"/>
                <w:szCs w:val="20"/>
                <w:color w:val="auto"/>
              </w:rPr>
            </w:pPr>
            <w:r>
              <w:rPr>
                <w:rFonts w:ascii="Arial" w:cs="Arial" w:eastAsia="Arial" w:hAnsi="Arial"/>
                <w:sz w:val="14"/>
                <w:szCs w:val="14"/>
                <w:color w:val="auto"/>
              </w:rPr>
              <w:t>2026</w:t>
            </w:r>
          </w:p>
        </w:tc>
        <w:tc>
          <w:tcPr>
            <w:tcW w:w="49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62.6</w:t>
            </w:r>
          </w:p>
        </w:tc>
      </w:tr>
      <w:tr>
        <w:trPr>
          <w:trHeight w:val="180"/>
        </w:trPr>
        <w:tc>
          <w:tcPr>
            <w:tcW w:w="5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2027</w:t>
            </w:r>
          </w:p>
        </w:tc>
        <w:tc>
          <w:tcPr>
            <w:tcW w:w="49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r>
      <w:tr>
        <w:trPr>
          <w:trHeight w:val="186"/>
        </w:trPr>
        <w:tc>
          <w:tcPr>
            <w:tcW w:w="5580" w:type="dxa"/>
            <w:vAlign w:val="bottom"/>
          </w:tcPr>
          <w:p>
            <w:pPr>
              <w:ind w:left="120"/>
              <w:spacing w:after="0"/>
              <w:rPr>
                <w:sz w:val="20"/>
                <w:szCs w:val="20"/>
                <w:color w:val="auto"/>
              </w:rPr>
            </w:pPr>
            <w:r>
              <w:rPr>
                <w:rFonts w:ascii="Arial" w:cs="Arial" w:eastAsia="Arial" w:hAnsi="Arial"/>
                <w:sz w:val="14"/>
                <w:szCs w:val="14"/>
                <w:color w:val="auto"/>
              </w:rPr>
              <w:t>2028</w:t>
            </w:r>
          </w:p>
        </w:tc>
        <w:tc>
          <w:tcPr>
            <w:tcW w:w="49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12.7</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Impairment</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Our indefinite-lived intangible assets are tested for impairment annually, in the fourth quarter, or more frequently if events or changes in circumstances indicate that it is more likely than not that the intangible asset is impaired. Based on a review of qualitative factors, primarily the future outlook, we determined it was necessary to perform a quantitative impairment test on the trade name intangible asset during the three months ended September 30, 2024 and June 30, 2024. The quantitative impairment tests resulted in the carrying amount of the trade name intangible asset exceeding its fair value and we recognized impairment charges of $18.8 million and $31.1 million for the three- and nine-months ended September 30, 2024, respectively. Fair value was determined using a discounted cash flow analysis where estimated future cash flows were discounted to arrive at a single present value amount. This approach included inputs that required significant management judgment, the most relevant of which include revenue growth, discount rate, and effective tax rate.</w:t>
      </w:r>
    </w:p>
    <w:p>
      <w:pPr>
        <w:spacing w:after="0" w:line="163" w:lineRule="exact"/>
        <w:rPr>
          <w:sz w:val="20"/>
          <w:szCs w:val="20"/>
          <w:color w:val="auto"/>
        </w:rPr>
      </w:pPr>
    </w:p>
    <w:p>
      <w:pPr>
        <w:ind w:right="620"/>
        <w:spacing w:after="0" w:line="290" w:lineRule="auto"/>
        <w:rPr>
          <w:sz w:val="20"/>
          <w:szCs w:val="20"/>
          <w:color w:val="auto"/>
        </w:rPr>
      </w:pPr>
      <w:r>
        <w:rPr>
          <w:rFonts w:ascii="Arial" w:cs="Arial" w:eastAsia="Arial" w:hAnsi="Arial"/>
          <w:sz w:val="14"/>
          <w:szCs w:val="14"/>
          <w:color w:val="auto"/>
        </w:rPr>
        <w:t>We evaluate the carrying amount of goodwill in our unaudited condensed consolidated balance sheets for possible impairment on an annual basis in the fourth quarter or if triggering events occur that require us to evaluate for impairment earlier. No triggering events arose during the nine months ended September 30, 2024.</w:t>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 STOCK-BASED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STOCK OPTIONS.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status of, and changes in, our stock options during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26"/>
        </w:trPr>
        <w:tc>
          <w:tcPr>
            <w:tcW w:w="83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jc w:val="center"/>
              <w:ind w:right="216"/>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12"/>
        </w:trPr>
        <w:tc>
          <w:tcPr>
            <w:tcW w:w="836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40" w:type="dxa"/>
            <w:vAlign w:val="bottom"/>
            <w:shd w:val="clear" w:color="auto" w:fill="CCEEFF"/>
          </w:tcPr>
          <w:p>
            <w:pPr>
              <w:jc w:val="center"/>
              <w:ind w:right="196"/>
              <w:spacing w:after="0" w:line="113" w:lineRule="exact"/>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10"/>
        </w:trPr>
        <w:tc>
          <w:tcPr>
            <w:tcW w:w="8360" w:type="dxa"/>
            <w:vAlign w:val="bottom"/>
            <w:shd w:val="clear" w:color="auto" w:fill="CCEEFF"/>
          </w:tcPr>
          <w:p>
            <w:pPr>
              <w:spacing w:after="0"/>
              <w:rPr>
                <w:sz w:val="9"/>
                <w:szCs w:val="9"/>
                <w:color w:val="auto"/>
              </w:rPr>
            </w:pPr>
          </w:p>
        </w:tc>
        <w:tc>
          <w:tcPr>
            <w:tcW w:w="1420" w:type="dxa"/>
            <w:vAlign w:val="bottom"/>
            <w:vMerge w:val="restart"/>
            <w:shd w:val="clear" w:color="auto" w:fill="CCEEFF"/>
          </w:tcPr>
          <w:p>
            <w:pPr>
              <w:jc w:val="right"/>
              <w:ind w:right="432"/>
              <w:spacing w:after="0"/>
              <w:rPr>
                <w:sz w:val="20"/>
                <w:szCs w:val="20"/>
                <w:color w:val="auto"/>
              </w:rPr>
            </w:pPr>
            <w:r>
              <w:rPr>
                <w:rFonts w:ascii="Arial" w:cs="Arial" w:eastAsia="Arial" w:hAnsi="Arial"/>
                <w:sz w:val="11"/>
                <w:szCs w:val="11"/>
                <w:b w:val="1"/>
                <w:bCs w:val="1"/>
                <w:color w:val="auto"/>
              </w:rPr>
              <w:t>Options</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40" w:type="dxa"/>
            <w:vAlign w:val="bottom"/>
            <w:shd w:val="clear" w:color="auto" w:fill="CCEEFF"/>
          </w:tcPr>
          <w:p>
            <w:pPr>
              <w:jc w:val="center"/>
              <w:ind w:right="196"/>
              <w:spacing w:after="0" w:line="111" w:lineRule="exact"/>
              <w:rPr>
                <w:sz w:val="20"/>
                <w:szCs w:val="20"/>
                <w:color w:val="auto"/>
              </w:rPr>
            </w:pPr>
            <w:r>
              <w:rPr>
                <w:rFonts w:ascii="Arial" w:cs="Arial" w:eastAsia="Arial" w:hAnsi="Arial"/>
                <w:sz w:val="11"/>
                <w:szCs w:val="11"/>
                <w:b w:val="1"/>
                <w:bCs w:val="1"/>
                <w:color w:val="auto"/>
                <w:w w:val="99"/>
              </w:rPr>
              <w:t>exercise</w:t>
            </w:r>
          </w:p>
        </w:tc>
        <w:tc>
          <w:tcPr>
            <w:tcW w:w="0" w:type="dxa"/>
            <w:vAlign w:val="bottom"/>
          </w:tcPr>
          <w:p>
            <w:pPr>
              <w:spacing w:after="0"/>
              <w:rPr>
                <w:sz w:val="1"/>
                <w:szCs w:val="1"/>
                <w:color w:val="auto"/>
              </w:rPr>
            </w:pPr>
          </w:p>
        </w:tc>
      </w:tr>
      <w:tr>
        <w:trPr>
          <w:trHeight w:val="155"/>
        </w:trPr>
        <w:tc>
          <w:tcPr>
            <w:tcW w:w="8360" w:type="dxa"/>
            <w:vAlign w:val="bottom"/>
            <w:shd w:val="clear" w:color="auto" w:fill="CCEEFF"/>
          </w:tcPr>
          <w:p>
            <w:pPr>
              <w:spacing w:after="0"/>
              <w:rPr>
                <w:sz w:val="13"/>
                <w:szCs w:val="13"/>
                <w:color w:val="auto"/>
              </w:rPr>
            </w:pPr>
          </w:p>
        </w:tc>
        <w:tc>
          <w:tcPr>
            <w:tcW w:w="14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center"/>
              <w:ind w:right="196"/>
              <w:spacing w:after="0"/>
              <w:rPr>
                <w:sz w:val="20"/>
                <w:szCs w:val="20"/>
                <w:color w:val="auto"/>
              </w:rPr>
            </w:pPr>
            <w:r>
              <w:rPr>
                <w:rFonts w:ascii="Arial" w:cs="Arial" w:eastAsia="Arial" w:hAnsi="Arial"/>
                <w:sz w:val="11"/>
                <w:szCs w:val="11"/>
                <w:b w:val="1"/>
                <w:bCs w:val="1"/>
                <w:color w:val="auto"/>
              </w:rPr>
              <w:t>price</w:t>
            </w:r>
          </w:p>
        </w:tc>
        <w:tc>
          <w:tcPr>
            <w:tcW w:w="0" w:type="dxa"/>
            <w:vAlign w:val="bottom"/>
          </w:tcPr>
          <w:p>
            <w:pPr>
              <w:spacing w:after="0"/>
              <w:rPr>
                <w:sz w:val="1"/>
                <w:szCs w:val="1"/>
                <w:color w:val="auto"/>
              </w:rPr>
            </w:pPr>
          </w:p>
        </w:tc>
      </w:tr>
      <w:tr>
        <w:trPr>
          <w:trHeight w:val="171"/>
        </w:trPr>
        <w:tc>
          <w:tcPr>
            <w:tcW w:w="8360" w:type="dxa"/>
            <w:vAlign w:val="bottom"/>
          </w:tcPr>
          <w:p>
            <w:pPr>
              <w:ind w:left="20"/>
              <w:spacing w:after="0"/>
              <w:rPr>
                <w:sz w:val="20"/>
                <w:szCs w:val="20"/>
                <w:color w:val="auto"/>
              </w:rPr>
            </w:pPr>
            <w:r>
              <w:rPr>
                <w:rFonts w:ascii="Arial" w:cs="Arial" w:eastAsia="Arial" w:hAnsi="Arial"/>
                <w:sz w:val="14"/>
                <w:szCs w:val="14"/>
                <w:color w:val="auto"/>
              </w:rPr>
              <w:t>Outstanding at December 31, 2023</w:t>
            </w:r>
          </w:p>
        </w:tc>
        <w:tc>
          <w:tcPr>
            <w:tcW w:w="1420" w:type="dxa"/>
            <w:vAlign w:val="bottom"/>
          </w:tcPr>
          <w:p>
            <w:pPr>
              <w:jc w:val="right"/>
              <w:spacing w:after="0"/>
              <w:rPr>
                <w:sz w:val="20"/>
                <w:szCs w:val="20"/>
                <w:color w:val="auto"/>
              </w:rPr>
            </w:pPr>
            <w:r>
              <w:rPr>
                <w:rFonts w:ascii="Arial" w:cs="Arial" w:eastAsia="Arial" w:hAnsi="Arial"/>
                <w:sz w:val="14"/>
                <w:szCs w:val="14"/>
                <w:color w:val="auto"/>
              </w:rPr>
              <w:t>1,476,104</w:t>
            </w:r>
          </w:p>
        </w:tc>
        <w:tc>
          <w:tcPr>
            <w:tcW w:w="10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75.39</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(683,555)</w:t>
            </w: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76.68</w:t>
            </w:r>
          </w:p>
        </w:tc>
        <w:tc>
          <w:tcPr>
            <w:tcW w:w="0" w:type="dxa"/>
            <w:vAlign w:val="bottom"/>
          </w:tcPr>
          <w:p>
            <w:pPr>
              <w:spacing w:after="0"/>
              <w:rPr>
                <w:sz w:val="1"/>
                <w:szCs w:val="1"/>
                <w:color w:val="auto"/>
              </w:rPr>
            </w:pPr>
          </w:p>
        </w:tc>
      </w:tr>
      <w:tr>
        <w:trPr>
          <w:trHeight w:val="18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(1,768)</w:t>
            </w:r>
          </w:p>
        </w:tc>
        <w:tc>
          <w:tcPr>
            <w:tcW w:w="360" w:type="dxa"/>
            <w:vAlign w:val="bottom"/>
            <w:tcBorders>
              <w:bottom w:val="single" w:sz="8" w:color="CCEEFF"/>
            </w:tcBorders>
            <w:gridSpan w:val="2"/>
          </w:tcPr>
          <w:p>
            <w:pPr>
              <w:jc w:val="right"/>
              <w:ind w:right="10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76.75</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and exercisable at September 30,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790,781</w:t>
            </w:r>
          </w:p>
        </w:tc>
        <w:tc>
          <w:tcPr>
            <w:tcW w:w="36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74.28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RESTRICTED SHARES AND STOCK UNITS.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status of, and changes in, our nonvested restricted shares and restricted stock units during the nine months ended September 30, 2024.</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0" w:type="dxa"/>
            <w:vAlign w:val="bottom"/>
            <w:shd w:val="clear" w:color="auto" w:fill="CCEEFF"/>
          </w:tcPr>
          <w:p>
            <w:pPr>
              <w:spacing w:after="0"/>
              <w:rPr>
                <w:sz w:val="10"/>
                <w:szCs w:val="10"/>
                <w:color w:val="auto"/>
              </w:rPr>
            </w:pPr>
          </w:p>
        </w:tc>
        <w:tc>
          <w:tcPr>
            <w:tcW w:w="15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1"/>
                <w:szCs w:val="11"/>
                <w:b w:val="1"/>
                <w:bCs w:val="1"/>
                <w:color w:val="auto"/>
              </w:rPr>
              <w:t>Restricted</w:t>
            </w:r>
          </w:p>
        </w:tc>
        <w:tc>
          <w:tcPr>
            <w:tcW w:w="144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Restricted</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vMerge w:val="restart"/>
            <w:shd w:val="clear" w:color="auto" w:fill="CCEEFF"/>
          </w:tcPr>
          <w:p>
            <w:pPr>
              <w:jc w:val="right"/>
              <w:ind w:right="153"/>
              <w:spacing w:after="0"/>
              <w:rPr>
                <w:sz w:val="20"/>
                <w:szCs w:val="20"/>
                <w:color w:val="auto"/>
              </w:rPr>
            </w:pPr>
            <w:r>
              <w:rPr>
                <w:rFonts w:ascii="Arial" w:cs="Arial" w:eastAsia="Arial" w:hAnsi="Arial"/>
                <w:sz w:val="11"/>
                <w:szCs w:val="11"/>
                <w:b w:val="1"/>
                <w:bCs w:val="1"/>
                <w:color w:val="auto"/>
              </w:rPr>
              <w:t>Weighted-average</w:t>
            </w:r>
          </w:p>
        </w:tc>
        <w:tc>
          <w:tcPr>
            <w:tcW w:w="0" w:type="dxa"/>
            <w:vAlign w:val="bottom"/>
          </w:tcPr>
          <w:p>
            <w:pPr>
              <w:spacing w:after="0"/>
              <w:rPr>
                <w:sz w:val="1"/>
                <w:szCs w:val="1"/>
                <w:color w:val="auto"/>
              </w:rPr>
            </w:pPr>
          </w:p>
        </w:tc>
      </w:tr>
      <w:tr>
        <w:trPr>
          <w:trHeight w:val="117"/>
        </w:trPr>
        <w:tc>
          <w:tcPr>
            <w:tcW w:w="6800" w:type="dxa"/>
            <w:vAlign w:val="bottom"/>
            <w:shd w:val="clear" w:color="auto" w:fill="CCEEFF"/>
          </w:tcPr>
          <w:p>
            <w:pPr>
              <w:spacing w:after="0"/>
              <w:rPr>
                <w:sz w:val="10"/>
                <w:szCs w:val="10"/>
                <w:color w:val="auto"/>
              </w:rPr>
            </w:pPr>
          </w:p>
        </w:tc>
        <w:tc>
          <w:tcPr>
            <w:tcW w:w="1520" w:type="dxa"/>
            <w:vAlign w:val="bottom"/>
            <w:gridSpan w:val="2"/>
            <w:vMerge w:val="continue"/>
            <w:shd w:val="clear" w:color="auto" w:fill="CCEEFF"/>
          </w:tcPr>
          <w:p>
            <w:pPr>
              <w:spacing w:after="0"/>
              <w:rPr>
                <w:sz w:val="10"/>
                <w:szCs w:val="10"/>
                <w:color w:val="auto"/>
              </w:rPr>
            </w:pPr>
          </w:p>
        </w:tc>
        <w:tc>
          <w:tcPr>
            <w:tcW w:w="1440" w:type="dxa"/>
            <w:vAlign w:val="bottom"/>
            <w:shd w:val="clear" w:color="auto" w:fill="CCEEFF"/>
          </w:tcPr>
          <w:p>
            <w:pPr>
              <w:jc w:val="center"/>
              <w:spacing w:after="0" w:line="117" w:lineRule="exact"/>
              <w:rPr>
                <w:sz w:val="20"/>
                <w:szCs w:val="20"/>
                <w:color w:val="auto"/>
              </w:rPr>
            </w:pPr>
            <w:r>
              <w:rPr>
                <w:rFonts w:ascii="Arial" w:cs="Arial" w:eastAsia="Arial" w:hAnsi="Arial"/>
                <w:sz w:val="11"/>
                <w:szCs w:val="11"/>
                <w:b w:val="1"/>
                <w:bCs w:val="1"/>
                <w:color w:val="auto"/>
                <w:w w:val="97"/>
              </w:rPr>
              <w:t>stock</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8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b w:val="1"/>
                <w:bCs w:val="1"/>
                <w:color w:val="auto"/>
              </w:rPr>
              <w:t>shares</w:t>
            </w:r>
          </w:p>
        </w:tc>
        <w:tc>
          <w:tcPr>
            <w:tcW w:w="144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units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393"/>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71"/>
        </w:trPr>
        <w:tc>
          <w:tcPr>
            <w:tcW w:w="6800" w:type="dxa"/>
            <w:vAlign w:val="bottom"/>
          </w:tcPr>
          <w:p>
            <w:pPr>
              <w:ind w:left="20"/>
              <w:spacing w:after="0"/>
              <w:rPr>
                <w:sz w:val="20"/>
                <w:szCs w:val="20"/>
                <w:color w:val="auto"/>
              </w:rPr>
            </w:pPr>
            <w:r>
              <w:rPr>
                <w:rFonts w:ascii="Arial" w:cs="Arial" w:eastAsia="Arial" w:hAnsi="Arial"/>
                <w:sz w:val="14"/>
                <w:szCs w:val="14"/>
                <w:color w:val="auto"/>
              </w:rPr>
              <w:t>Nonvested at December 31, 2023</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56,740</w:t>
            </w:r>
          </w:p>
        </w:tc>
        <w:tc>
          <w:tcPr>
            <w:tcW w:w="100" w:type="dxa"/>
            <w:vAlign w:val="bottom"/>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6,485,253</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127.74</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Time-based grants</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8,970</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63,578</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110.50</w:t>
            </w:r>
          </w:p>
        </w:tc>
        <w:tc>
          <w:tcPr>
            <w:tcW w:w="0" w:type="dxa"/>
            <w:vAlign w:val="bottom"/>
          </w:tcPr>
          <w:p>
            <w:pPr>
              <w:spacing w:after="0"/>
              <w:rPr>
                <w:sz w:val="1"/>
                <w:szCs w:val="1"/>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Dividend equivalents granted to non-employee directors</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2,836</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115.62</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(20,160)</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(72,659)</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109.41</w:t>
            </w:r>
          </w:p>
        </w:tc>
        <w:tc>
          <w:tcPr>
            <w:tcW w:w="0" w:type="dxa"/>
            <w:vAlign w:val="bottom"/>
          </w:tcPr>
          <w:p>
            <w:pPr>
              <w:spacing w:after="0"/>
              <w:rPr>
                <w:sz w:val="1"/>
                <w:szCs w:val="1"/>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Forfeited</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(195,333)</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128.23</w:t>
            </w:r>
          </w:p>
        </w:tc>
        <w:tc>
          <w:tcPr>
            <w:tcW w:w="0" w:type="dxa"/>
            <w:vAlign w:val="bottom"/>
          </w:tcPr>
          <w:p>
            <w:pPr>
              <w:spacing w:after="0"/>
              <w:rPr>
                <w:sz w:val="1"/>
                <w:szCs w:val="1"/>
                <w:color w:val="auto"/>
              </w:rPr>
            </w:pPr>
          </w:p>
        </w:tc>
      </w:tr>
      <w:tr>
        <w:trPr>
          <w:trHeight w:val="196"/>
        </w:trPr>
        <w:tc>
          <w:tcPr>
            <w:tcW w:w="6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at September 30, 2024</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6,283,675</w:t>
            </w:r>
          </w:p>
        </w:tc>
        <w:tc>
          <w:tcPr>
            <w:tcW w:w="260" w:type="dxa"/>
            <w:vAlign w:val="bottom"/>
            <w:tcBorders>
              <w:top w:val="single" w:sz="8" w:color="CCEEFF"/>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127.80</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Nonvested at September 30, 2024, includes performance-based restricted stock units of 334,548. These nonvested performance-based restricted stock units include 108,775 units for which the performance period has lapsed, and the performance threshold has been met.</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FUTURE STOCK-BASED COMPENSATION EXPENSE.</w:t>
      </w:r>
    </w:p>
    <w:p>
      <w:pPr>
        <w:spacing w:after="0" w:line="200" w:lineRule="exact"/>
        <w:rPr>
          <w:sz w:val="20"/>
          <w:szCs w:val="20"/>
          <w:color w:val="auto"/>
        </w:rPr>
      </w:pPr>
    </w:p>
    <w:p>
      <w:pPr>
        <w:ind w:right="380"/>
        <w:spacing w:after="0" w:line="271" w:lineRule="auto"/>
        <w:rPr>
          <w:sz w:val="20"/>
          <w:szCs w:val="20"/>
          <w:color w:val="auto"/>
        </w:rPr>
      </w:pPr>
      <w:r>
        <w:rPr>
          <w:rFonts w:ascii="Arial" w:cs="Arial" w:eastAsia="Arial" w:hAnsi="Arial"/>
          <w:sz w:val="14"/>
          <w:szCs w:val="14"/>
          <w:color w:val="auto"/>
        </w:rPr>
        <w:t>The following table presents the compensation expense to be recognized over the remaining vesting periods of the stock-based awards outstanding at September 30, 2024. Estimated future compensation expense will change to reflect future grants of restricted stock awards and units, future option grants,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61530" cy="1009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millions)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Fourth quarter 2024</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2025</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2026 through 2029</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-6257290</wp:posOffset>
            </wp:positionH>
            <wp:positionV relativeFrom="paragraph">
              <wp:posOffset>14605</wp:posOffset>
            </wp:positionV>
            <wp:extent cx="7161530"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117.2</w:t>
      </w:r>
    </w:p>
    <w:p>
      <w:pPr>
        <w:spacing w:after="0" w:line="1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-6257290</wp:posOffset>
            </wp:positionH>
            <wp:positionV relativeFrom="paragraph">
              <wp:posOffset>11430</wp:posOffset>
            </wp:positionV>
            <wp:extent cx="7161530" cy="134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4" w:lineRule="exact"/>
        <w:rPr>
          <w:sz w:val="20"/>
          <w:szCs w:val="20"/>
          <w:color w:val="auto"/>
        </w:rPr>
      </w:pPr>
    </w:p>
    <w:p>
      <w:pPr>
        <w:ind w:left="1000" w:hanging="995"/>
        <w:spacing w:after="0"/>
        <w:tabs>
          <w:tab w:leader="none" w:pos="1000" w:val="left"/>
        </w:tabs>
        <w:numPr>
          <w:ilvl w:val="0"/>
          <w:numId w:val="6"/>
        </w:numPr>
        <w:rPr>
          <w:rFonts w:ascii="Arial" w:cs="Arial" w:eastAsia="Arial" w:hAnsi="Arial"/>
          <w:sz w:val="14"/>
          <w:szCs w:val="14"/>
          <w:color w:val="auto"/>
        </w:rPr>
      </w:pPr>
      <w:r>
        <w:rPr>
          <w:rFonts w:ascii="Arial" w:cs="Arial" w:eastAsia="Arial" w:hAnsi="Arial"/>
          <w:sz w:val="14"/>
          <w:szCs w:val="14"/>
          <w:color w:val="auto"/>
        </w:rPr>
        <w:t>254.4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90932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09320"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9140" w:space="720"/>
            <w:col w:w="1420"/>
          </w:cols>
          <w:pgMar w:left="300" w:top="760" w:right="319" w:bottom="1440" w:gutter="0" w:footer="0" w:header="0"/>
          <w:type w:val="continuous"/>
        </w:sect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EARNINGS PER SHARE CALCULATIONS.</w:t>
      </w:r>
    </w:p>
    <w:p>
      <w:pPr>
        <w:spacing w:after="0" w:line="200"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The following table presents the reconciliation of net income attributable to T. Rowe Price Group, Inc.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 No outstanding stock options had an anti-dilutive impact on the diluted earnings per common share calculation in the periods presented.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59"/>
        </w:trPr>
        <w:tc>
          <w:tcPr>
            <w:tcW w:w="5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540" w:type="dxa"/>
            <w:vAlign w:val="bottom"/>
            <w:gridSpan w:val="5"/>
            <w:shd w:val="clear" w:color="auto" w:fill="CCEEFF"/>
          </w:tcPr>
          <w:p>
            <w:pPr>
              <w:ind w:left="540"/>
              <w:spacing w:after="0"/>
              <w:rPr>
                <w:sz w:val="20"/>
                <w:szCs w:val="20"/>
                <w:color w:val="auto"/>
              </w:rPr>
            </w:pPr>
            <w:r>
              <w:rPr>
                <w:rFonts w:ascii="Arial" w:cs="Arial" w:eastAsia="Arial" w:hAnsi="Arial"/>
                <w:sz w:val="11"/>
                <w:szCs w:val="11"/>
                <w:b w:val="1"/>
                <w:bCs w:val="1"/>
                <w:color w:val="auto"/>
              </w:rPr>
              <w:t>Three months ended</w:t>
            </w:r>
          </w:p>
        </w:tc>
        <w:tc>
          <w:tcPr>
            <w:tcW w:w="260" w:type="dxa"/>
            <w:vAlign w:val="bottom"/>
            <w:shd w:val="clear" w:color="auto" w:fill="CCEEFF"/>
          </w:tcPr>
          <w:p>
            <w:pPr>
              <w:spacing w:after="0"/>
              <w:rPr>
                <w:sz w:val="13"/>
                <w:szCs w:val="13"/>
                <w:color w:val="auto"/>
              </w:rPr>
            </w:pPr>
          </w:p>
        </w:tc>
        <w:tc>
          <w:tcPr>
            <w:tcW w:w="2460" w:type="dxa"/>
            <w:vAlign w:val="bottom"/>
            <w:gridSpan w:val="4"/>
            <w:shd w:val="clear" w:color="auto" w:fill="CCEEFF"/>
          </w:tcPr>
          <w:p>
            <w:pPr>
              <w:jc w:val="right"/>
              <w:ind w:right="772"/>
              <w:spacing w:after="0"/>
              <w:rPr>
                <w:sz w:val="20"/>
                <w:szCs w:val="20"/>
                <w:color w:val="auto"/>
              </w:rPr>
            </w:pPr>
            <w:r>
              <w:rPr>
                <w:rFonts w:ascii="Arial" w:cs="Arial" w:eastAsia="Arial" w:hAnsi="Arial"/>
                <w:sz w:val="11"/>
                <w:szCs w:val="11"/>
                <w:b w:val="1"/>
                <w:bCs w:val="1"/>
                <w:color w:val="auto"/>
              </w:rPr>
              <w:t>Nine months ended</w:t>
            </w:r>
          </w:p>
        </w:tc>
      </w:tr>
      <w:tr>
        <w:trPr>
          <w:trHeight w:val="150"/>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millions)</w:t>
            </w:r>
          </w:p>
        </w:tc>
        <w:tc>
          <w:tcPr>
            <w:tcW w:w="2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9/30/2024</w:t>
            </w:r>
          </w:p>
        </w:tc>
        <w:tc>
          <w:tcPr>
            <w:tcW w:w="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rPr>
              <w:t>9/30/2023</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9/30/2024</w:t>
            </w:r>
          </w:p>
        </w:tc>
        <w:tc>
          <w:tcPr>
            <w:tcW w:w="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rPr>
              <w:t>9/30/2023</w:t>
            </w:r>
          </w:p>
        </w:tc>
      </w:tr>
      <w:tr>
        <w:trPr>
          <w:trHeight w:val="171"/>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T. Rowe Price Group, Inc.</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1,351.1</w:t>
            </w:r>
          </w:p>
        </w:tc>
      </w:tr>
      <w:tr>
        <w:trPr>
          <w:trHeight w:val="180"/>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income allocated to outstanding restricted stock and stock unit holders</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w:t>
            </w:r>
          </w:p>
        </w:tc>
      </w:tr>
      <w:tr>
        <w:trPr>
          <w:trHeight w:val="196"/>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allocated to common stockholders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1,616.0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1,318.4</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0"/>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common shares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5760" w:type="dxa"/>
            <w:vAlign w:val="bottom"/>
          </w:tcPr>
          <w:p>
            <w:pPr>
              <w:ind w:left="120"/>
              <w:spacing w:after="0"/>
              <w:rPr>
                <w:sz w:val="20"/>
                <w:szCs w:val="20"/>
                <w:color w:val="auto"/>
              </w:rPr>
            </w:pPr>
            <w:r>
              <w:rPr>
                <w:rFonts w:ascii="Arial" w:cs="Arial" w:eastAsia="Arial" w:hAnsi="Arial"/>
                <w:sz w:val="14"/>
                <w:szCs w:val="14"/>
                <w:color w:val="auto"/>
              </w:rPr>
              <w:t>Outstanding</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222.3</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224.1</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223.0</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224.3</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8"/>
        </w:trPr>
        <w:tc>
          <w:tcPr>
            <w:tcW w:w="5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Outstanding assuming dilution</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225.1</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OTHER COMPREHENSIVE INCOME AND ACCUMULATED OTHER COMPREHENSIVE LOSS.</w:t>
      </w:r>
    </w:p>
    <w:p>
      <w:pPr>
        <w:spacing w:after="0" w:line="242" w:lineRule="exact"/>
        <w:rPr>
          <w:sz w:val="20"/>
          <w:szCs w:val="20"/>
          <w:color w:val="auto"/>
        </w:rPr>
      </w:pPr>
    </w:p>
    <w:p>
      <w:pPr>
        <w:ind w:right="500"/>
        <w:spacing w:after="0" w:line="290" w:lineRule="auto"/>
        <w:rPr>
          <w:sz w:val="20"/>
          <w:szCs w:val="20"/>
          <w:color w:val="auto"/>
        </w:rPr>
      </w:pPr>
      <w:r>
        <w:rPr>
          <w:rFonts w:ascii="Arial" w:cs="Arial" w:eastAsia="Arial" w:hAnsi="Arial"/>
          <w:sz w:val="14"/>
          <w:szCs w:val="14"/>
          <w:color w:val="auto"/>
        </w:rPr>
        <w:t>The changes in currency translation adjustments included in accumulated other comprehensive income (loss) for the three months ended September 30, 2024 and 2023 are presented in the table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700" w:type="dxa"/>
            <w:vAlign w:val="bottom"/>
            <w:tcBorders>
              <w:bottom w:val="single" w:sz="8" w:color="auto"/>
            </w:tcBorders>
            <w:gridSpan w:val="6"/>
            <w:shd w:val="clear" w:color="auto" w:fill="CCEEFF"/>
          </w:tcPr>
          <w:p>
            <w:pPr>
              <w:jc w:val="center"/>
              <w:ind w:left="838"/>
              <w:spacing w:after="0"/>
              <w:rPr>
                <w:sz w:val="20"/>
                <w:szCs w:val="20"/>
                <w:color w:val="auto"/>
              </w:rPr>
            </w:pPr>
            <w:r>
              <w:rPr>
                <w:rFonts w:ascii="Arial" w:cs="Arial" w:eastAsia="Arial" w:hAnsi="Arial"/>
                <w:sz w:val="11"/>
                <w:szCs w:val="11"/>
                <w:b w:val="1"/>
                <w:bCs w:val="1"/>
                <w:color w:val="auto"/>
              </w:rPr>
              <w:t>Three months ended 9/30/2024</w:t>
            </w:r>
          </w:p>
        </w:tc>
        <w:tc>
          <w:tcPr>
            <w:tcW w:w="106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2720" w:type="dxa"/>
            <w:vAlign w:val="bottom"/>
            <w:tcBorders>
              <w:bottom w:val="single" w:sz="8" w:color="auto"/>
            </w:tcBorders>
            <w:gridSpan w:val="6"/>
            <w:shd w:val="clear" w:color="auto" w:fill="CCEEFF"/>
          </w:tcPr>
          <w:p>
            <w:pPr>
              <w:jc w:val="center"/>
              <w:ind w:left="858"/>
              <w:spacing w:after="0"/>
              <w:rPr>
                <w:sz w:val="20"/>
                <w:szCs w:val="20"/>
                <w:color w:val="auto"/>
              </w:rPr>
            </w:pPr>
            <w:r>
              <w:rPr>
                <w:rFonts w:ascii="Arial" w:cs="Arial" w:eastAsia="Arial" w:hAnsi="Arial"/>
                <w:sz w:val="11"/>
                <w:szCs w:val="11"/>
                <w:b w:val="1"/>
                <w:bCs w:val="1"/>
                <w:color w:val="auto"/>
              </w:rPr>
              <w:t>Three months ended 9/30/2023</w:t>
            </w:r>
          </w:p>
        </w:tc>
        <w:tc>
          <w:tcPr>
            <w:tcW w:w="10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tcPr>
          <w:p>
            <w:pPr>
              <w:jc w:val="center"/>
              <w:ind w:right="100"/>
              <w:spacing w:after="0" w:line="112" w:lineRule="exact"/>
              <w:rPr>
                <w:sz w:val="20"/>
                <w:szCs w:val="20"/>
                <w:color w:val="auto"/>
              </w:rPr>
            </w:pPr>
            <w:r>
              <w:rPr>
                <w:rFonts w:ascii="Arial" w:cs="Arial" w:eastAsia="Arial" w:hAnsi="Arial"/>
                <w:sz w:val="11"/>
                <w:szCs w:val="11"/>
                <w:b w:val="1"/>
                <w:bCs w:val="1"/>
                <w:color w:val="auto"/>
              </w:rPr>
              <w:t>Consolidated T. Rowe</w:t>
            </w:r>
          </w:p>
        </w:tc>
        <w:tc>
          <w:tcPr>
            <w:tcW w:w="140" w:type="dxa"/>
            <w:vAlign w:val="bottom"/>
          </w:tcPr>
          <w:p>
            <w:pPr>
              <w:spacing w:after="0"/>
              <w:rPr>
                <w:sz w:val="9"/>
                <w:szCs w:val="9"/>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rPr>
              <w:t>Total currency</w:t>
            </w: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3"/>
          </w:tcPr>
          <w:p>
            <w:pPr>
              <w:jc w:val="center"/>
              <w:ind w:right="100"/>
              <w:spacing w:after="0" w:line="112" w:lineRule="exact"/>
              <w:rPr>
                <w:sz w:val="20"/>
                <w:szCs w:val="20"/>
                <w:color w:val="auto"/>
              </w:rPr>
            </w:pPr>
            <w:r>
              <w:rPr>
                <w:rFonts w:ascii="Arial" w:cs="Arial" w:eastAsia="Arial" w:hAnsi="Arial"/>
                <w:sz w:val="11"/>
                <w:szCs w:val="11"/>
                <w:b w:val="1"/>
                <w:bCs w:val="1"/>
                <w:color w:val="auto"/>
              </w:rPr>
              <w:t>Consolidated T. Rowe</w:t>
            </w:r>
          </w:p>
        </w:tc>
        <w:tc>
          <w:tcPr>
            <w:tcW w:w="160" w:type="dxa"/>
            <w:vAlign w:val="bottom"/>
          </w:tcPr>
          <w:p>
            <w:pPr>
              <w:spacing w:after="0"/>
              <w:rPr>
                <w:sz w:val="9"/>
                <w:szCs w:val="9"/>
                <w:color w:val="auto"/>
              </w:rPr>
            </w:pPr>
          </w:p>
        </w:tc>
        <w:tc>
          <w:tcPr>
            <w:tcW w:w="1060" w:type="dxa"/>
            <w:vAlign w:val="bottom"/>
            <w:vMerge w:val="restart"/>
          </w:tcPr>
          <w:p>
            <w:pPr>
              <w:jc w:val="center"/>
              <w:ind w:right="98"/>
              <w:spacing w:after="0"/>
              <w:rPr>
                <w:sz w:val="20"/>
                <w:szCs w:val="20"/>
                <w:color w:val="auto"/>
              </w:rPr>
            </w:pPr>
            <w:r>
              <w:rPr>
                <w:rFonts w:ascii="Arial" w:cs="Arial" w:eastAsia="Arial" w:hAnsi="Arial"/>
                <w:sz w:val="11"/>
                <w:szCs w:val="11"/>
                <w:b w:val="1"/>
                <w:bCs w:val="1"/>
                <w:color w:val="auto"/>
              </w:rPr>
              <w:t>Total currency</w:t>
            </w:r>
          </w:p>
        </w:tc>
        <w:tc>
          <w:tcPr>
            <w:tcW w:w="0" w:type="dxa"/>
            <w:vAlign w:val="bottom"/>
          </w:tcPr>
          <w:p>
            <w:pPr>
              <w:spacing w:after="0"/>
              <w:rPr>
                <w:sz w:val="1"/>
                <w:szCs w:val="1"/>
                <w:color w:val="auto"/>
              </w:rPr>
            </w:pPr>
          </w:p>
        </w:tc>
      </w:tr>
      <w:tr>
        <w:trPr>
          <w:trHeight w:val="112"/>
        </w:trPr>
        <w:tc>
          <w:tcPr>
            <w:tcW w:w="3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rPr>
              <w:t>Equity method</w:t>
            </w:r>
          </w:p>
        </w:tc>
        <w:tc>
          <w:tcPr>
            <w:tcW w:w="120" w:type="dxa"/>
            <w:vAlign w:val="bottom"/>
          </w:tcPr>
          <w:p>
            <w:pPr>
              <w:spacing w:after="0"/>
              <w:rPr>
                <w:sz w:val="9"/>
                <w:szCs w:val="9"/>
                <w:color w:val="auto"/>
              </w:rPr>
            </w:pPr>
          </w:p>
        </w:tc>
        <w:tc>
          <w:tcPr>
            <w:tcW w:w="1300" w:type="dxa"/>
            <w:vAlign w:val="bottom"/>
            <w:gridSpan w:val="2"/>
          </w:tcPr>
          <w:p>
            <w:pPr>
              <w:jc w:val="center"/>
              <w:ind w:right="220"/>
              <w:spacing w:after="0" w:line="113" w:lineRule="exact"/>
              <w:rPr>
                <w:sz w:val="20"/>
                <w:szCs w:val="20"/>
                <w:color w:val="auto"/>
              </w:rPr>
            </w:pPr>
            <w:r>
              <w:rPr>
                <w:rFonts w:ascii="Arial" w:cs="Arial" w:eastAsia="Arial" w:hAnsi="Arial"/>
                <w:sz w:val="11"/>
                <w:szCs w:val="11"/>
                <w:b w:val="1"/>
                <w:bCs w:val="1"/>
                <w:color w:val="auto"/>
              </w:rPr>
              <w:t>Price investment</w:t>
            </w: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rPr>
              <w:t>Equity method</w:t>
            </w:r>
          </w:p>
        </w:tc>
        <w:tc>
          <w:tcPr>
            <w:tcW w:w="120" w:type="dxa"/>
            <w:vAlign w:val="bottom"/>
          </w:tcPr>
          <w:p>
            <w:pPr>
              <w:spacing w:after="0"/>
              <w:rPr>
                <w:sz w:val="9"/>
                <w:szCs w:val="9"/>
                <w:color w:val="auto"/>
              </w:rPr>
            </w:pPr>
          </w:p>
        </w:tc>
        <w:tc>
          <w:tcPr>
            <w:tcW w:w="1300" w:type="dxa"/>
            <w:vAlign w:val="bottom"/>
            <w:gridSpan w:val="2"/>
          </w:tcPr>
          <w:p>
            <w:pPr>
              <w:jc w:val="center"/>
              <w:ind w:right="200"/>
              <w:spacing w:after="0" w:line="113" w:lineRule="exact"/>
              <w:rPr>
                <w:sz w:val="20"/>
                <w:szCs w:val="20"/>
                <w:color w:val="auto"/>
              </w:rPr>
            </w:pPr>
            <w:r>
              <w:rPr>
                <w:rFonts w:ascii="Arial" w:cs="Arial" w:eastAsia="Arial" w:hAnsi="Arial"/>
                <w:sz w:val="11"/>
                <w:szCs w:val="11"/>
                <w:b w:val="1"/>
                <w:bCs w:val="1"/>
                <w:color w:val="auto"/>
              </w:rPr>
              <w:t>Price investment</w:t>
            </w:r>
          </w:p>
        </w:tc>
        <w:tc>
          <w:tcPr>
            <w:tcW w:w="1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200" w:type="dxa"/>
            <w:vAlign w:val="bottom"/>
            <w:vMerge w:val="restart"/>
          </w:tcPr>
          <w:p>
            <w:pPr>
              <w:ind w:left="20"/>
              <w:spacing w:after="0"/>
              <w:rPr>
                <w:sz w:val="20"/>
                <w:szCs w:val="20"/>
                <w:color w:val="auto"/>
              </w:rPr>
            </w:pPr>
            <w:r>
              <w:rPr>
                <w:rFonts w:ascii="Arial" w:cs="Arial" w:eastAsia="Arial" w:hAnsi="Arial"/>
                <w:sz w:val="11"/>
                <w:szCs w:val="11"/>
                <w:color w:val="auto"/>
              </w:rPr>
              <w:t>(in millions)</w:t>
            </w:r>
          </w:p>
        </w:tc>
        <w:tc>
          <w:tcPr>
            <w:tcW w:w="1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rPr>
              <w:t>products - variable</w:t>
            </w:r>
          </w:p>
        </w:tc>
        <w:tc>
          <w:tcPr>
            <w:tcW w:w="140" w:type="dxa"/>
            <w:vAlign w:val="bottom"/>
          </w:tcPr>
          <w:p>
            <w:pPr>
              <w:spacing w:after="0"/>
              <w:rPr>
                <w:sz w:val="10"/>
                <w:szCs w:val="10"/>
                <w:color w:val="auto"/>
              </w:rPr>
            </w:pPr>
          </w:p>
        </w:tc>
        <w:tc>
          <w:tcPr>
            <w:tcW w:w="1220" w:type="dxa"/>
            <w:vAlign w:val="bottom"/>
            <w:gridSpan w:val="2"/>
          </w:tcPr>
          <w:p>
            <w:pPr>
              <w:jc w:val="center"/>
              <w:ind w:right="320"/>
              <w:spacing w:after="0" w:line="117" w:lineRule="exact"/>
              <w:rPr>
                <w:sz w:val="20"/>
                <w:szCs w:val="20"/>
                <w:color w:val="auto"/>
              </w:rPr>
            </w:pPr>
            <w:r>
              <w:rPr>
                <w:rFonts w:ascii="Arial" w:cs="Arial" w:eastAsia="Arial" w:hAnsi="Arial"/>
                <w:sz w:val="11"/>
                <w:szCs w:val="11"/>
                <w:b w:val="1"/>
                <w:bCs w:val="1"/>
                <w:color w:val="auto"/>
              </w:rPr>
              <w:t>translation</w:t>
            </w: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center"/>
              <w:ind w:right="200"/>
              <w:spacing w:after="0" w:line="117" w:lineRule="exact"/>
              <w:rPr>
                <w:sz w:val="20"/>
                <w:szCs w:val="20"/>
                <w:color w:val="auto"/>
              </w:rPr>
            </w:pPr>
            <w:r>
              <w:rPr>
                <w:rFonts w:ascii="Arial" w:cs="Arial" w:eastAsia="Arial" w:hAnsi="Arial"/>
                <w:sz w:val="11"/>
                <w:szCs w:val="11"/>
                <w:b w:val="1"/>
                <w:bCs w:val="1"/>
                <w:color w:val="auto"/>
              </w:rPr>
              <w:t>products - variable</w:t>
            </w:r>
          </w:p>
        </w:tc>
        <w:tc>
          <w:tcPr>
            <w:tcW w:w="160" w:type="dxa"/>
            <w:vAlign w:val="bottom"/>
          </w:tcPr>
          <w:p>
            <w:pPr>
              <w:spacing w:after="0"/>
              <w:rPr>
                <w:sz w:val="10"/>
                <w:szCs w:val="10"/>
                <w:color w:val="auto"/>
              </w:rPr>
            </w:pPr>
          </w:p>
        </w:tc>
        <w:tc>
          <w:tcPr>
            <w:tcW w:w="1060" w:type="dxa"/>
            <w:vAlign w:val="bottom"/>
          </w:tcPr>
          <w:p>
            <w:pPr>
              <w:jc w:val="center"/>
              <w:ind w:right="98"/>
              <w:spacing w:after="0" w:line="117" w:lineRule="exact"/>
              <w:rPr>
                <w:sz w:val="20"/>
                <w:szCs w:val="20"/>
                <w:color w:val="auto"/>
              </w:rPr>
            </w:pPr>
            <w:r>
              <w:rPr>
                <w:rFonts w:ascii="Arial" w:cs="Arial" w:eastAsia="Arial" w:hAnsi="Arial"/>
                <w:sz w:val="11"/>
                <w:szCs w:val="11"/>
                <w:b w:val="1"/>
                <w:bCs w:val="1"/>
                <w:color w:val="auto"/>
              </w:rPr>
              <w:t>translation</w:t>
            </w:r>
          </w:p>
        </w:tc>
        <w:tc>
          <w:tcPr>
            <w:tcW w:w="0" w:type="dxa"/>
            <w:vAlign w:val="bottom"/>
          </w:tcPr>
          <w:p>
            <w:pPr>
              <w:spacing w:after="0"/>
              <w:rPr>
                <w:sz w:val="1"/>
                <w:szCs w:val="1"/>
                <w:color w:val="auto"/>
              </w:rPr>
            </w:pPr>
          </w:p>
        </w:tc>
      </w:tr>
      <w:tr>
        <w:trPr>
          <w:trHeight w:val="149"/>
        </w:trPr>
        <w:tc>
          <w:tcPr>
            <w:tcW w:w="3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investments</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interest entities</w:t>
            </w:r>
          </w:p>
        </w:tc>
        <w:tc>
          <w:tcPr>
            <w:tcW w:w="14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adjustments</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investments</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interest entities</w:t>
            </w:r>
          </w:p>
        </w:tc>
        <w:tc>
          <w:tcPr>
            <w:tcW w:w="160" w:type="dxa"/>
            <w:vAlign w:val="bottom"/>
          </w:tcPr>
          <w:p>
            <w:pPr>
              <w:spacing w:after="0"/>
              <w:rPr>
                <w:sz w:val="12"/>
                <w:szCs w:val="12"/>
                <w:color w:val="auto"/>
              </w:rPr>
            </w:pPr>
          </w:p>
        </w:tc>
        <w:tc>
          <w:tcPr>
            <w:tcW w:w="1060" w:type="dxa"/>
            <w:vAlign w:val="bottom"/>
          </w:tcPr>
          <w:p>
            <w:pPr>
              <w:jc w:val="center"/>
              <w:ind w:right="98"/>
              <w:spacing w:after="0"/>
              <w:rPr>
                <w:sz w:val="20"/>
                <w:szCs w:val="20"/>
                <w:color w:val="auto"/>
              </w:rPr>
            </w:pPr>
            <w:r>
              <w:rPr>
                <w:rFonts w:ascii="Arial" w:cs="Arial" w:eastAsia="Arial" w:hAnsi="Arial"/>
                <w:sz w:val="11"/>
                <w:szCs w:val="11"/>
                <w:b w:val="1"/>
                <w:bCs w:val="1"/>
                <w:color w:val="auto"/>
              </w:rPr>
              <w:t>adjustments</w:t>
            </w:r>
          </w:p>
        </w:tc>
        <w:tc>
          <w:tcPr>
            <w:tcW w:w="0" w:type="dxa"/>
            <w:vAlign w:val="bottom"/>
          </w:tcPr>
          <w:p>
            <w:pPr>
              <w:spacing w:after="0"/>
              <w:rPr>
                <w:sz w:val="1"/>
                <w:szCs w:val="1"/>
                <w:color w:val="auto"/>
              </w:rPr>
            </w:pPr>
          </w:p>
        </w:tc>
      </w:tr>
      <w:tr>
        <w:trPr>
          <w:trHeight w:val="160"/>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at beginning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jc w:val="center"/>
              <w:ind w:left="838"/>
              <w:spacing w:after="0"/>
              <w:rPr>
                <w:sz w:val="20"/>
                <w:szCs w:val="20"/>
                <w:color w:val="auto"/>
              </w:rPr>
            </w:pPr>
            <w:r>
              <w:rPr>
                <w:rFonts w:ascii="Arial" w:cs="Arial" w:eastAsia="Arial" w:hAnsi="Arial"/>
                <w:sz w:val="13"/>
                <w:szCs w:val="13"/>
                <w:color w:val="auto"/>
                <w:w w:val="99"/>
              </w:rPr>
              <w:t>2.7</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07"/>
        </w:trPr>
        <w:tc>
          <w:tcPr>
            <w:tcW w:w="3200" w:type="dxa"/>
            <w:vAlign w:val="bottom"/>
          </w:tcPr>
          <w:p>
            <w:pPr>
              <w:ind w:left="20"/>
              <w:spacing w:after="0" w:line="107" w:lineRule="exact"/>
              <w:rPr>
                <w:sz w:val="20"/>
                <w:szCs w:val="20"/>
                <w:color w:val="auto"/>
              </w:rPr>
            </w:pPr>
            <w:r>
              <w:rPr>
                <w:rFonts w:ascii="Arial" w:cs="Arial" w:eastAsia="Arial" w:hAnsi="Arial"/>
                <w:sz w:val="12"/>
                <w:szCs w:val="12"/>
                <w:color w:val="auto"/>
              </w:rPr>
              <w:t>Other comprehensive income (loss) before</w:t>
            </w:r>
          </w:p>
        </w:tc>
        <w:tc>
          <w:tcPr>
            <w:tcW w:w="16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9.6</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8.4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vMerge w:val="restart"/>
          </w:tcPr>
          <w:p>
            <w:pPr>
              <w:jc w:val="center"/>
              <w:ind w:left="838"/>
              <w:spacing w:after="0"/>
              <w:rPr>
                <w:sz w:val="20"/>
                <w:szCs w:val="20"/>
                <w:color w:val="auto"/>
              </w:rPr>
            </w:pPr>
            <w:r>
              <w:rPr>
                <w:rFonts w:ascii="Arial" w:cs="Arial" w:eastAsia="Arial" w:hAnsi="Arial"/>
                <w:sz w:val="13"/>
                <w:szCs w:val="13"/>
                <w:color w:val="auto"/>
                <w:w w:val="97"/>
              </w:rPr>
              <w:t>(6.9)</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reclassifications and income taxes</w:t>
            </w:r>
          </w:p>
        </w:tc>
        <w:tc>
          <w:tcPr>
            <w:tcW w:w="1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Reclassification adjustments recognized in non-</w:t>
            </w:r>
          </w:p>
        </w:tc>
        <w:tc>
          <w:tcPr>
            <w:tcW w:w="16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center"/>
              <w:ind w:left="838"/>
              <w:spacing w:after="0"/>
              <w:rPr>
                <w:sz w:val="20"/>
                <w:szCs w:val="20"/>
                <w:color w:val="auto"/>
              </w:rPr>
            </w:pPr>
            <w:r>
              <w:rPr>
                <w:rFonts w:ascii="Arial" w:cs="Arial" w:eastAsia="Arial" w:hAnsi="Arial"/>
                <w:sz w:val="13"/>
                <w:szCs w:val="13"/>
                <w:color w:val="auto"/>
                <w:w w:val="97"/>
              </w:rPr>
              <w:t>(0.7)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16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left="838"/>
              <w:spacing w:after="0"/>
              <w:rPr>
                <w:sz w:val="20"/>
                <w:szCs w:val="20"/>
                <w:color w:val="auto"/>
              </w:rPr>
            </w:pPr>
            <w:r>
              <w:rPr>
                <w:rFonts w:ascii="Arial" w:cs="Arial" w:eastAsia="Arial" w:hAnsi="Arial"/>
                <w:sz w:val="13"/>
                <w:szCs w:val="13"/>
                <w:color w:val="auto"/>
                <w:w w:val="97"/>
              </w:rPr>
              <w:t>(7.6)</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deferred tax benefits (income taxes)</w:t>
            </w: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center"/>
              <w:ind w:left="838"/>
              <w:spacing w:after="0"/>
              <w:rPr>
                <w:sz w:val="20"/>
                <w:szCs w:val="20"/>
                <w:color w:val="auto"/>
              </w:rPr>
            </w:pPr>
            <w:r>
              <w:rPr>
                <w:rFonts w:ascii="Arial" w:cs="Arial" w:eastAsia="Arial" w:hAnsi="Arial"/>
                <w:sz w:val="13"/>
                <w:szCs w:val="13"/>
                <w:color w:val="auto"/>
                <w:w w:val="99"/>
              </w:rPr>
              <w:t>1.8</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59"/>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comprehensive income (loss)</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left="838"/>
              <w:spacing w:after="0"/>
              <w:rPr>
                <w:sz w:val="20"/>
                <w:szCs w:val="20"/>
                <w:color w:val="auto"/>
              </w:rPr>
            </w:pPr>
            <w:r>
              <w:rPr>
                <w:rFonts w:ascii="Arial" w:cs="Arial" w:eastAsia="Arial" w:hAnsi="Arial"/>
                <w:sz w:val="13"/>
                <w:szCs w:val="13"/>
                <w:color w:val="auto"/>
                <w:w w:val="97"/>
              </w:rPr>
              <w:t>(5.8)</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87"/>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center"/>
              <w:ind w:left="838"/>
              <w:spacing w:after="0"/>
              <w:rPr>
                <w:sz w:val="20"/>
                <w:szCs w:val="20"/>
                <w:color w:val="auto"/>
              </w:rPr>
            </w:pPr>
            <w:r>
              <w:rPr>
                <w:rFonts w:ascii="Arial" w:cs="Arial" w:eastAsia="Arial" w:hAnsi="Arial"/>
                <w:sz w:val="13"/>
                <w:szCs w:val="13"/>
                <w:color w:val="auto"/>
                <w:w w:val="97"/>
              </w:rPr>
              <w:t>(3.1)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The other comprehensive income (loss) in the table above excludes other comprehensive gains of $7.4 million for the 2024 period and net losses of $3.9 million for the 2023 period, related to redeemable non-controlling interests held in our consolidated products.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0" w:right="319" w:bottom="1440" w:gutter="0" w:footer="0" w:header="0"/>
        </w:sectPr>
      </w:pPr>
    </w:p>
    <w:bookmarkStart w:id="18" w:name="page19"/>
    <w:bookmarkEnd w:id="18"/>
    <w:p>
      <w:pPr>
        <w:ind w:right="520"/>
        <w:spacing w:after="0" w:line="290" w:lineRule="auto"/>
        <w:rPr>
          <w:sz w:val="20"/>
          <w:szCs w:val="20"/>
          <w:color w:val="auto"/>
        </w:rPr>
      </w:pPr>
      <w:r>
        <w:rPr>
          <w:rFonts w:ascii="Arial" w:cs="Arial" w:eastAsia="Arial" w:hAnsi="Arial"/>
          <w:sz w:val="14"/>
          <w:szCs w:val="14"/>
          <w:color w:val="auto"/>
        </w:rPr>
        <w:t>The changes in currency translation adjustments included in accumulated other comprehensive income (loss) for the nine months ended September 30, 2024 and 2023, are presented in the table below.</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700" w:type="dxa"/>
            <w:vAlign w:val="bottom"/>
            <w:tcBorders>
              <w:bottom w:val="single" w:sz="8" w:color="auto"/>
            </w:tcBorders>
            <w:gridSpan w:val="6"/>
            <w:shd w:val="clear" w:color="auto" w:fill="CCEEFF"/>
          </w:tcPr>
          <w:p>
            <w:pPr>
              <w:jc w:val="center"/>
              <w:ind w:left="838"/>
              <w:spacing w:after="0"/>
              <w:rPr>
                <w:sz w:val="20"/>
                <w:szCs w:val="20"/>
                <w:color w:val="auto"/>
              </w:rPr>
            </w:pPr>
            <w:r>
              <w:rPr>
                <w:rFonts w:ascii="Arial" w:cs="Arial" w:eastAsia="Arial" w:hAnsi="Arial"/>
                <w:sz w:val="11"/>
                <w:szCs w:val="11"/>
                <w:b w:val="1"/>
                <w:bCs w:val="1"/>
                <w:color w:val="auto"/>
              </w:rPr>
              <w:t>Nine months ended 9/30/2024</w:t>
            </w:r>
          </w:p>
        </w:tc>
        <w:tc>
          <w:tcPr>
            <w:tcW w:w="106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gridSpan w:val="6"/>
            <w:shd w:val="clear" w:color="auto" w:fill="CCEEFF"/>
          </w:tcPr>
          <w:p>
            <w:pPr>
              <w:jc w:val="center"/>
              <w:ind w:right="36"/>
              <w:spacing w:after="0"/>
              <w:rPr>
                <w:sz w:val="20"/>
                <w:szCs w:val="20"/>
                <w:color w:val="auto"/>
              </w:rPr>
            </w:pPr>
            <w:r>
              <w:rPr>
                <w:rFonts w:ascii="Arial" w:cs="Arial" w:eastAsia="Arial" w:hAnsi="Arial"/>
                <w:sz w:val="11"/>
                <w:szCs w:val="11"/>
                <w:b w:val="1"/>
                <w:bCs w:val="1"/>
                <w:color w:val="auto"/>
              </w:rPr>
              <w:t>Nine months ended 9/30/2023</w:t>
            </w:r>
          </w:p>
        </w:tc>
        <w:tc>
          <w:tcPr>
            <w:tcW w:w="10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tcPr>
          <w:p>
            <w:pPr>
              <w:jc w:val="center"/>
              <w:ind w:right="100"/>
              <w:spacing w:after="0" w:line="112" w:lineRule="exact"/>
              <w:rPr>
                <w:sz w:val="20"/>
                <w:szCs w:val="20"/>
                <w:color w:val="auto"/>
              </w:rPr>
            </w:pPr>
            <w:r>
              <w:rPr>
                <w:rFonts w:ascii="Arial" w:cs="Arial" w:eastAsia="Arial" w:hAnsi="Arial"/>
                <w:sz w:val="11"/>
                <w:szCs w:val="11"/>
                <w:b w:val="1"/>
                <w:bCs w:val="1"/>
                <w:color w:val="auto"/>
              </w:rPr>
              <w:t>Consolidated T. Rowe</w:t>
            </w:r>
          </w:p>
        </w:tc>
        <w:tc>
          <w:tcPr>
            <w:tcW w:w="140" w:type="dxa"/>
            <w:vAlign w:val="bottom"/>
          </w:tcPr>
          <w:p>
            <w:pPr>
              <w:spacing w:after="0"/>
              <w:rPr>
                <w:sz w:val="9"/>
                <w:szCs w:val="9"/>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rPr>
              <w:t>Total currency</w:t>
            </w: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3"/>
          </w:tcPr>
          <w:p>
            <w:pPr>
              <w:jc w:val="center"/>
              <w:ind w:right="100"/>
              <w:spacing w:after="0" w:line="112" w:lineRule="exact"/>
              <w:rPr>
                <w:sz w:val="20"/>
                <w:szCs w:val="20"/>
                <w:color w:val="auto"/>
              </w:rPr>
            </w:pPr>
            <w:r>
              <w:rPr>
                <w:rFonts w:ascii="Arial" w:cs="Arial" w:eastAsia="Arial" w:hAnsi="Arial"/>
                <w:sz w:val="11"/>
                <w:szCs w:val="11"/>
                <w:b w:val="1"/>
                <w:bCs w:val="1"/>
                <w:color w:val="auto"/>
              </w:rPr>
              <w:t>Consolidated T. Rowe</w:t>
            </w:r>
          </w:p>
        </w:tc>
        <w:tc>
          <w:tcPr>
            <w:tcW w:w="160" w:type="dxa"/>
            <w:vAlign w:val="bottom"/>
          </w:tcPr>
          <w:p>
            <w:pPr>
              <w:spacing w:after="0"/>
              <w:rPr>
                <w:sz w:val="9"/>
                <w:szCs w:val="9"/>
                <w:color w:val="auto"/>
              </w:rPr>
            </w:pPr>
          </w:p>
        </w:tc>
        <w:tc>
          <w:tcPr>
            <w:tcW w:w="1060" w:type="dxa"/>
            <w:vAlign w:val="bottom"/>
            <w:vMerge w:val="restart"/>
          </w:tcPr>
          <w:p>
            <w:pPr>
              <w:jc w:val="center"/>
              <w:ind w:right="98"/>
              <w:spacing w:after="0"/>
              <w:rPr>
                <w:sz w:val="20"/>
                <w:szCs w:val="20"/>
                <w:color w:val="auto"/>
              </w:rPr>
            </w:pPr>
            <w:r>
              <w:rPr>
                <w:rFonts w:ascii="Arial" w:cs="Arial" w:eastAsia="Arial" w:hAnsi="Arial"/>
                <w:sz w:val="11"/>
                <w:szCs w:val="11"/>
                <w:b w:val="1"/>
                <w:bCs w:val="1"/>
                <w:color w:val="auto"/>
              </w:rPr>
              <w:t>Total currency</w:t>
            </w:r>
          </w:p>
        </w:tc>
        <w:tc>
          <w:tcPr>
            <w:tcW w:w="0" w:type="dxa"/>
            <w:vAlign w:val="bottom"/>
          </w:tcPr>
          <w:p>
            <w:pPr>
              <w:spacing w:after="0"/>
              <w:rPr>
                <w:sz w:val="1"/>
                <w:szCs w:val="1"/>
                <w:color w:val="auto"/>
              </w:rPr>
            </w:pPr>
          </w:p>
        </w:tc>
      </w:tr>
      <w:tr>
        <w:trPr>
          <w:trHeight w:val="112"/>
        </w:trPr>
        <w:tc>
          <w:tcPr>
            <w:tcW w:w="3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Equity method</w:t>
            </w:r>
          </w:p>
        </w:tc>
        <w:tc>
          <w:tcPr>
            <w:tcW w:w="120" w:type="dxa"/>
            <w:vAlign w:val="bottom"/>
          </w:tcPr>
          <w:p>
            <w:pPr>
              <w:spacing w:after="0"/>
              <w:rPr>
                <w:sz w:val="9"/>
                <w:szCs w:val="9"/>
                <w:color w:val="auto"/>
              </w:rPr>
            </w:pPr>
          </w:p>
        </w:tc>
        <w:tc>
          <w:tcPr>
            <w:tcW w:w="1300" w:type="dxa"/>
            <w:vAlign w:val="bottom"/>
            <w:gridSpan w:val="2"/>
          </w:tcPr>
          <w:p>
            <w:pPr>
              <w:jc w:val="center"/>
              <w:ind w:right="220"/>
              <w:spacing w:after="0" w:line="113" w:lineRule="exact"/>
              <w:rPr>
                <w:sz w:val="20"/>
                <w:szCs w:val="20"/>
                <w:color w:val="auto"/>
              </w:rPr>
            </w:pPr>
            <w:r>
              <w:rPr>
                <w:rFonts w:ascii="Arial" w:cs="Arial" w:eastAsia="Arial" w:hAnsi="Arial"/>
                <w:sz w:val="11"/>
                <w:szCs w:val="11"/>
                <w:b w:val="1"/>
                <w:bCs w:val="1"/>
                <w:color w:val="auto"/>
              </w:rPr>
              <w:t>Price investment</w:t>
            </w: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right"/>
              <w:ind w:right="118"/>
              <w:spacing w:after="0"/>
              <w:rPr>
                <w:sz w:val="20"/>
                <w:szCs w:val="20"/>
                <w:color w:val="auto"/>
              </w:rPr>
            </w:pPr>
            <w:r>
              <w:rPr>
                <w:rFonts w:ascii="Arial" w:cs="Arial" w:eastAsia="Arial" w:hAnsi="Arial"/>
                <w:sz w:val="11"/>
                <w:szCs w:val="11"/>
                <w:b w:val="1"/>
                <w:bCs w:val="1"/>
                <w:color w:val="auto"/>
              </w:rPr>
              <w:t>Equity method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tcPr>
          <w:p>
            <w:pPr>
              <w:jc w:val="center"/>
              <w:ind w:right="200"/>
              <w:spacing w:after="0" w:line="113" w:lineRule="exact"/>
              <w:rPr>
                <w:sz w:val="20"/>
                <w:szCs w:val="20"/>
                <w:color w:val="auto"/>
              </w:rPr>
            </w:pPr>
            <w:r>
              <w:rPr>
                <w:rFonts w:ascii="Arial" w:cs="Arial" w:eastAsia="Arial" w:hAnsi="Arial"/>
                <w:sz w:val="11"/>
                <w:szCs w:val="11"/>
                <w:b w:val="1"/>
                <w:bCs w:val="1"/>
                <w:color w:val="auto"/>
              </w:rPr>
              <w:t>Price investment</w:t>
            </w:r>
          </w:p>
        </w:tc>
        <w:tc>
          <w:tcPr>
            <w:tcW w:w="1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200" w:type="dxa"/>
            <w:vAlign w:val="bottom"/>
            <w:vMerge w:val="restart"/>
          </w:tcPr>
          <w:p>
            <w:pPr>
              <w:ind w:left="20"/>
              <w:spacing w:after="0"/>
              <w:rPr>
                <w:sz w:val="20"/>
                <w:szCs w:val="20"/>
                <w:color w:val="auto"/>
              </w:rPr>
            </w:pPr>
            <w:r>
              <w:rPr>
                <w:rFonts w:ascii="Arial" w:cs="Arial" w:eastAsia="Arial" w:hAnsi="Arial"/>
                <w:sz w:val="11"/>
                <w:szCs w:val="11"/>
                <w:color w:val="auto"/>
              </w:rPr>
              <w:t>(in millions)</w:t>
            </w:r>
          </w:p>
        </w:tc>
        <w:tc>
          <w:tcPr>
            <w:tcW w:w="1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rPr>
              <w:t>products - variable</w:t>
            </w:r>
          </w:p>
        </w:tc>
        <w:tc>
          <w:tcPr>
            <w:tcW w:w="140" w:type="dxa"/>
            <w:vAlign w:val="bottom"/>
          </w:tcPr>
          <w:p>
            <w:pPr>
              <w:spacing w:after="0"/>
              <w:rPr>
                <w:sz w:val="10"/>
                <w:szCs w:val="10"/>
                <w:color w:val="auto"/>
              </w:rPr>
            </w:pPr>
          </w:p>
        </w:tc>
        <w:tc>
          <w:tcPr>
            <w:tcW w:w="1220" w:type="dxa"/>
            <w:vAlign w:val="bottom"/>
            <w:gridSpan w:val="2"/>
          </w:tcPr>
          <w:p>
            <w:pPr>
              <w:jc w:val="center"/>
              <w:ind w:right="320"/>
              <w:spacing w:after="0" w:line="117" w:lineRule="exact"/>
              <w:rPr>
                <w:sz w:val="20"/>
                <w:szCs w:val="20"/>
                <w:color w:val="auto"/>
              </w:rPr>
            </w:pPr>
            <w:r>
              <w:rPr>
                <w:rFonts w:ascii="Arial" w:cs="Arial" w:eastAsia="Arial" w:hAnsi="Arial"/>
                <w:sz w:val="11"/>
                <w:szCs w:val="11"/>
                <w:b w:val="1"/>
                <w:bCs w:val="1"/>
                <w:color w:val="auto"/>
              </w:rPr>
              <w:t>translation</w:t>
            </w:r>
          </w:p>
        </w:tc>
        <w:tc>
          <w:tcPr>
            <w:tcW w:w="1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center"/>
              <w:ind w:right="200"/>
              <w:spacing w:after="0" w:line="117" w:lineRule="exact"/>
              <w:rPr>
                <w:sz w:val="20"/>
                <w:szCs w:val="20"/>
                <w:color w:val="auto"/>
              </w:rPr>
            </w:pPr>
            <w:r>
              <w:rPr>
                <w:rFonts w:ascii="Arial" w:cs="Arial" w:eastAsia="Arial" w:hAnsi="Arial"/>
                <w:sz w:val="11"/>
                <w:szCs w:val="11"/>
                <w:b w:val="1"/>
                <w:bCs w:val="1"/>
                <w:color w:val="auto"/>
              </w:rPr>
              <w:t>products - variable</w:t>
            </w:r>
          </w:p>
        </w:tc>
        <w:tc>
          <w:tcPr>
            <w:tcW w:w="160" w:type="dxa"/>
            <w:vAlign w:val="bottom"/>
          </w:tcPr>
          <w:p>
            <w:pPr>
              <w:spacing w:after="0"/>
              <w:rPr>
                <w:sz w:val="10"/>
                <w:szCs w:val="10"/>
                <w:color w:val="auto"/>
              </w:rPr>
            </w:pPr>
          </w:p>
        </w:tc>
        <w:tc>
          <w:tcPr>
            <w:tcW w:w="1060" w:type="dxa"/>
            <w:vAlign w:val="bottom"/>
          </w:tcPr>
          <w:p>
            <w:pPr>
              <w:jc w:val="center"/>
              <w:ind w:right="98"/>
              <w:spacing w:after="0" w:line="117" w:lineRule="exact"/>
              <w:rPr>
                <w:sz w:val="20"/>
                <w:szCs w:val="20"/>
                <w:color w:val="auto"/>
              </w:rPr>
            </w:pPr>
            <w:r>
              <w:rPr>
                <w:rFonts w:ascii="Arial" w:cs="Arial" w:eastAsia="Arial" w:hAnsi="Arial"/>
                <w:sz w:val="11"/>
                <w:szCs w:val="11"/>
                <w:b w:val="1"/>
                <w:bCs w:val="1"/>
                <w:color w:val="auto"/>
              </w:rPr>
              <w:t>translation</w:t>
            </w:r>
          </w:p>
        </w:tc>
        <w:tc>
          <w:tcPr>
            <w:tcW w:w="0" w:type="dxa"/>
            <w:vAlign w:val="bottom"/>
          </w:tcPr>
          <w:p>
            <w:pPr>
              <w:spacing w:after="0"/>
              <w:rPr>
                <w:sz w:val="1"/>
                <w:szCs w:val="1"/>
                <w:color w:val="auto"/>
              </w:rPr>
            </w:pPr>
          </w:p>
        </w:tc>
      </w:tr>
      <w:tr>
        <w:trPr>
          <w:trHeight w:val="149"/>
        </w:trPr>
        <w:tc>
          <w:tcPr>
            <w:tcW w:w="320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b w:val="1"/>
                <w:bCs w:val="1"/>
                <w:color w:val="auto"/>
              </w:rPr>
              <w:t>investments</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58"/>
              <w:spacing w:after="0"/>
              <w:rPr>
                <w:sz w:val="20"/>
                <w:szCs w:val="20"/>
                <w:color w:val="auto"/>
              </w:rPr>
            </w:pPr>
            <w:r>
              <w:rPr>
                <w:rFonts w:ascii="Arial" w:cs="Arial" w:eastAsia="Arial" w:hAnsi="Arial"/>
                <w:sz w:val="11"/>
                <w:szCs w:val="11"/>
                <w:b w:val="1"/>
                <w:bCs w:val="1"/>
                <w:color w:val="auto"/>
              </w:rPr>
              <w:t>interest entities</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rPr>
              <w:t>adjustments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78"/>
              <w:spacing w:after="0"/>
              <w:rPr>
                <w:sz w:val="20"/>
                <w:szCs w:val="20"/>
                <w:color w:val="auto"/>
              </w:rPr>
            </w:pPr>
            <w:r>
              <w:rPr>
                <w:rFonts w:ascii="Arial" w:cs="Arial" w:eastAsia="Arial" w:hAnsi="Arial"/>
                <w:sz w:val="11"/>
                <w:szCs w:val="11"/>
                <w:b w:val="1"/>
                <w:bCs w:val="1"/>
                <w:color w:val="auto"/>
              </w:rPr>
              <w:t>investments</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58"/>
              <w:spacing w:after="0"/>
              <w:rPr>
                <w:sz w:val="20"/>
                <w:szCs w:val="20"/>
                <w:color w:val="auto"/>
              </w:rPr>
            </w:pPr>
            <w:r>
              <w:rPr>
                <w:rFonts w:ascii="Arial" w:cs="Arial" w:eastAsia="Arial" w:hAnsi="Arial"/>
                <w:sz w:val="11"/>
                <w:szCs w:val="11"/>
                <w:b w:val="1"/>
                <w:bCs w:val="1"/>
                <w:color w:val="auto"/>
              </w:rPr>
              <w:t>interest entities</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rPr>
              <w:t>adjustments</w:t>
            </w:r>
          </w:p>
        </w:tc>
        <w:tc>
          <w:tcPr>
            <w:tcW w:w="0" w:type="dxa"/>
            <w:vAlign w:val="bottom"/>
          </w:tcPr>
          <w:p>
            <w:pPr>
              <w:spacing w:after="0"/>
              <w:rPr>
                <w:sz w:val="1"/>
                <w:szCs w:val="1"/>
                <w:color w:val="auto"/>
              </w:rPr>
            </w:pPr>
          </w:p>
        </w:tc>
      </w:tr>
      <w:tr>
        <w:trPr>
          <w:trHeight w:val="16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at beginning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(51.9)</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(47.5)</w:t>
            </w:r>
          </w:p>
        </w:tc>
        <w:tc>
          <w:tcPr>
            <w:tcW w:w="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w:t>
            </w:r>
          </w:p>
        </w:tc>
        <w:tc>
          <w:tcPr>
            <w:tcW w:w="0" w:type="dxa"/>
            <w:vAlign w:val="bottom"/>
          </w:tcPr>
          <w:p>
            <w:pPr>
              <w:spacing w:after="0"/>
              <w:rPr>
                <w:sz w:val="1"/>
                <w:szCs w:val="1"/>
                <w:color w:val="auto"/>
              </w:rPr>
            </w:pPr>
          </w:p>
        </w:tc>
      </w:tr>
      <w:tr>
        <w:trPr>
          <w:trHeight w:val="107"/>
        </w:trPr>
        <w:tc>
          <w:tcPr>
            <w:tcW w:w="3200" w:type="dxa"/>
            <w:vAlign w:val="bottom"/>
          </w:tcPr>
          <w:p>
            <w:pPr>
              <w:ind w:left="20"/>
              <w:spacing w:after="0" w:line="107" w:lineRule="exact"/>
              <w:rPr>
                <w:sz w:val="20"/>
                <w:szCs w:val="20"/>
                <w:color w:val="auto"/>
              </w:rPr>
            </w:pPr>
            <w:r>
              <w:rPr>
                <w:rFonts w:ascii="Arial" w:cs="Arial" w:eastAsia="Arial" w:hAnsi="Arial"/>
                <w:sz w:val="12"/>
                <w:szCs w:val="12"/>
                <w:color w:val="auto"/>
              </w:rPr>
              <w:t>Other comprehensive income (loss) before</w:t>
            </w:r>
          </w:p>
        </w:tc>
        <w:tc>
          <w:tcPr>
            <w:tcW w:w="16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7.5</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8.4</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reclassifications and income taxes</w:t>
            </w:r>
          </w:p>
        </w:tc>
        <w:tc>
          <w:tcPr>
            <w:tcW w:w="1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Reclassification adjustments recognized in non-</w:t>
            </w:r>
          </w:p>
        </w:tc>
        <w:tc>
          <w:tcPr>
            <w:tcW w:w="16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16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w:t>
            </w: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deferred tax benefits (income taxes)</w:t>
            </w: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59"/>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comprehensive income (loss)</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82"/>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80"/>
        <w:spacing w:after="0" w:line="290" w:lineRule="auto"/>
        <w:rPr>
          <w:sz w:val="20"/>
          <w:szCs w:val="20"/>
          <w:color w:val="auto"/>
        </w:rPr>
      </w:pPr>
      <w:r>
        <w:rPr>
          <w:rFonts w:ascii="Arial" w:cs="Arial" w:eastAsia="Arial" w:hAnsi="Arial"/>
          <w:sz w:val="14"/>
          <w:szCs w:val="14"/>
          <w:color w:val="auto"/>
        </w:rPr>
        <w:t>The other comprehensive income (loss) in the table above excludes net gains of $6.2 million and $7.7 million of other comprehensive income related to redeemable non-controlling interests held in our consolidated products for the 2024 and 2023 periods,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COMMITMENTS.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 Rowe Price Group, Inc. has committed $319 million for investment in future OHA product launches through 2026.</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CONTINGENCIES.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 Rowe Price Group, Inc.:</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Results of Review of Interim Financial Information</w:t>
      </w:r>
    </w:p>
    <w:p>
      <w:pPr>
        <w:spacing w:after="0" w:line="81" w:lineRule="exact"/>
        <w:rPr>
          <w:sz w:val="20"/>
          <w:szCs w:val="20"/>
          <w:color w:val="auto"/>
        </w:rPr>
      </w:pPr>
    </w:p>
    <w:p>
      <w:pPr>
        <w:jc w:val="both"/>
        <w:ind w:right="140"/>
        <w:spacing w:after="0" w:line="262" w:lineRule="auto"/>
        <w:rPr>
          <w:sz w:val="20"/>
          <w:szCs w:val="20"/>
          <w:color w:val="auto"/>
        </w:rPr>
      </w:pPr>
      <w:r>
        <w:rPr>
          <w:rFonts w:ascii="Arial" w:cs="Arial" w:eastAsia="Arial" w:hAnsi="Arial"/>
          <w:sz w:val="14"/>
          <w:szCs w:val="14"/>
          <w:color w:val="auto"/>
        </w:rPr>
        <w:t>We have reviewed the condensed consolidated balance sheet of T. Rowe Price Group, Inc. and subsidiaries ("the Company") as of September 30, 2024, the related condensed consolidated statements of income and comprehensive income, and stockholders’ equity for the three- and nine-month periods ended September 30, 2024 and 2023, the related condensed consolidated statements of cash flows for the nine months ended September 30, 2024 and 2023,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08"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balance sheet of the Company as of December 31, 2023, and the related consolidated statements of income, comprehensive income, stockholders’ equity, and cash flows for the year then ended (not presented herein); and in our report dated February 16, 2024, we expressed an unqualified opinion on those consolidated financial statements. In our opinion, the information set forth in the accompanying condensed consolidated balance sheet as of December 31, 2023, is fairly stated, in all material respects, in relation to the consolidated balance sheet from which it has been derived.</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for Review Results</w:t>
      </w:r>
    </w:p>
    <w:p>
      <w:pPr>
        <w:spacing w:after="0" w:line="81"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ind w:right="420"/>
        <w:spacing w:after="0" w:line="265" w:lineRule="auto"/>
        <w:rPr>
          <w:sz w:val="20"/>
          <w:szCs w:val="20"/>
          <w:color w:val="auto"/>
        </w:rPr>
      </w:pPr>
      <w:r>
        <w:rPr>
          <w:rFonts w:ascii="Arial" w:cs="Arial" w:eastAsia="Arial" w:hAnsi="Arial"/>
          <w:sz w:val="14"/>
          <w:szCs w:val="14"/>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November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921" w:right="4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OVERVIEW.</w:t>
      </w:r>
    </w:p>
    <w:p>
      <w:pPr>
        <w:spacing w:after="0" w:line="198"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Our revenues and net income are derived primarily from investment advisory services provided to individual and institutional investors in a broad range of investment solutions across equity, fixed income, multi-asset, and alternative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148" w:lineRule="exact"/>
        <w:rPr>
          <w:sz w:val="20"/>
          <w:szCs w:val="20"/>
          <w:color w:val="auto"/>
        </w:rPr>
      </w:pPr>
    </w:p>
    <w:p>
      <w:pPr>
        <w:ind w:right="540"/>
        <w:spacing w:after="0" w:line="274" w:lineRule="auto"/>
        <w:rPr>
          <w:sz w:val="20"/>
          <w:szCs w:val="20"/>
          <w:color w:val="auto"/>
        </w:rPr>
      </w:pPr>
      <w:r>
        <w:rPr>
          <w:rFonts w:ascii="Arial" w:cs="Arial" w:eastAsia="Arial" w:hAnsi="Arial"/>
          <w:sz w:val="14"/>
          <w:szCs w:val="14"/>
          <w:color w:val="auto"/>
        </w:rPr>
        <w:t>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152"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The investment management industry has been evolving and industry participants are facing several challenging trends including passive investments taking market share from</w:t>
      </w:r>
    </w:p>
    <w:p>
      <w:pPr>
        <w:spacing w:after="0" w:line="30" w:lineRule="exact"/>
        <w:rPr>
          <w:sz w:val="20"/>
          <w:szCs w:val="20"/>
          <w:color w:val="auto"/>
        </w:rPr>
      </w:pPr>
    </w:p>
    <w:p>
      <w:pPr>
        <w:ind w:right="380"/>
        <w:spacing w:after="0" w:line="255" w:lineRule="auto"/>
        <w:rPr>
          <w:sz w:val="20"/>
          <w:szCs w:val="20"/>
          <w:color w:val="auto"/>
        </w:rPr>
      </w:pPr>
      <w:r>
        <w:rPr>
          <w:rFonts w:ascii="Arial" w:cs="Arial" w:eastAsia="Arial" w:hAnsi="Arial"/>
          <w:sz w:val="14"/>
          <w:szCs w:val="14"/>
          <w:color w:val="auto"/>
        </w:rPr>
        <w:t>traditional active strategies; continued downward fee pressure; demand for new investment vehicles to meet client needs; and an ever-changing regulatory landscape. In this regard, we have ample liquidity and resources that allow us to take advantage of attractive growth opportunities. We are investing in key capabilities, including investment professionals, distribution professionals, technologies, and new product offerings in order to provide our clients with strong investment management expertise and service.</w:t>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MARKET TRENDS.</w:t>
      </w:r>
    </w:p>
    <w:p>
      <w:pPr>
        <w:spacing w:after="0" w:line="187"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Major U.S. stock market indexes rose in the third quarter of 2024. Shares were supported by generally favorable corporate earnings and expectations that a softening labor market and easing inflation pressures would enable the Federal Reserve to begin reducing short-term interest rates. Volatility increased considerably at times, but the market finished the</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quarter on a positive note, as Fed Chair Jerome Powell declared in late August at the central bank’s annual economic symposium that “the time has come” for policymakers to adjust short-term rates. On September 18, the central bank reduced the fed funds target rate by 50 basis points—which was more than some investors expected—and Fed officials noted the potential for “additional adjustments” as they “carefully assess incoming data, the evolving outlook, and the balance of risks.”</w:t>
      </w:r>
    </w:p>
    <w:p>
      <w:pPr>
        <w:spacing w:after="0" w:line="161"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Developed non-U.S. equity markets generally outperformed large-cap U.S. stocks in U.S. dollar terms, as a weaker dollar versus major non-U.S. currencies lifted overseas returns in dollar terms. In Europe, equity markets were mostly positive. Several markets produced double-digit gains, while UK shares climbed about 8%. Developed Asian markets were broadly positive. Hong Kong shares surged more than 24%, lifted in part by Chinese stimulus measures intended to bolster the Chinese economy.</w:t>
      </w:r>
    </w:p>
    <w:p>
      <w:pPr>
        <w:spacing w:after="0" w:line="155" w:lineRule="exact"/>
        <w:rPr>
          <w:sz w:val="20"/>
          <w:szCs w:val="20"/>
          <w:color w:val="auto"/>
        </w:rPr>
      </w:pPr>
    </w:p>
    <w:p>
      <w:pPr>
        <w:jc w:val="both"/>
        <w:ind w:right="80"/>
        <w:spacing w:after="0" w:line="255" w:lineRule="auto"/>
        <w:rPr>
          <w:sz w:val="20"/>
          <w:szCs w:val="20"/>
          <w:color w:val="auto"/>
        </w:rPr>
      </w:pPr>
      <w:r>
        <w:rPr>
          <w:rFonts w:ascii="Arial" w:cs="Arial" w:eastAsia="Arial" w:hAnsi="Arial"/>
          <w:sz w:val="14"/>
          <w:szCs w:val="14"/>
          <w:color w:val="auto"/>
        </w:rPr>
        <w:t>Emerging equity markets outperformed stocks in developed non-U.S. markets in dollar terms. Emerging Asian markets were mostly positive; a few rose more than 20%. Chinese shares surged more than 23%, while the A shares market climbed more than 21%, thanks to brisk gains in September stemming from new Chinese economic stimulus measures. Markets in Latin America and in the emerging Europe, Middle East, and Africa (EMEA) region were largely positive in dollar terms.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30" w:right="399"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auto"/>
        </w:rPr>
        <w:t>Returns of several major equity market indexes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200"/>
              <w:spacing w:after="0"/>
              <w:rPr>
                <w:sz w:val="20"/>
                <w:szCs w:val="20"/>
                <w:color w:val="auto"/>
              </w:rPr>
            </w:pPr>
            <w:r>
              <w:rPr>
                <w:rFonts w:ascii="Arial" w:cs="Arial" w:eastAsia="Arial" w:hAnsi="Arial"/>
                <w:sz w:val="11"/>
                <w:szCs w:val="11"/>
                <w:b w:val="1"/>
                <w:bCs w:val="1"/>
                <w:color w:val="auto"/>
              </w:rPr>
              <w:t>Three months ended</w:t>
            </w:r>
          </w:p>
        </w:tc>
        <w:tc>
          <w:tcPr>
            <w:tcW w:w="146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Nine months ended</w:t>
            </w:r>
          </w:p>
        </w:tc>
      </w:tr>
      <w:tr>
        <w:trPr>
          <w:trHeight w:val="159"/>
        </w:trPr>
        <w:tc>
          <w:tcPr>
            <w:tcW w:w="8220" w:type="dxa"/>
            <w:vAlign w:val="bottom"/>
            <w:gridSpan w:val="2"/>
          </w:tcPr>
          <w:p>
            <w:pPr>
              <w:ind w:left="20"/>
              <w:spacing w:after="0"/>
              <w:rPr>
                <w:sz w:val="20"/>
                <w:szCs w:val="20"/>
                <w:color w:val="auto"/>
              </w:rPr>
            </w:pPr>
            <w:r>
              <w:rPr>
                <w:rFonts w:ascii="Arial" w:cs="Arial" w:eastAsia="Arial" w:hAnsi="Arial"/>
                <w:sz w:val="11"/>
                <w:szCs w:val="11"/>
                <w:b w:val="1"/>
                <w:bCs w:val="1"/>
                <w:color w:val="auto"/>
              </w:rPr>
              <w:t>Index</w:t>
            </w: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rPr>
              <w:t>9/30/2024</w:t>
            </w:r>
          </w:p>
        </w:tc>
        <w:tc>
          <w:tcPr>
            <w:tcW w:w="1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1"/>
                <w:szCs w:val="11"/>
                <w:b w:val="1"/>
                <w:bCs w:val="1"/>
                <w:color w:val="auto"/>
              </w:rPr>
              <w:t>9/30/2024</w:t>
            </w:r>
          </w:p>
        </w:tc>
      </w:tr>
      <w:tr>
        <w:trPr>
          <w:trHeight w:val="171"/>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S&amp;P 500 Index</w:t>
            </w: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5.9%</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22.1%</w:t>
            </w:r>
          </w:p>
        </w:tc>
      </w:tr>
      <w:tr>
        <w:trPr>
          <w:trHeight w:val="180"/>
        </w:trPr>
        <w:tc>
          <w:tcPr>
            <w:tcW w:w="822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NASDAQ Composite Index</w:t>
            </w:r>
            <w:r>
              <w:rPr>
                <w:rFonts w:ascii="Arial" w:cs="Arial" w:eastAsia="Arial" w:hAnsi="Arial"/>
                <w:sz w:val="18"/>
                <w:szCs w:val="18"/>
                <w:color w:val="auto"/>
                <w:vertAlign w:val="superscript"/>
              </w:rPr>
              <w:t>(1)</w:t>
            </w:r>
          </w:p>
        </w:tc>
        <w:tc>
          <w:tcPr>
            <w:tcW w:w="1500" w:type="dxa"/>
            <w:vAlign w:val="bottom"/>
          </w:tcPr>
          <w:p>
            <w:pPr>
              <w:jc w:val="center"/>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21.2%</w:t>
            </w:r>
          </w:p>
        </w:tc>
      </w:tr>
      <w:tr>
        <w:trPr>
          <w:trHeight w:val="18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Russell 2000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11.2%</w:t>
            </w: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MSCI EAFE (Europe, Australasia, and Far East) Index</w:t>
            </w:r>
          </w:p>
        </w:tc>
        <w:tc>
          <w:tcPr>
            <w:tcW w:w="1500" w:type="dxa"/>
            <w:vAlign w:val="bottom"/>
          </w:tcPr>
          <w:p>
            <w:pPr>
              <w:jc w:val="center"/>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13.5%</w:t>
            </w:r>
          </w:p>
        </w:tc>
      </w:tr>
      <w:tr>
        <w:trPr>
          <w:trHeight w:val="18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MSCI Emerging Markets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17.2%</w:t>
            </w:r>
          </w:p>
        </w:tc>
      </w:tr>
    </w:tbl>
    <w:p>
      <w:pPr>
        <w:spacing w:after="0" w:line="68" w:lineRule="exact"/>
        <w:rPr>
          <w:sz w:val="20"/>
          <w:szCs w:val="20"/>
          <w:color w:val="auto"/>
        </w:rPr>
      </w:pPr>
    </w:p>
    <w:p>
      <w:pPr>
        <w:ind w:left="140" w:hanging="104"/>
        <w:spacing w:after="0"/>
        <w:tabs>
          <w:tab w:leader="none" w:pos="140" w:val="left"/>
        </w:tabs>
        <w:numPr>
          <w:ilvl w:val="0"/>
          <w:numId w:val="7"/>
        </w:numPr>
        <w:rPr>
          <w:rFonts w:ascii="Arial" w:cs="Arial" w:eastAsia="Arial" w:hAnsi="Arial"/>
          <w:sz w:val="12"/>
          <w:szCs w:val="12"/>
          <w:color w:val="auto"/>
          <w:vertAlign w:val="superscript"/>
        </w:rPr>
      </w:pPr>
      <w:r>
        <w:rPr>
          <w:rFonts w:ascii="Arial" w:cs="Arial" w:eastAsia="Arial" w:hAnsi="Arial"/>
          <w:sz w:val="9"/>
          <w:szCs w:val="9"/>
          <w:i w:val="1"/>
          <w:iCs w:val="1"/>
          <w:color w:val="auto"/>
        </w:rPr>
        <w:t>Returns exclude dividends</w:t>
      </w:r>
    </w:p>
    <w:p>
      <w:pPr>
        <w:spacing w:after="0" w:line="161"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Global bond returns were broadly positive in the third quarter of 2024. In the U.S., Treasury bill yields and shorter-term bond yields declined as the Fed reduced the fed funds target rate to the 4.75% to 5.00% range and signaled the potential for more rate cuts. Longer-term U.S. Treasury yields fell to a lesser degree. The 10-year U.S. Treasury note yield declined from 4.36% to 3.81% during the quarter.</w:t>
      </w:r>
    </w:p>
    <w:p>
      <w:pPr>
        <w:spacing w:after="0" w:line="155" w:lineRule="exact"/>
        <w:rPr>
          <w:sz w:val="20"/>
          <w:szCs w:val="20"/>
          <w:color w:val="auto"/>
        </w:rPr>
      </w:pPr>
    </w:p>
    <w:p>
      <w:pPr>
        <w:ind w:right="80"/>
        <w:spacing w:after="0" w:line="249" w:lineRule="auto"/>
        <w:rPr>
          <w:sz w:val="20"/>
          <w:szCs w:val="20"/>
          <w:color w:val="auto"/>
        </w:rPr>
      </w:pPr>
      <w:r>
        <w:rPr>
          <w:rFonts w:ascii="Arial" w:cs="Arial" w:eastAsia="Arial" w:hAnsi="Arial"/>
          <w:sz w:val="14"/>
          <w:szCs w:val="14"/>
          <w:color w:val="auto"/>
        </w:rPr>
        <w:t>In the U.S. investment-grade universe, sector performance was broadly positive. Corporate bonds and mortgage-backed securities fared best. Treasuries and non-agency commercial mortgage-backed securities also did well. Asset-backed securities underperformed, but still produced solid gains. Tax-free municipal bonds lagged the broad taxable bond market, as municipal bond yields generally did not fall as much as comparable Treasury yields. High yield corporate bonds performed mostly in line with the investment-grade market.</w:t>
      </w:r>
    </w:p>
    <w:p>
      <w:pPr>
        <w:spacing w:after="0" w:line="159" w:lineRule="exact"/>
        <w:rPr>
          <w:sz w:val="20"/>
          <w:szCs w:val="20"/>
          <w:color w:val="auto"/>
        </w:rPr>
      </w:pPr>
    </w:p>
    <w:p>
      <w:pPr>
        <w:ind w:right="120"/>
        <w:spacing w:after="0" w:line="249" w:lineRule="auto"/>
        <w:rPr>
          <w:sz w:val="20"/>
          <w:szCs w:val="20"/>
          <w:color w:val="auto"/>
        </w:rPr>
      </w:pPr>
      <w:r>
        <w:rPr>
          <w:rFonts w:ascii="Arial" w:cs="Arial" w:eastAsia="Arial" w:hAnsi="Arial"/>
          <w:sz w:val="14"/>
          <w:szCs w:val="14"/>
          <w:color w:val="auto"/>
        </w:rPr>
        <w:t>Bonds in developed non-U.S. markets produced positive returns in dollar terms. Bond prices rose and yields declined in many European countries, as central banks in the UK and the eurozone reduced short-term interest rates, and a weaker dollar versus various currencies lifted overseas returns in dollar terms. In Japan, the central bank unexpectedly increased its benchmark interest rate in late July, resulting in a significant strengthening of the yen versus the dollar. In the emerging markets fixed income universe, local currency bonds outperformed dollar-denominated bonds in U.S. dollar terms, as the dollar weakened versus many developing markets currencies.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Returns of several major bond market indexes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200"/>
              <w:spacing w:after="0"/>
              <w:rPr>
                <w:sz w:val="20"/>
                <w:szCs w:val="20"/>
                <w:color w:val="auto"/>
              </w:rPr>
            </w:pPr>
            <w:r>
              <w:rPr>
                <w:rFonts w:ascii="Arial" w:cs="Arial" w:eastAsia="Arial" w:hAnsi="Arial"/>
                <w:sz w:val="11"/>
                <w:szCs w:val="11"/>
                <w:b w:val="1"/>
                <w:bCs w:val="1"/>
                <w:color w:val="auto"/>
              </w:rPr>
              <w:t>Three months ended</w:t>
            </w:r>
          </w:p>
        </w:tc>
        <w:tc>
          <w:tcPr>
            <w:tcW w:w="146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Nine months ended</w:t>
            </w:r>
          </w:p>
        </w:tc>
      </w:tr>
      <w:tr>
        <w:trPr>
          <w:trHeight w:val="159"/>
        </w:trPr>
        <w:tc>
          <w:tcPr>
            <w:tcW w:w="8200" w:type="dxa"/>
            <w:vAlign w:val="bottom"/>
            <w:gridSpan w:val="2"/>
          </w:tcPr>
          <w:p>
            <w:pPr>
              <w:ind w:left="20"/>
              <w:spacing w:after="0"/>
              <w:rPr>
                <w:sz w:val="20"/>
                <w:szCs w:val="20"/>
                <w:color w:val="auto"/>
              </w:rPr>
            </w:pPr>
            <w:r>
              <w:rPr>
                <w:rFonts w:ascii="Arial" w:cs="Arial" w:eastAsia="Arial" w:hAnsi="Arial"/>
                <w:sz w:val="11"/>
                <w:szCs w:val="11"/>
                <w:b w:val="1"/>
                <w:bCs w:val="1"/>
                <w:color w:val="auto"/>
              </w:rPr>
              <w:t>Index</w:t>
            </w: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rPr>
              <w:t>9/30/2024</w:t>
            </w:r>
          </w:p>
        </w:tc>
        <w:tc>
          <w:tcPr>
            <w:tcW w:w="1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1"/>
                <w:szCs w:val="11"/>
                <w:b w:val="1"/>
                <w:bCs w:val="1"/>
                <w:color w:val="auto"/>
              </w:rPr>
              <w:t>9/30/2024</w:t>
            </w:r>
          </w:p>
        </w:tc>
      </w:tr>
      <w:tr>
        <w:trPr>
          <w:trHeight w:val="171"/>
        </w:trPr>
        <w:tc>
          <w:tcPr>
            <w:tcW w:w="8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Bloomberg U.S. Aggregate Bond Index</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5.2%</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4.5%</w:t>
            </w:r>
          </w:p>
        </w:tc>
      </w:tr>
      <w:tr>
        <w:trPr>
          <w:trHeight w:val="180"/>
        </w:trPr>
        <w:tc>
          <w:tcPr>
            <w:tcW w:w="8200" w:type="dxa"/>
            <w:vAlign w:val="bottom"/>
            <w:gridSpan w:val="2"/>
          </w:tcPr>
          <w:p>
            <w:pPr>
              <w:ind w:left="20"/>
              <w:spacing w:after="0"/>
              <w:rPr>
                <w:sz w:val="20"/>
                <w:szCs w:val="20"/>
                <w:color w:val="auto"/>
              </w:rPr>
            </w:pPr>
            <w:r>
              <w:rPr>
                <w:rFonts w:ascii="Arial" w:cs="Arial" w:eastAsia="Arial" w:hAnsi="Arial"/>
                <w:sz w:val="14"/>
                <w:szCs w:val="14"/>
                <w:color w:val="auto"/>
              </w:rPr>
              <w:t>JPMorgan Global High Yield Index</w:t>
            </w:r>
          </w:p>
        </w:tc>
        <w:tc>
          <w:tcPr>
            <w:tcW w:w="1520" w:type="dxa"/>
            <w:vAlign w:val="bottom"/>
          </w:tcPr>
          <w:p>
            <w:pPr>
              <w:jc w:val="center"/>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8.6%</w:t>
            </w:r>
          </w:p>
        </w:tc>
      </w:tr>
      <w:tr>
        <w:trPr>
          <w:trHeight w:val="180"/>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Bloomberg Municipal Bond Index</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2.3%</w:t>
            </w:r>
          </w:p>
        </w:tc>
      </w:tr>
      <w:tr>
        <w:trPr>
          <w:trHeight w:val="180"/>
        </w:trPr>
        <w:tc>
          <w:tcPr>
            <w:tcW w:w="8200" w:type="dxa"/>
            <w:vAlign w:val="bottom"/>
            <w:gridSpan w:val="2"/>
          </w:tcPr>
          <w:p>
            <w:pPr>
              <w:ind w:left="20"/>
              <w:spacing w:after="0"/>
              <w:rPr>
                <w:sz w:val="20"/>
                <w:szCs w:val="20"/>
                <w:color w:val="auto"/>
              </w:rPr>
            </w:pPr>
            <w:r>
              <w:rPr>
                <w:rFonts w:ascii="Arial" w:cs="Arial" w:eastAsia="Arial" w:hAnsi="Arial"/>
                <w:sz w:val="14"/>
                <w:szCs w:val="14"/>
                <w:color w:val="auto"/>
              </w:rPr>
              <w:t>Bloomberg Global Aggregate Ex-U.S. Dollar Bond Index</w:t>
            </w:r>
          </w:p>
        </w:tc>
        <w:tc>
          <w:tcPr>
            <w:tcW w:w="1520" w:type="dxa"/>
            <w:vAlign w:val="bottom"/>
          </w:tcPr>
          <w:p>
            <w:pPr>
              <w:jc w:val="center"/>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2.8%</w:t>
            </w:r>
          </w:p>
        </w:tc>
      </w:tr>
      <w:tr>
        <w:trPr>
          <w:trHeight w:val="180"/>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JPMorgan Emerging Markets Bond Index Plus</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9.3%</w:t>
            </w:r>
          </w:p>
        </w:tc>
      </w:tr>
      <w:tr>
        <w:trPr>
          <w:trHeight w:val="180"/>
        </w:trPr>
        <w:tc>
          <w:tcPr>
            <w:tcW w:w="8200" w:type="dxa"/>
            <w:vAlign w:val="bottom"/>
            <w:gridSpan w:val="2"/>
          </w:tcPr>
          <w:p>
            <w:pPr>
              <w:ind w:left="20"/>
              <w:spacing w:after="0"/>
              <w:rPr>
                <w:sz w:val="20"/>
                <w:szCs w:val="20"/>
                <w:color w:val="auto"/>
              </w:rPr>
            </w:pPr>
            <w:r>
              <w:rPr>
                <w:rFonts w:ascii="Arial" w:cs="Arial" w:eastAsia="Arial" w:hAnsi="Arial"/>
                <w:sz w:val="14"/>
                <w:szCs w:val="14"/>
                <w:color w:val="auto"/>
              </w:rPr>
              <w:t>ICE Bank of America U.S. High Yield Index</w:t>
            </w:r>
          </w:p>
        </w:tc>
        <w:tc>
          <w:tcPr>
            <w:tcW w:w="1520" w:type="dxa"/>
            <w:vAlign w:val="bottom"/>
          </w:tcPr>
          <w:p>
            <w:pPr>
              <w:jc w:val="center"/>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8.0%</w:t>
            </w:r>
          </w:p>
        </w:tc>
      </w:tr>
      <w:tr>
        <w:trPr>
          <w:trHeight w:val="180"/>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Credit Suisse Leveraged Loan Index</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i w:val="1"/>
          <w:iCs w:val="1"/>
          <w:u w:val="single" w:color="auto"/>
          <w:color w:val="auto"/>
        </w:rPr>
        <w:t>ASSETS UNDER MANAGEMENT.</w:t>
      </w:r>
      <w:r>
        <w:rPr>
          <w:rFonts w:ascii="Arial" w:cs="Arial" w:eastAsia="Arial" w:hAnsi="Arial"/>
          <w:sz w:val="18"/>
          <w:szCs w:val="18"/>
          <w:b w:val="1"/>
          <w:bCs w:val="1"/>
          <w:i w:val="1"/>
          <w:iCs w:val="1"/>
          <w:color w:val="auto"/>
          <w:vertAlign w:val="superscript"/>
        </w:rPr>
        <w:t>(1)</w:t>
      </w:r>
    </w:p>
    <w:p>
      <w:pPr>
        <w:spacing w:after="0" w:line="15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Assets under management ended the third quarter of 2024 at $1,630.9 billion, an increase of $61.8 billion from June 30, 2024. The increase in assets under management during the third quarter of 2024 was driven by market appreciation and income, net of distributions not reinvested, of $74.0 billion, offset by net cash outflows of $12.2 billion.</w:t>
      </w:r>
    </w:p>
    <w:p>
      <w:pPr>
        <w:spacing w:after="0" w:line="141"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For the nine months ended September 30, 2024, the increase in assets under management was driven by market appreciation, net of distributions not reinvested, of $210.3 billion, offset by net cash outflows of $23.9 billion.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detail changes in our assets under management, by asset class, during the three- and nine-month periods ended September 30, 2024:</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12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2980" w:type="dxa"/>
            <w:vAlign w:val="bottom"/>
            <w:tcBorders>
              <w:bottom w:val="single" w:sz="8" w:color="auto"/>
            </w:tcBorders>
            <w:gridSpan w:val="8"/>
            <w:shd w:val="clear" w:color="auto" w:fill="CCEEFF"/>
          </w:tcPr>
          <w:p>
            <w:pPr>
              <w:ind w:left="560"/>
              <w:spacing w:after="0"/>
              <w:rPr>
                <w:sz w:val="20"/>
                <w:szCs w:val="20"/>
                <w:color w:val="auto"/>
              </w:rPr>
            </w:pPr>
            <w:r>
              <w:rPr>
                <w:rFonts w:ascii="Arial" w:cs="Arial" w:eastAsia="Arial" w:hAnsi="Arial"/>
                <w:sz w:val="11"/>
                <w:szCs w:val="11"/>
                <w:b w:val="1"/>
                <w:bCs w:val="1"/>
                <w:color w:val="auto"/>
              </w:rPr>
              <w:t>Three months ended 9/30/2024</w:t>
            </w: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2940" w:type="dxa"/>
            <w:vAlign w:val="bottom"/>
            <w:tcBorders>
              <w:bottom w:val="single" w:sz="8" w:color="auto"/>
            </w:tcBorders>
            <w:gridSpan w:val="8"/>
            <w:shd w:val="clear" w:color="auto" w:fill="CCEEFF"/>
          </w:tcPr>
          <w:p>
            <w:pPr>
              <w:ind w:left="580"/>
              <w:spacing w:after="0"/>
              <w:rPr>
                <w:sz w:val="20"/>
                <w:szCs w:val="20"/>
                <w:color w:val="auto"/>
              </w:rPr>
            </w:pPr>
            <w:r>
              <w:rPr>
                <w:rFonts w:ascii="Arial" w:cs="Arial" w:eastAsia="Arial" w:hAnsi="Arial"/>
                <w:sz w:val="11"/>
                <w:szCs w:val="11"/>
                <w:b w:val="1"/>
                <w:bCs w:val="1"/>
                <w:color w:val="auto"/>
              </w:rPr>
              <w:t>Nine months ended 9/30/2024</w:t>
            </w: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3"/>
          </w:tcPr>
          <w:p>
            <w:pPr>
              <w:jc w:val="center"/>
              <w:ind w:right="80"/>
              <w:spacing w:after="0" w:line="112" w:lineRule="exact"/>
              <w:rPr>
                <w:sz w:val="20"/>
                <w:szCs w:val="20"/>
                <w:color w:val="auto"/>
              </w:rPr>
            </w:pPr>
            <w:r>
              <w:rPr>
                <w:rFonts w:ascii="Arial" w:cs="Arial" w:eastAsia="Arial" w:hAnsi="Arial"/>
                <w:sz w:val="11"/>
                <w:szCs w:val="11"/>
                <w:b w:val="1"/>
                <w:bCs w:val="1"/>
                <w:color w:val="auto"/>
              </w:rPr>
              <w:t>Fixed income,</w:t>
            </w: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3"/>
          </w:tcPr>
          <w:p>
            <w:pPr>
              <w:jc w:val="center"/>
              <w:ind w:right="80"/>
              <w:spacing w:after="0" w:line="112" w:lineRule="exact"/>
              <w:rPr>
                <w:sz w:val="20"/>
                <w:szCs w:val="20"/>
                <w:color w:val="auto"/>
              </w:rPr>
            </w:pPr>
            <w:r>
              <w:rPr>
                <w:rFonts w:ascii="Arial" w:cs="Arial" w:eastAsia="Arial" w:hAnsi="Arial"/>
                <w:sz w:val="11"/>
                <w:szCs w:val="11"/>
                <w:b w:val="1"/>
                <w:bCs w:val="1"/>
                <w:color w:val="auto"/>
              </w:rPr>
              <w:t>Fixed income,</w:t>
            </w: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restart"/>
          </w:tcPr>
          <w:p>
            <w:pPr>
              <w:spacing w:after="0"/>
              <w:rPr>
                <w:sz w:val="20"/>
                <w:szCs w:val="20"/>
                <w:color w:val="auto"/>
              </w:rPr>
            </w:pPr>
            <w:r>
              <w:rPr>
                <w:rFonts w:ascii="Arial" w:cs="Arial" w:eastAsia="Arial" w:hAnsi="Arial"/>
                <w:sz w:val="11"/>
                <w:szCs w:val="11"/>
                <w:color w:val="auto"/>
              </w:rPr>
              <w:t>(in billions)</w:t>
            </w:r>
          </w:p>
        </w:tc>
        <w:tc>
          <w:tcPr>
            <w:tcW w:w="180" w:type="dxa"/>
            <w:vAlign w:val="bottom"/>
          </w:tcPr>
          <w:p>
            <w:pPr>
              <w:spacing w:after="0"/>
              <w:rPr>
                <w:sz w:val="9"/>
                <w:szCs w:val="9"/>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Equity</w:t>
            </w:r>
          </w:p>
        </w:tc>
        <w:tc>
          <w:tcPr>
            <w:tcW w:w="120" w:type="dxa"/>
            <w:vAlign w:val="bottom"/>
          </w:tcPr>
          <w:p>
            <w:pPr>
              <w:spacing w:after="0"/>
              <w:rPr>
                <w:sz w:val="9"/>
                <w:szCs w:val="9"/>
                <w:color w:val="auto"/>
              </w:rPr>
            </w:pPr>
          </w:p>
        </w:tc>
        <w:tc>
          <w:tcPr>
            <w:tcW w:w="840" w:type="dxa"/>
            <w:vAlign w:val="bottom"/>
            <w:gridSpan w:val="2"/>
          </w:tcPr>
          <w:p>
            <w:pPr>
              <w:jc w:val="center"/>
              <w:ind w:right="220"/>
              <w:spacing w:after="0" w:line="113" w:lineRule="exact"/>
              <w:rPr>
                <w:sz w:val="20"/>
                <w:szCs w:val="20"/>
                <w:color w:val="auto"/>
              </w:rPr>
            </w:pPr>
            <w:r>
              <w:rPr>
                <w:rFonts w:ascii="Arial" w:cs="Arial" w:eastAsia="Arial" w:hAnsi="Arial"/>
                <w:sz w:val="11"/>
                <w:szCs w:val="11"/>
                <w:b w:val="1"/>
                <w:bCs w:val="1"/>
                <w:color w:val="auto"/>
              </w:rPr>
              <w:t>including</w:t>
            </w:r>
          </w:p>
        </w:tc>
        <w:tc>
          <w:tcPr>
            <w:tcW w:w="80" w:type="dxa"/>
            <w:vAlign w:val="bottom"/>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Multi-asset</w:t>
            </w:r>
            <w:r>
              <w:rPr>
                <w:rFonts w:ascii="Arial" w:cs="Arial" w:eastAsia="Arial" w:hAnsi="Arial"/>
                <w:sz w:val="14"/>
                <w:szCs w:val="14"/>
                <w:b w:val="1"/>
                <w:bCs w:val="1"/>
                <w:color w:val="auto"/>
                <w:vertAlign w:val="superscript"/>
              </w:rPr>
              <w:t>(1)</w:t>
            </w:r>
          </w:p>
        </w:tc>
        <w:tc>
          <w:tcPr>
            <w:tcW w:w="120" w:type="dxa"/>
            <w:vAlign w:val="bottom"/>
          </w:tcPr>
          <w:p>
            <w:pPr>
              <w:spacing w:after="0"/>
              <w:rPr>
                <w:sz w:val="9"/>
                <w:szCs w:val="9"/>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Alternatives</w:t>
            </w:r>
            <w:r>
              <w:rPr>
                <w:rFonts w:ascii="Arial" w:cs="Arial" w:eastAsia="Arial" w:hAnsi="Arial"/>
                <w:sz w:val="14"/>
                <w:szCs w:val="14"/>
                <w:b w:val="1"/>
                <w:bCs w:val="1"/>
                <w:color w:val="auto"/>
                <w:vertAlign w:val="superscript"/>
              </w:rPr>
              <w:t>(2)</w:t>
            </w:r>
          </w:p>
        </w:tc>
        <w:tc>
          <w:tcPr>
            <w:tcW w:w="180" w:type="dxa"/>
            <w:vAlign w:val="bottom"/>
          </w:tcPr>
          <w:p>
            <w:pPr>
              <w:spacing w:after="0"/>
              <w:rPr>
                <w:sz w:val="9"/>
                <w:szCs w:val="9"/>
                <w:color w:val="auto"/>
              </w:rPr>
            </w:pPr>
          </w:p>
        </w:tc>
        <w:tc>
          <w:tcPr>
            <w:tcW w:w="76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1"/>
                <w:szCs w:val="11"/>
                <w:b w:val="1"/>
                <w:bCs w:val="1"/>
                <w:color w:val="auto"/>
              </w:rPr>
              <w:t>Total</w:t>
            </w:r>
          </w:p>
        </w:tc>
        <w:tc>
          <w:tcPr>
            <w:tcW w:w="160" w:type="dxa"/>
            <w:vAlign w:val="bottom"/>
          </w:tcPr>
          <w:p>
            <w:pPr>
              <w:spacing w:after="0"/>
              <w:rPr>
                <w:sz w:val="9"/>
                <w:szCs w:val="9"/>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Equity</w:t>
            </w:r>
          </w:p>
        </w:tc>
        <w:tc>
          <w:tcPr>
            <w:tcW w:w="140" w:type="dxa"/>
            <w:vAlign w:val="bottom"/>
          </w:tcPr>
          <w:p>
            <w:pPr>
              <w:spacing w:after="0"/>
              <w:rPr>
                <w:sz w:val="9"/>
                <w:szCs w:val="9"/>
                <w:color w:val="auto"/>
              </w:rPr>
            </w:pPr>
          </w:p>
        </w:tc>
        <w:tc>
          <w:tcPr>
            <w:tcW w:w="820" w:type="dxa"/>
            <w:vAlign w:val="bottom"/>
            <w:gridSpan w:val="2"/>
          </w:tcPr>
          <w:p>
            <w:pPr>
              <w:jc w:val="center"/>
              <w:ind w:right="220"/>
              <w:spacing w:after="0" w:line="113" w:lineRule="exact"/>
              <w:rPr>
                <w:sz w:val="20"/>
                <w:szCs w:val="20"/>
                <w:color w:val="auto"/>
              </w:rPr>
            </w:pPr>
            <w:r>
              <w:rPr>
                <w:rFonts w:ascii="Arial" w:cs="Arial" w:eastAsia="Arial" w:hAnsi="Arial"/>
                <w:sz w:val="11"/>
                <w:szCs w:val="11"/>
                <w:b w:val="1"/>
                <w:bCs w:val="1"/>
                <w:color w:val="auto"/>
              </w:rPr>
              <w:t>including</w:t>
            </w:r>
          </w:p>
        </w:tc>
        <w:tc>
          <w:tcPr>
            <w:tcW w:w="80" w:type="dxa"/>
            <w:vAlign w:val="bottom"/>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Multi-asset</w:t>
            </w:r>
            <w:r>
              <w:rPr>
                <w:rFonts w:ascii="Arial" w:cs="Arial" w:eastAsia="Arial" w:hAnsi="Arial"/>
                <w:sz w:val="14"/>
                <w:szCs w:val="14"/>
                <w:b w:val="1"/>
                <w:bCs w:val="1"/>
                <w:color w:val="auto"/>
                <w:vertAlign w:val="superscript"/>
              </w:rPr>
              <w:t>(1)</w:t>
            </w:r>
          </w:p>
        </w:tc>
        <w:tc>
          <w:tcPr>
            <w:tcW w:w="120" w:type="dxa"/>
            <w:vAlign w:val="bottom"/>
          </w:tcPr>
          <w:p>
            <w:pPr>
              <w:spacing w:after="0"/>
              <w:rPr>
                <w:sz w:val="9"/>
                <w:szCs w:val="9"/>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Alternatives</w:t>
            </w:r>
            <w:r>
              <w:rPr>
                <w:rFonts w:ascii="Arial" w:cs="Arial" w:eastAsia="Arial" w:hAnsi="Arial"/>
                <w:sz w:val="14"/>
                <w:szCs w:val="14"/>
                <w:b w:val="1"/>
                <w:bCs w:val="1"/>
                <w:color w:val="auto"/>
                <w:vertAlign w:val="superscript"/>
              </w:rPr>
              <w:t>(2)</w:t>
            </w:r>
          </w:p>
        </w:tc>
        <w:tc>
          <w:tcPr>
            <w:tcW w:w="200" w:type="dxa"/>
            <w:vAlign w:val="bottom"/>
          </w:tcPr>
          <w:p>
            <w:pPr>
              <w:spacing w:after="0"/>
              <w:rPr>
                <w:sz w:val="9"/>
                <w:szCs w:val="9"/>
                <w:color w:val="auto"/>
              </w:rPr>
            </w:pPr>
          </w:p>
        </w:tc>
        <w:tc>
          <w:tcPr>
            <w:tcW w:w="660" w:type="dxa"/>
            <w:vAlign w:val="bottom"/>
            <w:vMerge w:val="restart"/>
          </w:tcPr>
          <w:p>
            <w:pPr>
              <w:jc w:val="right"/>
              <w:ind w:right="24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12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money market</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right w:val="single" w:sz="8" w:color="auto"/>
            </w:tcBorders>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money market</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28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1"/>
                <w:szCs w:val="11"/>
                <w:color w:val="auto"/>
              </w:rPr>
              <w:t>Assets under</w:t>
            </w:r>
          </w:p>
        </w:tc>
        <w:tc>
          <w:tcPr>
            <w:tcW w:w="1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right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28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management at</w:t>
            </w:r>
          </w:p>
        </w:tc>
        <w:tc>
          <w:tcPr>
            <w:tcW w:w="18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810.3</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179.9</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529.1</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49.8</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1,569.1</w:t>
            </w:r>
          </w:p>
        </w:tc>
        <w:tc>
          <w:tcPr>
            <w:tcW w:w="100" w:type="dxa"/>
            <w:vAlign w:val="bottom"/>
            <w:tcBorders>
              <w:right w:val="single" w:sz="8" w:color="auto"/>
            </w:tcBorders>
            <w:shd w:val="clear" w:color="auto" w:fill="CCEEFF"/>
          </w:tcPr>
          <w:p>
            <w:pPr>
              <w:spacing w:after="0"/>
              <w:rPr>
                <w:sz w:val="9"/>
                <w:szCs w:val="9"/>
                <w:color w:val="auto"/>
              </w:rPr>
            </w:pPr>
          </w:p>
        </w:tc>
        <w:tc>
          <w:tcPr>
            <w:tcW w:w="16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743.6</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170.0</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483.0</w:t>
            </w:r>
          </w:p>
        </w:tc>
        <w:tc>
          <w:tcPr>
            <w:tcW w:w="8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47.9</w:t>
            </w:r>
          </w:p>
        </w:tc>
        <w:tc>
          <w:tcPr>
            <w:tcW w:w="8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1,444.5</w:t>
            </w:r>
          </w:p>
        </w:tc>
        <w:tc>
          <w:tcPr>
            <w:tcW w:w="0" w:type="dxa"/>
            <w:vAlign w:val="bottom"/>
          </w:tcPr>
          <w:p>
            <w:pPr>
              <w:spacing w:after="0"/>
              <w:rPr>
                <w:sz w:val="1"/>
                <w:szCs w:val="1"/>
                <w:color w:val="auto"/>
              </w:rPr>
            </w:pPr>
          </w:p>
        </w:tc>
      </w:tr>
      <w:tr>
        <w:trPr>
          <w:trHeight w:val="168"/>
        </w:trPr>
        <w:tc>
          <w:tcPr>
            <w:tcW w:w="1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beginning of period</w:t>
            </w:r>
          </w:p>
        </w:tc>
        <w:tc>
          <w:tcPr>
            <w:tcW w:w="180" w:type="dxa"/>
            <w:vAlign w:val="bottom"/>
            <w:tcBorders>
              <w:bottom w:val="single" w:sz="8" w:color="CCEEFF"/>
            </w:tcBorders>
            <w:vMerge w:val="continue"/>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9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vMerge w:val="continue"/>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vMerge w:val="continue"/>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9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vMerge w:val="continue"/>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8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Net cash flows prior to</w:t>
            </w:r>
          </w:p>
        </w:tc>
        <w:tc>
          <w:tcPr>
            <w:tcW w:w="1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28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manager-driven</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(11.4)</w:t>
            </w:r>
          </w:p>
        </w:tc>
        <w:tc>
          <w:tcPr>
            <w:tcW w:w="100" w:type="dxa"/>
            <w:vAlign w:val="bottom"/>
            <w:tcBorders>
              <w:right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(43.8)</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9.1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9.0</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4.7</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(21.0)</w:t>
            </w: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rPr>
                <w:sz w:val="20"/>
                <w:szCs w:val="20"/>
                <w:color w:val="auto"/>
              </w:rPr>
            </w:pPr>
            <w:r>
              <w:rPr>
                <w:rFonts w:ascii="Arial" w:cs="Arial" w:eastAsia="Arial" w:hAnsi="Arial"/>
                <w:sz w:val="11"/>
                <w:szCs w:val="11"/>
                <w:color w:val="auto"/>
              </w:rPr>
              <w:t>distributions</w:t>
            </w:r>
          </w:p>
        </w:tc>
        <w:tc>
          <w:tcPr>
            <w:tcW w:w="1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line="121" w:lineRule="exact"/>
              <w:rPr>
                <w:sz w:val="20"/>
                <w:szCs w:val="20"/>
                <w:color w:val="auto"/>
              </w:rPr>
            </w:pPr>
            <w:r>
              <w:rPr>
                <w:rFonts w:ascii="Arial" w:cs="Arial" w:eastAsia="Arial" w:hAnsi="Arial"/>
                <w:sz w:val="11"/>
                <w:szCs w:val="11"/>
                <w:color w:val="auto"/>
              </w:rPr>
              <w:t>Manager-driven</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(0.8)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(0.8)</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44"/>
        </w:trPr>
        <w:tc>
          <w:tcPr>
            <w:tcW w:w="1280" w:type="dxa"/>
            <w:vAlign w:val="bottom"/>
          </w:tcPr>
          <w:p>
            <w:pPr>
              <w:spacing w:after="0"/>
              <w:rPr>
                <w:sz w:val="20"/>
                <w:szCs w:val="20"/>
                <w:color w:val="auto"/>
              </w:rPr>
            </w:pPr>
            <w:r>
              <w:rPr>
                <w:rFonts w:ascii="Arial" w:cs="Arial" w:eastAsia="Arial" w:hAnsi="Arial"/>
                <w:sz w:val="11"/>
                <w:szCs w:val="11"/>
                <w:color w:val="auto"/>
              </w:rPr>
              <w:t>distributions</w:t>
            </w: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cash flows</w:t>
            </w: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(43.8)</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9.1</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(23.9)</w:t>
            </w:r>
          </w:p>
        </w:tc>
        <w:tc>
          <w:tcPr>
            <w:tcW w:w="0" w:type="dxa"/>
            <w:vAlign w:val="bottom"/>
          </w:tcPr>
          <w:p>
            <w:pPr>
              <w:spacing w:after="0"/>
              <w:rPr>
                <w:sz w:val="1"/>
                <w:szCs w:val="1"/>
                <w:color w:val="auto"/>
              </w:rPr>
            </w:pPr>
          </w:p>
        </w:tc>
      </w:tr>
      <w:tr>
        <w:trPr>
          <w:trHeight w:val="121"/>
        </w:trPr>
        <w:tc>
          <w:tcPr>
            <w:tcW w:w="1280" w:type="dxa"/>
            <w:vAlign w:val="bottom"/>
          </w:tcPr>
          <w:p>
            <w:pPr>
              <w:spacing w:after="0" w:line="121" w:lineRule="exact"/>
              <w:rPr>
                <w:sz w:val="20"/>
                <w:szCs w:val="20"/>
                <w:color w:val="auto"/>
              </w:rPr>
            </w:pPr>
            <w:r>
              <w:rPr>
                <w:rFonts w:ascii="Arial" w:cs="Arial" w:eastAsia="Arial" w:hAnsi="Arial"/>
                <w:sz w:val="11"/>
                <w:szCs w:val="11"/>
                <w:color w:val="auto"/>
              </w:rPr>
              <w:t>Net market appreciation</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280" w:type="dxa"/>
            <w:vAlign w:val="bottom"/>
          </w:tcPr>
          <w:p>
            <w:pPr>
              <w:spacing w:after="0" w:line="113" w:lineRule="exact"/>
              <w:rPr>
                <w:sz w:val="20"/>
                <w:szCs w:val="20"/>
                <w:color w:val="auto"/>
              </w:rPr>
            </w:pPr>
            <w:r>
              <w:rPr>
                <w:rFonts w:ascii="Arial" w:cs="Arial" w:eastAsia="Arial" w:hAnsi="Arial"/>
                <w:sz w:val="11"/>
                <w:szCs w:val="11"/>
                <w:color w:val="auto"/>
              </w:rPr>
              <w:t>(depreciation) and</w:t>
            </w: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37.8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5.3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29.9</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3"/>
              <w:spacing w:after="0"/>
              <w:rPr>
                <w:sz w:val="20"/>
                <w:szCs w:val="20"/>
                <w:color w:val="auto"/>
              </w:rPr>
            </w:pPr>
            <w:r>
              <w:rPr>
                <w:rFonts w:ascii="Arial" w:cs="Arial" w:eastAsia="Arial" w:hAnsi="Arial"/>
                <w:sz w:val="11"/>
                <w:szCs w:val="11"/>
                <w:color w:val="auto"/>
              </w:rPr>
              <w:t>74.0</w:t>
            </w: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right"/>
              <w:ind w:right="3"/>
              <w:spacing w:after="0"/>
              <w:rPr>
                <w:sz w:val="20"/>
                <w:szCs w:val="20"/>
                <w:color w:val="auto"/>
              </w:rPr>
            </w:pPr>
            <w:r>
              <w:rPr>
                <w:rFonts w:ascii="Arial" w:cs="Arial" w:eastAsia="Arial" w:hAnsi="Arial"/>
                <w:sz w:val="11"/>
                <w:szCs w:val="11"/>
                <w:color w:val="auto"/>
              </w:rPr>
              <w:t>132.2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7.2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3"/>
              <w:spacing w:after="0"/>
              <w:rPr>
                <w:sz w:val="20"/>
                <w:szCs w:val="20"/>
                <w:color w:val="auto"/>
              </w:rPr>
            </w:pPr>
            <w:r>
              <w:rPr>
                <w:rFonts w:ascii="Arial" w:cs="Arial" w:eastAsia="Arial" w:hAnsi="Arial"/>
                <w:sz w:val="11"/>
                <w:szCs w:val="11"/>
                <w:color w:val="auto"/>
              </w:rPr>
              <w:t>68.9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vMerge w:val="restart"/>
          </w:tcPr>
          <w:p>
            <w:pPr>
              <w:jc w:val="right"/>
              <w:ind w:right="3"/>
              <w:spacing w:after="0"/>
              <w:rPr>
                <w:sz w:val="20"/>
                <w:szCs w:val="20"/>
                <w:color w:val="auto"/>
              </w:rPr>
            </w:pPr>
            <w:r>
              <w:rPr>
                <w:rFonts w:ascii="Arial" w:cs="Arial" w:eastAsia="Arial" w:hAnsi="Arial"/>
                <w:sz w:val="11"/>
                <w:szCs w:val="11"/>
                <w:color w:val="auto"/>
              </w:rPr>
              <w:t>2.0</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210.3</w:t>
            </w:r>
          </w:p>
        </w:tc>
        <w:tc>
          <w:tcPr>
            <w:tcW w:w="0" w:type="dxa"/>
            <w:vAlign w:val="bottom"/>
          </w:tcPr>
          <w:p>
            <w:pPr>
              <w:spacing w:after="0"/>
              <w:rPr>
                <w:sz w:val="1"/>
                <w:szCs w:val="1"/>
                <w:color w:val="auto"/>
              </w:rPr>
            </w:pPr>
          </w:p>
        </w:tc>
      </w:tr>
      <w:tr>
        <w:trPr>
          <w:trHeight w:val="148"/>
        </w:trPr>
        <w:tc>
          <w:tcPr>
            <w:tcW w:w="12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income</w:t>
            </w:r>
            <w:r>
              <w:rPr>
                <w:rFonts w:ascii="Arial" w:cs="Arial" w:eastAsia="Arial" w:hAnsi="Arial"/>
                <w:sz w:val="7"/>
                <w:szCs w:val="7"/>
                <w:color w:val="auto"/>
              </w:rPr>
              <w:t>(3)</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28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Change during the</w:t>
            </w:r>
          </w:p>
        </w:tc>
        <w:tc>
          <w:tcPr>
            <w:tcW w:w="18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21.7</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6.4</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31.8</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61.8</w:t>
            </w:r>
          </w:p>
        </w:tc>
        <w:tc>
          <w:tcPr>
            <w:tcW w:w="100" w:type="dxa"/>
            <w:vAlign w:val="bottom"/>
            <w:tcBorders>
              <w:right w:val="single" w:sz="8" w:color="auto"/>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88.4</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16.3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77.9</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3.8</w:t>
            </w: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186.4</w:t>
            </w: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spacing w:after="0"/>
              <w:rPr>
                <w:sz w:val="20"/>
                <w:szCs w:val="20"/>
                <w:color w:val="auto"/>
              </w:rPr>
            </w:pPr>
            <w:r>
              <w:rPr>
                <w:rFonts w:ascii="Arial" w:cs="Arial" w:eastAsia="Arial" w:hAnsi="Arial"/>
                <w:sz w:val="11"/>
                <w:szCs w:val="11"/>
                <w:color w:val="auto"/>
              </w:rPr>
              <w:t>period</w:t>
            </w: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280" w:type="dxa"/>
            <w:vAlign w:val="bottom"/>
          </w:tcPr>
          <w:p>
            <w:pPr>
              <w:spacing w:after="0" w:line="101" w:lineRule="exact"/>
              <w:rPr>
                <w:sz w:val="20"/>
                <w:szCs w:val="20"/>
                <w:color w:val="auto"/>
              </w:rPr>
            </w:pPr>
            <w:r>
              <w:rPr>
                <w:rFonts w:ascii="Arial" w:cs="Arial" w:eastAsia="Arial" w:hAnsi="Arial"/>
                <w:sz w:val="11"/>
                <w:szCs w:val="11"/>
                <w:color w:val="auto"/>
              </w:rPr>
              <w:t>Assets under</w:t>
            </w: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280" w:type="dxa"/>
            <w:vAlign w:val="bottom"/>
          </w:tcPr>
          <w:p>
            <w:pPr>
              <w:spacing w:after="0" w:line="113" w:lineRule="exact"/>
              <w:rPr>
                <w:sz w:val="20"/>
                <w:szCs w:val="20"/>
                <w:color w:val="auto"/>
              </w:rPr>
            </w:pPr>
            <w:r>
              <w:rPr>
                <w:rFonts w:ascii="Arial" w:cs="Arial" w:eastAsia="Arial" w:hAnsi="Arial"/>
                <w:sz w:val="11"/>
                <w:szCs w:val="11"/>
                <w:color w:val="auto"/>
              </w:rPr>
              <w:t>management at</w:t>
            </w:r>
          </w:p>
        </w:tc>
        <w:tc>
          <w:tcPr>
            <w:tcW w:w="180" w:type="dxa"/>
            <w:vAlign w:val="bottom"/>
            <w:vMerge w:val="restart"/>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832.0</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186.3</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560.9</w:t>
            </w:r>
          </w:p>
        </w:tc>
        <w:tc>
          <w:tcPr>
            <w:tcW w:w="100" w:type="dxa"/>
            <w:vAlign w:val="bottom"/>
          </w:tcPr>
          <w:p>
            <w:pPr>
              <w:spacing w:after="0"/>
              <w:rPr>
                <w:sz w:val="9"/>
                <w:szCs w:val="9"/>
                <w:color w:val="auto"/>
              </w:rPr>
            </w:pPr>
          </w:p>
        </w:tc>
        <w:tc>
          <w:tcPr>
            <w:tcW w:w="120" w:type="dxa"/>
            <w:vAlign w:val="bottom"/>
            <w:vMerge w:val="restart"/>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51.7</w:t>
            </w:r>
          </w:p>
        </w:tc>
        <w:tc>
          <w:tcPr>
            <w:tcW w:w="100" w:type="dxa"/>
            <w:vAlign w:val="bottom"/>
          </w:tcPr>
          <w:p>
            <w:pPr>
              <w:spacing w:after="0"/>
              <w:rPr>
                <w:sz w:val="9"/>
                <w:szCs w:val="9"/>
                <w:color w:val="auto"/>
              </w:rPr>
            </w:pPr>
          </w:p>
        </w:tc>
        <w:tc>
          <w:tcPr>
            <w:tcW w:w="180" w:type="dxa"/>
            <w:vAlign w:val="bottom"/>
            <w:vMerge w:val="restart"/>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ind w:right="3"/>
              <w:spacing w:after="0"/>
              <w:rPr>
                <w:sz w:val="20"/>
                <w:szCs w:val="20"/>
                <w:color w:val="auto"/>
              </w:rPr>
            </w:pPr>
            <w:r>
              <w:rPr>
                <w:rFonts w:ascii="Arial" w:cs="Arial" w:eastAsia="Arial" w:hAnsi="Arial"/>
                <w:sz w:val="11"/>
                <w:szCs w:val="11"/>
                <w:color w:val="auto"/>
              </w:rPr>
              <w:t>1,630.9</w:t>
            </w:r>
          </w:p>
        </w:tc>
        <w:tc>
          <w:tcPr>
            <w:tcW w:w="100" w:type="dxa"/>
            <w:vAlign w:val="bottom"/>
            <w:tcBorders>
              <w:right w:val="single" w:sz="8" w:color="auto"/>
            </w:tcBorders>
          </w:tcPr>
          <w:p>
            <w:pPr>
              <w:spacing w:after="0"/>
              <w:rPr>
                <w:sz w:val="9"/>
                <w:szCs w:val="9"/>
                <w:color w:val="auto"/>
              </w:rPr>
            </w:pPr>
          </w:p>
        </w:tc>
        <w:tc>
          <w:tcPr>
            <w:tcW w:w="160" w:type="dxa"/>
            <w:vAlign w:val="bottom"/>
            <w:vMerge w:val="restart"/>
          </w:tcPr>
          <w:p>
            <w:pPr>
              <w:jc w:val="right"/>
              <w:ind w:right="23"/>
              <w:spacing w:after="0"/>
              <w:rPr>
                <w:sz w:val="20"/>
                <w:szCs w:val="20"/>
                <w:color w:val="auto"/>
              </w:rPr>
            </w:pPr>
            <w:r>
              <w:rPr>
                <w:rFonts w:ascii="Arial" w:cs="Arial" w:eastAsia="Arial" w:hAnsi="Arial"/>
                <w:sz w:val="11"/>
                <w:szCs w:val="11"/>
                <w:color w:val="auto"/>
                <w:w w:val="97"/>
              </w:rPr>
              <w:t>$</w:t>
            </w:r>
          </w:p>
        </w:tc>
        <w:tc>
          <w:tcPr>
            <w:tcW w:w="680" w:type="dxa"/>
            <w:vAlign w:val="bottom"/>
            <w:vMerge w:val="restart"/>
          </w:tcPr>
          <w:p>
            <w:pPr>
              <w:jc w:val="right"/>
              <w:ind w:right="3"/>
              <w:spacing w:after="0"/>
              <w:rPr>
                <w:sz w:val="20"/>
                <w:szCs w:val="20"/>
                <w:color w:val="auto"/>
              </w:rPr>
            </w:pPr>
            <w:r>
              <w:rPr>
                <w:rFonts w:ascii="Arial" w:cs="Arial" w:eastAsia="Arial" w:hAnsi="Arial"/>
                <w:sz w:val="11"/>
                <w:szCs w:val="11"/>
                <w:color w:val="auto"/>
              </w:rPr>
              <w:t>832.0</w:t>
            </w:r>
          </w:p>
        </w:tc>
        <w:tc>
          <w:tcPr>
            <w:tcW w:w="80" w:type="dxa"/>
            <w:vAlign w:val="bottom"/>
          </w:tcPr>
          <w:p>
            <w:pPr>
              <w:spacing w:after="0"/>
              <w:rPr>
                <w:sz w:val="9"/>
                <w:szCs w:val="9"/>
                <w:color w:val="auto"/>
              </w:rPr>
            </w:pPr>
          </w:p>
        </w:tc>
        <w:tc>
          <w:tcPr>
            <w:tcW w:w="140" w:type="dxa"/>
            <w:vAlign w:val="bottom"/>
            <w:vMerge w:val="restart"/>
          </w:tcPr>
          <w:p>
            <w:pPr>
              <w:jc w:val="right"/>
              <w:ind w:right="3"/>
              <w:spacing w:after="0"/>
              <w:rPr>
                <w:sz w:val="20"/>
                <w:szCs w:val="20"/>
                <w:color w:val="auto"/>
              </w:rPr>
            </w:pPr>
            <w:r>
              <w:rPr>
                <w:rFonts w:ascii="Arial" w:cs="Arial" w:eastAsia="Arial" w:hAnsi="Arial"/>
                <w:sz w:val="11"/>
                <w:szCs w:val="11"/>
                <w:color w:val="auto"/>
                <w:w w:val="97"/>
              </w:rPr>
              <w:t>$</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186.3</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vMerge w:val="restart"/>
          </w:tcPr>
          <w:p>
            <w:pPr>
              <w:jc w:val="right"/>
              <w:ind w:right="3"/>
              <w:spacing w:after="0"/>
              <w:rPr>
                <w:sz w:val="20"/>
                <w:szCs w:val="20"/>
                <w:color w:val="auto"/>
              </w:rPr>
            </w:pPr>
            <w:r>
              <w:rPr>
                <w:rFonts w:ascii="Arial" w:cs="Arial" w:eastAsia="Arial" w:hAnsi="Arial"/>
                <w:sz w:val="11"/>
                <w:szCs w:val="11"/>
                <w:color w:val="auto"/>
              </w:rPr>
              <w:t>560.9</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vMerge w:val="restart"/>
          </w:tcPr>
          <w:p>
            <w:pPr>
              <w:jc w:val="right"/>
              <w:ind w:right="3"/>
              <w:spacing w:after="0"/>
              <w:rPr>
                <w:sz w:val="20"/>
                <w:szCs w:val="20"/>
                <w:color w:val="auto"/>
              </w:rPr>
            </w:pPr>
            <w:r>
              <w:rPr>
                <w:rFonts w:ascii="Arial" w:cs="Arial" w:eastAsia="Arial" w:hAnsi="Arial"/>
                <w:sz w:val="11"/>
                <w:szCs w:val="11"/>
                <w:color w:val="auto"/>
              </w:rPr>
              <w:t>51.7</w:t>
            </w:r>
          </w:p>
        </w:tc>
        <w:tc>
          <w:tcPr>
            <w:tcW w:w="80" w:type="dxa"/>
            <w:vAlign w:val="bottom"/>
          </w:tcPr>
          <w:p>
            <w:pPr>
              <w:spacing w:after="0"/>
              <w:rPr>
                <w:sz w:val="9"/>
                <w:szCs w:val="9"/>
                <w:color w:val="auto"/>
              </w:rPr>
            </w:pPr>
          </w:p>
        </w:tc>
        <w:tc>
          <w:tcPr>
            <w:tcW w:w="200" w:type="dxa"/>
            <w:vAlign w:val="bottom"/>
            <w:vMerge w:val="restart"/>
          </w:tcPr>
          <w:p>
            <w:pPr>
              <w:jc w:val="right"/>
              <w:ind w:right="63"/>
              <w:spacing w:after="0"/>
              <w:rPr>
                <w:sz w:val="20"/>
                <w:szCs w:val="20"/>
                <w:color w:val="auto"/>
              </w:rPr>
            </w:pPr>
            <w:r>
              <w:rPr>
                <w:rFonts w:ascii="Arial" w:cs="Arial" w:eastAsia="Arial" w:hAnsi="Arial"/>
                <w:sz w:val="11"/>
                <w:szCs w:val="11"/>
                <w:color w:val="auto"/>
                <w:w w:val="97"/>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1,630.9</w:t>
            </w:r>
          </w:p>
        </w:tc>
        <w:tc>
          <w:tcPr>
            <w:tcW w:w="0" w:type="dxa"/>
            <w:vAlign w:val="bottom"/>
          </w:tcPr>
          <w:p>
            <w:pPr>
              <w:spacing w:after="0"/>
              <w:rPr>
                <w:sz w:val="1"/>
                <w:szCs w:val="1"/>
                <w:color w:val="auto"/>
              </w:rPr>
            </w:pPr>
          </w:p>
        </w:tc>
      </w:tr>
      <w:tr>
        <w:trPr>
          <w:trHeight w:val="132"/>
        </w:trPr>
        <w:tc>
          <w:tcPr>
            <w:tcW w:w="1280" w:type="dxa"/>
            <w:vAlign w:val="bottom"/>
          </w:tcPr>
          <w:p>
            <w:pPr>
              <w:spacing w:after="0"/>
              <w:rPr>
                <w:sz w:val="20"/>
                <w:szCs w:val="20"/>
                <w:color w:val="auto"/>
              </w:rPr>
            </w:pPr>
            <w:r>
              <w:rPr>
                <w:rFonts w:ascii="Arial" w:cs="Arial" w:eastAsia="Arial" w:hAnsi="Arial"/>
                <w:sz w:val="11"/>
                <w:szCs w:val="11"/>
                <w:color w:val="auto"/>
              </w:rPr>
              <w:t>September 30, 2024</w:t>
            </w:r>
          </w:p>
        </w:tc>
        <w:tc>
          <w:tcPr>
            <w:tcW w:w="18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200" w:hanging="195"/>
        <w:spacing w:after="0"/>
        <w:tabs>
          <w:tab w:leader="none" w:pos="200" w:val="left"/>
        </w:tabs>
        <w:numPr>
          <w:ilvl w:val="0"/>
          <w:numId w:val="8"/>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The underlying assets under management of the multi-asset portfolios have been aggregated and presented in this category and not reported in the equity and fixed income columns.</w:t>
      </w:r>
    </w:p>
    <w:p>
      <w:pPr>
        <w:spacing w:after="0" w:line="16" w:lineRule="exact"/>
        <w:rPr>
          <w:rFonts w:ascii="Arial" w:cs="Arial" w:eastAsia="Arial" w:hAnsi="Arial"/>
          <w:sz w:val="13"/>
          <w:szCs w:val="13"/>
          <w:i w:val="1"/>
          <w:iCs w:val="1"/>
          <w:color w:val="auto"/>
          <w:vertAlign w:val="superscript"/>
        </w:rPr>
      </w:pPr>
    </w:p>
    <w:p>
      <w:pPr>
        <w:ind w:left="140" w:hanging="135"/>
        <w:spacing w:after="0" w:line="224" w:lineRule="auto"/>
        <w:tabs>
          <w:tab w:leader="none" w:pos="122" w:val="left"/>
        </w:tabs>
        <w:numPr>
          <w:ilvl w:val="0"/>
          <w:numId w:val="8"/>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The alternatives asset class includes strategies authorized to invest more than 50% of its holdings in private credit, leveraged loans, mezzanine, real assets/CRE, structured products, stressed / distressed, non-investment grade CLOs, special situations, or have absolute return as its investment objective. Generally, only those strategies with longer than daily liquidity are included. Unfunded capital commitments were $14.5 billion at September 30, 2024, $11.3 billion at June 30, 2024, and $11.6 billion at December 31, 2023, and are not reflected in fee basis AUM above.</w:t>
      </w:r>
    </w:p>
    <w:p>
      <w:pPr>
        <w:spacing w:after="0" w:line="9" w:lineRule="exact"/>
        <w:rPr>
          <w:rFonts w:ascii="Arial" w:cs="Arial" w:eastAsia="Arial" w:hAnsi="Arial"/>
          <w:sz w:val="13"/>
          <w:szCs w:val="13"/>
          <w:i w:val="1"/>
          <w:iCs w:val="1"/>
          <w:color w:val="auto"/>
          <w:vertAlign w:val="superscript"/>
        </w:rPr>
      </w:pPr>
    </w:p>
    <w:p>
      <w:pPr>
        <w:ind w:left="100" w:hanging="95"/>
        <w:spacing w:after="0"/>
        <w:tabs>
          <w:tab w:leader="none" w:pos="100" w:val="left"/>
        </w:tabs>
        <w:numPr>
          <w:ilvl w:val="0"/>
          <w:numId w:val="8"/>
        </w:numPr>
        <w:rPr>
          <w:rFonts w:ascii="Arial" w:cs="Arial" w:eastAsia="Arial" w:hAnsi="Arial"/>
          <w:sz w:val="11"/>
          <w:szCs w:val="11"/>
          <w:i w:val="1"/>
          <w:iCs w:val="1"/>
          <w:color w:val="auto"/>
          <w:vertAlign w:val="superscript"/>
        </w:rPr>
      </w:pPr>
      <w:r>
        <w:rPr>
          <w:rFonts w:ascii="Arial" w:cs="Arial" w:eastAsia="Arial" w:hAnsi="Arial"/>
          <w:sz w:val="8"/>
          <w:szCs w:val="8"/>
          <w:i w:val="1"/>
          <w:iCs w:val="1"/>
          <w:color w:val="auto"/>
        </w:rPr>
        <w:t>Includes net distributions not reinvested for the three- and nine-month periods ended September 30, 2024 of $0.2 billion and $1.1 billion,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Investment advisory clients outside the United States account for 8.6% of our assets under management at September 30, 2024, June 30, 2024, and December 31, 2023.</w:t>
      </w:r>
    </w:p>
    <w:p>
      <w:pPr>
        <w:spacing w:after="0" w:line="200" w:lineRule="exact"/>
        <w:rPr>
          <w:sz w:val="20"/>
          <w:szCs w:val="20"/>
          <w:color w:val="auto"/>
        </w:rPr>
      </w:pPr>
    </w:p>
    <w:p>
      <w:pPr>
        <w:jc w:val="both"/>
        <w:ind w:right="340"/>
        <w:spacing w:after="0" w:line="271" w:lineRule="auto"/>
        <w:rPr>
          <w:sz w:val="20"/>
          <w:szCs w:val="20"/>
          <w:color w:val="auto"/>
        </w:rPr>
      </w:pPr>
      <w:r>
        <w:rPr>
          <w:rFonts w:ascii="Arial" w:cs="Arial" w:eastAsia="Arial" w:hAnsi="Arial"/>
          <w:sz w:val="14"/>
          <w:szCs w:val="14"/>
          <w:color w:val="auto"/>
        </w:rPr>
        <w:t>Assets under management in our target date retirement products, which are included in the multi-asset totals shown above, were $ 482.1 billion at September 30, 2024, $452.6 billion at June 30, 2024, and $408.4 billion at December 31, 2023. Net flows into these portfolios were $3.6 billion and $14.1 billion in the three- and nine-month periods ended September 30, 2024.</w:t>
      </w:r>
    </w:p>
    <w:p>
      <w:pPr>
        <w:spacing w:after="0" w:line="155"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We also provide strategic investment advice solutions for certain portfolios. These advice solutions, primarily overseen by our multi-asset division, may include strategic asset allocation, and in certain portfolios, asset selection and/or tactical asset allocation overlays. We also offer advice solutions through retail separately managed accounts and separately managed accounts model delivery. As of September 30, 2024, total assets in these solutions were $582 billion, of which $567 billion are included in our reported assets under management in the tables above.</w:t>
      </w:r>
    </w:p>
    <w:p>
      <w:pPr>
        <w:spacing w:after="0" w:line="159"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We provide participant accounting and plan administration for retirement plans that primarily invest in the firm's U.S. mutual funds, collective investment trusts and funds outside of the firm's complex. As of September 30, 2024, our assets under administration were $286 billion, of which nearly $163 billion are assets we manage.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7"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i w:val="1"/>
          <w:iCs w:val="1"/>
          <w:u w:val="single" w:color="auto"/>
          <w:color w:val="auto"/>
        </w:rPr>
        <w:t>INVESTMENT PERFORMANCE.</w:t>
      </w:r>
      <w:r>
        <w:rPr>
          <w:rFonts w:ascii="Arial" w:cs="Arial" w:eastAsia="Arial" w:hAnsi="Arial"/>
          <w:sz w:val="18"/>
          <w:szCs w:val="18"/>
          <w:b w:val="1"/>
          <w:bCs w:val="1"/>
          <w:i w:val="1"/>
          <w:iCs w:val="1"/>
          <w:color w:val="auto"/>
          <w:vertAlign w:val="superscript"/>
        </w:rPr>
        <w:t>(1)</w:t>
      </w:r>
    </w:p>
    <w:p>
      <w:pPr>
        <w:spacing w:after="0" w:line="156"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i w:val="1"/>
          <w:iCs w:val="1"/>
          <w:color w:val="auto"/>
        </w:rPr>
        <w:t>S</w:t>
      </w:r>
      <w:r>
        <w:rPr>
          <w:rFonts w:ascii="Arial" w:cs="Arial" w:eastAsia="Arial" w:hAnsi="Arial"/>
          <w:sz w:val="14"/>
          <w:szCs w:val="14"/>
          <w:color w:val="auto"/>
        </w:rPr>
        <w:t>trong investment performance and brand awareness is a key driver to attracting and retaining assets—and to our long-term success. Our performance disclosures include specific</w:t>
      </w:r>
      <w:r>
        <w:rPr>
          <w:rFonts w:ascii="Arial" w:cs="Arial" w:eastAsia="Arial" w:hAnsi="Arial"/>
          <w:sz w:val="14"/>
          <w:szCs w:val="14"/>
          <w:i w:val="1"/>
          <w:iCs w:val="1"/>
          <w:color w:val="auto"/>
        </w:rPr>
        <w:t xml:space="preserve"> </w:t>
      </w:r>
      <w:r>
        <w:rPr>
          <w:rFonts w:ascii="Arial" w:cs="Arial" w:eastAsia="Arial" w:hAnsi="Arial"/>
          <w:sz w:val="14"/>
          <w:szCs w:val="14"/>
          <w:color w:val="auto"/>
        </w:rPr>
        <w:t>asset classes, assets under management weighted performance, mutual fund performance against passive peers and composite performance against benchmarks. The following tables present investment performance for the one-, three-, five-, and 10-years ended September 30, 2024. Past performance is not a reliable indicator of future performance.</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9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 of U.S. funds that outperformed Morningstar median</w:t>
            </w:r>
            <w:r>
              <w:rPr>
                <w:rFonts w:ascii="Arial" w:cs="Arial" w:eastAsia="Arial" w:hAnsi="Arial"/>
                <w:sz w:val="16"/>
                <w:szCs w:val="16"/>
                <w:b w:val="1"/>
                <w:bCs w:val="1"/>
                <w:color w:val="auto"/>
                <w:vertAlign w:val="superscript"/>
              </w:rPr>
              <w:t>(2),(3)</w:t>
            </w: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169"/>
        </w:trPr>
        <w:tc>
          <w:tcPr>
            <w:tcW w:w="1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3"/>
                <w:szCs w:val="13"/>
                <w:color w:val="auto"/>
                <w:w w:val="99"/>
              </w:rPr>
              <w:t>1 year</w:t>
            </w:r>
          </w:p>
        </w:tc>
        <w:tc>
          <w:tcPr>
            <w:tcW w:w="1860" w:type="dxa"/>
            <w:vAlign w:val="bottom"/>
            <w:gridSpan w:val="2"/>
          </w:tcPr>
          <w:p>
            <w:pPr>
              <w:jc w:val="center"/>
              <w:ind w:right="80"/>
              <w:spacing w:after="0"/>
              <w:rPr>
                <w:sz w:val="20"/>
                <w:szCs w:val="20"/>
                <w:color w:val="auto"/>
              </w:rPr>
            </w:pPr>
            <w:r>
              <w:rPr>
                <w:rFonts w:ascii="Arial" w:cs="Arial" w:eastAsia="Arial" w:hAnsi="Arial"/>
                <w:sz w:val="13"/>
                <w:szCs w:val="13"/>
                <w:color w:val="auto"/>
                <w:w w:val="98"/>
              </w:rPr>
              <w:t>3 years</w:t>
            </w:r>
          </w:p>
        </w:tc>
        <w:tc>
          <w:tcPr>
            <w:tcW w:w="1860" w:type="dxa"/>
            <w:vAlign w:val="bottom"/>
            <w:gridSpan w:val="2"/>
          </w:tcPr>
          <w:p>
            <w:pPr>
              <w:jc w:val="center"/>
              <w:ind w:right="80"/>
              <w:spacing w:after="0"/>
              <w:rPr>
                <w:sz w:val="20"/>
                <w:szCs w:val="20"/>
                <w:color w:val="auto"/>
              </w:rPr>
            </w:pPr>
            <w:r>
              <w:rPr>
                <w:rFonts w:ascii="Arial" w:cs="Arial" w:eastAsia="Arial" w:hAnsi="Arial"/>
                <w:sz w:val="13"/>
                <w:szCs w:val="13"/>
                <w:color w:val="auto"/>
                <w:w w:val="98"/>
              </w:rPr>
              <w:t>5 years</w:t>
            </w:r>
          </w:p>
        </w:tc>
        <w:tc>
          <w:tcPr>
            <w:tcW w:w="1760" w:type="dxa"/>
            <w:vAlign w:val="bottom"/>
          </w:tcPr>
          <w:p>
            <w:pPr>
              <w:jc w:val="center"/>
              <w:spacing w:after="0"/>
              <w:rPr>
                <w:sz w:val="20"/>
                <w:szCs w:val="20"/>
                <w:color w:val="auto"/>
              </w:rPr>
            </w:pPr>
            <w:r>
              <w:rPr>
                <w:rFonts w:ascii="Arial" w:cs="Arial" w:eastAsia="Arial" w:hAnsi="Arial"/>
                <w:sz w:val="13"/>
                <w:szCs w:val="13"/>
                <w:color w:val="auto"/>
                <w:w w:val="96"/>
              </w:rPr>
              <w:t>10 years</w:t>
            </w:r>
          </w:p>
        </w:tc>
      </w:tr>
      <w:tr>
        <w:trPr>
          <w:trHeight w:val="162"/>
        </w:trPr>
        <w:tc>
          <w:tcPr>
            <w:tcW w:w="3960" w:type="dxa"/>
            <w:vAlign w:val="bottom"/>
            <w:tcBorders>
              <w:top w:val="single" w:sz="8" w:color="CCEEFF"/>
              <w:left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Equity</w:t>
            </w: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59%</w:t>
            </w:r>
          </w:p>
        </w:tc>
        <w:tc>
          <w:tcPr>
            <w:tcW w:w="8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9"/>
              </w:rPr>
              <w:t>45%</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9"/>
              </w:rPr>
              <w:t>51%</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71%</w:t>
            </w:r>
          </w:p>
        </w:tc>
      </w:tr>
      <w:tr>
        <w:trPr>
          <w:trHeight w:val="169"/>
        </w:trPr>
        <w:tc>
          <w:tcPr>
            <w:tcW w:w="3960" w:type="dxa"/>
            <w:vAlign w:val="bottom"/>
            <w:gridSpan w:val="2"/>
          </w:tcPr>
          <w:p>
            <w:pPr>
              <w:ind w:left="180"/>
              <w:spacing w:after="0"/>
              <w:rPr>
                <w:sz w:val="20"/>
                <w:szCs w:val="20"/>
                <w:color w:val="auto"/>
              </w:rPr>
            </w:pPr>
            <w:r>
              <w:rPr>
                <w:rFonts w:ascii="Arial" w:cs="Arial" w:eastAsia="Arial" w:hAnsi="Arial"/>
                <w:sz w:val="13"/>
                <w:szCs w:val="13"/>
                <w:color w:val="auto"/>
              </w:rPr>
              <w:t>Fixed Income</w:t>
            </w: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43%</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50%</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53%</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66%</w:t>
            </w:r>
          </w:p>
        </w:tc>
      </w:tr>
      <w:tr>
        <w:trPr>
          <w:trHeight w:val="171"/>
        </w:trPr>
        <w:tc>
          <w:tcPr>
            <w:tcW w:w="396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Multi-Asset</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54%</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47%</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67%</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68%</w:t>
            </w:r>
          </w:p>
        </w:tc>
      </w:tr>
      <w:tr>
        <w:trPr>
          <w:trHeight w:val="169"/>
        </w:trPr>
        <w:tc>
          <w:tcPr>
            <w:tcW w:w="3960" w:type="dxa"/>
            <w:vAlign w:val="bottom"/>
            <w:gridSpan w:val="2"/>
          </w:tcPr>
          <w:p>
            <w:pPr>
              <w:ind w:left="180"/>
              <w:spacing w:after="0"/>
              <w:rPr>
                <w:sz w:val="20"/>
                <w:szCs w:val="20"/>
                <w:color w:val="auto"/>
              </w:rPr>
            </w:pPr>
            <w:r>
              <w:rPr>
                <w:rFonts w:ascii="Arial" w:cs="Arial" w:eastAsia="Arial" w:hAnsi="Arial"/>
                <w:sz w:val="13"/>
                <w:szCs w:val="13"/>
                <w:color w:val="auto"/>
              </w:rPr>
              <w:t>All Funds</w:t>
            </w: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53%</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47%</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56%</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68%</w:t>
            </w:r>
          </w:p>
        </w:tc>
      </w:tr>
      <w:tr>
        <w:trPr>
          <w:trHeight w:val="86"/>
        </w:trPr>
        <w:tc>
          <w:tcPr>
            <w:tcW w:w="1720" w:type="dxa"/>
            <w:vAlign w:val="bottom"/>
            <w:tcBorders>
              <w:left w:val="single" w:sz="8" w:color="CCEEFF"/>
            </w:tcBorders>
            <w:shd w:val="clear" w:color="auto" w:fill="CCEEFF"/>
          </w:tcPr>
          <w:p>
            <w:pPr>
              <w:spacing w:after="0"/>
              <w:rPr>
                <w:sz w:val="7"/>
                <w:szCs w:val="7"/>
                <w:color w:val="auto"/>
              </w:rPr>
            </w:pPr>
          </w:p>
        </w:tc>
        <w:tc>
          <w:tcPr>
            <w:tcW w:w="224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r>
      <w:tr>
        <w:trPr>
          <w:trHeight w:val="170"/>
        </w:trPr>
        <w:tc>
          <w:tcPr>
            <w:tcW w:w="3960" w:type="dxa"/>
            <w:vAlign w:val="bottom"/>
            <w:gridSpan w:val="2"/>
          </w:tcPr>
          <w:p>
            <w:pPr>
              <w:ind w:left="20"/>
              <w:spacing w:after="0" w:line="170" w:lineRule="exact"/>
              <w:rPr>
                <w:sz w:val="20"/>
                <w:szCs w:val="20"/>
                <w:color w:val="auto"/>
              </w:rPr>
            </w:pPr>
            <w:r>
              <w:rPr>
                <w:rFonts w:ascii="Arial" w:cs="Arial" w:eastAsia="Arial" w:hAnsi="Arial"/>
                <w:sz w:val="13"/>
                <w:szCs w:val="13"/>
                <w:b w:val="1"/>
                <w:bCs w:val="1"/>
                <w:color w:val="auto"/>
              </w:rPr>
              <w:t>% of U.S. funds that outperformed passive peer median</w:t>
            </w:r>
            <w:r>
              <w:rPr>
                <w:rFonts w:ascii="Arial" w:cs="Arial" w:eastAsia="Arial" w:hAnsi="Arial"/>
                <w:sz w:val="16"/>
                <w:szCs w:val="16"/>
                <w:b w:val="1"/>
                <w:bCs w:val="1"/>
                <w:color w:val="auto"/>
                <w:vertAlign w:val="superscript"/>
              </w:rPr>
              <w:t>(2),(4)</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1720" w:type="dxa"/>
            <w:vAlign w:val="bottom"/>
            <w:tcBorders>
              <w:left w:val="single" w:sz="8" w:color="CCEEFF"/>
            </w:tcBorders>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9"/>
              </w:rPr>
              <w:t>1 year</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8"/>
              </w:rPr>
              <w:t>3 years</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8"/>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 years</w:t>
            </w:r>
          </w:p>
        </w:tc>
      </w:tr>
      <w:tr>
        <w:trPr>
          <w:trHeight w:val="159"/>
        </w:trPr>
        <w:tc>
          <w:tcPr>
            <w:tcW w:w="3960" w:type="dxa"/>
            <w:vAlign w:val="bottom"/>
            <w:gridSpan w:val="2"/>
          </w:tcPr>
          <w:p>
            <w:pPr>
              <w:ind w:left="180"/>
              <w:spacing w:after="0"/>
              <w:rPr>
                <w:sz w:val="20"/>
                <w:szCs w:val="20"/>
                <w:color w:val="auto"/>
              </w:rPr>
            </w:pPr>
            <w:r>
              <w:rPr>
                <w:rFonts w:ascii="Arial" w:cs="Arial" w:eastAsia="Arial" w:hAnsi="Arial"/>
                <w:sz w:val="13"/>
                <w:szCs w:val="13"/>
                <w:color w:val="auto"/>
              </w:rPr>
              <w:t>Equity</w:t>
            </w: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50%</w:t>
            </w:r>
          </w:p>
        </w:tc>
        <w:tc>
          <w:tcPr>
            <w:tcW w:w="80" w:type="dxa"/>
            <w:vAlign w:val="bottom"/>
          </w:tcPr>
          <w:p>
            <w:pPr>
              <w:spacing w:after="0"/>
              <w:rPr>
                <w:sz w:val="13"/>
                <w:szCs w:val="13"/>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9"/>
              </w:rPr>
              <w:t>42%</w:t>
            </w:r>
          </w:p>
        </w:tc>
        <w:tc>
          <w:tcPr>
            <w:tcW w:w="100" w:type="dxa"/>
            <w:vAlign w:val="bottom"/>
          </w:tcPr>
          <w:p>
            <w:pPr>
              <w:spacing w:after="0"/>
              <w:rPr>
                <w:sz w:val="13"/>
                <w:szCs w:val="13"/>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9"/>
              </w:rPr>
              <w:t>47%</w:t>
            </w:r>
          </w:p>
        </w:tc>
        <w:tc>
          <w:tcPr>
            <w:tcW w:w="100" w:type="dxa"/>
            <w:vAlign w:val="bottom"/>
          </w:tcPr>
          <w:p>
            <w:pPr>
              <w:spacing w:after="0"/>
              <w:rPr>
                <w:sz w:val="13"/>
                <w:szCs w:val="13"/>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53%</w:t>
            </w:r>
          </w:p>
        </w:tc>
      </w:tr>
      <w:tr>
        <w:trPr>
          <w:trHeight w:val="171"/>
        </w:trPr>
        <w:tc>
          <w:tcPr>
            <w:tcW w:w="396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Fixed Income</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36%</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45%</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58%</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58%</w:t>
            </w:r>
          </w:p>
        </w:tc>
      </w:tr>
      <w:tr>
        <w:trPr>
          <w:trHeight w:val="169"/>
        </w:trPr>
        <w:tc>
          <w:tcPr>
            <w:tcW w:w="3960" w:type="dxa"/>
            <w:vAlign w:val="bottom"/>
            <w:gridSpan w:val="2"/>
          </w:tcPr>
          <w:p>
            <w:pPr>
              <w:ind w:left="180"/>
              <w:spacing w:after="0"/>
              <w:rPr>
                <w:sz w:val="20"/>
                <w:szCs w:val="20"/>
                <w:color w:val="auto"/>
              </w:rPr>
            </w:pPr>
            <w:r>
              <w:rPr>
                <w:rFonts w:ascii="Arial" w:cs="Arial" w:eastAsia="Arial" w:hAnsi="Arial"/>
                <w:sz w:val="13"/>
                <w:szCs w:val="13"/>
                <w:color w:val="auto"/>
              </w:rPr>
              <w:t>Multi-Asset</w:t>
            </w: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45%</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44%</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68%</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54%</w:t>
            </w:r>
          </w:p>
        </w:tc>
      </w:tr>
      <w:tr>
        <w:trPr>
          <w:trHeight w:val="171"/>
        </w:trPr>
        <w:tc>
          <w:tcPr>
            <w:tcW w:w="396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All Funds</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45%</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44%</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56%</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54%</w:t>
            </w:r>
          </w:p>
        </w:tc>
      </w:tr>
      <w:tr>
        <w:trPr>
          <w:trHeight w:val="127"/>
        </w:trPr>
        <w:tc>
          <w:tcPr>
            <w:tcW w:w="17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70"/>
        </w:trPr>
        <w:tc>
          <w:tcPr>
            <w:tcW w:w="3960" w:type="dxa"/>
            <w:vAlign w:val="bottom"/>
            <w:tcBorders>
              <w:left w:val="single" w:sz="8" w:color="CCEEFF"/>
            </w:tcBorders>
            <w:gridSpan w:val="2"/>
            <w:shd w:val="clear" w:color="auto" w:fill="CCEEFF"/>
          </w:tcPr>
          <w:p>
            <w:pPr>
              <w:ind w:left="20"/>
              <w:spacing w:after="0" w:line="170" w:lineRule="exact"/>
              <w:rPr>
                <w:sz w:val="20"/>
                <w:szCs w:val="20"/>
                <w:color w:val="auto"/>
              </w:rPr>
            </w:pPr>
            <w:r>
              <w:rPr>
                <w:rFonts w:ascii="Arial" w:cs="Arial" w:eastAsia="Arial" w:hAnsi="Arial"/>
                <w:sz w:val="13"/>
                <w:szCs w:val="13"/>
                <w:b w:val="1"/>
                <w:bCs w:val="1"/>
                <w:color w:val="auto"/>
              </w:rPr>
              <w:t>% of composites that outperformed benchmarks</w:t>
            </w:r>
            <w:r>
              <w:rPr>
                <w:rFonts w:ascii="Arial" w:cs="Arial" w:eastAsia="Arial" w:hAnsi="Arial"/>
                <w:sz w:val="16"/>
                <w:szCs w:val="16"/>
                <w:b w:val="1"/>
                <w:bCs w:val="1"/>
                <w:color w:val="auto"/>
                <w:vertAlign w:val="superscript"/>
              </w:rPr>
              <w:t>(5)</w:t>
            </w: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69"/>
        </w:trPr>
        <w:tc>
          <w:tcPr>
            <w:tcW w:w="1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3"/>
                <w:szCs w:val="13"/>
                <w:color w:val="auto"/>
                <w:w w:val="99"/>
              </w:rPr>
              <w:t>1 year</w:t>
            </w:r>
          </w:p>
        </w:tc>
        <w:tc>
          <w:tcPr>
            <w:tcW w:w="1860" w:type="dxa"/>
            <w:vAlign w:val="bottom"/>
            <w:gridSpan w:val="2"/>
          </w:tcPr>
          <w:p>
            <w:pPr>
              <w:jc w:val="center"/>
              <w:ind w:right="80"/>
              <w:spacing w:after="0"/>
              <w:rPr>
                <w:sz w:val="20"/>
                <w:szCs w:val="20"/>
                <w:color w:val="auto"/>
              </w:rPr>
            </w:pPr>
            <w:r>
              <w:rPr>
                <w:rFonts w:ascii="Arial" w:cs="Arial" w:eastAsia="Arial" w:hAnsi="Arial"/>
                <w:sz w:val="13"/>
                <w:szCs w:val="13"/>
                <w:color w:val="auto"/>
                <w:w w:val="98"/>
              </w:rPr>
              <w:t>3 years</w:t>
            </w:r>
          </w:p>
        </w:tc>
        <w:tc>
          <w:tcPr>
            <w:tcW w:w="1860" w:type="dxa"/>
            <w:vAlign w:val="bottom"/>
            <w:gridSpan w:val="2"/>
          </w:tcPr>
          <w:p>
            <w:pPr>
              <w:jc w:val="center"/>
              <w:ind w:right="80"/>
              <w:spacing w:after="0"/>
              <w:rPr>
                <w:sz w:val="20"/>
                <w:szCs w:val="20"/>
                <w:color w:val="auto"/>
              </w:rPr>
            </w:pPr>
            <w:r>
              <w:rPr>
                <w:rFonts w:ascii="Arial" w:cs="Arial" w:eastAsia="Arial" w:hAnsi="Arial"/>
                <w:sz w:val="13"/>
                <w:szCs w:val="13"/>
                <w:color w:val="auto"/>
                <w:w w:val="98"/>
              </w:rPr>
              <w:t>5 years</w:t>
            </w:r>
          </w:p>
        </w:tc>
        <w:tc>
          <w:tcPr>
            <w:tcW w:w="1760" w:type="dxa"/>
            <w:vAlign w:val="bottom"/>
          </w:tcPr>
          <w:p>
            <w:pPr>
              <w:jc w:val="center"/>
              <w:spacing w:after="0"/>
              <w:rPr>
                <w:sz w:val="20"/>
                <w:szCs w:val="20"/>
                <w:color w:val="auto"/>
              </w:rPr>
            </w:pPr>
            <w:r>
              <w:rPr>
                <w:rFonts w:ascii="Arial" w:cs="Arial" w:eastAsia="Arial" w:hAnsi="Arial"/>
                <w:sz w:val="13"/>
                <w:szCs w:val="13"/>
                <w:color w:val="auto"/>
                <w:w w:val="96"/>
              </w:rPr>
              <w:t>10 years</w:t>
            </w:r>
          </w:p>
        </w:tc>
      </w:tr>
      <w:tr>
        <w:trPr>
          <w:trHeight w:val="162"/>
        </w:trPr>
        <w:tc>
          <w:tcPr>
            <w:tcW w:w="3960" w:type="dxa"/>
            <w:vAlign w:val="bottom"/>
            <w:tcBorders>
              <w:top w:val="single" w:sz="8" w:color="CCEEFF"/>
              <w:left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Equity</w:t>
            </w: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49%</w:t>
            </w:r>
          </w:p>
        </w:tc>
        <w:tc>
          <w:tcPr>
            <w:tcW w:w="8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9"/>
              </w:rPr>
              <w:t>26%</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9"/>
              </w:rPr>
              <w:t>43%</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63%</w:t>
            </w:r>
          </w:p>
        </w:tc>
      </w:tr>
      <w:tr>
        <w:trPr>
          <w:trHeight w:val="169"/>
        </w:trPr>
        <w:tc>
          <w:tcPr>
            <w:tcW w:w="3960" w:type="dxa"/>
            <w:vAlign w:val="bottom"/>
            <w:gridSpan w:val="2"/>
          </w:tcPr>
          <w:p>
            <w:pPr>
              <w:ind w:left="180"/>
              <w:spacing w:after="0"/>
              <w:rPr>
                <w:sz w:val="20"/>
                <w:szCs w:val="20"/>
                <w:color w:val="auto"/>
              </w:rPr>
            </w:pPr>
            <w:r>
              <w:rPr>
                <w:rFonts w:ascii="Arial" w:cs="Arial" w:eastAsia="Arial" w:hAnsi="Arial"/>
                <w:sz w:val="13"/>
                <w:szCs w:val="13"/>
                <w:color w:val="auto"/>
              </w:rPr>
              <w:t>Fixed Income</w:t>
            </w: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53%</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31%</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55%</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66%</w:t>
            </w:r>
          </w:p>
        </w:tc>
      </w:tr>
      <w:tr>
        <w:trPr>
          <w:trHeight w:val="171"/>
        </w:trPr>
        <w:tc>
          <w:tcPr>
            <w:tcW w:w="396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All Composites</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51%</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28%</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48%</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64%</w:t>
            </w:r>
          </w:p>
        </w:tc>
      </w:tr>
      <w:tr>
        <w:trPr>
          <w:trHeight w:val="117"/>
        </w:trPr>
        <w:tc>
          <w:tcPr>
            <w:tcW w:w="172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r>
        <w:trPr>
          <w:trHeight w:val="277"/>
        </w:trPr>
        <w:tc>
          <w:tcPr>
            <w:tcW w:w="1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38"/>
        </w:trPr>
        <w:tc>
          <w:tcPr>
            <w:tcW w:w="3960" w:type="dxa"/>
            <w:vAlign w:val="bottom"/>
            <w:tcBorders>
              <w:left w:val="single" w:sz="8" w:color="CCEEFF"/>
            </w:tcBorders>
            <w:gridSpan w:val="2"/>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AUM Weighted Performance</w:t>
            </w:r>
          </w:p>
        </w:tc>
        <w:tc>
          <w:tcPr>
            <w:tcW w:w="1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32"/>
        </w:trPr>
        <w:tc>
          <w:tcPr>
            <w:tcW w:w="1720" w:type="dxa"/>
            <w:vAlign w:val="bottom"/>
            <w:tcBorders>
              <w:left w:val="single" w:sz="8" w:color="CCEEFF"/>
            </w:tcBorders>
            <w:shd w:val="clear" w:color="auto" w:fill="000000"/>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r>
        <w:trPr>
          <w:trHeight w:val="170"/>
        </w:trPr>
        <w:tc>
          <w:tcPr>
            <w:tcW w:w="3960" w:type="dxa"/>
            <w:vAlign w:val="bottom"/>
            <w:gridSpan w:val="2"/>
          </w:tcPr>
          <w:p>
            <w:pPr>
              <w:ind w:left="20"/>
              <w:spacing w:after="0" w:line="170" w:lineRule="exact"/>
              <w:rPr>
                <w:sz w:val="20"/>
                <w:szCs w:val="20"/>
                <w:color w:val="auto"/>
              </w:rPr>
            </w:pPr>
            <w:r>
              <w:rPr>
                <w:rFonts w:ascii="Arial" w:cs="Arial" w:eastAsia="Arial" w:hAnsi="Arial"/>
                <w:sz w:val="13"/>
                <w:szCs w:val="13"/>
                <w:b w:val="1"/>
                <w:bCs w:val="1"/>
                <w:color w:val="auto"/>
                <w:w w:val="97"/>
              </w:rPr>
              <w:t>% of U.S. funds AUM that outperformed Morningstar median</w:t>
            </w:r>
            <w:r>
              <w:rPr>
                <w:rFonts w:ascii="Arial" w:cs="Arial" w:eastAsia="Arial" w:hAnsi="Arial"/>
                <w:sz w:val="16"/>
                <w:szCs w:val="16"/>
                <w:b w:val="1"/>
                <w:bCs w:val="1"/>
                <w:color w:val="auto"/>
                <w:w w:val="97"/>
                <w:vertAlign w:val="superscript"/>
              </w:rPr>
              <w:t>(2),(3)</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1720" w:type="dxa"/>
            <w:vAlign w:val="bottom"/>
            <w:tcBorders>
              <w:left w:val="single" w:sz="8" w:color="CCEEFF"/>
            </w:tcBorders>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9"/>
              </w:rPr>
              <w:t>1 year</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8"/>
              </w:rPr>
              <w:t>3 years</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8"/>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 years</w:t>
            </w:r>
          </w:p>
        </w:tc>
      </w:tr>
      <w:tr>
        <w:trPr>
          <w:trHeight w:val="159"/>
        </w:trPr>
        <w:tc>
          <w:tcPr>
            <w:tcW w:w="3960" w:type="dxa"/>
            <w:vAlign w:val="bottom"/>
            <w:gridSpan w:val="2"/>
          </w:tcPr>
          <w:p>
            <w:pPr>
              <w:ind w:left="180"/>
              <w:spacing w:after="0"/>
              <w:rPr>
                <w:sz w:val="20"/>
                <w:szCs w:val="20"/>
                <w:color w:val="auto"/>
              </w:rPr>
            </w:pPr>
            <w:r>
              <w:rPr>
                <w:rFonts w:ascii="Arial" w:cs="Arial" w:eastAsia="Arial" w:hAnsi="Arial"/>
                <w:sz w:val="13"/>
                <w:szCs w:val="13"/>
                <w:color w:val="auto"/>
              </w:rPr>
              <w:t>Equity</w:t>
            </w: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50%</w:t>
            </w:r>
          </w:p>
        </w:tc>
        <w:tc>
          <w:tcPr>
            <w:tcW w:w="80" w:type="dxa"/>
            <w:vAlign w:val="bottom"/>
          </w:tcPr>
          <w:p>
            <w:pPr>
              <w:spacing w:after="0"/>
              <w:rPr>
                <w:sz w:val="13"/>
                <w:szCs w:val="13"/>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9"/>
              </w:rPr>
              <w:t>39%</w:t>
            </w:r>
          </w:p>
        </w:tc>
        <w:tc>
          <w:tcPr>
            <w:tcW w:w="100" w:type="dxa"/>
            <w:vAlign w:val="bottom"/>
          </w:tcPr>
          <w:p>
            <w:pPr>
              <w:spacing w:after="0"/>
              <w:rPr>
                <w:sz w:val="13"/>
                <w:szCs w:val="13"/>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9"/>
              </w:rPr>
              <w:t>52%</w:t>
            </w:r>
          </w:p>
        </w:tc>
        <w:tc>
          <w:tcPr>
            <w:tcW w:w="100" w:type="dxa"/>
            <w:vAlign w:val="bottom"/>
          </w:tcPr>
          <w:p>
            <w:pPr>
              <w:spacing w:after="0"/>
              <w:rPr>
                <w:sz w:val="13"/>
                <w:szCs w:val="13"/>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85%</w:t>
            </w:r>
          </w:p>
        </w:tc>
      </w:tr>
      <w:tr>
        <w:trPr>
          <w:trHeight w:val="171"/>
        </w:trPr>
        <w:tc>
          <w:tcPr>
            <w:tcW w:w="396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Fixed Income</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55%</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65%</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60%</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82%</w:t>
            </w:r>
          </w:p>
        </w:tc>
      </w:tr>
      <w:tr>
        <w:trPr>
          <w:trHeight w:val="169"/>
        </w:trPr>
        <w:tc>
          <w:tcPr>
            <w:tcW w:w="3960" w:type="dxa"/>
            <w:vAlign w:val="bottom"/>
            <w:gridSpan w:val="2"/>
          </w:tcPr>
          <w:p>
            <w:pPr>
              <w:ind w:left="180"/>
              <w:spacing w:after="0"/>
              <w:rPr>
                <w:sz w:val="20"/>
                <w:szCs w:val="20"/>
                <w:color w:val="auto"/>
              </w:rPr>
            </w:pPr>
            <w:r>
              <w:rPr>
                <w:rFonts w:ascii="Arial" w:cs="Arial" w:eastAsia="Arial" w:hAnsi="Arial"/>
                <w:sz w:val="13"/>
                <w:szCs w:val="13"/>
                <w:color w:val="auto"/>
              </w:rPr>
              <w:t>Multi-Asset</w:t>
            </w: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77%</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55%</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90%</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93%</w:t>
            </w:r>
          </w:p>
        </w:tc>
      </w:tr>
      <w:tr>
        <w:trPr>
          <w:trHeight w:val="171"/>
        </w:trPr>
        <w:tc>
          <w:tcPr>
            <w:tcW w:w="396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All Funds</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57%</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44%</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61%</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86%</w:t>
            </w:r>
          </w:p>
        </w:tc>
      </w:tr>
      <w:tr>
        <w:trPr>
          <w:trHeight w:val="85"/>
        </w:trPr>
        <w:tc>
          <w:tcPr>
            <w:tcW w:w="17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60" w:type="dxa"/>
            <w:vAlign w:val="bottom"/>
          </w:tcPr>
          <w:p>
            <w:pPr>
              <w:spacing w:after="0"/>
              <w:rPr>
                <w:sz w:val="7"/>
                <w:szCs w:val="7"/>
                <w:color w:val="auto"/>
              </w:rPr>
            </w:pPr>
          </w:p>
        </w:tc>
      </w:tr>
      <w:tr>
        <w:trPr>
          <w:trHeight w:val="170"/>
        </w:trPr>
        <w:tc>
          <w:tcPr>
            <w:tcW w:w="3960" w:type="dxa"/>
            <w:vAlign w:val="bottom"/>
            <w:tcBorders>
              <w:left w:val="single" w:sz="8" w:color="CCEEFF"/>
            </w:tcBorders>
            <w:gridSpan w:val="2"/>
            <w:shd w:val="clear" w:color="auto" w:fill="CCEEFF"/>
          </w:tcPr>
          <w:p>
            <w:pPr>
              <w:ind w:left="20"/>
              <w:spacing w:after="0" w:line="170" w:lineRule="exact"/>
              <w:rPr>
                <w:sz w:val="20"/>
                <w:szCs w:val="20"/>
                <w:color w:val="auto"/>
              </w:rPr>
            </w:pPr>
            <w:r>
              <w:rPr>
                <w:rFonts w:ascii="Arial" w:cs="Arial" w:eastAsia="Arial" w:hAnsi="Arial"/>
                <w:sz w:val="13"/>
                <w:szCs w:val="13"/>
                <w:b w:val="1"/>
                <w:bCs w:val="1"/>
                <w:color w:val="auto"/>
                <w:w w:val="96"/>
              </w:rPr>
              <w:t>% of U.S. funds AUM that outperformed passive peer median</w:t>
            </w:r>
            <w:r>
              <w:rPr>
                <w:rFonts w:ascii="Arial" w:cs="Arial" w:eastAsia="Arial" w:hAnsi="Arial"/>
                <w:sz w:val="16"/>
                <w:szCs w:val="16"/>
                <w:b w:val="1"/>
                <w:bCs w:val="1"/>
                <w:color w:val="auto"/>
                <w:w w:val="96"/>
                <w:vertAlign w:val="superscript"/>
              </w:rPr>
              <w:t>(2),(4)</w:t>
            </w: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69"/>
        </w:trPr>
        <w:tc>
          <w:tcPr>
            <w:tcW w:w="1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3"/>
                <w:szCs w:val="13"/>
                <w:color w:val="auto"/>
                <w:w w:val="99"/>
              </w:rPr>
              <w:t>1 year</w:t>
            </w:r>
          </w:p>
        </w:tc>
        <w:tc>
          <w:tcPr>
            <w:tcW w:w="1860" w:type="dxa"/>
            <w:vAlign w:val="bottom"/>
            <w:gridSpan w:val="2"/>
          </w:tcPr>
          <w:p>
            <w:pPr>
              <w:jc w:val="center"/>
              <w:ind w:right="80"/>
              <w:spacing w:after="0"/>
              <w:rPr>
                <w:sz w:val="20"/>
                <w:szCs w:val="20"/>
                <w:color w:val="auto"/>
              </w:rPr>
            </w:pPr>
            <w:r>
              <w:rPr>
                <w:rFonts w:ascii="Arial" w:cs="Arial" w:eastAsia="Arial" w:hAnsi="Arial"/>
                <w:sz w:val="13"/>
                <w:szCs w:val="13"/>
                <w:color w:val="auto"/>
                <w:w w:val="98"/>
              </w:rPr>
              <w:t>3 years</w:t>
            </w:r>
          </w:p>
        </w:tc>
        <w:tc>
          <w:tcPr>
            <w:tcW w:w="1860" w:type="dxa"/>
            <w:vAlign w:val="bottom"/>
            <w:gridSpan w:val="2"/>
          </w:tcPr>
          <w:p>
            <w:pPr>
              <w:jc w:val="center"/>
              <w:ind w:right="80"/>
              <w:spacing w:after="0"/>
              <w:rPr>
                <w:sz w:val="20"/>
                <w:szCs w:val="20"/>
                <w:color w:val="auto"/>
              </w:rPr>
            </w:pPr>
            <w:r>
              <w:rPr>
                <w:rFonts w:ascii="Arial" w:cs="Arial" w:eastAsia="Arial" w:hAnsi="Arial"/>
                <w:sz w:val="13"/>
                <w:szCs w:val="13"/>
                <w:color w:val="auto"/>
                <w:w w:val="98"/>
              </w:rPr>
              <w:t>5 years</w:t>
            </w:r>
          </w:p>
        </w:tc>
        <w:tc>
          <w:tcPr>
            <w:tcW w:w="1760" w:type="dxa"/>
            <w:vAlign w:val="bottom"/>
          </w:tcPr>
          <w:p>
            <w:pPr>
              <w:jc w:val="center"/>
              <w:spacing w:after="0"/>
              <w:rPr>
                <w:sz w:val="20"/>
                <w:szCs w:val="20"/>
                <w:color w:val="auto"/>
              </w:rPr>
            </w:pPr>
            <w:r>
              <w:rPr>
                <w:rFonts w:ascii="Arial" w:cs="Arial" w:eastAsia="Arial" w:hAnsi="Arial"/>
                <w:sz w:val="13"/>
                <w:szCs w:val="13"/>
                <w:color w:val="auto"/>
                <w:w w:val="96"/>
              </w:rPr>
              <w:t>10 years</w:t>
            </w:r>
          </w:p>
        </w:tc>
      </w:tr>
      <w:tr>
        <w:trPr>
          <w:trHeight w:val="162"/>
        </w:trPr>
        <w:tc>
          <w:tcPr>
            <w:tcW w:w="3960" w:type="dxa"/>
            <w:vAlign w:val="bottom"/>
            <w:tcBorders>
              <w:top w:val="single" w:sz="8" w:color="CCEEFF"/>
              <w:left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Equity</w:t>
            </w: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45%</w:t>
            </w:r>
          </w:p>
        </w:tc>
        <w:tc>
          <w:tcPr>
            <w:tcW w:w="8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9"/>
              </w:rPr>
              <w:t>33%</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9"/>
              </w:rPr>
              <w:t>42%</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50%</w:t>
            </w:r>
          </w:p>
        </w:tc>
      </w:tr>
      <w:tr>
        <w:trPr>
          <w:trHeight w:val="169"/>
        </w:trPr>
        <w:tc>
          <w:tcPr>
            <w:tcW w:w="3960" w:type="dxa"/>
            <w:vAlign w:val="bottom"/>
            <w:gridSpan w:val="2"/>
          </w:tcPr>
          <w:p>
            <w:pPr>
              <w:ind w:left="180"/>
              <w:spacing w:after="0"/>
              <w:rPr>
                <w:sz w:val="20"/>
                <w:szCs w:val="20"/>
                <w:color w:val="auto"/>
              </w:rPr>
            </w:pPr>
            <w:r>
              <w:rPr>
                <w:rFonts w:ascii="Arial" w:cs="Arial" w:eastAsia="Arial" w:hAnsi="Arial"/>
                <w:sz w:val="13"/>
                <w:szCs w:val="13"/>
                <w:color w:val="auto"/>
              </w:rPr>
              <w:t>Fixed Income</w:t>
            </w: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41%</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60%</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84%</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72%</w:t>
            </w:r>
          </w:p>
        </w:tc>
      </w:tr>
      <w:tr>
        <w:trPr>
          <w:trHeight w:val="171"/>
        </w:trPr>
        <w:tc>
          <w:tcPr>
            <w:tcW w:w="396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Multi-Asset</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67%</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56%</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95%</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94%</w:t>
            </w:r>
          </w:p>
        </w:tc>
      </w:tr>
      <w:tr>
        <w:trPr>
          <w:trHeight w:val="169"/>
        </w:trPr>
        <w:tc>
          <w:tcPr>
            <w:tcW w:w="3960" w:type="dxa"/>
            <w:vAlign w:val="bottom"/>
            <w:gridSpan w:val="2"/>
          </w:tcPr>
          <w:p>
            <w:pPr>
              <w:ind w:left="180"/>
              <w:spacing w:after="0"/>
              <w:rPr>
                <w:sz w:val="20"/>
                <w:szCs w:val="20"/>
                <w:color w:val="auto"/>
              </w:rPr>
            </w:pPr>
            <w:r>
              <w:rPr>
                <w:rFonts w:ascii="Arial" w:cs="Arial" w:eastAsia="Arial" w:hAnsi="Arial"/>
                <w:sz w:val="13"/>
                <w:szCs w:val="13"/>
                <w:color w:val="auto"/>
              </w:rPr>
              <w:t>All Funds</w:t>
            </w: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50%</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40%</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58%</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62%</w:t>
            </w:r>
          </w:p>
        </w:tc>
      </w:tr>
      <w:tr>
        <w:trPr>
          <w:trHeight w:val="129"/>
        </w:trPr>
        <w:tc>
          <w:tcPr>
            <w:tcW w:w="1720" w:type="dxa"/>
            <w:vAlign w:val="bottom"/>
            <w:tcBorders>
              <w:left w:val="single" w:sz="8" w:color="CCEEFF"/>
            </w:tcBorders>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960" w:type="dxa"/>
            <w:vAlign w:val="bottom"/>
            <w:gridSpan w:val="2"/>
          </w:tcPr>
          <w:p>
            <w:pPr>
              <w:ind w:left="20"/>
              <w:spacing w:after="0" w:line="170" w:lineRule="exact"/>
              <w:rPr>
                <w:sz w:val="20"/>
                <w:szCs w:val="20"/>
                <w:color w:val="auto"/>
              </w:rPr>
            </w:pPr>
            <w:r>
              <w:rPr>
                <w:rFonts w:ascii="Arial" w:cs="Arial" w:eastAsia="Arial" w:hAnsi="Arial"/>
                <w:sz w:val="13"/>
                <w:szCs w:val="13"/>
                <w:b w:val="1"/>
                <w:bCs w:val="1"/>
                <w:color w:val="auto"/>
              </w:rPr>
              <w:t>% of composites AUM that outperformed benchmarks</w:t>
            </w:r>
            <w:r>
              <w:rPr>
                <w:rFonts w:ascii="Arial" w:cs="Arial" w:eastAsia="Arial" w:hAnsi="Arial"/>
                <w:sz w:val="16"/>
                <w:szCs w:val="16"/>
                <w:b w:val="1"/>
                <w:bCs w:val="1"/>
                <w:color w:val="auto"/>
                <w:vertAlign w:val="superscript"/>
              </w:rPr>
              <w:t>(5)</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1720" w:type="dxa"/>
            <w:vAlign w:val="bottom"/>
            <w:tcBorders>
              <w:left w:val="single" w:sz="8" w:color="CCEEFF"/>
            </w:tcBorders>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9"/>
              </w:rPr>
              <w:t>1 year</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8"/>
              </w:rPr>
              <w:t>3 years</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8"/>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 years</w:t>
            </w:r>
          </w:p>
        </w:tc>
      </w:tr>
      <w:tr>
        <w:trPr>
          <w:trHeight w:val="159"/>
        </w:trPr>
        <w:tc>
          <w:tcPr>
            <w:tcW w:w="3960" w:type="dxa"/>
            <w:vAlign w:val="bottom"/>
            <w:gridSpan w:val="2"/>
          </w:tcPr>
          <w:p>
            <w:pPr>
              <w:ind w:left="180"/>
              <w:spacing w:after="0"/>
              <w:rPr>
                <w:sz w:val="20"/>
                <w:szCs w:val="20"/>
                <w:color w:val="auto"/>
              </w:rPr>
            </w:pPr>
            <w:r>
              <w:rPr>
                <w:rFonts w:ascii="Arial" w:cs="Arial" w:eastAsia="Arial" w:hAnsi="Arial"/>
                <w:sz w:val="13"/>
                <w:szCs w:val="13"/>
                <w:color w:val="auto"/>
              </w:rPr>
              <w:t>Equity</w:t>
            </w: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60%</w:t>
            </w:r>
          </w:p>
        </w:tc>
        <w:tc>
          <w:tcPr>
            <w:tcW w:w="80" w:type="dxa"/>
            <w:vAlign w:val="bottom"/>
          </w:tcPr>
          <w:p>
            <w:pPr>
              <w:spacing w:after="0"/>
              <w:rPr>
                <w:sz w:val="13"/>
                <w:szCs w:val="13"/>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9"/>
              </w:rPr>
              <w:t>28%</w:t>
            </w:r>
          </w:p>
        </w:tc>
        <w:tc>
          <w:tcPr>
            <w:tcW w:w="100" w:type="dxa"/>
            <w:vAlign w:val="bottom"/>
          </w:tcPr>
          <w:p>
            <w:pPr>
              <w:spacing w:after="0"/>
              <w:rPr>
                <w:sz w:val="13"/>
                <w:szCs w:val="13"/>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9"/>
              </w:rPr>
              <w:t>38%</w:t>
            </w:r>
          </w:p>
        </w:tc>
        <w:tc>
          <w:tcPr>
            <w:tcW w:w="100" w:type="dxa"/>
            <w:vAlign w:val="bottom"/>
          </w:tcPr>
          <w:p>
            <w:pPr>
              <w:spacing w:after="0"/>
              <w:rPr>
                <w:sz w:val="13"/>
                <w:szCs w:val="13"/>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57%</w:t>
            </w:r>
          </w:p>
        </w:tc>
      </w:tr>
      <w:tr>
        <w:trPr>
          <w:trHeight w:val="171"/>
        </w:trPr>
        <w:tc>
          <w:tcPr>
            <w:tcW w:w="396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Fixed Income</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57%</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22%</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47%</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48%</w:t>
            </w:r>
          </w:p>
        </w:tc>
      </w:tr>
      <w:tr>
        <w:trPr>
          <w:trHeight w:val="167"/>
        </w:trPr>
        <w:tc>
          <w:tcPr>
            <w:tcW w:w="3960" w:type="dxa"/>
            <w:vAlign w:val="bottom"/>
            <w:gridSpan w:val="2"/>
          </w:tcPr>
          <w:p>
            <w:pPr>
              <w:ind w:left="180"/>
              <w:spacing w:after="0"/>
              <w:rPr>
                <w:sz w:val="20"/>
                <w:szCs w:val="20"/>
                <w:color w:val="auto"/>
              </w:rPr>
            </w:pPr>
            <w:r>
              <w:rPr>
                <w:rFonts w:ascii="Arial" w:cs="Arial" w:eastAsia="Arial" w:hAnsi="Arial"/>
                <w:sz w:val="13"/>
                <w:szCs w:val="13"/>
                <w:color w:val="auto"/>
              </w:rPr>
              <w:t>All Composites</w:t>
            </w: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60%</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27%</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40%</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55%</w:t>
            </w: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24" w:name="page25"/>
    <w:bookmarkEnd w:id="24"/>
    <w:p>
      <w:pPr>
        <w:jc w:val="both"/>
        <w:spacing w:after="0" w:line="238" w:lineRule="auto"/>
        <w:rPr>
          <w:sz w:val="20"/>
          <w:szCs w:val="20"/>
          <w:color w:val="auto"/>
        </w:rPr>
      </w:pPr>
      <w:r>
        <w:rPr>
          <w:rFonts w:ascii="Arial" w:cs="Arial" w:eastAsia="Arial" w:hAnsi="Arial"/>
          <w:sz w:val="14"/>
          <w:szCs w:val="14"/>
          <w:color w:val="auto"/>
        </w:rPr>
        <w:t>As of September 30, 2024, 69 of 142 (48.6%) of the firm's rated U.S. mutual funds (across primary share classes) received an overall rating of 4 or 5 stars. By comparison, 32.5% of Morningstar's fund population is given a rating of 4 or 5 stars</w:t>
      </w:r>
      <w:r>
        <w:rPr>
          <w:rFonts w:ascii="Arial" w:cs="Arial" w:eastAsia="Arial" w:hAnsi="Arial"/>
          <w:sz w:val="18"/>
          <w:szCs w:val="18"/>
          <w:color w:val="auto"/>
          <w:vertAlign w:val="superscript"/>
        </w:rPr>
        <w:t>(5)</w:t>
      </w:r>
      <w:r>
        <w:rPr>
          <w:rFonts w:ascii="Arial" w:cs="Arial" w:eastAsia="Arial" w:hAnsi="Arial"/>
          <w:sz w:val="14"/>
          <w:szCs w:val="14"/>
          <w:color w:val="auto"/>
        </w:rPr>
        <w:t>. In addition, 67%</w:t>
      </w:r>
      <w:r>
        <w:rPr>
          <w:rFonts w:ascii="Arial" w:cs="Arial" w:eastAsia="Arial" w:hAnsi="Arial"/>
          <w:sz w:val="18"/>
          <w:szCs w:val="18"/>
          <w:color w:val="auto"/>
          <w:vertAlign w:val="superscript"/>
        </w:rPr>
        <w:t>(6)</w:t>
      </w:r>
      <w:r>
        <w:rPr>
          <w:rFonts w:ascii="Arial" w:cs="Arial" w:eastAsia="Arial" w:hAnsi="Arial"/>
          <w:sz w:val="14"/>
          <w:szCs w:val="14"/>
          <w:color w:val="auto"/>
        </w:rPr>
        <w:t xml:space="preserve"> of AUM in the firm's rated U.S. mutual funds (across primary share classes) ended September 30, 2024 with an overall rating of 4 or 5 stars.</w:t>
      </w:r>
    </w:p>
    <w:p>
      <w:pPr>
        <w:spacing w:after="0" w:line="160" w:lineRule="exact"/>
        <w:rPr>
          <w:sz w:val="20"/>
          <w:szCs w:val="20"/>
          <w:color w:val="auto"/>
        </w:rPr>
      </w:pPr>
    </w:p>
    <w:p>
      <w:pPr>
        <w:ind w:left="120" w:hanging="115"/>
        <w:spacing w:after="0"/>
        <w:tabs>
          <w:tab w:leader="none" w:pos="120" w:val="left"/>
        </w:tabs>
        <w:numPr>
          <w:ilvl w:val="0"/>
          <w:numId w:val="9"/>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The investment performance reflects that of T. Rowe Price sponsored mutual funds, ETFs and composites AUM and not of OHA’s products.</w:t>
      </w:r>
    </w:p>
    <w:p>
      <w:pPr>
        <w:ind w:right="440" w:firstLine="5"/>
        <w:spacing w:after="0" w:line="242" w:lineRule="auto"/>
        <w:tabs>
          <w:tab w:leader="none" w:pos="110" w:val="left"/>
        </w:tabs>
        <w:numPr>
          <w:ilvl w:val="0"/>
          <w:numId w:val="9"/>
        </w:numPr>
        <w:rPr>
          <w:rFonts w:ascii="Arial" w:cs="Arial" w:eastAsia="Arial" w:hAnsi="Arial"/>
          <w:sz w:val="12"/>
          <w:szCs w:val="12"/>
          <w:i w:val="1"/>
          <w:iCs w:val="1"/>
          <w:color w:val="auto"/>
          <w:vertAlign w:val="superscript"/>
        </w:rPr>
      </w:pPr>
      <w:r>
        <w:rPr>
          <w:rFonts w:ascii="Arial" w:cs="Arial" w:eastAsia="Arial" w:hAnsi="Arial"/>
          <w:sz w:val="9"/>
          <w:szCs w:val="9"/>
          <w:i w:val="1"/>
          <w:iCs w:val="1"/>
          <w:color w:val="auto"/>
        </w:rPr>
        <w:t>Source: © 2024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ind w:right="160" w:firstLine="5"/>
        <w:spacing w:after="0" w:line="209" w:lineRule="auto"/>
        <w:tabs>
          <w:tab w:leader="none" w:pos="121" w:val="left"/>
        </w:tabs>
        <w:numPr>
          <w:ilvl w:val="0"/>
          <w:numId w:val="9"/>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3-, 5-, and 10-year track record that are outperforming the Morningstar category median. The bottom chart reflects the percentage of T. Rowe Price funds AUM that has outperformed for the time periods indicated. Total AUM included for this analysis includes $332B for 1 year, $329B for 3 years, $328B for 5 years, and $327B for 10 years.</w:t>
      </w:r>
    </w:p>
    <w:p>
      <w:pPr>
        <w:ind w:right="100" w:firstLine="5"/>
        <w:spacing w:after="0" w:line="212" w:lineRule="auto"/>
        <w:tabs>
          <w:tab w:leader="none" w:pos="121" w:val="left"/>
        </w:tabs>
        <w:numPr>
          <w:ilvl w:val="0"/>
          <w:numId w:val="9"/>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3-, 5-, and 10-year track record that are outperforming the passive peer universe. The bottom chart reflects the percentage of T. Rowe Price funds AUM that has outperformed for the time periods indicated. Total AUM included for this analysis includes $315B for 1 year, $312B for 3 years, $272B for 5 years, and $267B for 10 years.</w:t>
      </w:r>
    </w:p>
    <w:p>
      <w:pPr>
        <w:ind w:right="80"/>
        <w:spacing w:after="0" w:line="234" w:lineRule="auto"/>
        <w:rPr>
          <w:rFonts w:ascii="Arial" w:cs="Arial" w:eastAsia="Arial" w:hAnsi="Arial"/>
          <w:sz w:val="14"/>
          <w:szCs w:val="14"/>
          <w:i w:val="1"/>
          <w:iCs w:val="1"/>
          <w:color w:val="auto"/>
          <w:vertAlign w:val="superscript"/>
        </w:rPr>
      </w:pPr>
      <w:r>
        <w:rPr>
          <w:rFonts w:ascii="Arial" w:cs="Arial" w:eastAsia="Arial" w:hAnsi="Arial"/>
          <w:sz w:val="7"/>
          <w:szCs w:val="7"/>
          <w:i w:val="1"/>
          <w:iCs w:val="1"/>
          <w:color w:val="auto"/>
        </w:rPr>
        <w:t>(5)</w:t>
      </w:r>
      <w:r>
        <w:rPr>
          <w:rFonts w:ascii="Arial" w:cs="Arial" w:eastAsia="Arial" w:hAnsi="Arial"/>
          <w:sz w:val="11"/>
          <w:szCs w:val="11"/>
          <w:i w:val="1"/>
          <w:iCs w:val="1"/>
          <w:color w:val="auto"/>
        </w:rPr>
        <w:t>Composite net returns are calculated using the highest applicable separate account fee schedule. Excludes money market composites. All composites compared with the official GIPS composite primary benchmark. The top</w:t>
      </w:r>
      <w:r>
        <w:rPr>
          <w:rFonts w:ascii="Arial" w:cs="Arial" w:eastAsia="Arial" w:hAnsi="Arial"/>
          <w:sz w:val="7"/>
          <w:szCs w:val="7"/>
          <w:i w:val="1"/>
          <w:iCs w:val="1"/>
          <w:color w:val="auto"/>
        </w:rPr>
        <w:t xml:space="preserve"> </w:t>
      </w:r>
      <w:r>
        <w:rPr>
          <w:rFonts w:ascii="Arial" w:cs="Arial" w:eastAsia="Arial" w:hAnsi="Arial"/>
          <w:sz w:val="11"/>
          <w:szCs w:val="11"/>
          <w:i w:val="1"/>
          <w:iCs w:val="1"/>
          <w:color w:val="auto"/>
        </w:rPr>
        <w:t>chart reflects the percentage of T. Rowe Price composites with 1-, 3-, 5-, and 10-year track record that are outperforming their benchmarks. The bottom chart reflects the percentage of T. Rowe Price composite AUM that has outperformed for the time periods indicated. Total AUM included for this analysis includes $1,457B for 1 year, $1,452B for 3 years, $1,444B for 5 years, and $1,392B for 10 years.</w:t>
      </w:r>
    </w:p>
    <w:p>
      <w:pPr>
        <w:spacing w:after="0" w:line="1" w:lineRule="exact"/>
        <w:rPr>
          <w:rFonts w:ascii="Arial" w:cs="Arial" w:eastAsia="Arial" w:hAnsi="Arial"/>
          <w:sz w:val="14"/>
          <w:szCs w:val="14"/>
          <w:i w:val="1"/>
          <w:iCs w:val="1"/>
          <w:color w:val="auto"/>
          <w:vertAlign w:val="superscript"/>
        </w:rPr>
      </w:pPr>
    </w:p>
    <w:p>
      <w:pPr>
        <w:ind w:right="40" w:firstLine="5"/>
        <w:spacing w:after="0" w:line="221" w:lineRule="auto"/>
        <w:tabs>
          <w:tab w:leader="none" w:pos="121" w:val="left"/>
        </w:tabs>
        <w:numPr>
          <w:ilvl w:val="0"/>
          <w:numId w:val="10"/>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10-year (if applicable) Morningstar Rating™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i w:val="1"/>
          <w:iCs w:val="1"/>
          <w:u w:val="single" w:color="auto"/>
          <w:color w:val="auto"/>
        </w:rPr>
        <w:t>RESULTS OF OPERATIONS.</w:t>
      </w:r>
    </w:p>
    <w:p>
      <w:pPr>
        <w:spacing w:after="0" w:line="198"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The following table and discussion sets forth information regarding our consolidated financial results for the three- and nine-month periods ended September 30, 2024 and 2023 on a U.S. GAAP basis and a non-GAAP basis. The non-GAAP basis adjusts for the impact of our consolidated sponsored investment products, the impact of market movements on the supplemental savings plan liability and related economic hedge, investment income related to certain other investments, acquisition-related amortization and costs, impairment charges, and certain nonrecurring charges and gains.</w:t>
      </w:r>
    </w:p>
    <w:p>
      <w:pPr>
        <w:spacing w:after="0" w:line="78"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1040" w:type="dxa"/>
            <w:vAlign w:val="bottom"/>
            <w:tcBorders>
              <w:lef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920" w:type="dxa"/>
            <w:vAlign w:val="bottom"/>
            <w:tcBorders>
              <w:bottom w:val="single" w:sz="8" w:color="auto"/>
            </w:tcBorders>
            <w:gridSpan w:val="5"/>
            <w:shd w:val="clear" w:color="auto" w:fill="CCEEFF"/>
          </w:tcPr>
          <w:p>
            <w:pPr>
              <w:jc w:val="center"/>
              <w:ind w:right="40"/>
              <w:spacing w:after="0"/>
              <w:rPr>
                <w:sz w:val="20"/>
                <w:szCs w:val="20"/>
                <w:color w:val="auto"/>
              </w:rPr>
            </w:pPr>
            <w:r>
              <w:rPr>
                <w:rFonts w:ascii="Arial" w:cs="Arial" w:eastAsia="Arial" w:hAnsi="Arial"/>
                <w:sz w:val="11"/>
                <w:szCs w:val="11"/>
                <w:b w:val="1"/>
                <w:bCs w:val="1"/>
                <w:color w:val="auto"/>
              </w:rPr>
              <w:t>Three months ended</w:t>
            </w:r>
          </w:p>
        </w:tc>
        <w:tc>
          <w:tcPr>
            <w:tcW w:w="11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940" w:type="dxa"/>
            <w:vAlign w:val="bottom"/>
            <w:tcBorders>
              <w:bottom w:val="single" w:sz="8" w:color="auto"/>
            </w:tcBorders>
            <w:gridSpan w:val="5"/>
            <w:shd w:val="clear" w:color="auto" w:fill="CCEEFF"/>
          </w:tcPr>
          <w:p>
            <w:pPr>
              <w:jc w:val="center"/>
              <w:ind w:right="20"/>
              <w:spacing w:after="0"/>
              <w:rPr>
                <w:sz w:val="20"/>
                <w:szCs w:val="20"/>
                <w:color w:val="auto"/>
              </w:rPr>
            </w:pPr>
            <w:r>
              <w:rPr>
                <w:rFonts w:ascii="Arial" w:cs="Arial" w:eastAsia="Arial" w:hAnsi="Arial"/>
                <w:sz w:val="11"/>
                <w:szCs w:val="11"/>
                <w:b w:val="1"/>
                <w:bCs w:val="1"/>
                <w:color w:val="auto"/>
              </w:rPr>
              <w:t>Nine months ended</w:t>
            </w:r>
          </w:p>
        </w:tc>
        <w:tc>
          <w:tcPr>
            <w:tcW w:w="11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480" w:type="dxa"/>
            <w:vAlign w:val="bottom"/>
            <w:gridSpan w:val="3"/>
          </w:tcPr>
          <w:p>
            <w:pPr>
              <w:ind w:left="20"/>
              <w:spacing w:after="0"/>
              <w:rPr>
                <w:sz w:val="20"/>
                <w:szCs w:val="20"/>
                <w:color w:val="auto"/>
              </w:rPr>
            </w:pPr>
            <w:r>
              <w:rPr>
                <w:rFonts w:ascii="Arial" w:cs="Arial" w:eastAsia="Arial" w:hAnsi="Arial"/>
                <w:sz w:val="10"/>
                <w:szCs w:val="10"/>
                <w:color w:val="auto"/>
              </w:rPr>
              <w:t>(in millions, except per-share data)</w:t>
            </w:r>
          </w:p>
        </w:tc>
        <w:tc>
          <w:tcPr>
            <w:tcW w:w="16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1"/>
                <w:szCs w:val="11"/>
                <w:b w:val="1"/>
                <w:bCs w:val="1"/>
                <w:color w:val="auto"/>
              </w:rPr>
              <w:t>9/30/2024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57"/>
              <w:spacing w:after="0"/>
              <w:rPr>
                <w:sz w:val="20"/>
                <w:szCs w:val="20"/>
                <w:color w:val="auto"/>
              </w:rPr>
            </w:pPr>
            <w:r>
              <w:rPr>
                <w:rFonts w:ascii="Arial" w:cs="Arial" w:eastAsia="Arial" w:hAnsi="Arial"/>
                <w:sz w:val="11"/>
                <w:szCs w:val="11"/>
                <w:b w:val="1"/>
                <w:bCs w:val="1"/>
                <w:color w:val="auto"/>
              </w:rPr>
              <w:t>9/30/2023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 change</w:t>
            </w:r>
          </w:p>
        </w:tc>
        <w:tc>
          <w:tcPr>
            <w:tcW w:w="1260" w:type="dxa"/>
            <w:vAlign w:val="bottom"/>
            <w:tcBorders>
              <w:right w:val="single" w:sz="8" w:color="auto"/>
            </w:tcBorders>
            <w:gridSpan w:val="2"/>
          </w:tcPr>
          <w:p>
            <w:pPr>
              <w:ind w:left="280"/>
              <w:spacing w:after="0" w:line="150" w:lineRule="exact"/>
              <w:rPr>
                <w:sz w:val="20"/>
                <w:szCs w:val="20"/>
                <w:color w:val="auto"/>
              </w:rPr>
            </w:pPr>
            <w:r>
              <w:rPr>
                <w:rFonts w:ascii="Arial" w:cs="Arial" w:eastAsia="Arial" w:hAnsi="Arial"/>
                <w:sz w:val="11"/>
                <w:szCs w:val="11"/>
                <w:b w:val="1"/>
                <w:bCs w:val="1"/>
                <w:color w:val="auto"/>
              </w:rPr>
              <w:t>% change</w:t>
            </w:r>
            <w:r>
              <w:rPr>
                <w:rFonts w:ascii="Arial" w:cs="Arial" w:eastAsia="Arial" w:hAnsi="Arial"/>
                <w:sz w:val="14"/>
                <w:szCs w:val="14"/>
                <w:b w:val="1"/>
                <w:bCs w:val="1"/>
                <w:color w:val="auto"/>
                <w:vertAlign w:val="superscript"/>
              </w:rPr>
              <w:t>(1)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77"/>
              <w:spacing w:after="0"/>
              <w:rPr>
                <w:sz w:val="20"/>
                <w:szCs w:val="20"/>
                <w:color w:val="auto"/>
              </w:rPr>
            </w:pPr>
            <w:r>
              <w:rPr>
                <w:rFonts w:ascii="Arial" w:cs="Arial" w:eastAsia="Arial" w:hAnsi="Arial"/>
                <w:sz w:val="11"/>
                <w:szCs w:val="11"/>
                <w:b w:val="1"/>
                <w:bCs w:val="1"/>
                <w:color w:val="auto"/>
              </w:rPr>
              <w:t>9/30/2024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1"/>
                <w:szCs w:val="11"/>
                <w:b w:val="1"/>
                <w:bCs w:val="1"/>
                <w:color w:val="auto"/>
              </w:rPr>
              <w:t>9/30/2023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 change</w:t>
            </w:r>
          </w:p>
        </w:tc>
        <w:tc>
          <w:tcPr>
            <w:tcW w:w="1180" w:type="dxa"/>
            <w:vAlign w:val="bottom"/>
          </w:tcPr>
          <w:p>
            <w:pPr>
              <w:jc w:val="right"/>
              <w:ind w:right="217"/>
              <w:spacing w:after="0" w:line="150" w:lineRule="exact"/>
              <w:rPr>
                <w:sz w:val="20"/>
                <w:szCs w:val="20"/>
                <w:color w:val="auto"/>
              </w:rPr>
            </w:pPr>
            <w:r>
              <w:rPr>
                <w:rFonts w:ascii="Arial" w:cs="Arial" w:eastAsia="Arial" w:hAnsi="Arial"/>
                <w:sz w:val="11"/>
                <w:szCs w:val="11"/>
                <w:b w:val="1"/>
                <w:bCs w:val="1"/>
                <w:color w:val="auto"/>
              </w:rPr>
              <w:t>% change</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30"/>
        </w:trPr>
        <w:tc>
          <w:tcPr>
            <w:tcW w:w="1040" w:type="dxa"/>
            <w:vAlign w:val="bottom"/>
            <w:tcBorders>
              <w:top w:val="single" w:sz="8" w:color="CCEEFF"/>
              <w:left w:val="single" w:sz="8" w:color="CCEEFF"/>
              <w:bottom w:val="single" w:sz="8" w:color="auto"/>
            </w:tcBorders>
            <w:shd w:val="clear" w:color="auto" w:fill="CCEEFF"/>
          </w:tcPr>
          <w:p>
            <w:pPr>
              <w:ind w:left="20"/>
              <w:spacing w:after="0" w:line="118" w:lineRule="exact"/>
              <w:rPr>
                <w:sz w:val="20"/>
                <w:szCs w:val="20"/>
                <w:color w:val="auto"/>
              </w:rPr>
            </w:pPr>
            <w:r>
              <w:rPr>
                <w:rFonts w:ascii="Arial" w:cs="Arial" w:eastAsia="Arial" w:hAnsi="Arial"/>
                <w:sz w:val="13"/>
                <w:szCs w:val="13"/>
                <w:b w:val="1"/>
                <w:bCs w:val="1"/>
                <w:color w:val="auto"/>
                <w:w w:val="96"/>
              </w:rPr>
              <w:t>U.S. GAAP basis</w:t>
            </w:r>
          </w:p>
        </w:tc>
        <w:tc>
          <w:tcPr>
            <w:tcW w:w="14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1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18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480" w:type="dxa"/>
            <w:vAlign w:val="bottom"/>
            <w:gridSpan w:val="3"/>
          </w:tcPr>
          <w:p>
            <w:pPr>
              <w:ind w:left="20"/>
              <w:spacing w:after="0"/>
              <w:rPr>
                <w:sz w:val="20"/>
                <w:szCs w:val="20"/>
                <w:color w:val="auto"/>
              </w:rPr>
            </w:pPr>
            <w:r>
              <w:rPr>
                <w:rFonts w:ascii="Arial" w:cs="Arial" w:eastAsia="Arial" w:hAnsi="Arial"/>
                <w:sz w:val="13"/>
                <w:szCs w:val="13"/>
                <w:color w:val="auto"/>
              </w:rPr>
              <w:t>Investment advisory fees</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1,632.9</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1,463.9</w:t>
            </w:r>
          </w:p>
        </w:tc>
        <w:tc>
          <w:tcPr>
            <w:tcW w:w="80" w:type="dxa"/>
            <w:vAlign w:val="bottom"/>
          </w:tcPr>
          <w:p>
            <w:pPr>
              <w:spacing w:after="0"/>
              <w:rPr>
                <w:sz w:val="14"/>
                <w:szCs w:val="14"/>
                <w:color w:val="auto"/>
              </w:rPr>
            </w:pPr>
          </w:p>
        </w:tc>
        <w:tc>
          <w:tcPr>
            <w:tcW w:w="16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169.0</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11.5 %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4,772.5</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4,286.5</w:t>
            </w:r>
          </w:p>
        </w:tc>
        <w:tc>
          <w:tcPr>
            <w:tcW w:w="80" w:type="dxa"/>
            <w:vAlign w:val="bottom"/>
          </w:tcPr>
          <w:p>
            <w:pPr>
              <w:spacing w:after="0"/>
              <w:rPr>
                <w:sz w:val="14"/>
                <w:szCs w:val="14"/>
                <w:color w:val="auto"/>
              </w:rPr>
            </w:pPr>
          </w:p>
        </w:tc>
        <w:tc>
          <w:tcPr>
            <w:tcW w:w="160" w:type="dxa"/>
            <w:vAlign w:val="bottom"/>
          </w:tcPr>
          <w:p>
            <w:pPr>
              <w:jc w:val="center"/>
              <w:ind w:right="1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486.0</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11.3 %</w:t>
            </w:r>
          </w:p>
        </w:tc>
        <w:tc>
          <w:tcPr>
            <w:tcW w:w="0" w:type="dxa"/>
            <w:vAlign w:val="bottom"/>
          </w:tcPr>
          <w:p>
            <w:pPr>
              <w:spacing w:after="0"/>
              <w:rPr>
                <w:sz w:val="1"/>
                <w:szCs w:val="1"/>
                <w:color w:val="auto"/>
              </w:rPr>
            </w:pPr>
          </w:p>
        </w:tc>
      </w:tr>
      <w:tr>
        <w:trPr>
          <w:trHeight w:val="171"/>
        </w:trPr>
        <w:tc>
          <w:tcPr>
            <w:tcW w:w="2480" w:type="dxa"/>
            <w:vAlign w:val="bottom"/>
            <w:tcBorders>
              <w:left w:val="single" w:sz="8" w:color="CCEEFF"/>
            </w:tcBorders>
            <w:gridSpan w:val="3"/>
            <w:shd w:val="clear" w:color="auto" w:fill="CCEEFF"/>
          </w:tcPr>
          <w:p>
            <w:pPr>
              <w:ind w:left="20"/>
              <w:spacing w:after="0" w:line="171" w:lineRule="exact"/>
              <w:rPr>
                <w:sz w:val="20"/>
                <w:szCs w:val="20"/>
                <w:color w:val="auto"/>
              </w:rPr>
            </w:pPr>
            <w:r>
              <w:rPr>
                <w:rFonts w:ascii="Arial" w:cs="Arial" w:eastAsia="Arial" w:hAnsi="Arial"/>
                <w:sz w:val="13"/>
                <w:szCs w:val="13"/>
                <w:color w:val="auto"/>
              </w:rPr>
              <w:t>Capital allocation-based income</w:t>
            </w:r>
            <w:r>
              <w:rPr>
                <w:rFonts w:ascii="Arial" w:cs="Arial" w:eastAsia="Arial" w:hAnsi="Arial"/>
                <w:sz w:val="16"/>
                <w:szCs w:val="16"/>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w:t>
            </w:r>
          </w:p>
        </w:tc>
        <w:tc>
          <w:tcPr>
            <w:tcW w:w="80" w:type="dxa"/>
            <w:vAlign w:val="bottom"/>
            <w:shd w:val="clear" w:color="auto" w:fill="CCEEFF"/>
          </w:tcPr>
          <w:p>
            <w:pPr>
              <w:spacing w:after="0"/>
              <w:rPr>
                <w:sz w:val="14"/>
                <w:szCs w:val="14"/>
                <w:color w:val="auto"/>
              </w:rPr>
            </w:pPr>
          </w:p>
        </w:tc>
        <w:tc>
          <w:tcPr>
            <w:tcW w:w="1260" w:type="dxa"/>
            <w:vAlign w:val="bottom"/>
            <w:tcBorders>
              <w:right w:val="single" w:sz="8" w:color="auto"/>
            </w:tcBorders>
            <w:gridSpan w:val="2"/>
            <w:shd w:val="clear" w:color="auto" w:fill="CCEEFF"/>
          </w:tcPr>
          <w:p>
            <w:pPr>
              <w:ind w:left="940"/>
              <w:spacing w:after="0"/>
              <w:rPr>
                <w:sz w:val="20"/>
                <w:szCs w:val="20"/>
                <w:color w:val="auto"/>
              </w:rPr>
            </w:pPr>
            <w:r>
              <w:rPr>
                <w:rFonts w:ascii="Arial" w:cs="Arial" w:eastAsia="Arial" w:hAnsi="Arial"/>
                <w:sz w:val="13"/>
                <w:szCs w:val="13"/>
                <w:color w:val="auto"/>
              </w:rPr>
              <w:t>n/m</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9"/>
        </w:trPr>
        <w:tc>
          <w:tcPr>
            <w:tcW w:w="2480" w:type="dxa"/>
            <w:vAlign w:val="bottom"/>
            <w:gridSpan w:val="3"/>
          </w:tcPr>
          <w:p>
            <w:pPr>
              <w:ind w:left="20"/>
              <w:spacing w:after="0"/>
              <w:rPr>
                <w:sz w:val="20"/>
                <w:szCs w:val="20"/>
                <w:color w:val="auto"/>
              </w:rPr>
            </w:pPr>
            <w:r>
              <w:rPr>
                <w:rFonts w:ascii="Arial" w:cs="Arial" w:eastAsia="Arial" w:hAnsi="Arial"/>
                <w:sz w:val="13"/>
                <w:szCs w:val="13"/>
                <w:color w:val="auto"/>
              </w:rPr>
              <w:t>Net revenues</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1,785.6</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1,670.7</w:t>
            </w:r>
          </w:p>
        </w:tc>
        <w:tc>
          <w:tcPr>
            <w:tcW w:w="80" w:type="dxa"/>
            <w:vAlign w:val="bottom"/>
          </w:tcPr>
          <w:p>
            <w:pPr>
              <w:spacing w:after="0"/>
              <w:rPr>
                <w:sz w:val="14"/>
                <w:szCs w:val="14"/>
                <w:color w:val="auto"/>
              </w:rPr>
            </w:pPr>
          </w:p>
        </w:tc>
        <w:tc>
          <w:tcPr>
            <w:tcW w:w="16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114.9</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6.9 %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5,269.1</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4,818.5</w:t>
            </w:r>
          </w:p>
        </w:tc>
        <w:tc>
          <w:tcPr>
            <w:tcW w:w="80" w:type="dxa"/>
            <w:vAlign w:val="bottom"/>
          </w:tcPr>
          <w:p>
            <w:pPr>
              <w:spacing w:after="0"/>
              <w:rPr>
                <w:sz w:val="14"/>
                <w:szCs w:val="14"/>
                <w:color w:val="auto"/>
              </w:rPr>
            </w:pPr>
          </w:p>
        </w:tc>
        <w:tc>
          <w:tcPr>
            <w:tcW w:w="160" w:type="dxa"/>
            <w:vAlign w:val="bottom"/>
          </w:tcPr>
          <w:p>
            <w:pPr>
              <w:jc w:val="center"/>
              <w:ind w:right="1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450.6</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9.4 %</w:t>
            </w:r>
          </w:p>
        </w:tc>
        <w:tc>
          <w:tcPr>
            <w:tcW w:w="0" w:type="dxa"/>
            <w:vAlign w:val="bottom"/>
          </w:tcPr>
          <w:p>
            <w:pPr>
              <w:spacing w:after="0"/>
              <w:rPr>
                <w:sz w:val="1"/>
                <w:szCs w:val="1"/>
                <w:color w:val="auto"/>
              </w:rPr>
            </w:pPr>
          </w:p>
        </w:tc>
      </w:tr>
      <w:tr>
        <w:trPr>
          <w:trHeight w:val="171"/>
        </w:trPr>
        <w:tc>
          <w:tcPr>
            <w:tcW w:w="24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Operating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1,172.0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1,089.4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7.6 %</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3,504.2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3,219.5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284.7</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8.8 %</w:t>
            </w:r>
          </w:p>
        </w:tc>
        <w:tc>
          <w:tcPr>
            <w:tcW w:w="0" w:type="dxa"/>
            <w:vAlign w:val="bottom"/>
          </w:tcPr>
          <w:p>
            <w:pPr>
              <w:spacing w:after="0"/>
              <w:rPr>
                <w:sz w:val="1"/>
                <w:szCs w:val="1"/>
                <w:color w:val="auto"/>
              </w:rPr>
            </w:pPr>
          </w:p>
        </w:tc>
      </w:tr>
      <w:tr>
        <w:trPr>
          <w:trHeight w:val="169"/>
        </w:trPr>
        <w:tc>
          <w:tcPr>
            <w:tcW w:w="2480" w:type="dxa"/>
            <w:vAlign w:val="bottom"/>
            <w:gridSpan w:val="3"/>
          </w:tcPr>
          <w:p>
            <w:pPr>
              <w:ind w:left="20"/>
              <w:spacing w:after="0"/>
              <w:rPr>
                <w:sz w:val="20"/>
                <w:szCs w:val="20"/>
                <w:color w:val="auto"/>
              </w:rPr>
            </w:pPr>
            <w:r>
              <w:rPr>
                <w:rFonts w:ascii="Arial" w:cs="Arial" w:eastAsia="Arial" w:hAnsi="Arial"/>
                <w:sz w:val="13"/>
                <w:szCs w:val="13"/>
                <w:color w:val="auto"/>
              </w:rPr>
              <w:t>Net operating income</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613.6</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581.3</w:t>
            </w:r>
          </w:p>
        </w:tc>
        <w:tc>
          <w:tcPr>
            <w:tcW w:w="80" w:type="dxa"/>
            <w:vAlign w:val="bottom"/>
          </w:tcPr>
          <w:p>
            <w:pPr>
              <w:spacing w:after="0"/>
              <w:rPr>
                <w:sz w:val="14"/>
                <w:szCs w:val="14"/>
                <w:color w:val="auto"/>
              </w:rPr>
            </w:pPr>
          </w:p>
        </w:tc>
        <w:tc>
          <w:tcPr>
            <w:tcW w:w="16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32.3</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5.6 %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1,764.9</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1,599.0</w:t>
            </w:r>
          </w:p>
        </w:tc>
        <w:tc>
          <w:tcPr>
            <w:tcW w:w="80" w:type="dxa"/>
            <w:vAlign w:val="bottom"/>
          </w:tcPr>
          <w:p>
            <w:pPr>
              <w:spacing w:after="0"/>
              <w:rPr>
                <w:sz w:val="14"/>
                <w:szCs w:val="14"/>
                <w:color w:val="auto"/>
              </w:rPr>
            </w:pPr>
          </w:p>
        </w:tc>
        <w:tc>
          <w:tcPr>
            <w:tcW w:w="160" w:type="dxa"/>
            <w:vAlign w:val="bottom"/>
          </w:tcPr>
          <w:p>
            <w:pPr>
              <w:jc w:val="center"/>
              <w:ind w:right="1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165.9</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10.4 %</w:t>
            </w:r>
          </w:p>
        </w:tc>
        <w:tc>
          <w:tcPr>
            <w:tcW w:w="0" w:type="dxa"/>
            <w:vAlign w:val="bottom"/>
          </w:tcPr>
          <w:p>
            <w:pPr>
              <w:spacing w:after="0"/>
              <w:rPr>
                <w:sz w:val="1"/>
                <w:szCs w:val="1"/>
                <w:color w:val="auto"/>
              </w:rPr>
            </w:pPr>
          </w:p>
        </w:tc>
      </w:tr>
      <w:tr>
        <w:trPr>
          <w:trHeight w:val="171"/>
        </w:trPr>
        <w:tc>
          <w:tcPr>
            <w:tcW w:w="24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Non-operating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209.7</w:t>
            </w:r>
          </w:p>
        </w:tc>
        <w:tc>
          <w:tcPr>
            <w:tcW w:w="80" w:type="dxa"/>
            <w:vAlign w:val="bottom"/>
            <w:shd w:val="clear" w:color="auto" w:fill="CCEEFF"/>
          </w:tcPr>
          <w:p>
            <w:pPr>
              <w:spacing w:after="0"/>
              <w:rPr>
                <w:sz w:val="14"/>
                <w:szCs w:val="14"/>
                <w:color w:val="auto"/>
              </w:rPr>
            </w:pPr>
          </w:p>
        </w:tc>
        <w:tc>
          <w:tcPr>
            <w:tcW w:w="1260" w:type="dxa"/>
            <w:vAlign w:val="bottom"/>
            <w:tcBorders>
              <w:right w:val="single" w:sz="8" w:color="auto"/>
            </w:tcBorders>
            <w:gridSpan w:val="2"/>
            <w:shd w:val="clear" w:color="auto" w:fill="CCEEFF"/>
          </w:tcPr>
          <w:p>
            <w:pPr>
              <w:ind w:left="940"/>
              <w:spacing w:after="0"/>
              <w:rPr>
                <w:sz w:val="20"/>
                <w:szCs w:val="20"/>
                <w:color w:val="auto"/>
              </w:rPr>
            </w:pPr>
            <w:r>
              <w:rPr>
                <w:rFonts w:ascii="Arial" w:cs="Arial" w:eastAsia="Arial" w:hAnsi="Arial"/>
                <w:sz w:val="13"/>
                <w:szCs w:val="13"/>
                <w:color w:val="auto"/>
              </w:rPr>
              <w:t>n/m</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237.3</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27"/>
        </w:trPr>
        <w:tc>
          <w:tcPr>
            <w:tcW w:w="2480" w:type="dxa"/>
            <w:vAlign w:val="bottom"/>
            <w:gridSpan w:val="3"/>
          </w:tcPr>
          <w:p>
            <w:pPr>
              <w:ind w:left="20"/>
              <w:spacing w:after="0" w:line="128" w:lineRule="exact"/>
              <w:rPr>
                <w:sz w:val="20"/>
                <w:szCs w:val="20"/>
                <w:color w:val="auto"/>
              </w:rPr>
            </w:pPr>
            <w:r>
              <w:rPr>
                <w:rFonts w:ascii="Arial" w:cs="Arial" w:eastAsia="Arial" w:hAnsi="Arial"/>
                <w:sz w:val="13"/>
                <w:szCs w:val="13"/>
                <w:color w:val="auto"/>
              </w:rPr>
              <w:t>Net income attributable to T. Rowe Price</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603.0</w:t>
            </w:r>
          </w:p>
        </w:tc>
        <w:tc>
          <w:tcPr>
            <w:tcW w:w="80" w:type="dxa"/>
            <w:vAlign w:val="bottom"/>
          </w:tcPr>
          <w:p>
            <w:pPr>
              <w:spacing w:after="0"/>
              <w:rPr>
                <w:sz w:val="11"/>
                <w:szCs w:val="11"/>
                <w:color w:val="auto"/>
              </w:rPr>
            </w:pPr>
          </w:p>
        </w:tc>
        <w:tc>
          <w:tcPr>
            <w:tcW w:w="160" w:type="dxa"/>
            <w:vAlign w:val="bottom"/>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453.2</w:t>
            </w:r>
          </w:p>
        </w:tc>
        <w:tc>
          <w:tcPr>
            <w:tcW w:w="80" w:type="dxa"/>
            <w:vAlign w:val="bottom"/>
          </w:tcPr>
          <w:p>
            <w:pPr>
              <w:spacing w:after="0"/>
              <w:rPr>
                <w:sz w:val="11"/>
                <w:szCs w:val="11"/>
                <w:color w:val="auto"/>
              </w:rPr>
            </w:pPr>
          </w:p>
        </w:tc>
        <w:tc>
          <w:tcPr>
            <w:tcW w:w="1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149.8</w:t>
            </w:r>
          </w:p>
        </w:tc>
        <w:tc>
          <w:tcPr>
            <w:tcW w:w="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33.1 %</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1,660.2</w:t>
            </w:r>
          </w:p>
        </w:tc>
        <w:tc>
          <w:tcPr>
            <w:tcW w:w="80" w:type="dxa"/>
            <w:vAlign w:val="bottom"/>
          </w:tcPr>
          <w:p>
            <w:pPr>
              <w:spacing w:after="0"/>
              <w:rPr>
                <w:sz w:val="11"/>
                <w:szCs w:val="11"/>
                <w:color w:val="auto"/>
              </w:rPr>
            </w:pPr>
          </w:p>
        </w:tc>
        <w:tc>
          <w:tcPr>
            <w:tcW w:w="160" w:type="dxa"/>
            <w:vAlign w:val="bottom"/>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1,351.1</w:t>
            </w:r>
          </w:p>
        </w:tc>
        <w:tc>
          <w:tcPr>
            <w:tcW w:w="80" w:type="dxa"/>
            <w:vAlign w:val="bottom"/>
          </w:tcPr>
          <w:p>
            <w:pPr>
              <w:spacing w:after="0"/>
              <w:rPr>
                <w:sz w:val="11"/>
                <w:szCs w:val="11"/>
                <w:color w:val="auto"/>
              </w:rPr>
            </w:pPr>
          </w:p>
        </w:tc>
        <w:tc>
          <w:tcPr>
            <w:tcW w:w="160" w:type="dxa"/>
            <w:vAlign w:val="bottom"/>
            <w:vMerge w:val="restart"/>
          </w:tcPr>
          <w:p>
            <w:pPr>
              <w:jc w:val="center"/>
              <w:ind w:right="16"/>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309.1</w:t>
            </w:r>
          </w:p>
        </w:tc>
        <w:tc>
          <w:tcPr>
            <w:tcW w:w="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22.9 %</w:t>
            </w:r>
          </w:p>
        </w:tc>
        <w:tc>
          <w:tcPr>
            <w:tcW w:w="0" w:type="dxa"/>
            <w:vAlign w:val="bottom"/>
          </w:tcPr>
          <w:p>
            <w:pPr>
              <w:spacing w:after="0"/>
              <w:rPr>
                <w:sz w:val="1"/>
                <w:szCs w:val="1"/>
                <w:color w:val="auto"/>
              </w:rPr>
            </w:pPr>
          </w:p>
        </w:tc>
      </w:tr>
      <w:tr>
        <w:trPr>
          <w:trHeight w:val="168"/>
        </w:trPr>
        <w:tc>
          <w:tcPr>
            <w:tcW w:w="2480" w:type="dxa"/>
            <w:vAlign w:val="bottom"/>
            <w:gridSpan w:val="3"/>
          </w:tcPr>
          <w:p>
            <w:pPr>
              <w:ind w:left="20"/>
              <w:spacing w:after="0"/>
              <w:rPr>
                <w:sz w:val="20"/>
                <w:szCs w:val="20"/>
                <w:color w:val="auto"/>
              </w:rPr>
            </w:pPr>
            <w:r>
              <w:rPr>
                <w:rFonts w:ascii="Arial" w:cs="Arial" w:eastAsia="Arial" w:hAnsi="Arial"/>
                <w:sz w:val="13"/>
                <w:szCs w:val="13"/>
                <w:color w:val="auto"/>
              </w:rPr>
              <w:t>Group, Inc.</w:t>
            </w: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Diluted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0.67</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34.0 %</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23.4 %</w:t>
            </w:r>
          </w:p>
        </w:tc>
        <w:tc>
          <w:tcPr>
            <w:tcW w:w="0" w:type="dxa"/>
            <w:vAlign w:val="bottom"/>
          </w:tcPr>
          <w:p>
            <w:pPr>
              <w:spacing w:after="0"/>
              <w:rPr>
                <w:sz w:val="1"/>
                <w:szCs w:val="1"/>
                <w:color w:val="auto"/>
              </w:rPr>
            </w:pPr>
          </w:p>
        </w:tc>
      </w:tr>
      <w:tr>
        <w:trPr>
          <w:trHeight w:val="127"/>
        </w:trPr>
        <w:tc>
          <w:tcPr>
            <w:tcW w:w="2480" w:type="dxa"/>
            <w:vAlign w:val="bottom"/>
            <w:gridSpan w:val="3"/>
          </w:tcPr>
          <w:p>
            <w:pPr>
              <w:ind w:left="20"/>
              <w:spacing w:after="0" w:line="128" w:lineRule="exact"/>
              <w:rPr>
                <w:sz w:val="20"/>
                <w:szCs w:val="20"/>
                <w:color w:val="auto"/>
              </w:rPr>
            </w:pPr>
            <w:r>
              <w:rPr>
                <w:rFonts w:ascii="Arial" w:cs="Arial" w:eastAsia="Arial" w:hAnsi="Arial"/>
                <w:sz w:val="13"/>
                <w:szCs w:val="13"/>
                <w:color w:val="auto"/>
              </w:rPr>
              <w:t>Weighted average common shares</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222.8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224.8</w:t>
            </w:r>
          </w:p>
        </w:tc>
        <w:tc>
          <w:tcPr>
            <w:tcW w:w="80" w:type="dxa"/>
            <w:vAlign w:val="bottom"/>
          </w:tcPr>
          <w:p>
            <w:pPr>
              <w:spacing w:after="0"/>
              <w:rPr>
                <w:sz w:val="11"/>
                <w:szCs w:val="11"/>
                <w:color w:val="auto"/>
              </w:rPr>
            </w:pPr>
          </w:p>
        </w:tc>
        <w:tc>
          <w:tcPr>
            <w:tcW w:w="1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(0.9)%</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223.5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225.1</w:t>
            </w:r>
          </w:p>
        </w:tc>
        <w:tc>
          <w:tcPr>
            <w:tcW w:w="80" w:type="dxa"/>
            <w:vAlign w:val="bottom"/>
          </w:tcPr>
          <w:p>
            <w:pPr>
              <w:spacing w:after="0"/>
              <w:rPr>
                <w:sz w:val="11"/>
                <w:szCs w:val="11"/>
                <w:color w:val="auto"/>
              </w:rPr>
            </w:pPr>
          </w:p>
        </w:tc>
        <w:tc>
          <w:tcPr>
            <w:tcW w:w="160" w:type="dxa"/>
            <w:vAlign w:val="bottom"/>
            <w:vMerge w:val="restart"/>
          </w:tcPr>
          <w:p>
            <w:pPr>
              <w:jc w:val="center"/>
              <w:ind w:right="16"/>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8"/>
        </w:trPr>
        <w:tc>
          <w:tcPr>
            <w:tcW w:w="2480" w:type="dxa"/>
            <w:vAlign w:val="bottom"/>
            <w:gridSpan w:val="3"/>
          </w:tcPr>
          <w:p>
            <w:pPr>
              <w:ind w:left="20"/>
              <w:spacing w:after="0"/>
              <w:rPr>
                <w:sz w:val="20"/>
                <w:szCs w:val="20"/>
                <w:color w:val="auto"/>
              </w:rPr>
            </w:pPr>
            <w:r>
              <w:rPr>
                <w:rFonts w:ascii="Arial" w:cs="Arial" w:eastAsia="Arial" w:hAnsi="Arial"/>
                <w:sz w:val="13"/>
                <w:szCs w:val="13"/>
                <w:color w:val="auto"/>
              </w:rPr>
              <w:t>outstanding assuming dilution</w:t>
            </w: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040" w:type="dxa"/>
            <w:vAlign w:val="bottom"/>
            <w:tcBorders>
              <w:lef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480" w:type="dxa"/>
            <w:vAlign w:val="bottom"/>
            <w:gridSpan w:val="3"/>
          </w:tcPr>
          <w:p>
            <w:pPr>
              <w:ind w:left="20"/>
              <w:spacing w:after="0" w:line="138" w:lineRule="exact"/>
              <w:rPr>
                <w:sz w:val="20"/>
                <w:szCs w:val="20"/>
                <w:color w:val="auto"/>
              </w:rPr>
            </w:pPr>
            <w:r>
              <w:rPr>
                <w:rFonts w:ascii="Arial" w:cs="Arial" w:eastAsia="Arial" w:hAnsi="Arial"/>
                <w:sz w:val="12"/>
                <w:szCs w:val="12"/>
                <w:b w:val="1"/>
                <w:bCs w:val="1"/>
                <w:color w:val="auto"/>
              </w:rPr>
              <w:t>Adjusted non-GAAP basis</w:t>
            </w:r>
            <w:r>
              <w:rPr>
                <w:rFonts w:ascii="Arial" w:cs="Arial" w:eastAsia="Arial" w:hAnsi="Arial"/>
                <w:sz w:val="15"/>
                <w:szCs w:val="15"/>
                <w:b w:val="1"/>
                <w:bCs w:val="1"/>
                <w:color w:val="auto"/>
                <w:vertAlign w:val="superscript"/>
              </w:rPr>
              <w:t>(3)</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40" w:type="dxa"/>
            <w:vAlign w:val="bottom"/>
            <w:tcBorders>
              <w:top w:val="single" w:sz="8" w:color="auto"/>
              <w:left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Operating expenses</w:t>
            </w: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1,099.0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1,061.3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3.6 %</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3,276.2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166.2</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5.3 %</w:t>
            </w:r>
          </w:p>
        </w:tc>
        <w:tc>
          <w:tcPr>
            <w:tcW w:w="0" w:type="dxa"/>
            <w:vAlign w:val="bottom"/>
          </w:tcPr>
          <w:p>
            <w:pPr>
              <w:spacing w:after="0"/>
              <w:rPr>
                <w:sz w:val="1"/>
                <w:szCs w:val="1"/>
                <w:color w:val="auto"/>
              </w:rPr>
            </w:pPr>
          </w:p>
        </w:tc>
      </w:tr>
      <w:tr>
        <w:trPr>
          <w:trHeight w:val="169"/>
        </w:trPr>
        <w:tc>
          <w:tcPr>
            <w:tcW w:w="2480" w:type="dxa"/>
            <w:vAlign w:val="bottom"/>
            <w:gridSpan w:val="3"/>
          </w:tcPr>
          <w:p>
            <w:pPr>
              <w:ind w:left="20"/>
              <w:spacing w:after="0"/>
              <w:rPr>
                <w:sz w:val="20"/>
                <w:szCs w:val="20"/>
                <w:color w:val="auto"/>
              </w:rPr>
            </w:pPr>
            <w:r>
              <w:rPr>
                <w:rFonts w:ascii="Arial" w:cs="Arial" w:eastAsia="Arial" w:hAnsi="Arial"/>
                <w:sz w:val="13"/>
                <w:szCs w:val="13"/>
                <w:color w:val="auto"/>
              </w:rPr>
              <w:t>Net operating income</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718.4</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635.9</w:t>
            </w:r>
          </w:p>
        </w:tc>
        <w:tc>
          <w:tcPr>
            <w:tcW w:w="80" w:type="dxa"/>
            <w:vAlign w:val="bottom"/>
          </w:tcPr>
          <w:p>
            <w:pPr>
              <w:spacing w:after="0"/>
              <w:rPr>
                <w:sz w:val="14"/>
                <w:szCs w:val="14"/>
                <w:color w:val="auto"/>
              </w:rPr>
            </w:pPr>
          </w:p>
        </w:tc>
        <w:tc>
          <w:tcPr>
            <w:tcW w:w="16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82.5</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13.0 %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2,065.7</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1,760.5</w:t>
            </w:r>
          </w:p>
        </w:tc>
        <w:tc>
          <w:tcPr>
            <w:tcW w:w="80" w:type="dxa"/>
            <w:vAlign w:val="bottom"/>
          </w:tcPr>
          <w:p>
            <w:pPr>
              <w:spacing w:after="0"/>
              <w:rPr>
                <w:sz w:val="14"/>
                <w:szCs w:val="14"/>
                <w:color w:val="auto"/>
              </w:rPr>
            </w:pPr>
          </w:p>
        </w:tc>
        <w:tc>
          <w:tcPr>
            <w:tcW w:w="160" w:type="dxa"/>
            <w:vAlign w:val="bottom"/>
          </w:tcPr>
          <w:p>
            <w:pPr>
              <w:jc w:val="center"/>
              <w:ind w:right="1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305.2</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17.3 %</w:t>
            </w:r>
          </w:p>
        </w:tc>
        <w:tc>
          <w:tcPr>
            <w:tcW w:w="0" w:type="dxa"/>
            <w:vAlign w:val="bottom"/>
          </w:tcPr>
          <w:p>
            <w:pPr>
              <w:spacing w:after="0"/>
              <w:rPr>
                <w:sz w:val="1"/>
                <w:szCs w:val="1"/>
                <w:color w:val="auto"/>
              </w:rPr>
            </w:pPr>
          </w:p>
        </w:tc>
      </w:tr>
      <w:tr>
        <w:trPr>
          <w:trHeight w:val="171"/>
        </w:trPr>
        <w:tc>
          <w:tcPr>
            <w:tcW w:w="24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Non-operating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78.4 %</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25.3 %</w:t>
            </w:r>
          </w:p>
        </w:tc>
        <w:tc>
          <w:tcPr>
            <w:tcW w:w="0" w:type="dxa"/>
            <w:vAlign w:val="bottom"/>
          </w:tcPr>
          <w:p>
            <w:pPr>
              <w:spacing w:after="0"/>
              <w:rPr>
                <w:sz w:val="1"/>
                <w:szCs w:val="1"/>
                <w:color w:val="auto"/>
              </w:rPr>
            </w:pPr>
          </w:p>
        </w:tc>
      </w:tr>
      <w:tr>
        <w:trPr>
          <w:trHeight w:val="127"/>
        </w:trPr>
        <w:tc>
          <w:tcPr>
            <w:tcW w:w="2480" w:type="dxa"/>
            <w:vAlign w:val="bottom"/>
            <w:gridSpan w:val="3"/>
          </w:tcPr>
          <w:p>
            <w:pPr>
              <w:ind w:left="20"/>
              <w:spacing w:after="0" w:line="128" w:lineRule="exact"/>
              <w:rPr>
                <w:sz w:val="20"/>
                <w:szCs w:val="20"/>
                <w:color w:val="auto"/>
              </w:rPr>
            </w:pPr>
            <w:r>
              <w:rPr>
                <w:rFonts w:ascii="Arial" w:cs="Arial" w:eastAsia="Arial" w:hAnsi="Arial"/>
                <w:sz w:val="13"/>
                <w:szCs w:val="13"/>
                <w:color w:val="auto"/>
              </w:rPr>
              <w:t>Net income attributable to T. Rowe Price</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586.5</w:t>
            </w:r>
          </w:p>
        </w:tc>
        <w:tc>
          <w:tcPr>
            <w:tcW w:w="80" w:type="dxa"/>
            <w:vAlign w:val="bottom"/>
          </w:tcPr>
          <w:p>
            <w:pPr>
              <w:spacing w:after="0"/>
              <w:rPr>
                <w:sz w:val="11"/>
                <w:szCs w:val="11"/>
                <w:color w:val="auto"/>
              </w:rPr>
            </w:pPr>
          </w:p>
        </w:tc>
        <w:tc>
          <w:tcPr>
            <w:tcW w:w="160" w:type="dxa"/>
            <w:vAlign w:val="bottom"/>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499.5</w:t>
            </w:r>
          </w:p>
        </w:tc>
        <w:tc>
          <w:tcPr>
            <w:tcW w:w="80" w:type="dxa"/>
            <w:vAlign w:val="bottom"/>
          </w:tcPr>
          <w:p>
            <w:pPr>
              <w:spacing w:after="0"/>
              <w:rPr>
                <w:sz w:val="11"/>
                <w:szCs w:val="11"/>
                <w:color w:val="auto"/>
              </w:rPr>
            </w:pPr>
          </w:p>
        </w:tc>
        <w:tc>
          <w:tcPr>
            <w:tcW w:w="1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87.0</w:t>
            </w:r>
          </w:p>
        </w:tc>
        <w:tc>
          <w:tcPr>
            <w:tcW w:w="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17.4 %</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1,654.7</w:t>
            </w:r>
          </w:p>
        </w:tc>
        <w:tc>
          <w:tcPr>
            <w:tcW w:w="80" w:type="dxa"/>
            <w:vAlign w:val="bottom"/>
          </w:tcPr>
          <w:p>
            <w:pPr>
              <w:spacing w:after="0"/>
              <w:rPr>
                <w:sz w:val="11"/>
                <w:szCs w:val="11"/>
                <w:color w:val="auto"/>
              </w:rPr>
            </w:pPr>
          </w:p>
        </w:tc>
        <w:tc>
          <w:tcPr>
            <w:tcW w:w="160" w:type="dxa"/>
            <w:vAlign w:val="bottom"/>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1,355.4</w:t>
            </w:r>
          </w:p>
        </w:tc>
        <w:tc>
          <w:tcPr>
            <w:tcW w:w="80" w:type="dxa"/>
            <w:vAlign w:val="bottom"/>
          </w:tcPr>
          <w:p>
            <w:pPr>
              <w:spacing w:after="0"/>
              <w:rPr>
                <w:sz w:val="11"/>
                <w:szCs w:val="11"/>
                <w:color w:val="auto"/>
              </w:rPr>
            </w:pPr>
          </w:p>
        </w:tc>
        <w:tc>
          <w:tcPr>
            <w:tcW w:w="160" w:type="dxa"/>
            <w:vAlign w:val="bottom"/>
            <w:vMerge w:val="restart"/>
          </w:tcPr>
          <w:p>
            <w:pPr>
              <w:jc w:val="center"/>
              <w:ind w:right="16"/>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299.3</w:t>
            </w:r>
          </w:p>
        </w:tc>
        <w:tc>
          <w:tcPr>
            <w:tcW w:w="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22.1 %</w:t>
            </w:r>
          </w:p>
        </w:tc>
        <w:tc>
          <w:tcPr>
            <w:tcW w:w="0" w:type="dxa"/>
            <w:vAlign w:val="bottom"/>
          </w:tcPr>
          <w:p>
            <w:pPr>
              <w:spacing w:after="0"/>
              <w:rPr>
                <w:sz w:val="1"/>
                <w:szCs w:val="1"/>
                <w:color w:val="auto"/>
              </w:rPr>
            </w:pPr>
          </w:p>
        </w:tc>
      </w:tr>
      <w:tr>
        <w:trPr>
          <w:trHeight w:val="168"/>
        </w:trPr>
        <w:tc>
          <w:tcPr>
            <w:tcW w:w="2480" w:type="dxa"/>
            <w:vAlign w:val="bottom"/>
            <w:gridSpan w:val="3"/>
          </w:tcPr>
          <w:p>
            <w:pPr>
              <w:ind w:left="20"/>
              <w:spacing w:after="0"/>
              <w:rPr>
                <w:sz w:val="20"/>
                <w:szCs w:val="20"/>
                <w:color w:val="auto"/>
              </w:rPr>
            </w:pPr>
            <w:r>
              <w:rPr>
                <w:rFonts w:ascii="Arial" w:cs="Arial" w:eastAsia="Arial" w:hAnsi="Arial"/>
                <w:sz w:val="13"/>
                <w:szCs w:val="13"/>
                <w:color w:val="auto"/>
              </w:rPr>
              <w:t>Group, Inc.</w:t>
            </w: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Diluted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0.40</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18.4 %</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22.6 %</w:t>
            </w:r>
          </w:p>
        </w:tc>
        <w:tc>
          <w:tcPr>
            <w:tcW w:w="0" w:type="dxa"/>
            <w:vAlign w:val="bottom"/>
          </w:tcPr>
          <w:p>
            <w:pPr>
              <w:spacing w:after="0"/>
              <w:rPr>
                <w:sz w:val="1"/>
                <w:szCs w:val="1"/>
                <w:color w:val="auto"/>
              </w:rPr>
            </w:pPr>
          </w:p>
        </w:tc>
      </w:tr>
      <w:tr>
        <w:trPr>
          <w:trHeight w:val="212"/>
        </w:trPr>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480" w:type="dxa"/>
            <w:vAlign w:val="bottom"/>
            <w:tcBorders>
              <w:left w:val="single" w:sz="8" w:color="CCEEFF"/>
            </w:tcBorders>
            <w:gridSpan w:val="3"/>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 xml:space="preserve">Assets under management </w:t>
            </w:r>
            <w:r>
              <w:rPr>
                <w:rFonts w:ascii="Arial" w:cs="Arial" w:eastAsia="Arial" w:hAnsi="Arial"/>
                <w:sz w:val="13"/>
                <w:szCs w:val="13"/>
                <w:color w:val="auto"/>
              </w:rPr>
              <w:t>(in billions)</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1040" w:type="dxa"/>
            <w:vAlign w:val="bottom"/>
            <w:tcBorders>
              <w:left w:val="single" w:sz="8" w:color="CCEEFF"/>
            </w:tcBorders>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480" w:type="dxa"/>
            <w:vAlign w:val="bottom"/>
            <w:gridSpan w:val="3"/>
          </w:tcPr>
          <w:p>
            <w:pPr>
              <w:ind w:left="20"/>
              <w:spacing w:after="0"/>
              <w:rPr>
                <w:sz w:val="20"/>
                <w:szCs w:val="20"/>
                <w:color w:val="auto"/>
              </w:rPr>
            </w:pPr>
            <w:r>
              <w:rPr>
                <w:rFonts w:ascii="Arial" w:cs="Arial" w:eastAsia="Arial" w:hAnsi="Arial"/>
                <w:sz w:val="13"/>
                <w:szCs w:val="13"/>
                <w:color w:val="auto"/>
              </w:rPr>
              <w:t>Average assets under management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1,589.5</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1,393.6</w:t>
            </w:r>
          </w:p>
        </w:tc>
        <w:tc>
          <w:tcPr>
            <w:tcW w:w="80" w:type="dxa"/>
            <w:vAlign w:val="bottom"/>
          </w:tcPr>
          <w:p>
            <w:pPr>
              <w:spacing w:after="0"/>
              <w:rPr>
                <w:sz w:val="14"/>
                <w:szCs w:val="14"/>
                <w:color w:val="auto"/>
              </w:rPr>
            </w:pPr>
          </w:p>
        </w:tc>
        <w:tc>
          <w:tcPr>
            <w:tcW w:w="16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195.9</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14.1 %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1,536.2</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1,358.2</w:t>
            </w:r>
          </w:p>
        </w:tc>
        <w:tc>
          <w:tcPr>
            <w:tcW w:w="80" w:type="dxa"/>
            <w:vAlign w:val="bottom"/>
          </w:tcPr>
          <w:p>
            <w:pPr>
              <w:spacing w:after="0"/>
              <w:rPr>
                <w:sz w:val="14"/>
                <w:szCs w:val="14"/>
                <w:color w:val="auto"/>
              </w:rPr>
            </w:pPr>
          </w:p>
        </w:tc>
        <w:tc>
          <w:tcPr>
            <w:tcW w:w="160" w:type="dxa"/>
            <w:vAlign w:val="bottom"/>
          </w:tcPr>
          <w:p>
            <w:pPr>
              <w:jc w:val="center"/>
              <w:ind w:right="1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178.0</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13.1 %</w:t>
            </w:r>
          </w:p>
        </w:tc>
        <w:tc>
          <w:tcPr>
            <w:tcW w:w="0" w:type="dxa"/>
            <w:vAlign w:val="bottom"/>
          </w:tcPr>
          <w:p>
            <w:pPr>
              <w:spacing w:after="0"/>
              <w:rPr>
                <w:sz w:val="1"/>
                <w:szCs w:val="1"/>
                <w:color w:val="auto"/>
              </w:rPr>
            </w:pPr>
          </w:p>
        </w:tc>
      </w:tr>
      <w:tr>
        <w:trPr>
          <w:trHeight w:val="171"/>
        </w:trPr>
        <w:tc>
          <w:tcPr>
            <w:tcW w:w="24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Ending assets under management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1,630.9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1,346.5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284.4</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21.1 %</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1,630.9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1,346.5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284.4</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21.1 %</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20" w:hanging="115"/>
        <w:spacing w:after="0"/>
        <w:tabs>
          <w:tab w:leader="none" w:pos="120" w:val="left"/>
        </w:tabs>
        <w:numPr>
          <w:ilvl w:val="0"/>
          <w:numId w:val="11"/>
        </w:numPr>
        <w:rPr>
          <w:rFonts w:ascii="Arial" w:cs="Arial" w:eastAsia="Arial" w:hAnsi="Arial"/>
          <w:sz w:val="7"/>
          <w:szCs w:val="7"/>
          <w:i w:val="1"/>
          <w:iCs w:val="1"/>
          <w:color w:val="auto"/>
        </w:rPr>
      </w:pPr>
      <w:r>
        <w:rPr>
          <w:rFonts w:ascii="Arial" w:cs="Arial" w:eastAsia="Arial" w:hAnsi="Arial"/>
          <w:sz w:val="11"/>
          <w:szCs w:val="11"/>
          <w:i w:val="1"/>
          <w:iCs w:val="1"/>
          <w:color w:val="auto"/>
        </w:rPr>
        <w:t>n/m - The percentage change is not meaningful.</w:t>
      </w:r>
    </w:p>
    <w:p>
      <w:pPr>
        <w:spacing w:after="0" w:line="21" w:lineRule="exact"/>
        <w:rPr>
          <w:rFonts w:ascii="Arial" w:cs="Arial" w:eastAsia="Arial" w:hAnsi="Arial"/>
          <w:sz w:val="7"/>
          <w:szCs w:val="7"/>
          <w:i w:val="1"/>
          <w:iCs w:val="1"/>
          <w:color w:val="auto"/>
        </w:rPr>
      </w:pPr>
    </w:p>
    <w:p>
      <w:pPr>
        <w:ind w:left="120" w:hanging="115"/>
        <w:spacing w:after="0" w:line="205" w:lineRule="auto"/>
        <w:tabs>
          <w:tab w:leader="none" w:pos="120" w:val="left"/>
        </w:tabs>
        <w:numPr>
          <w:ilvl w:val="0"/>
          <w:numId w:val="11"/>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Capital allocation-based income represents the change in accrued carried interest.</w:t>
      </w:r>
    </w:p>
    <w:p>
      <w:pPr>
        <w:ind w:left="120" w:hanging="115"/>
        <w:spacing w:after="0" w:line="206" w:lineRule="auto"/>
        <w:tabs>
          <w:tab w:leader="none" w:pos="120" w:val="left"/>
        </w:tabs>
        <w:numPr>
          <w:ilvl w:val="0"/>
          <w:numId w:val="11"/>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See the reconciliation to the comparable U.S. GAAP measures at the end of the Results of Operations section of this Management’s Discussion and Analysis.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Results Overview - Quarter ended September 30, 2024</w:t>
      </w:r>
    </w:p>
    <w:p>
      <w:pPr>
        <w:spacing w:after="0" w:line="200"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i w:val="1"/>
          <w:iCs w:val="1"/>
          <w:u w:val="single" w:color="auto"/>
          <w:color w:val="auto"/>
        </w:rPr>
        <w:t>Net revenues</w:t>
      </w:r>
      <w:r>
        <w:rPr>
          <w:rFonts w:ascii="Arial" w:cs="Arial" w:eastAsia="Arial" w:hAnsi="Arial"/>
          <w:sz w:val="14"/>
          <w:szCs w:val="14"/>
          <w:i w:val="1"/>
          <w:iCs w:val="1"/>
          <w:color w:val="auto"/>
        </w:rPr>
        <w:t xml:space="preserve"> </w:t>
      </w:r>
      <w:r>
        <w:rPr>
          <w:rFonts w:ascii="Arial" w:cs="Arial" w:eastAsia="Arial" w:hAnsi="Arial"/>
          <w:sz w:val="14"/>
          <w:szCs w:val="14"/>
          <w:color w:val="auto"/>
        </w:rPr>
        <w:t>consist of investment advisory revenues; administrative, distribution, and servicing fees; and capital allocation-based income. More than 90% of our net revenues are</w:t>
      </w:r>
      <w:r>
        <w:rPr>
          <w:rFonts w:ascii="Arial" w:cs="Arial" w:eastAsia="Arial" w:hAnsi="Arial"/>
          <w:sz w:val="14"/>
          <w:szCs w:val="14"/>
          <w:i w:val="1"/>
          <w:iCs w:val="1"/>
          <w:color w:val="auto"/>
        </w:rPr>
        <w:t xml:space="preserve"> </w:t>
      </w:r>
      <w:r>
        <w:rPr>
          <w:rFonts w:ascii="Arial" w:cs="Arial" w:eastAsia="Arial" w:hAnsi="Arial"/>
          <w:sz w:val="14"/>
          <w:szCs w:val="14"/>
          <w:color w:val="auto"/>
        </w:rPr>
        <w:t>related to investment advisory fees. Total net revenues were $1,785.6 million in the third quarter of 2024, a 6.9% increase over $1,670.7 million in the third quarter of 2023. The increase was primarily driven by an 11.5% increase in investment advisory fee revenue as higher overall markets increased average assets under management by 14.1%. This increase was partially offset by a $61.5 million decrease in capital allocation-based income (change in accrued carried interest) earned from investments in certain affiliated funds.</w:t>
      </w:r>
    </w:p>
    <w:p>
      <w:pPr>
        <w:spacing w:after="0" w:line="159"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Investment advisory fees are generally earned based on the value and composition of our assets under management, which change based on fluctuations in financial markets and net cash flows. As our average assets under management increase or decrease in a given period, the level of our investment advisory fee revenue for that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26" w:name="page27"/>
    <w:bookmarkEnd w:id="26"/>
    <w:p>
      <w:pPr>
        <w:ind w:right="140"/>
        <w:spacing w:after="0" w:line="290" w:lineRule="auto"/>
        <w:rPr>
          <w:sz w:val="20"/>
          <w:szCs w:val="20"/>
          <w:color w:val="auto"/>
        </w:rPr>
      </w:pPr>
      <w:r>
        <w:rPr>
          <w:rFonts w:ascii="Arial" w:cs="Arial" w:eastAsia="Arial" w:hAnsi="Arial"/>
          <w:sz w:val="14"/>
          <w:szCs w:val="14"/>
          <w:color w:val="auto"/>
        </w:rPr>
        <w:t>same period generally fluctuates in a similar manner. Our annualized effective fee rates can be impacted by market or cash flow related shifts among asset classes and products, including those with tiered-fee structures, along with price changes we make in existing products.</w:t>
      </w:r>
    </w:p>
    <w:p>
      <w:pPr>
        <w:spacing w:after="0" w:line="141"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Capital allocation-based income will fluctuate quarter-to-quarter to reflect the adjustment to accrued carried interest for the change in value of certain affiliated funds assuming the funds’ underlying investments were realized as of the end of the period.</w:t>
      </w:r>
    </w:p>
    <w:p>
      <w:pPr>
        <w:spacing w:after="0" w:line="141"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i w:val="1"/>
          <w:iCs w:val="1"/>
          <w:u w:val="single" w:color="auto"/>
          <w:color w:val="auto"/>
        </w:rPr>
        <w:t>Operating expenses</w:t>
      </w:r>
      <w:r>
        <w:rPr>
          <w:rFonts w:ascii="Arial" w:cs="Arial" w:eastAsia="Arial" w:hAnsi="Arial"/>
          <w:sz w:val="14"/>
          <w:szCs w:val="14"/>
          <w:i w:val="1"/>
          <w:iCs w:val="1"/>
          <w:color w:val="auto"/>
        </w:rPr>
        <w:t xml:space="preserve"> </w:t>
      </w:r>
      <w:r>
        <w:rPr>
          <w:rFonts w:ascii="Arial" w:cs="Arial" w:eastAsia="Arial" w:hAnsi="Arial"/>
          <w:sz w:val="14"/>
          <w:szCs w:val="14"/>
          <w:color w:val="auto"/>
        </w:rPr>
        <w:t>on a U.S. GAAP basis were $1,172.0 million in the third quarter of 2024, a 7.6% increase over the comparable 2023 period. On a non-GAAP basis, operating</w:t>
      </w:r>
      <w:r>
        <w:rPr>
          <w:rFonts w:ascii="Arial" w:cs="Arial" w:eastAsia="Arial" w:hAnsi="Arial"/>
          <w:sz w:val="14"/>
          <w:szCs w:val="14"/>
          <w:i w:val="1"/>
          <w:iCs w:val="1"/>
          <w:color w:val="auto"/>
        </w:rPr>
        <w:t xml:space="preserve"> </w:t>
      </w:r>
      <w:r>
        <w:rPr>
          <w:rFonts w:ascii="Arial" w:cs="Arial" w:eastAsia="Arial" w:hAnsi="Arial"/>
          <w:sz w:val="14"/>
          <w:szCs w:val="14"/>
          <w:color w:val="auto"/>
        </w:rPr>
        <w:t>expenses were $1,099.0 million, a 3.6% increase over the comparable 2023 period.</w:t>
      </w:r>
    </w:p>
    <w:p>
      <w:pPr>
        <w:spacing w:after="0" w:line="141"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In comparison to the third quarter of 2023, about 70% of the increase in U.S. GAAP operating expenses was due to a market-related increase of $43.4 million in the supplemental savings liability in the third quarter of 2024, compared to a decrease of $14.2 million in the supplemental savings liability in the 2023 period.</w:t>
      </w:r>
    </w:p>
    <w:p>
      <w:pPr>
        <w:spacing w:after="0" w:line="141"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Also contributing to the increase in U.S. GAAP operating expenses and the primary drivers of the increase in non-GAAP operating expenses were higher general, administrative and other costs due to a $20 million cost recovery recognized in Q3 2023 that didn't recur in Q3 2024, higher distribution and servicing costs on higher average assets under management distributed through intermediaries, and higher compensation and related benefits. These increases were partially offset by lower accrued carried interest-related compensation.</w:t>
      </w:r>
    </w:p>
    <w:p>
      <w:pPr>
        <w:spacing w:after="0" w:line="159"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i w:val="1"/>
          <w:iCs w:val="1"/>
          <w:u w:val="single" w:color="auto"/>
          <w:color w:val="auto"/>
        </w:rPr>
        <w:t>Operating margin</w:t>
      </w:r>
      <w:r>
        <w:rPr>
          <w:rFonts w:ascii="Arial" w:cs="Arial" w:eastAsia="Arial" w:hAnsi="Arial"/>
          <w:sz w:val="14"/>
          <w:szCs w:val="14"/>
          <w:i w:val="1"/>
          <w:iCs w:val="1"/>
          <w:color w:val="auto"/>
        </w:rPr>
        <w:t xml:space="preserve"> </w:t>
      </w:r>
      <w:r>
        <w:rPr>
          <w:rFonts w:ascii="Arial" w:cs="Arial" w:eastAsia="Arial" w:hAnsi="Arial"/>
          <w:sz w:val="14"/>
          <w:szCs w:val="14"/>
          <w:color w:val="auto"/>
        </w:rPr>
        <w:t>in the third quarter of 2024 was 34.4% on a U.S. GAAP basis, compared to 34.8% earned in the third quarter of 2023. The decrease in our U.S. GAAP operating</w:t>
      </w:r>
      <w:r>
        <w:rPr>
          <w:rFonts w:ascii="Arial" w:cs="Arial" w:eastAsia="Arial" w:hAnsi="Arial"/>
          <w:sz w:val="14"/>
          <w:szCs w:val="14"/>
          <w:i w:val="1"/>
          <w:iCs w:val="1"/>
          <w:color w:val="auto"/>
        </w:rPr>
        <w:t xml:space="preserve"> </w:t>
      </w:r>
      <w:r>
        <w:rPr>
          <w:rFonts w:ascii="Arial" w:cs="Arial" w:eastAsia="Arial" w:hAnsi="Arial"/>
          <w:sz w:val="14"/>
          <w:szCs w:val="14"/>
          <w:color w:val="auto"/>
        </w:rPr>
        <w:t>margin for the third quarter of 2024 compared to the 2023 period was driven by operating expense growth outpacing net revenue growth primarily due to changes in the supplemental savings plan liability and lower capital allocation-based income.</w:t>
      </w:r>
    </w:p>
    <w:p>
      <w:pPr>
        <w:spacing w:after="0" w:line="155"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i w:val="1"/>
          <w:iCs w:val="1"/>
          <w:u w:val="single" w:color="auto"/>
          <w:color w:val="auto"/>
        </w:rPr>
        <w:t>Diluted earnings per share</w:t>
      </w:r>
      <w:r>
        <w:rPr>
          <w:rFonts w:ascii="Arial" w:cs="Arial" w:eastAsia="Arial" w:hAnsi="Arial"/>
          <w:sz w:val="14"/>
          <w:szCs w:val="14"/>
          <w:i w:val="1"/>
          <w:iCs w:val="1"/>
          <w:color w:val="auto"/>
        </w:rPr>
        <w:t xml:space="preserve"> </w:t>
      </w:r>
      <w:r>
        <w:rPr>
          <w:rFonts w:ascii="Arial" w:cs="Arial" w:eastAsia="Arial" w:hAnsi="Arial"/>
          <w:sz w:val="14"/>
          <w:szCs w:val="14"/>
          <w:color w:val="auto"/>
        </w:rPr>
        <w:t>was $ 2.64 for the third quarter of 2024 compared to $ 1.97 for the third quarter of 2023. The increase was primarily driven by higher operating income,</w:t>
      </w:r>
      <w:r>
        <w:rPr>
          <w:rFonts w:ascii="Arial" w:cs="Arial" w:eastAsia="Arial" w:hAnsi="Arial"/>
          <w:sz w:val="14"/>
          <w:szCs w:val="14"/>
          <w:i w:val="1"/>
          <w:iCs w:val="1"/>
          <w:color w:val="auto"/>
        </w:rPr>
        <w:t xml:space="preserve"> </w:t>
      </w:r>
      <w:r>
        <w:rPr>
          <w:rFonts w:ascii="Arial" w:cs="Arial" w:eastAsia="Arial" w:hAnsi="Arial"/>
          <w:sz w:val="14"/>
          <w:szCs w:val="14"/>
          <w:color w:val="auto"/>
        </w:rPr>
        <w:t>higher net investment gains, and a lower effective tax rate compared to the 2023 period.</w:t>
      </w:r>
    </w:p>
    <w:p>
      <w:pPr>
        <w:spacing w:after="0" w:line="141"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color w:val="auto"/>
        </w:rPr>
        <w:t>On a non-GAAP basis, diluted earnings per share was $2.57 for the third quarter of 2024 as compared to $2.17 for the third quarter of 2023. The increase was primarily due to higher adjusted operating income, higher adjusted net investment gains, and a lower effective tax rate compared to the 2023 period.</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Results Overview - Year-to-Date ended September 30, 2024</w:t>
      </w:r>
    </w:p>
    <w:p>
      <w:pPr>
        <w:spacing w:after="0" w:line="23"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i w:val="1"/>
          <w:iCs w:val="1"/>
          <w:u w:val="single" w:color="auto"/>
          <w:color w:val="auto"/>
        </w:rPr>
        <w:t>Net revenues</w:t>
      </w:r>
      <w:r>
        <w:rPr>
          <w:rFonts w:ascii="Arial" w:cs="Arial" w:eastAsia="Arial" w:hAnsi="Arial"/>
          <w:sz w:val="14"/>
          <w:szCs w:val="14"/>
          <w:i w:val="1"/>
          <w:iCs w:val="1"/>
          <w:color w:val="auto"/>
        </w:rPr>
        <w:t xml:space="preserve"> </w:t>
      </w:r>
      <w:r>
        <w:rPr>
          <w:rFonts w:ascii="Arial" w:cs="Arial" w:eastAsia="Arial" w:hAnsi="Arial"/>
          <w:sz w:val="14"/>
          <w:szCs w:val="14"/>
          <w:color w:val="auto"/>
        </w:rPr>
        <w:t>consist of investment advisory revenues; administrative, distribution, and servicing fees; and capital allocation-based income. More than 90% of our net revenues for</w:t>
      </w:r>
      <w:r>
        <w:rPr>
          <w:rFonts w:ascii="Arial" w:cs="Arial" w:eastAsia="Arial" w:hAnsi="Arial"/>
          <w:sz w:val="14"/>
          <w:szCs w:val="14"/>
          <w:i w:val="1"/>
          <w:iCs w:val="1"/>
          <w:color w:val="auto"/>
        </w:rPr>
        <w:t xml:space="preserve"> </w:t>
      </w:r>
      <w:r>
        <w:rPr>
          <w:rFonts w:ascii="Arial" w:cs="Arial" w:eastAsia="Arial" w:hAnsi="Arial"/>
          <w:sz w:val="14"/>
          <w:szCs w:val="14"/>
          <w:color w:val="auto"/>
        </w:rPr>
        <w:t>the nine months ended September 30, 2024 are related to investment advisory fees. Total net revenues were $ 5,269.1 million in the nine months ended September 30, 2024, a 9.4% increase over $4,818.5 million in the 2023 period. The increase was primarily driven by a 11.3% increase in investment advisory fee revenue as average assets under management increased by 13.1%, partially offset by a $69.9 million decrease in capital allocation-based income (change in accrued carried interest) earned from investments in certain affiliated funds.</w:t>
      </w:r>
    </w:p>
    <w:p>
      <w:pPr>
        <w:spacing w:after="0" w:line="164"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i w:val="1"/>
          <w:iCs w:val="1"/>
          <w:u w:val="single" w:color="auto"/>
          <w:color w:val="auto"/>
        </w:rPr>
        <w:t>Operating expenses</w:t>
      </w:r>
      <w:r>
        <w:rPr>
          <w:rFonts w:ascii="Arial" w:cs="Arial" w:eastAsia="Arial" w:hAnsi="Arial"/>
          <w:sz w:val="14"/>
          <w:szCs w:val="14"/>
          <w:i w:val="1"/>
          <w:iCs w:val="1"/>
          <w:color w:val="auto"/>
        </w:rPr>
        <w:t xml:space="preserve"> </w:t>
      </w:r>
      <w:r>
        <w:rPr>
          <w:rFonts w:ascii="Arial" w:cs="Arial" w:eastAsia="Arial" w:hAnsi="Arial"/>
          <w:sz w:val="14"/>
          <w:szCs w:val="14"/>
          <w:color w:val="auto"/>
        </w:rPr>
        <w:t>were $3,504.2 million in the nine months ended September 30, 2024 compared with $ 3,219.5 million in the 2023 period. On a non-GAAP basis, our operating</w:t>
      </w:r>
      <w:r>
        <w:rPr>
          <w:rFonts w:ascii="Arial" w:cs="Arial" w:eastAsia="Arial" w:hAnsi="Arial"/>
          <w:sz w:val="14"/>
          <w:szCs w:val="14"/>
          <w:i w:val="1"/>
          <w:iCs w:val="1"/>
          <w:color w:val="auto"/>
        </w:rPr>
        <w:t xml:space="preserve"> </w:t>
      </w:r>
      <w:r>
        <w:rPr>
          <w:rFonts w:ascii="Arial" w:cs="Arial" w:eastAsia="Arial" w:hAnsi="Arial"/>
          <w:sz w:val="14"/>
          <w:szCs w:val="14"/>
          <w:color w:val="auto"/>
        </w:rPr>
        <w:t>expenses for the nine months ended September 30, 2024 increased 5.3% to $3,276.2 million compared to the 2023 period.</w:t>
      </w:r>
    </w:p>
    <w:p>
      <w:pPr>
        <w:spacing w:after="0" w:line="141"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In comparison to the nine months ended September 30, 2023, about 40% of the increase in U.S. GAAP operating expenses was driven by the change in remeasurement of the contingent consideration liability, as the 2023 period reflected a $72.8 million reduction in the liability compared to a $13.4M reduction in the 2024 period. Additionally, a market-related increase in the supplemental savings plan liability, and higher amortization and impairments related to acquisition-related intangibles, were also primary contributors to the increase in U.S. GAAP operating expenses.</w:t>
      </w:r>
    </w:p>
    <w:p>
      <w:pPr>
        <w:spacing w:after="0" w:line="15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Also contributing to the increase in U.S. GAAP operating expenses and the primary drivers of the increase in non-GAAP operating expenses were higher compensation and related benefits, including the interim bonus accrual, salaries and benefits, distribution and servicing costs, and general, administrative and other costs.</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30" w:right="379" w:bottom="1440" w:gutter="0" w:footer="0" w:header="0"/>
        </w:sectPr>
      </w:pPr>
    </w:p>
    <w:bookmarkStart w:id="27" w:name="page28"/>
    <w:bookmarkEnd w:id="27"/>
    <w:p>
      <w:pPr>
        <w:jc w:val="both"/>
        <w:ind w:right="80"/>
        <w:spacing w:after="0" w:line="290" w:lineRule="auto"/>
        <w:rPr>
          <w:sz w:val="20"/>
          <w:szCs w:val="20"/>
          <w:color w:val="auto"/>
        </w:rPr>
      </w:pPr>
      <w:r>
        <w:rPr>
          <w:rFonts w:ascii="Arial" w:cs="Arial" w:eastAsia="Arial" w:hAnsi="Arial"/>
          <w:sz w:val="14"/>
          <w:szCs w:val="14"/>
          <w:i w:val="1"/>
          <w:iCs w:val="1"/>
          <w:u w:val="single" w:color="auto"/>
          <w:color w:val="auto"/>
        </w:rPr>
        <w:t>Operating margin</w:t>
      </w:r>
      <w:r>
        <w:rPr>
          <w:rFonts w:ascii="Arial" w:cs="Arial" w:eastAsia="Arial" w:hAnsi="Arial"/>
          <w:sz w:val="14"/>
          <w:szCs w:val="14"/>
          <w:i w:val="1"/>
          <w:iCs w:val="1"/>
          <w:color w:val="auto"/>
        </w:rPr>
        <w:t xml:space="preserve"> </w:t>
      </w:r>
      <w:r>
        <w:rPr>
          <w:rFonts w:ascii="Arial" w:cs="Arial" w:eastAsia="Arial" w:hAnsi="Arial"/>
          <w:sz w:val="14"/>
          <w:szCs w:val="14"/>
          <w:color w:val="auto"/>
        </w:rPr>
        <w:t>in the nine months ended September 30, 2024 was 33.5% on a U.S. GAAP basis, compared to 33.2% earned in the 2023 period. The increase in our U.S. GAAP</w:t>
      </w:r>
      <w:r>
        <w:rPr>
          <w:rFonts w:ascii="Arial" w:cs="Arial" w:eastAsia="Arial" w:hAnsi="Arial"/>
          <w:sz w:val="14"/>
          <w:szCs w:val="14"/>
          <w:i w:val="1"/>
          <w:iCs w:val="1"/>
          <w:color w:val="auto"/>
        </w:rPr>
        <w:t xml:space="preserve"> </w:t>
      </w:r>
      <w:r>
        <w:rPr>
          <w:rFonts w:ascii="Arial" w:cs="Arial" w:eastAsia="Arial" w:hAnsi="Arial"/>
          <w:sz w:val="14"/>
          <w:szCs w:val="14"/>
          <w:color w:val="auto"/>
        </w:rPr>
        <w:t>operating margin for the nine months ended September 30, 2024 compared to the 2023 period was primarily driven by net revenue growth outpacing operating expense growth.</w:t>
      </w:r>
    </w:p>
    <w:p>
      <w:pPr>
        <w:spacing w:after="0" w:line="141" w:lineRule="exact"/>
        <w:rPr>
          <w:sz w:val="20"/>
          <w:szCs w:val="20"/>
          <w:color w:val="auto"/>
        </w:rPr>
      </w:pPr>
    </w:p>
    <w:p>
      <w:pPr>
        <w:jc w:val="both"/>
        <w:ind w:right="80"/>
        <w:spacing w:after="0" w:line="271" w:lineRule="auto"/>
        <w:rPr>
          <w:sz w:val="20"/>
          <w:szCs w:val="20"/>
          <w:color w:val="auto"/>
        </w:rPr>
      </w:pPr>
      <w:r>
        <w:rPr>
          <w:rFonts w:ascii="Arial" w:cs="Arial" w:eastAsia="Arial" w:hAnsi="Arial"/>
          <w:sz w:val="14"/>
          <w:szCs w:val="14"/>
          <w:i w:val="1"/>
          <w:iCs w:val="1"/>
          <w:u w:val="single" w:color="auto"/>
          <w:color w:val="auto"/>
        </w:rPr>
        <w:t>Diluted earnings per share</w:t>
      </w:r>
      <w:r>
        <w:rPr>
          <w:rFonts w:ascii="Arial" w:cs="Arial" w:eastAsia="Arial" w:hAnsi="Arial"/>
          <w:sz w:val="14"/>
          <w:szCs w:val="14"/>
          <w:i w:val="1"/>
          <w:iCs w:val="1"/>
          <w:color w:val="auto"/>
        </w:rPr>
        <w:t xml:space="preserve"> </w:t>
      </w:r>
      <w:r>
        <w:rPr>
          <w:rFonts w:ascii="Arial" w:cs="Arial" w:eastAsia="Arial" w:hAnsi="Arial"/>
          <w:sz w:val="14"/>
          <w:szCs w:val="14"/>
          <w:color w:val="auto"/>
        </w:rPr>
        <w:t>was $7.23 for the nine months ended September 30, 2024 compared to $5.86 for the nine months ended September 30, 2023. The 23.4% increase was</w:t>
      </w:r>
      <w:r>
        <w:rPr>
          <w:rFonts w:ascii="Arial" w:cs="Arial" w:eastAsia="Arial" w:hAnsi="Arial"/>
          <w:sz w:val="14"/>
          <w:szCs w:val="14"/>
          <w:i w:val="1"/>
          <w:iCs w:val="1"/>
          <w:color w:val="auto"/>
        </w:rPr>
        <w:t xml:space="preserve"> </w:t>
      </w:r>
      <w:r>
        <w:rPr>
          <w:rFonts w:ascii="Arial" w:cs="Arial" w:eastAsia="Arial" w:hAnsi="Arial"/>
          <w:sz w:val="14"/>
          <w:szCs w:val="14"/>
          <w:color w:val="auto"/>
        </w:rPr>
        <w:t>driven by higher net investment gains, higher operating income, and a lower effective tax rate in the nine months ended September 30, 2024, as compared to the comparable 2023 period.</w:t>
      </w:r>
    </w:p>
    <w:p>
      <w:pPr>
        <w:spacing w:after="0" w:line="155" w:lineRule="exact"/>
        <w:rPr>
          <w:sz w:val="20"/>
          <w:szCs w:val="20"/>
          <w:color w:val="auto"/>
        </w:rPr>
      </w:pPr>
    </w:p>
    <w:p>
      <w:pPr>
        <w:ind w:right="520"/>
        <w:spacing w:after="0" w:line="290" w:lineRule="auto"/>
        <w:rPr>
          <w:sz w:val="20"/>
          <w:szCs w:val="20"/>
          <w:color w:val="auto"/>
        </w:rPr>
      </w:pPr>
      <w:r>
        <w:rPr>
          <w:rFonts w:ascii="Arial" w:cs="Arial" w:eastAsia="Arial" w:hAnsi="Arial"/>
          <w:sz w:val="14"/>
          <w:szCs w:val="14"/>
          <w:color w:val="auto"/>
        </w:rPr>
        <w:t>On a non-GAAP basis, adjusted diluted earnings per share was $7.21 for the nine months ended September 30, 2024 as compared to $5.88 for the 2023 period. The 22.6% increase was primarily due to higher adjusted operating income and a lower effective tax rate.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Net revenues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5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920" w:type="dxa"/>
            <w:vAlign w:val="bottom"/>
            <w:tcBorders>
              <w:bottom w:val="single" w:sz="8" w:color="auto"/>
            </w:tcBorders>
            <w:gridSpan w:val="5"/>
            <w:shd w:val="clear" w:color="auto" w:fill="CCEEFF"/>
          </w:tcPr>
          <w:p>
            <w:pPr>
              <w:jc w:val="center"/>
              <w:ind w:right="40"/>
              <w:spacing w:after="0"/>
              <w:rPr>
                <w:sz w:val="20"/>
                <w:szCs w:val="20"/>
                <w:color w:val="auto"/>
              </w:rPr>
            </w:pPr>
            <w:r>
              <w:rPr>
                <w:rFonts w:ascii="Arial" w:cs="Arial" w:eastAsia="Arial" w:hAnsi="Arial"/>
                <w:sz w:val="11"/>
                <w:szCs w:val="11"/>
                <w:b w:val="1"/>
                <w:bCs w:val="1"/>
                <w:color w:val="auto"/>
              </w:rPr>
              <w:t>Three months ended</w:t>
            </w:r>
          </w:p>
        </w:tc>
        <w:tc>
          <w:tcPr>
            <w:tcW w:w="11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940" w:type="dxa"/>
            <w:vAlign w:val="bottom"/>
            <w:tcBorders>
              <w:bottom w:val="single" w:sz="8" w:color="auto"/>
            </w:tcBorders>
            <w:gridSpan w:val="5"/>
            <w:shd w:val="clear" w:color="auto" w:fill="CCEEFF"/>
          </w:tcPr>
          <w:p>
            <w:pPr>
              <w:jc w:val="center"/>
              <w:ind w:right="20"/>
              <w:spacing w:after="0"/>
              <w:rPr>
                <w:sz w:val="20"/>
                <w:szCs w:val="20"/>
                <w:color w:val="auto"/>
              </w:rPr>
            </w:pPr>
            <w:r>
              <w:rPr>
                <w:rFonts w:ascii="Arial" w:cs="Arial" w:eastAsia="Arial" w:hAnsi="Arial"/>
                <w:sz w:val="11"/>
                <w:szCs w:val="11"/>
                <w:b w:val="1"/>
                <w:bCs w:val="1"/>
                <w:color w:val="auto"/>
              </w:rPr>
              <w:t>Nine months ended</w:t>
            </w:r>
          </w:p>
        </w:tc>
        <w:tc>
          <w:tcPr>
            <w:tcW w:w="11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50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160" w:type="dxa"/>
            <w:vAlign w:val="bottom"/>
          </w:tcPr>
          <w:p>
            <w:pPr>
              <w:spacing w:after="0"/>
              <w:rPr>
                <w:sz w:val="13"/>
                <w:szCs w:val="13"/>
                <w:color w:val="auto"/>
              </w:rPr>
            </w:pPr>
          </w:p>
        </w:tc>
        <w:tc>
          <w:tcPr>
            <w:tcW w:w="800" w:type="dxa"/>
            <w:vAlign w:val="bottom"/>
          </w:tcPr>
          <w:p>
            <w:pPr>
              <w:jc w:val="right"/>
              <w:ind w:right="177"/>
              <w:spacing w:after="0"/>
              <w:rPr>
                <w:sz w:val="20"/>
                <w:szCs w:val="20"/>
                <w:color w:val="auto"/>
              </w:rPr>
            </w:pPr>
            <w:r>
              <w:rPr>
                <w:rFonts w:ascii="Arial" w:cs="Arial" w:eastAsia="Arial" w:hAnsi="Arial"/>
                <w:sz w:val="11"/>
                <w:szCs w:val="11"/>
                <w:b w:val="1"/>
                <w:bCs w:val="1"/>
                <w:color w:val="auto"/>
              </w:rPr>
              <w:t>9/30/2024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57"/>
              <w:spacing w:after="0"/>
              <w:rPr>
                <w:sz w:val="20"/>
                <w:szCs w:val="20"/>
                <w:color w:val="auto"/>
              </w:rPr>
            </w:pPr>
            <w:r>
              <w:rPr>
                <w:rFonts w:ascii="Arial" w:cs="Arial" w:eastAsia="Arial" w:hAnsi="Arial"/>
                <w:sz w:val="11"/>
                <w:szCs w:val="11"/>
                <w:b w:val="1"/>
                <w:bCs w:val="1"/>
                <w:color w:val="auto"/>
              </w:rPr>
              <w:t>9/30/2023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 change</w:t>
            </w:r>
          </w:p>
        </w:tc>
        <w:tc>
          <w:tcPr>
            <w:tcW w:w="1260" w:type="dxa"/>
            <w:vAlign w:val="bottom"/>
            <w:tcBorders>
              <w:right w:val="single" w:sz="8" w:color="auto"/>
            </w:tcBorders>
            <w:gridSpan w:val="2"/>
          </w:tcPr>
          <w:p>
            <w:pPr>
              <w:ind w:left="280"/>
              <w:spacing w:after="0" w:line="150" w:lineRule="exact"/>
              <w:rPr>
                <w:sz w:val="20"/>
                <w:szCs w:val="20"/>
                <w:color w:val="auto"/>
              </w:rPr>
            </w:pPr>
            <w:r>
              <w:rPr>
                <w:rFonts w:ascii="Arial" w:cs="Arial" w:eastAsia="Arial" w:hAnsi="Arial"/>
                <w:sz w:val="11"/>
                <w:szCs w:val="11"/>
                <w:b w:val="1"/>
                <w:bCs w:val="1"/>
                <w:color w:val="auto"/>
              </w:rPr>
              <w:t>% change</w:t>
            </w:r>
            <w:r>
              <w:rPr>
                <w:rFonts w:ascii="Arial" w:cs="Arial" w:eastAsia="Arial" w:hAnsi="Arial"/>
                <w:sz w:val="14"/>
                <w:szCs w:val="14"/>
                <w:b w:val="1"/>
                <w:bCs w:val="1"/>
                <w:color w:val="auto"/>
                <w:vertAlign w:val="superscript"/>
              </w:rPr>
              <w:t>(1)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77"/>
              <w:spacing w:after="0"/>
              <w:rPr>
                <w:sz w:val="20"/>
                <w:szCs w:val="20"/>
                <w:color w:val="auto"/>
              </w:rPr>
            </w:pPr>
            <w:r>
              <w:rPr>
                <w:rFonts w:ascii="Arial" w:cs="Arial" w:eastAsia="Arial" w:hAnsi="Arial"/>
                <w:sz w:val="11"/>
                <w:szCs w:val="11"/>
                <w:b w:val="1"/>
                <w:bCs w:val="1"/>
                <w:color w:val="auto"/>
              </w:rPr>
              <w:t>9/30/2024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1"/>
                <w:szCs w:val="11"/>
                <w:b w:val="1"/>
                <w:bCs w:val="1"/>
                <w:color w:val="auto"/>
              </w:rPr>
              <w:t>9/30/2023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 change</w:t>
            </w:r>
          </w:p>
        </w:tc>
        <w:tc>
          <w:tcPr>
            <w:tcW w:w="1180" w:type="dxa"/>
            <w:vAlign w:val="bottom"/>
          </w:tcPr>
          <w:p>
            <w:pPr>
              <w:jc w:val="right"/>
              <w:ind w:right="217"/>
              <w:spacing w:after="0" w:line="150" w:lineRule="exact"/>
              <w:rPr>
                <w:sz w:val="20"/>
                <w:szCs w:val="20"/>
                <w:color w:val="auto"/>
              </w:rPr>
            </w:pPr>
            <w:r>
              <w:rPr>
                <w:rFonts w:ascii="Arial" w:cs="Arial" w:eastAsia="Arial" w:hAnsi="Arial"/>
                <w:sz w:val="11"/>
                <w:szCs w:val="11"/>
                <w:b w:val="1"/>
                <w:bCs w:val="1"/>
                <w:color w:val="auto"/>
              </w:rPr>
              <w:t>% change</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50"/>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Investment advisory fees</w:t>
            </w: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500" w:type="dxa"/>
            <w:vAlign w:val="bottom"/>
          </w:tcPr>
          <w:p>
            <w:pPr>
              <w:ind w:left="120"/>
              <w:spacing w:after="0"/>
              <w:rPr>
                <w:sz w:val="20"/>
                <w:szCs w:val="20"/>
                <w:color w:val="auto"/>
              </w:rPr>
            </w:pPr>
            <w:r>
              <w:rPr>
                <w:rFonts w:ascii="Arial" w:cs="Arial" w:eastAsia="Arial" w:hAnsi="Arial"/>
                <w:sz w:val="13"/>
                <w:szCs w:val="13"/>
                <w:color w:val="auto"/>
              </w:rPr>
              <w:t>Equity</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978.5</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885.0</w:t>
            </w:r>
          </w:p>
        </w:tc>
        <w:tc>
          <w:tcPr>
            <w:tcW w:w="80" w:type="dxa"/>
            <w:vAlign w:val="bottom"/>
          </w:tcPr>
          <w:p>
            <w:pPr>
              <w:spacing w:after="0"/>
              <w:rPr>
                <w:sz w:val="14"/>
                <w:szCs w:val="14"/>
                <w:color w:val="auto"/>
              </w:rPr>
            </w:pPr>
          </w:p>
        </w:tc>
        <w:tc>
          <w:tcPr>
            <w:tcW w:w="16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93.5</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10.6 %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2,877.0</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2,581.2</w:t>
            </w:r>
          </w:p>
        </w:tc>
        <w:tc>
          <w:tcPr>
            <w:tcW w:w="80" w:type="dxa"/>
            <w:vAlign w:val="bottom"/>
          </w:tcPr>
          <w:p>
            <w:pPr>
              <w:spacing w:after="0"/>
              <w:rPr>
                <w:sz w:val="14"/>
                <w:szCs w:val="14"/>
                <w:color w:val="auto"/>
              </w:rPr>
            </w:pPr>
          </w:p>
        </w:tc>
        <w:tc>
          <w:tcPr>
            <w:tcW w:w="160" w:type="dxa"/>
            <w:vAlign w:val="bottom"/>
          </w:tcPr>
          <w:p>
            <w:pPr>
              <w:jc w:val="center"/>
              <w:ind w:right="1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295.8</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11.5 %</w:t>
            </w: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Fixed income</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3.2 %</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0.5 %</w:t>
            </w:r>
          </w:p>
        </w:tc>
        <w:tc>
          <w:tcPr>
            <w:tcW w:w="0" w:type="dxa"/>
            <w:vAlign w:val="bottom"/>
          </w:tcPr>
          <w:p>
            <w:pPr>
              <w:spacing w:after="0"/>
              <w:rPr>
                <w:sz w:val="1"/>
                <w:szCs w:val="1"/>
                <w:color w:val="auto"/>
              </w:rPr>
            </w:pPr>
          </w:p>
        </w:tc>
      </w:tr>
      <w:tr>
        <w:trPr>
          <w:trHeight w:val="169"/>
        </w:trPr>
        <w:tc>
          <w:tcPr>
            <w:tcW w:w="2500" w:type="dxa"/>
            <w:vAlign w:val="bottom"/>
          </w:tcPr>
          <w:p>
            <w:pPr>
              <w:ind w:left="120"/>
              <w:spacing w:after="0"/>
              <w:rPr>
                <w:sz w:val="20"/>
                <w:szCs w:val="20"/>
                <w:color w:val="auto"/>
              </w:rPr>
            </w:pPr>
            <w:r>
              <w:rPr>
                <w:rFonts w:ascii="Arial" w:cs="Arial" w:eastAsia="Arial" w:hAnsi="Arial"/>
                <w:sz w:val="13"/>
                <w:szCs w:val="13"/>
                <w:color w:val="auto"/>
              </w:rPr>
              <w:t>Multi-asset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465.8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405.5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60.3</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14.9 %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1,340.3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1,182.8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157.5</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13.3 %</w:t>
            </w:r>
          </w:p>
        </w:tc>
        <w:tc>
          <w:tcPr>
            <w:tcW w:w="0" w:type="dxa"/>
            <w:vAlign w:val="bottom"/>
          </w:tcPr>
          <w:p>
            <w:pPr>
              <w:spacing w:after="0"/>
              <w:rPr>
                <w:sz w:val="1"/>
                <w:szCs w:val="1"/>
                <w:color w:val="auto"/>
              </w:rPr>
            </w:pPr>
          </w:p>
        </w:tc>
      </w:tr>
      <w:tr>
        <w:trPr>
          <w:trHeight w:val="170"/>
        </w:trPr>
        <w:tc>
          <w:tcPr>
            <w:tcW w:w="2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Alternatives</w:t>
            </w: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84.5</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72.5</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16.6 %</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250.3</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219.2</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8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14.2 %</w:t>
            </w:r>
          </w:p>
        </w:tc>
        <w:tc>
          <w:tcPr>
            <w:tcW w:w="0" w:type="dxa"/>
            <w:vAlign w:val="bottom"/>
          </w:tcPr>
          <w:p>
            <w:pPr>
              <w:spacing w:after="0"/>
              <w:rPr>
                <w:sz w:val="1"/>
                <w:szCs w:val="1"/>
                <w:color w:val="auto"/>
              </w:rPr>
            </w:pPr>
          </w:p>
        </w:tc>
      </w:tr>
      <w:tr>
        <w:trPr>
          <w:trHeight w:val="221"/>
        </w:trPr>
        <w:tc>
          <w:tcPr>
            <w:tcW w:w="2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1,632.9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1,463.9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169.0</w:t>
            </w: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11.5 %</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4,772.5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4,286.5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486.0</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11.3 %</w:t>
            </w:r>
          </w:p>
        </w:tc>
        <w:tc>
          <w:tcPr>
            <w:tcW w:w="0" w:type="dxa"/>
            <w:vAlign w:val="bottom"/>
          </w:tcPr>
          <w:p>
            <w:pPr>
              <w:spacing w:after="0"/>
              <w:rPr>
                <w:sz w:val="1"/>
                <w:szCs w:val="1"/>
                <w:color w:val="auto"/>
              </w:rPr>
            </w:pPr>
          </w:p>
        </w:tc>
      </w:tr>
      <w:tr>
        <w:trPr>
          <w:trHeight w:val="170"/>
        </w:trPr>
        <w:tc>
          <w:tcPr>
            <w:tcW w:w="2500" w:type="dxa"/>
            <w:vAlign w:val="bottom"/>
            <w:tcBorders>
              <w:top w:val="single" w:sz="8" w:color="CCEEFF"/>
            </w:tcBorders>
          </w:tcPr>
          <w:p>
            <w:pPr>
              <w:ind w:left="20"/>
              <w:spacing w:after="0"/>
              <w:rPr>
                <w:sz w:val="20"/>
                <w:szCs w:val="20"/>
                <w:color w:val="auto"/>
              </w:rPr>
            </w:pPr>
            <w:r>
              <w:rPr>
                <w:rFonts w:ascii="Arial" w:cs="Arial" w:eastAsia="Arial" w:hAnsi="Arial"/>
                <w:sz w:val="13"/>
                <w:szCs w:val="13"/>
                <w:b w:val="1"/>
                <w:bCs w:val="1"/>
                <w:color w:val="auto"/>
              </w:rPr>
              <w:t>Capital allocation-based income</w:t>
            </w: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160" w:type="dxa"/>
            <w:vAlign w:val="bottom"/>
            <w:tcBorders>
              <w:top w:val="single" w:sz="8" w:color="CCEEFF"/>
            </w:tcBorders>
          </w:tcPr>
          <w:p>
            <w:pPr>
              <w:spacing w:after="0"/>
              <w:rPr>
                <w:sz w:val="14"/>
                <w:szCs w:val="14"/>
                <w:color w:val="auto"/>
              </w:rPr>
            </w:pPr>
          </w:p>
        </w:tc>
        <w:tc>
          <w:tcPr>
            <w:tcW w:w="100" w:type="dxa"/>
            <w:vAlign w:val="bottom"/>
            <w:tcBorders>
              <w:top w:val="single" w:sz="8" w:color="CCEEFF"/>
              <w:right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Change in accrued carried interest</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80" w:type="dxa"/>
            <w:vAlign w:val="bottom"/>
            <w:shd w:val="clear" w:color="auto" w:fill="CCEEFF"/>
          </w:tcPr>
          <w:p>
            <w:pPr>
              <w:spacing w:after="0"/>
              <w:rPr>
                <w:sz w:val="14"/>
                <w:szCs w:val="14"/>
                <w:color w:val="auto"/>
              </w:rPr>
            </w:pPr>
          </w:p>
        </w:tc>
        <w:tc>
          <w:tcPr>
            <w:tcW w:w="1260" w:type="dxa"/>
            <w:vAlign w:val="bottom"/>
            <w:tcBorders>
              <w:right w:val="single" w:sz="8" w:color="auto"/>
            </w:tcBorders>
            <w:gridSpan w:val="2"/>
            <w:shd w:val="clear" w:color="auto" w:fill="CCEEFF"/>
          </w:tcPr>
          <w:p>
            <w:pPr>
              <w:ind w:left="940"/>
              <w:spacing w:after="0"/>
              <w:rPr>
                <w:sz w:val="20"/>
                <w:szCs w:val="20"/>
                <w:color w:val="auto"/>
              </w:rPr>
            </w:pPr>
            <w:r>
              <w:rPr>
                <w:rFonts w:ascii="Arial" w:cs="Arial" w:eastAsia="Arial" w:hAnsi="Arial"/>
                <w:sz w:val="13"/>
                <w:szCs w:val="13"/>
                <w:color w:val="auto"/>
              </w:rPr>
              <w:t>n/m</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27"/>
        </w:trPr>
        <w:tc>
          <w:tcPr>
            <w:tcW w:w="2500" w:type="dxa"/>
            <w:vAlign w:val="bottom"/>
          </w:tcPr>
          <w:p>
            <w:pPr>
              <w:ind w:left="100"/>
              <w:spacing w:after="0" w:line="128" w:lineRule="exact"/>
              <w:rPr>
                <w:sz w:val="20"/>
                <w:szCs w:val="20"/>
                <w:color w:val="auto"/>
              </w:rPr>
            </w:pPr>
            <w:r>
              <w:rPr>
                <w:rFonts w:ascii="Arial" w:cs="Arial" w:eastAsia="Arial" w:hAnsi="Arial"/>
                <w:sz w:val="13"/>
                <w:szCs w:val="13"/>
                <w:color w:val="auto"/>
              </w:rPr>
              <w:t>Acquisition-related amortization and</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(30.5)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(25.8)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1"/>
                <w:szCs w:val="11"/>
                <w:color w:val="auto"/>
              </w:rPr>
            </w:pPr>
          </w:p>
        </w:tc>
        <w:tc>
          <w:tcPr>
            <w:tcW w:w="1160" w:type="dxa"/>
            <w:vAlign w:val="bottom"/>
            <w:vMerge w:val="restart"/>
          </w:tcPr>
          <w:p>
            <w:pPr>
              <w:ind w:left="940"/>
              <w:spacing w:after="0"/>
              <w:rPr>
                <w:sz w:val="20"/>
                <w:szCs w:val="20"/>
                <w:color w:val="auto"/>
              </w:rPr>
            </w:pPr>
            <w:r>
              <w:rPr>
                <w:rFonts w:ascii="Arial" w:cs="Arial" w:eastAsia="Arial" w:hAnsi="Arial"/>
                <w:sz w:val="13"/>
                <w:szCs w:val="13"/>
                <w:color w:val="auto"/>
                <w:w w:val="92"/>
              </w:rPr>
              <w:t>n/m</w:t>
            </w:r>
          </w:p>
        </w:tc>
        <w:tc>
          <w:tcPr>
            <w:tcW w:w="100" w:type="dxa"/>
            <w:vAlign w:val="bottom"/>
            <w:tcBorders>
              <w:right w:val="single" w:sz="8" w:color="auto"/>
            </w:tcBorders>
            <w:vMerge w:val="restart"/>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(69.8)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(50.4)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(19.4)</w:t>
            </w:r>
          </w:p>
        </w:tc>
        <w:tc>
          <w:tcPr>
            <w:tcW w:w="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8"/>
        </w:trPr>
        <w:tc>
          <w:tcPr>
            <w:tcW w:w="25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impairments</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right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w:t>
            </w:r>
          </w:p>
        </w:tc>
        <w:tc>
          <w:tcPr>
            <w:tcW w:w="80" w:type="dxa"/>
            <w:vAlign w:val="bottom"/>
            <w:shd w:val="clear" w:color="auto" w:fill="CCEEFF"/>
          </w:tcPr>
          <w:p>
            <w:pPr>
              <w:spacing w:after="0"/>
              <w:rPr>
                <w:sz w:val="13"/>
                <w:szCs w:val="13"/>
                <w:color w:val="auto"/>
              </w:rPr>
            </w:pPr>
          </w:p>
        </w:tc>
        <w:tc>
          <w:tcPr>
            <w:tcW w:w="1260" w:type="dxa"/>
            <w:vAlign w:val="bottom"/>
            <w:tcBorders>
              <w:right w:val="single" w:sz="8" w:color="auto"/>
            </w:tcBorders>
            <w:gridSpan w:val="2"/>
            <w:shd w:val="clear" w:color="auto" w:fill="CCEEFF"/>
          </w:tcPr>
          <w:p>
            <w:pPr>
              <w:ind w:left="940"/>
              <w:spacing w:after="0"/>
              <w:rPr>
                <w:sz w:val="20"/>
                <w:szCs w:val="20"/>
                <w:color w:val="auto"/>
              </w:rPr>
            </w:pPr>
            <w:r>
              <w:rPr>
                <w:rFonts w:ascii="Arial" w:cs="Arial" w:eastAsia="Arial" w:hAnsi="Arial"/>
                <w:sz w:val="13"/>
                <w:szCs w:val="13"/>
                <w:color w:val="auto"/>
              </w:rPr>
              <w:t>n/m</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55"/>
        </w:trPr>
        <w:tc>
          <w:tcPr>
            <w:tcW w:w="25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b w:val="1"/>
                <w:bCs w:val="1"/>
                <w:color w:val="auto"/>
              </w:rPr>
              <w:t>Administrative, distribution, and</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servicing fees</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00" w:type="dxa"/>
            <w:vAlign w:val="bottom"/>
          </w:tcPr>
          <w:p>
            <w:pPr>
              <w:ind w:left="120"/>
              <w:spacing w:after="0"/>
              <w:rPr>
                <w:sz w:val="20"/>
                <w:szCs w:val="20"/>
                <w:color w:val="auto"/>
              </w:rPr>
            </w:pPr>
            <w:r>
              <w:rPr>
                <w:rFonts w:ascii="Arial" w:cs="Arial" w:eastAsia="Arial" w:hAnsi="Arial"/>
                <w:sz w:val="13"/>
                <w:szCs w:val="13"/>
                <w:color w:val="auto"/>
              </w:rPr>
              <w:t>Administrative fees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125.4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119.4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5.0 %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378.4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347.7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30.7</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8.8 %</w:t>
            </w:r>
          </w:p>
        </w:tc>
        <w:tc>
          <w:tcPr>
            <w:tcW w:w="0" w:type="dxa"/>
            <w:vAlign w:val="bottom"/>
          </w:tcPr>
          <w:p>
            <w:pPr>
              <w:spacing w:after="0"/>
              <w:rPr>
                <w:sz w:val="1"/>
                <w:szCs w:val="1"/>
                <w:color w:val="auto"/>
              </w:rPr>
            </w:pPr>
          </w:p>
        </w:tc>
      </w:tr>
      <w:tr>
        <w:trPr>
          <w:trHeight w:val="170"/>
        </w:trPr>
        <w:tc>
          <w:tcPr>
            <w:tcW w:w="2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Distribution and servicing fees</w:t>
            </w: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6.6 %</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66.4</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62.6</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6.1 %</w:t>
            </w:r>
          </w:p>
        </w:tc>
        <w:tc>
          <w:tcPr>
            <w:tcW w:w="0" w:type="dxa"/>
            <w:vAlign w:val="bottom"/>
          </w:tcPr>
          <w:p>
            <w:pPr>
              <w:spacing w:after="0"/>
              <w:rPr>
                <w:sz w:val="1"/>
                <w:szCs w:val="1"/>
                <w:color w:val="auto"/>
              </w:rPr>
            </w:pPr>
          </w:p>
        </w:tc>
      </w:tr>
      <w:tr>
        <w:trPr>
          <w:trHeight w:val="160"/>
        </w:trPr>
        <w:tc>
          <w:tcPr>
            <w:tcW w:w="25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148.1</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140.7</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5.3 %</w:t>
            </w:r>
          </w:p>
        </w:tc>
        <w:tc>
          <w:tcPr>
            <w:tcW w:w="100" w:type="dxa"/>
            <w:vAlign w:val="bottom"/>
            <w:tcBorders>
              <w:bottom w:val="single" w:sz="8" w:color="CCEEFF"/>
              <w:right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444.8</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410.3</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34.5</w:t>
            </w: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8.4 %</w:t>
            </w:r>
          </w:p>
        </w:tc>
        <w:tc>
          <w:tcPr>
            <w:tcW w:w="0" w:type="dxa"/>
            <w:vAlign w:val="bottom"/>
          </w:tcPr>
          <w:p>
            <w:pPr>
              <w:spacing w:after="0"/>
              <w:rPr>
                <w:sz w:val="1"/>
                <w:szCs w:val="1"/>
                <w:color w:val="auto"/>
              </w:rPr>
            </w:pPr>
          </w:p>
        </w:tc>
      </w:tr>
      <w:tr>
        <w:trPr>
          <w:trHeight w:val="187"/>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revenues</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1,785.6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1,670.7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114.9</w:t>
            </w: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6.9 %</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5,269.1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4,818.5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center"/>
              <w:ind w:right="1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450.6</w:t>
            </w:r>
          </w:p>
        </w:tc>
        <w:tc>
          <w:tcPr>
            <w:tcW w:w="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9.4 %</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500" w:type="dxa"/>
            <w:vAlign w:val="bottom"/>
            <w:shd w:val="clear" w:color="auto" w:fill="CCEEFF"/>
          </w:tcPr>
          <w:p>
            <w:pPr>
              <w:ind w:left="20"/>
              <w:spacing w:after="0" w:line="132" w:lineRule="exact"/>
              <w:rPr>
                <w:sz w:val="20"/>
                <w:szCs w:val="20"/>
                <w:color w:val="auto"/>
              </w:rPr>
            </w:pPr>
            <w:r>
              <w:rPr>
                <w:rFonts w:ascii="Arial" w:cs="Arial" w:eastAsia="Arial" w:hAnsi="Arial"/>
                <w:sz w:val="13"/>
                <w:szCs w:val="13"/>
                <w:b w:val="1"/>
                <w:bCs w:val="1"/>
                <w:color w:val="auto"/>
              </w:rPr>
              <w:t>Average assets under management</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billions)</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500" w:type="dxa"/>
            <w:vAlign w:val="bottom"/>
          </w:tcPr>
          <w:p>
            <w:pPr>
              <w:ind w:left="120"/>
              <w:spacing w:after="0"/>
              <w:rPr>
                <w:sz w:val="20"/>
                <w:szCs w:val="20"/>
                <w:color w:val="auto"/>
              </w:rPr>
            </w:pPr>
            <w:r>
              <w:rPr>
                <w:rFonts w:ascii="Arial" w:cs="Arial" w:eastAsia="Arial" w:hAnsi="Arial"/>
                <w:sz w:val="13"/>
                <w:szCs w:val="13"/>
                <w:color w:val="auto"/>
              </w:rPr>
              <w:t>Equity</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813.1</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725.0</w:t>
            </w:r>
          </w:p>
        </w:tc>
        <w:tc>
          <w:tcPr>
            <w:tcW w:w="80" w:type="dxa"/>
            <w:vAlign w:val="bottom"/>
          </w:tcPr>
          <w:p>
            <w:pPr>
              <w:spacing w:after="0"/>
              <w:rPr>
                <w:sz w:val="14"/>
                <w:szCs w:val="14"/>
                <w:color w:val="auto"/>
              </w:rPr>
            </w:pPr>
          </w:p>
        </w:tc>
        <w:tc>
          <w:tcPr>
            <w:tcW w:w="16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88.1</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12.2 %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791.4</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705.3</w:t>
            </w:r>
          </w:p>
        </w:tc>
        <w:tc>
          <w:tcPr>
            <w:tcW w:w="80" w:type="dxa"/>
            <w:vAlign w:val="bottom"/>
          </w:tcPr>
          <w:p>
            <w:pPr>
              <w:spacing w:after="0"/>
              <w:rPr>
                <w:sz w:val="14"/>
                <w:szCs w:val="14"/>
                <w:color w:val="auto"/>
              </w:rPr>
            </w:pPr>
          </w:p>
        </w:tc>
        <w:tc>
          <w:tcPr>
            <w:tcW w:w="160" w:type="dxa"/>
            <w:vAlign w:val="bottom"/>
          </w:tcPr>
          <w:p>
            <w:pPr>
              <w:jc w:val="center"/>
              <w:ind w:right="1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86.1</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12.2 %</w:t>
            </w: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Fixed income</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8.5 %</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3.7 %</w:t>
            </w:r>
          </w:p>
        </w:tc>
        <w:tc>
          <w:tcPr>
            <w:tcW w:w="0" w:type="dxa"/>
            <w:vAlign w:val="bottom"/>
          </w:tcPr>
          <w:p>
            <w:pPr>
              <w:spacing w:after="0"/>
              <w:rPr>
                <w:sz w:val="1"/>
                <w:szCs w:val="1"/>
                <w:color w:val="auto"/>
              </w:rPr>
            </w:pPr>
          </w:p>
        </w:tc>
      </w:tr>
      <w:tr>
        <w:trPr>
          <w:trHeight w:val="169"/>
        </w:trPr>
        <w:tc>
          <w:tcPr>
            <w:tcW w:w="2500" w:type="dxa"/>
            <w:vAlign w:val="bottom"/>
          </w:tcPr>
          <w:p>
            <w:pPr>
              <w:ind w:left="120"/>
              <w:spacing w:after="0"/>
              <w:rPr>
                <w:sz w:val="20"/>
                <w:szCs w:val="20"/>
                <w:color w:val="auto"/>
              </w:rPr>
            </w:pPr>
            <w:r>
              <w:rPr>
                <w:rFonts w:ascii="Arial" w:cs="Arial" w:eastAsia="Arial" w:hAnsi="Arial"/>
                <w:sz w:val="13"/>
                <w:szCs w:val="13"/>
                <w:color w:val="auto"/>
              </w:rPr>
              <w:t>Multi-asset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542.3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453.8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88.5</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19.5 %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519.9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438.5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81.4</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18.6 %</w:t>
            </w:r>
          </w:p>
        </w:tc>
        <w:tc>
          <w:tcPr>
            <w:tcW w:w="0" w:type="dxa"/>
            <w:vAlign w:val="bottom"/>
          </w:tcPr>
          <w:p>
            <w:pPr>
              <w:spacing w:after="0"/>
              <w:rPr>
                <w:sz w:val="1"/>
                <w:szCs w:val="1"/>
                <w:color w:val="auto"/>
              </w:rPr>
            </w:pPr>
          </w:p>
        </w:tc>
      </w:tr>
      <w:tr>
        <w:trPr>
          <w:trHeight w:val="170"/>
        </w:trPr>
        <w:tc>
          <w:tcPr>
            <w:tcW w:w="2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Alternatives</w:t>
            </w: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50.8</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10.9 %</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9.4 %</w:t>
            </w:r>
          </w:p>
        </w:tc>
        <w:tc>
          <w:tcPr>
            <w:tcW w:w="0" w:type="dxa"/>
            <w:vAlign w:val="bottom"/>
          </w:tcPr>
          <w:p>
            <w:pPr>
              <w:spacing w:after="0"/>
              <w:rPr>
                <w:sz w:val="1"/>
                <w:szCs w:val="1"/>
                <w:color w:val="auto"/>
              </w:rPr>
            </w:pPr>
          </w:p>
        </w:tc>
      </w:tr>
      <w:tr>
        <w:trPr>
          <w:trHeight w:val="162"/>
        </w:trPr>
        <w:tc>
          <w:tcPr>
            <w:tcW w:w="2500" w:type="dxa"/>
            <w:vAlign w:val="bottom"/>
          </w:tcPr>
          <w:p>
            <w:pPr>
              <w:ind w:left="20"/>
              <w:spacing w:after="0"/>
              <w:rPr>
                <w:sz w:val="20"/>
                <w:szCs w:val="20"/>
                <w:color w:val="auto"/>
              </w:rPr>
            </w:pPr>
            <w:r>
              <w:rPr>
                <w:rFonts w:ascii="Arial" w:cs="Arial" w:eastAsia="Arial" w:hAnsi="Arial"/>
                <w:sz w:val="13"/>
                <w:szCs w:val="13"/>
                <w:b w:val="1"/>
                <w:bCs w:val="1"/>
                <w:color w:val="auto"/>
              </w:rPr>
              <w:t>Average assets under management</w:t>
            </w: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1,589.5</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1,393.6</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195.9</w:t>
            </w:r>
          </w:p>
        </w:tc>
        <w:tc>
          <w:tcPr>
            <w:tcW w:w="8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1,536.2</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1,358.2</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178.0</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13.1 %</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500" w:type="dxa"/>
            <w:vAlign w:val="bottom"/>
          </w:tcPr>
          <w:p>
            <w:pPr>
              <w:ind w:left="20"/>
              <w:spacing w:after="0" w:line="128" w:lineRule="exact"/>
              <w:rPr>
                <w:sz w:val="20"/>
                <w:szCs w:val="20"/>
                <w:color w:val="auto"/>
              </w:rPr>
            </w:pPr>
            <w:r>
              <w:rPr>
                <w:rFonts w:ascii="Arial" w:cs="Arial" w:eastAsia="Arial" w:hAnsi="Arial"/>
                <w:sz w:val="13"/>
                <w:szCs w:val="13"/>
                <w:b w:val="1"/>
                <w:bCs w:val="1"/>
                <w:color w:val="auto"/>
              </w:rPr>
              <w:t>Investment advisory annualized</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40.9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41.7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(0.8)</w:t>
            </w:r>
          </w:p>
        </w:tc>
        <w:tc>
          <w:tcPr>
            <w:tcW w:w="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41.5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42.2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(0.7)</w:t>
            </w:r>
          </w:p>
        </w:tc>
        <w:tc>
          <w:tcPr>
            <w:tcW w:w="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48"/>
        </w:trPr>
        <w:tc>
          <w:tcPr>
            <w:tcW w:w="2500" w:type="dxa"/>
            <w:vAlign w:val="bottom"/>
          </w:tcPr>
          <w:p>
            <w:pPr>
              <w:ind w:left="20"/>
              <w:spacing w:after="0" w:line="149" w:lineRule="exact"/>
              <w:rPr>
                <w:sz w:val="20"/>
                <w:szCs w:val="20"/>
                <w:color w:val="auto"/>
              </w:rPr>
            </w:pPr>
            <w:r>
              <w:rPr>
                <w:rFonts w:ascii="Arial" w:cs="Arial" w:eastAsia="Arial" w:hAnsi="Arial"/>
                <w:sz w:val="13"/>
                <w:szCs w:val="13"/>
                <w:b w:val="1"/>
                <w:bCs w:val="1"/>
                <w:color w:val="auto"/>
              </w:rPr>
              <w:t>effective fee rate (bps)</w:t>
            </w: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5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tcBorders>
              <w:right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500" w:type="dxa"/>
            <w:vAlign w:val="bottom"/>
          </w:tcPr>
          <w:p>
            <w:pPr>
              <w:ind w:left="20"/>
              <w:spacing w:after="0" w:line="128" w:lineRule="exact"/>
              <w:rPr>
                <w:sz w:val="20"/>
                <w:szCs w:val="20"/>
                <w:color w:val="auto"/>
              </w:rPr>
            </w:pPr>
            <w:r>
              <w:rPr>
                <w:rFonts w:ascii="Arial" w:cs="Arial" w:eastAsia="Arial" w:hAnsi="Arial"/>
                <w:sz w:val="13"/>
                <w:szCs w:val="13"/>
                <w:b w:val="1"/>
                <w:bCs w:val="1"/>
                <w:color w:val="auto"/>
              </w:rPr>
              <w:t>Investment advisory annualized</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00" w:type="dxa"/>
            <w:vAlign w:val="bottom"/>
          </w:tcPr>
          <w:p>
            <w:pPr>
              <w:ind w:left="20"/>
              <w:spacing w:after="0" w:line="128" w:lineRule="exact"/>
              <w:rPr>
                <w:sz w:val="20"/>
                <w:szCs w:val="20"/>
                <w:color w:val="auto"/>
              </w:rPr>
            </w:pPr>
            <w:r>
              <w:rPr>
                <w:rFonts w:ascii="Arial" w:cs="Arial" w:eastAsia="Arial" w:hAnsi="Arial"/>
                <w:sz w:val="13"/>
                <w:szCs w:val="13"/>
                <w:b w:val="1"/>
                <w:bCs w:val="1"/>
                <w:color w:val="auto"/>
              </w:rPr>
              <w:t>effective fee rate excluding</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40.7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41.6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41.2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42.1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8"/>
        </w:trPr>
        <w:tc>
          <w:tcPr>
            <w:tcW w:w="2500" w:type="dxa"/>
            <w:vAlign w:val="bottom"/>
          </w:tcPr>
          <w:p>
            <w:pPr>
              <w:ind w:left="20"/>
              <w:spacing w:after="0" w:line="149" w:lineRule="exact"/>
              <w:rPr>
                <w:sz w:val="20"/>
                <w:szCs w:val="20"/>
                <w:color w:val="auto"/>
              </w:rPr>
            </w:pPr>
            <w:r>
              <w:rPr>
                <w:rFonts w:ascii="Arial" w:cs="Arial" w:eastAsia="Arial" w:hAnsi="Arial"/>
                <w:sz w:val="13"/>
                <w:szCs w:val="13"/>
                <w:b w:val="1"/>
                <w:bCs w:val="1"/>
                <w:color w:val="auto"/>
              </w:rPr>
              <w:t>performance-based fees (bps)</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20" w:hanging="115"/>
        <w:spacing w:after="0"/>
        <w:tabs>
          <w:tab w:leader="none" w:pos="120" w:val="left"/>
        </w:tabs>
        <w:numPr>
          <w:ilvl w:val="0"/>
          <w:numId w:val="12"/>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n/m - The percentage change is not meaningful.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28" w:name="page29"/>
    <w:bookmarkEnd w:id="28"/>
    <w:p>
      <w:pPr>
        <w:ind w:right="120"/>
        <w:spacing w:after="0" w:line="262" w:lineRule="auto"/>
        <w:rPr>
          <w:sz w:val="20"/>
          <w:szCs w:val="20"/>
          <w:color w:val="auto"/>
        </w:rPr>
      </w:pPr>
      <w:r>
        <w:rPr>
          <w:rFonts w:ascii="Arial" w:cs="Arial" w:eastAsia="Arial" w:hAnsi="Arial"/>
          <w:sz w:val="14"/>
          <w:szCs w:val="14"/>
          <w:i w:val="1"/>
          <w:iCs w:val="1"/>
          <w:u w:val="single" w:color="auto"/>
          <w:color w:val="auto"/>
        </w:rPr>
        <w:t>Investment advisory fees</w:t>
      </w:r>
      <w:r>
        <w:rPr>
          <w:rFonts w:ascii="Arial" w:cs="Arial" w:eastAsia="Arial" w:hAnsi="Arial"/>
          <w:sz w:val="14"/>
          <w:szCs w:val="14"/>
          <w:i w:val="1"/>
          <w:iCs w:val="1"/>
          <w:color w:val="auto"/>
        </w:rPr>
        <w:t xml:space="preserve"> </w:t>
      </w:r>
      <w:r>
        <w:rPr>
          <w:rFonts w:ascii="Arial" w:cs="Arial" w:eastAsia="Arial" w:hAnsi="Arial"/>
          <w:sz w:val="14"/>
          <w:szCs w:val="14"/>
          <w:color w:val="auto"/>
        </w:rPr>
        <w:t>in the third quarter of 2024 increased 11.5% over the comparable 2023 quarter as average assets under management increased $195.9 billion or 14.1%,</w:t>
      </w:r>
      <w:r>
        <w:rPr>
          <w:rFonts w:ascii="Arial" w:cs="Arial" w:eastAsia="Arial" w:hAnsi="Arial"/>
          <w:sz w:val="14"/>
          <w:szCs w:val="14"/>
          <w:i w:val="1"/>
          <w:iCs w:val="1"/>
          <w:color w:val="auto"/>
        </w:rPr>
        <w:t xml:space="preserve"> </w:t>
      </w:r>
      <w:r>
        <w:rPr>
          <w:rFonts w:ascii="Arial" w:cs="Arial" w:eastAsia="Arial" w:hAnsi="Arial"/>
          <w:sz w:val="14"/>
          <w:szCs w:val="14"/>
          <w:color w:val="auto"/>
        </w:rPr>
        <w:t>to $1,589.5 billion. For the nine months ended September 30, 2024, investment advisory revenues increased 11.3% over the comparable 2023 period as average assets under management increased $178.0 billion, or 13.1%, to $1,536.2 billion. Investment advisory fees includes performance fees of $5.6 million and $40.0 million for the three- and nine-month periods ended September 30, 2024, respectively, compared to $2.1 million and $13.0 million in the same respective 2023 periods. Performance fees earned in 2024 and 2023 were primarily from equity and alternative products.</w:t>
      </w:r>
    </w:p>
    <w:p>
      <w:pPr>
        <w:spacing w:after="0" w:line="161"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The average annualized effective fee rate earned for the three- and nine-month periods ended September 30, 2024 declined from the comparable 2023 periods due to client flows and transfers creating a mix shift in assets under management toward lower fee products and asset classes. The 2024 year-to-date annualized effective fee rate was favorably impacted by higher performance based fees of about 0.2 basis points.</w:t>
      </w:r>
    </w:p>
    <w:p>
      <w:pPr>
        <w:spacing w:after="0" w:line="155" w:lineRule="exact"/>
        <w:rPr>
          <w:sz w:val="20"/>
          <w:szCs w:val="20"/>
          <w:color w:val="auto"/>
        </w:rPr>
      </w:pPr>
    </w:p>
    <w:p>
      <w:pPr>
        <w:spacing w:after="0" w:line="265" w:lineRule="auto"/>
        <w:rPr>
          <w:sz w:val="20"/>
          <w:szCs w:val="20"/>
          <w:color w:val="auto"/>
        </w:rPr>
      </w:pPr>
      <w:r>
        <w:rPr>
          <w:rFonts w:ascii="Arial" w:cs="Arial" w:eastAsia="Arial" w:hAnsi="Arial"/>
          <w:sz w:val="14"/>
          <w:szCs w:val="14"/>
          <w:i w:val="1"/>
          <w:iCs w:val="1"/>
          <w:u w:val="single" w:color="auto"/>
          <w:color w:val="auto"/>
        </w:rPr>
        <w:t>Capital allocation-based income</w:t>
      </w:r>
      <w:r>
        <w:rPr>
          <w:rFonts w:ascii="Arial" w:cs="Arial" w:eastAsia="Arial" w:hAnsi="Arial"/>
          <w:sz w:val="14"/>
          <w:szCs w:val="14"/>
          <w:i w:val="1"/>
          <w:iCs w:val="1"/>
          <w:color w:val="auto"/>
        </w:rPr>
        <w:t xml:space="preserve"> </w:t>
      </w:r>
      <w:r>
        <w:rPr>
          <w:rFonts w:ascii="Arial" w:cs="Arial" w:eastAsia="Arial" w:hAnsi="Arial"/>
          <w:sz w:val="14"/>
          <w:szCs w:val="14"/>
          <w:color w:val="auto"/>
        </w:rPr>
        <w:t>includes the change in accrued carried interest along with acquisition-related amortization and impairments. In the third quarter of 2024, the change</w:t>
      </w:r>
      <w:r>
        <w:rPr>
          <w:rFonts w:ascii="Arial" w:cs="Arial" w:eastAsia="Arial" w:hAnsi="Arial"/>
          <w:sz w:val="14"/>
          <w:szCs w:val="14"/>
          <w:i w:val="1"/>
          <w:iCs w:val="1"/>
          <w:color w:val="auto"/>
        </w:rPr>
        <w:t xml:space="preserve"> </w:t>
      </w:r>
      <w:r>
        <w:rPr>
          <w:rFonts w:ascii="Arial" w:cs="Arial" w:eastAsia="Arial" w:hAnsi="Arial"/>
          <w:sz w:val="14"/>
          <w:szCs w:val="14"/>
          <w:color w:val="auto"/>
        </w:rPr>
        <w:t>in accrued carried interest increased net revenues by $35.1 million compared to $91.9 million in the 2023 period. For the nine months ended September 30, 2024, the change in accrued carried interest increased net revenues by $51.8 million compared to $121.7 million for the 2023 period. The decrease in the change in accrued carried interest for both periods was due to lower relative performance. We also recognized higher acquisition-related amortization and impairment changes in the 2024 periods.</w:t>
      </w:r>
    </w:p>
    <w:p>
      <w:pPr>
        <w:spacing w:after="0" w:line="159"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A portion of the capital allocation-based income was passed through to certain associates as compensation and the related expense was recognized in compensation and related costs with the unpaid amount reported as non-controlling interest on the unaudited condensed consolidated balance sheet.</w:t>
      </w:r>
    </w:p>
    <w:p>
      <w:pPr>
        <w:spacing w:after="0" w:line="141"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i w:val="1"/>
          <w:iCs w:val="1"/>
          <w:u w:val="single" w:color="auto"/>
          <w:color w:val="auto"/>
        </w:rPr>
        <w:t>Administrative, distribution, and servicing fees</w:t>
      </w:r>
      <w:r>
        <w:rPr>
          <w:rFonts w:ascii="Arial" w:cs="Arial" w:eastAsia="Arial" w:hAnsi="Arial"/>
          <w:sz w:val="14"/>
          <w:szCs w:val="14"/>
          <w:i w:val="1"/>
          <w:iCs w:val="1"/>
          <w:color w:val="auto"/>
        </w:rPr>
        <w:t xml:space="preserve"> </w:t>
      </w:r>
      <w:r>
        <w:rPr>
          <w:rFonts w:ascii="Arial" w:cs="Arial" w:eastAsia="Arial" w:hAnsi="Arial"/>
          <w:sz w:val="14"/>
          <w:szCs w:val="14"/>
          <w:color w:val="auto"/>
        </w:rPr>
        <w:t>in the third quarter of 2024 were $ 148.1 million, an increase of $7.4 million, or 5.3%, from the comparable 2023 quarter. For the nine</w:t>
      </w:r>
      <w:r>
        <w:rPr>
          <w:rFonts w:ascii="Arial" w:cs="Arial" w:eastAsia="Arial" w:hAnsi="Arial"/>
          <w:sz w:val="14"/>
          <w:szCs w:val="14"/>
          <w:i w:val="1"/>
          <w:iCs w:val="1"/>
          <w:color w:val="auto"/>
        </w:rPr>
        <w:t xml:space="preserve"> </w:t>
      </w:r>
      <w:r>
        <w:rPr>
          <w:rFonts w:ascii="Arial" w:cs="Arial" w:eastAsia="Arial" w:hAnsi="Arial"/>
          <w:sz w:val="14"/>
          <w:szCs w:val="14"/>
          <w:color w:val="auto"/>
        </w:rPr>
        <w:t>months ended September 30, 2024, these fees were $444.8 million, an increase of $34.5 million, or 8.4%, from the 2023 period. The increases for both periods were primarily due to higher average assets on which we earn administrative revenue for non-discretionary advisory services. For the nine months ended September 30, 2024, higher retail transfer agent servicing activities provided to the T. Rowe Price mutual funds also contributed to the increase.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Our net revenues reflect the elimination of advisory and administrative fee revenue earned from our consolidated</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sponsored investment products. The corresponding expenses recognized by these products, and consolidated in our financial statements, were also eliminated from operating expenses. For the third quarter, we eliminated net revenue of $1.3 million in 2024 and $0.7 million in 2023. For the nine months ended September 30, we eliminated net revenue of $3.0 million in 2024 and $1.6 million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auto"/>
        </w:rPr>
        <w:t>Operating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940" w:type="dxa"/>
            <w:vAlign w:val="bottom"/>
            <w:tcBorders>
              <w:bottom w:val="single" w:sz="8" w:color="auto"/>
            </w:tcBorders>
            <w:gridSpan w:val="5"/>
            <w:shd w:val="clear" w:color="auto" w:fill="CCEEFF"/>
          </w:tcPr>
          <w:p>
            <w:pPr>
              <w:jc w:val="center"/>
              <w:ind w:right="20"/>
              <w:spacing w:after="0"/>
              <w:rPr>
                <w:sz w:val="20"/>
                <w:szCs w:val="20"/>
                <w:color w:val="auto"/>
              </w:rPr>
            </w:pPr>
            <w:r>
              <w:rPr>
                <w:rFonts w:ascii="Arial" w:cs="Arial" w:eastAsia="Arial" w:hAnsi="Arial"/>
                <w:sz w:val="11"/>
                <w:szCs w:val="11"/>
                <w:b w:val="1"/>
                <w:bCs w:val="1"/>
                <w:color w:val="auto"/>
              </w:rPr>
              <w:t>Three months ended</w:t>
            </w:r>
          </w:p>
        </w:tc>
        <w:tc>
          <w:tcPr>
            <w:tcW w:w="11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940" w:type="dxa"/>
            <w:vAlign w:val="bottom"/>
            <w:tcBorders>
              <w:bottom w:val="single" w:sz="8" w:color="auto"/>
            </w:tcBorders>
            <w:gridSpan w:val="5"/>
            <w:shd w:val="clear" w:color="auto" w:fill="CCEEFF"/>
          </w:tcPr>
          <w:p>
            <w:pPr>
              <w:ind w:left="420"/>
              <w:spacing w:after="0"/>
              <w:rPr>
                <w:sz w:val="20"/>
                <w:szCs w:val="20"/>
                <w:color w:val="auto"/>
              </w:rPr>
            </w:pPr>
            <w:r>
              <w:rPr>
                <w:rFonts w:ascii="Arial" w:cs="Arial" w:eastAsia="Arial" w:hAnsi="Arial"/>
                <w:sz w:val="11"/>
                <w:szCs w:val="11"/>
                <w:b w:val="1"/>
                <w:bCs w:val="1"/>
                <w:color w:val="auto"/>
              </w:rPr>
              <w:t>Nine months ended</w:t>
            </w:r>
          </w:p>
        </w:tc>
        <w:tc>
          <w:tcPr>
            <w:tcW w:w="11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46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160" w:type="dxa"/>
            <w:vAlign w:val="bottom"/>
          </w:tcPr>
          <w:p>
            <w:pPr>
              <w:spacing w:after="0"/>
              <w:rPr>
                <w:sz w:val="13"/>
                <w:szCs w:val="13"/>
                <w:color w:val="auto"/>
              </w:rPr>
            </w:pPr>
          </w:p>
        </w:tc>
        <w:tc>
          <w:tcPr>
            <w:tcW w:w="800" w:type="dxa"/>
            <w:vAlign w:val="bottom"/>
          </w:tcPr>
          <w:p>
            <w:pPr>
              <w:jc w:val="right"/>
              <w:ind w:right="157"/>
              <w:spacing w:after="0"/>
              <w:rPr>
                <w:sz w:val="20"/>
                <w:szCs w:val="20"/>
                <w:color w:val="auto"/>
              </w:rPr>
            </w:pPr>
            <w:r>
              <w:rPr>
                <w:rFonts w:ascii="Arial" w:cs="Arial" w:eastAsia="Arial" w:hAnsi="Arial"/>
                <w:sz w:val="11"/>
                <w:szCs w:val="11"/>
                <w:b w:val="1"/>
                <w:bCs w:val="1"/>
                <w:color w:val="auto"/>
              </w:rPr>
              <w:t>9/30/2024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1"/>
                <w:szCs w:val="11"/>
                <w:b w:val="1"/>
                <w:bCs w:val="1"/>
                <w:color w:val="auto"/>
              </w:rPr>
              <w:t>9/30/2023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 change</w:t>
            </w:r>
          </w:p>
        </w:tc>
        <w:tc>
          <w:tcPr>
            <w:tcW w:w="1280" w:type="dxa"/>
            <w:vAlign w:val="bottom"/>
            <w:tcBorders>
              <w:right w:val="single" w:sz="8" w:color="auto"/>
            </w:tcBorders>
            <w:gridSpan w:val="2"/>
          </w:tcPr>
          <w:p>
            <w:pPr>
              <w:ind w:left="280"/>
              <w:spacing w:after="0" w:line="150" w:lineRule="exact"/>
              <w:rPr>
                <w:sz w:val="20"/>
                <w:szCs w:val="20"/>
                <w:color w:val="auto"/>
              </w:rPr>
            </w:pPr>
            <w:r>
              <w:rPr>
                <w:rFonts w:ascii="Arial" w:cs="Arial" w:eastAsia="Arial" w:hAnsi="Arial"/>
                <w:sz w:val="11"/>
                <w:szCs w:val="11"/>
                <w:b w:val="1"/>
                <w:bCs w:val="1"/>
                <w:color w:val="auto"/>
              </w:rPr>
              <w:t>% change</w:t>
            </w:r>
            <w:r>
              <w:rPr>
                <w:rFonts w:ascii="Arial" w:cs="Arial" w:eastAsia="Arial" w:hAnsi="Arial"/>
                <w:sz w:val="14"/>
                <w:szCs w:val="14"/>
                <w:b w:val="1"/>
                <w:bCs w:val="1"/>
                <w:color w:val="auto"/>
                <w:vertAlign w:val="superscript"/>
              </w:rPr>
              <w:t>(1)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57"/>
              <w:spacing w:after="0"/>
              <w:rPr>
                <w:sz w:val="20"/>
                <w:szCs w:val="20"/>
                <w:color w:val="auto"/>
              </w:rPr>
            </w:pPr>
            <w:r>
              <w:rPr>
                <w:rFonts w:ascii="Arial" w:cs="Arial" w:eastAsia="Arial" w:hAnsi="Arial"/>
                <w:sz w:val="11"/>
                <w:szCs w:val="11"/>
                <w:b w:val="1"/>
                <w:bCs w:val="1"/>
                <w:color w:val="auto"/>
              </w:rPr>
              <w:t>9/30/2024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77"/>
              <w:spacing w:after="0"/>
              <w:rPr>
                <w:sz w:val="20"/>
                <w:szCs w:val="20"/>
                <w:color w:val="auto"/>
              </w:rPr>
            </w:pPr>
            <w:r>
              <w:rPr>
                <w:rFonts w:ascii="Arial" w:cs="Arial" w:eastAsia="Arial" w:hAnsi="Arial"/>
                <w:sz w:val="11"/>
                <w:szCs w:val="11"/>
                <w:b w:val="1"/>
                <w:bCs w:val="1"/>
                <w:color w:val="auto"/>
              </w:rPr>
              <w:t>9/30/2023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 change</w:t>
            </w:r>
          </w:p>
        </w:tc>
        <w:tc>
          <w:tcPr>
            <w:tcW w:w="1180" w:type="dxa"/>
            <w:vAlign w:val="bottom"/>
          </w:tcPr>
          <w:p>
            <w:pPr>
              <w:jc w:val="right"/>
              <w:ind w:right="217"/>
              <w:spacing w:after="0" w:line="150" w:lineRule="exact"/>
              <w:rPr>
                <w:sz w:val="20"/>
                <w:szCs w:val="20"/>
                <w:color w:val="auto"/>
              </w:rPr>
            </w:pPr>
            <w:r>
              <w:rPr>
                <w:rFonts w:ascii="Arial" w:cs="Arial" w:eastAsia="Arial" w:hAnsi="Arial"/>
                <w:sz w:val="11"/>
                <w:szCs w:val="11"/>
                <w:b w:val="1"/>
                <w:bCs w:val="1"/>
                <w:color w:val="auto"/>
              </w:rPr>
              <w:t>% change</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60"/>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Compensation, benefits and related costs</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632.9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617.0</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8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2.6 %</w:t>
            </w: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1,898.0</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1,801.3</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96.7</w:t>
            </w:r>
          </w:p>
        </w:tc>
        <w:tc>
          <w:tcPr>
            <w:tcW w:w="1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5.4 %</w:t>
            </w:r>
          </w:p>
        </w:tc>
        <w:tc>
          <w:tcPr>
            <w:tcW w:w="0" w:type="dxa"/>
            <w:vAlign w:val="bottom"/>
          </w:tcPr>
          <w:p>
            <w:pPr>
              <w:spacing w:after="0"/>
              <w:rPr>
                <w:sz w:val="1"/>
                <w:szCs w:val="1"/>
                <w:color w:val="auto"/>
              </w:rPr>
            </w:pPr>
          </w:p>
        </w:tc>
      </w:tr>
      <w:tr>
        <w:trPr>
          <w:trHeight w:val="169"/>
        </w:trPr>
        <w:tc>
          <w:tcPr>
            <w:tcW w:w="2460" w:type="dxa"/>
            <w:vAlign w:val="bottom"/>
          </w:tcPr>
          <w:p>
            <w:pPr>
              <w:ind w:left="20"/>
              <w:spacing w:after="0"/>
              <w:rPr>
                <w:sz w:val="20"/>
                <w:szCs w:val="20"/>
                <w:color w:val="auto"/>
              </w:rPr>
            </w:pPr>
            <w:r>
              <w:rPr>
                <w:rFonts w:ascii="Arial" w:cs="Arial" w:eastAsia="Arial" w:hAnsi="Arial"/>
                <w:sz w:val="13"/>
                <w:szCs w:val="13"/>
                <w:color w:val="auto"/>
              </w:rPr>
              <w:t>Acquisition-related retention agreements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(70.8)%</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(26.3)%</w:t>
            </w:r>
          </w:p>
        </w:tc>
        <w:tc>
          <w:tcPr>
            <w:tcW w:w="0" w:type="dxa"/>
            <w:vAlign w:val="bottom"/>
          </w:tcPr>
          <w:p>
            <w:pPr>
              <w:spacing w:after="0"/>
              <w:rPr>
                <w:sz w:val="1"/>
                <w:szCs w:val="1"/>
                <w:color w:val="auto"/>
              </w:rPr>
            </w:pPr>
          </w:p>
        </w:tc>
      </w:tr>
      <w:tr>
        <w:trPr>
          <w:trHeight w:val="129"/>
        </w:trPr>
        <w:tc>
          <w:tcPr>
            <w:tcW w:w="24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Capital allocation-based income</w:t>
            </w: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80" w:type="dxa"/>
            <w:vAlign w:val="bottom"/>
            <w:shd w:val="clear" w:color="auto" w:fill="CCEEFF"/>
          </w:tcPr>
          <w:p>
            <w:pPr>
              <w:spacing w:after="0"/>
              <w:rPr>
                <w:sz w:val="11"/>
                <w:szCs w:val="11"/>
                <w:color w:val="auto"/>
              </w:rPr>
            </w:pPr>
          </w:p>
        </w:tc>
        <w:tc>
          <w:tcPr>
            <w:tcW w:w="1280" w:type="dxa"/>
            <w:vAlign w:val="bottom"/>
            <w:tcBorders>
              <w:right w:val="single" w:sz="8" w:color="auto"/>
            </w:tcBorders>
            <w:gridSpan w:val="2"/>
            <w:vMerge w:val="restart"/>
            <w:shd w:val="clear" w:color="auto" w:fill="CCEEFF"/>
          </w:tcPr>
          <w:p>
            <w:pPr>
              <w:ind w:left="940"/>
              <w:spacing w:after="0"/>
              <w:rPr>
                <w:sz w:val="20"/>
                <w:szCs w:val="20"/>
                <w:color w:val="auto"/>
              </w:rPr>
            </w:pPr>
            <w:r>
              <w:rPr>
                <w:rFonts w:ascii="Arial" w:cs="Arial" w:eastAsia="Arial" w:hAnsi="Arial"/>
                <w:sz w:val="13"/>
                <w:szCs w:val="13"/>
                <w:color w:val="auto"/>
              </w:rPr>
              <w:t>n/m</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1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70"/>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compensation</w:t>
            </w:r>
          </w:p>
        </w:tc>
        <w:tc>
          <w:tcPr>
            <w:tcW w:w="1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60" w:type="dxa"/>
            <w:vAlign w:val="bottom"/>
          </w:tcPr>
          <w:p>
            <w:pPr>
              <w:ind w:left="20"/>
              <w:spacing w:after="0"/>
              <w:rPr>
                <w:sz w:val="20"/>
                <w:szCs w:val="20"/>
                <w:color w:val="auto"/>
              </w:rPr>
            </w:pPr>
            <w:r>
              <w:rPr>
                <w:rFonts w:ascii="Arial" w:cs="Arial" w:eastAsia="Arial" w:hAnsi="Arial"/>
                <w:sz w:val="13"/>
                <w:szCs w:val="13"/>
                <w:color w:val="auto"/>
              </w:rPr>
              <w:t>Supplemental savings plan</w:t>
            </w:r>
            <w:r>
              <w:rPr>
                <w:rFonts w:ascii="Arial" w:cs="Arial" w:eastAsia="Arial" w:hAnsi="Arial"/>
                <w:sz w:val="7"/>
                <w:szCs w:val="7"/>
                <w:color w:val="auto"/>
              </w:rPr>
              <w:t>(2)</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57.6</w:t>
            </w:r>
          </w:p>
        </w:tc>
        <w:tc>
          <w:tcPr>
            <w:tcW w:w="80" w:type="dxa"/>
            <w:vAlign w:val="bottom"/>
          </w:tcPr>
          <w:p>
            <w:pPr>
              <w:spacing w:after="0"/>
              <w:rPr>
                <w:sz w:val="14"/>
                <w:szCs w:val="14"/>
                <w:color w:val="auto"/>
              </w:rPr>
            </w:pPr>
          </w:p>
        </w:tc>
        <w:tc>
          <w:tcPr>
            <w:tcW w:w="1280" w:type="dxa"/>
            <w:vAlign w:val="bottom"/>
            <w:tcBorders>
              <w:right w:val="single" w:sz="8" w:color="auto"/>
            </w:tcBorders>
            <w:gridSpan w:val="2"/>
          </w:tcPr>
          <w:p>
            <w:pPr>
              <w:ind w:left="940"/>
              <w:spacing w:after="0"/>
              <w:rPr>
                <w:sz w:val="20"/>
                <w:szCs w:val="20"/>
                <w:color w:val="auto"/>
              </w:rPr>
            </w:pPr>
            <w:r>
              <w:rPr>
                <w:rFonts w:ascii="Arial" w:cs="Arial" w:eastAsia="Arial" w:hAnsi="Arial"/>
                <w:sz w:val="13"/>
                <w:szCs w:val="13"/>
                <w:color w:val="auto"/>
              </w:rPr>
              <w:t>n/m</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49.7</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2"/>
        </w:trPr>
        <w:tc>
          <w:tcPr>
            <w:tcW w:w="24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Total compensation and related costs</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678.3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636.4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41.9</w:t>
            </w:r>
          </w:p>
        </w:tc>
        <w:tc>
          <w:tcPr>
            <w:tcW w:w="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6.6 %</w:t>
            </w: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2,048.4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1,938.1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110.3</w:t>
            </w: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5.7 %</w:t>
            </w:r>
          </w:p>
        </w:tc>
        <w:tc>
          <w:tcPr>
            <w:tcW w:w="0" w:type="dxa"/>
            <w:vAlign w:val="bottom"/>
          </w:tcPr>
          <w:p>
            <w:pPr>
              <w:spacing w:after="0"/>
              <w:rPr>
                <w:sz w:val="1"/>
                <w:szCs w:val="1"/>
                <w:color w:val="auto"/>
              </w:rPr>
            </w:pPr>
          </w:p>
        </w:tc>
      </w:tr>
      <w:tr>
        <w:trPr>
          <w:trHeight w:val="159"/>
        </w:trPr>
        <w:tc>
          <w:tcPr>
            <w:tcW w:w="2460" w:type="dxa"/>
            <w:vAlign w:val="bottom"/>
          </w:tcPr>
          <w:p>
            <w:pPr>
              <w:ind w:left="20"/>
              <w:spacing w:after="0"/>
              <w:rPr>
                <w:sz w:val="20"/>
                <w:szCs w:val="20"/>
                <w:color w:val="auto"/>
              </w:rPr>
            </w:pPr>
            <w:r>
              <w:rPr>
                <w:rFonts w:ascii="Arial" w:cs="Arial" w:eastAsia="Arial" w:hAnsi="Arial"/>
                <w:sz w:val="13"/>
                <w:szCs w:val="13"/>
                <w:color w:val="auto"/>
              </w:rPr>
              <w:t>Distribution and servicing</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91.6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74.9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16.7</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22.3 %</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261.2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47.0</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21.9 %</w:t>
            </w: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Advertising and promotion</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13.8 %</w:t>
            </w:r>
          </w:p>
        </w:tc>
        <w:tc>
          <w:tcPr>
            <w:tcW w:w="0" w:type="dxa"/>
            <w:vAlign w:val="bottom"/>
          </w:tcPr>
          <w:p>
            <w:pPr>
              <w:spacing w:after="0"/>
              <w:rPr>
                <w:sz w:val="1"/>
                <w:szCs w:val="1"/>
                <w:color w:val="auto"/>
              </w:rPr>
            </w:pPr>
          </w:p>
        </w:tc>
      </w:tr>
      <w:tr>
        <w:trPr>
          <w:trHeight w:val="169"/>
        </w:trPr>
        <w:tc>
          <w:tcPr>
            <w:tcW w:w="2460" w:type="dxa"/>
            <w:vAlign w:val="bottom"/>
          </w:tcPr>
          <w:p>
            <w:pPr>
              <w:ind w:left="20"/>
              <w:spacing w:after="0"/>
              <w:rPr>
                <w:sz w:val="20"/>
                <w:szCs w:val="20"/>
                <w:color w:val="auto"/>
              </w:rPr>
            </w:pPr>
            <w:r>
              <w:rPr>
                <w:rFonts w:ascii="Arial" w:cs="Arial" w:eastAsia="Arial" w:hAnsi="Arial"/>
                <w:sz w:val="13"/>
                <w:szCs w:val="13"/>
                <w:color w:val="auto"/>
              </w:rPr>
              <w:t>Product and recordkeeping related costs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2.6 %</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222.9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Technology, occupancy, and facility costs</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2.7 %</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3.0 %</w:t>
            </w:r>
          </w:p>
        </w:tc>
        <w:tc>
          <w:tcPr>
            <w:tcW w:w="0" w:type="dxa"/>
            <w:vAlign w:val="bottom"/>
          </w:tcPr>
          <w:p>
            <w:pPr>
              <w:spacing w:after="0"/>
              <w:rPr>
                <w:sz w:val="1"/>
                <w:szCs w:val="1"/>
                <w:color w:val="auto"/>
              </w:rPr>
            </w:pPr>
          </w:p>
        </w:tc>
      </w:tr>
      <w:tr>
        <w:trPr>
          <w:trHeight w:val="169"/>
        </w:trPr>
        <w:tc>
          <w:tcPr>
            <w:tcW w:w="2460" w:type="dxa"/>
            <w:vAlign w:val="bottom"/>
          </w:tcPr>
          <w:p>
            <w:pPr>
              <w:ind w:left="20"/>
              <w:spacing w:after="0"/>
              <w:rPr>
                <w:sz w:val="20"/>
                <w:szCs w:val="20"/>
                <w:color w:val="auto"/>
              </w:rPr>
            </w:pPr>
            <w:r>
              <w:rPr>
                <w:rFonts w:ascii="Arial" w:cs="Arial" w:eastAsia="Arial" w:hAnsi="Arial"/>
                <w:sz w:val="13"/>
                <w:szCs w:val="13"/>
                <w:color w:val="auto"/>
              </w:rPr>
              <w:t>General, administrative, and other</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104.2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85.7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18.5</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21.6 %</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293.2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4.2 %</w:t>
            </w:r>
          </w:p>
        </w:tc>
        <w:tc>
          <w:tcPr>
            <w:tcW w:w="0" w:type="dxa"/>
            <w:vAlign w:val="bottom"/>
          </w:tcPr>
          <w:p>
            <w:pPr>
              <w:spacing w:after="0"/>
              <w:rPr>
                <w:sz w:val="1"/>
                <w:szCs w:val="1"/>
                <w:color w:val="auto"/>
              </w:rPr>
            </w:pPr>
          </w:p>
        </w:tc>
      </w:tr>
      <w:tr>
        <w:trPr>
          <w:trHeight w:val="129"/>
        </w:trPr>
        <w:tc>
          <w:tcPr>
            <w:tcW w:w="24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Change in fair value of contingent</w:t>
            </w: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80" w:type="dxa"/>
            <w:vAlign w:val="bottom"/>
            <w:shd w:val="clear" w:color="auto" w:fill="CCEEFF"/>
          </w:tcPr>
          <w:p>
            <w:pPr>
              <w:spacing w:after="0"/>
              <w:rPr>
                <w:sz w:val="11"/>
                <w:szCs w:val="11"/>
                <w:color w:val="auto"/>
              </w:rPr>
            </w:pPr>
          </w:p>
        </w:tc>
        <w:tc>
          <w:tcPr>
            <w:tcW w:w="1280" w:type="dxa"/>
            <w:vAlign w:val="bottom"/>
            <w:tcBorders>
              <w:right w:val="single" w:sz="8" w:color="auto"/>
            </w:tcBorders>
            <w:gridSpan w:val="2"/>
            <w:vMerge w:val="restart"/>
            <w:shd w:val="clear" w:color="auto" w:fill="CCEEFF"/>
          </w:tcPr>
          <w:p>
            <w:pPr>
              <w:ind w:left="940"/>
              <w:spacing w:after="0"/>
              <w:rPr>
                <w:sz w:val="20"/>
                <w:szCs w:val="20"/>
                <w:color w:val="auto"/>
              </w:rPr>
            </w:pPr>
            <w:r>
              <w:rPr>
                <w:rFonts w:ascii="Arial" w:cs="Arial" w:eastAsia="Arial" w:hAnsi="Arial"/>
                <w:sz w:val="13"/>
                <w:szCs w:val="13"/>
                <w:color w:val="auto"/>
              </w:rPr>
              <w:t>n/m</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59.4</w:t>
            </w:r>
          </w:p>
        </w:tc>
        <w:tc>
          <w:tcPr>
            <w:tcW w:w="1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(81.6)%</w:t>
            </w:r>
          </w:p>
        </w:tc>
        <w:tc>
          <w:tcPr>
            <w:tcW w:w="0" w:type="dxa"/>
            <w:vAlign w:val="bottom"/>
          </w:tcPr>
          <w:p>
            <w:pPr>
              <w:spacing w:after="0"/>
              <w:rPr>
                <w:sz w:val="1"/>
                <w:szCs w:val="1"/>
                <w:color w:val="auto"/>
              </w:rPr>
            </w:pPr>
          </w:p>
        </w:tc>
      </w:tr>
      <w:tr>
        <w:trPr>
          <w:trHeight w:val="170"/>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consideration</w:t>
            </w:r>
          </w:p>
        </w:tc>
        <w:tc>
          <w:tcPr>
            <w:tcW w:w="1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460" w:type="dxa"/>
            <w:vAlign w:val="bottom"/>
          </w:tcPr>
          <w:p>
            <w:pPr>
              <w:ind w:left="20"/>
              <w:spacing w:after="0" w:line="128" w:lineRule="exact"/>
              <w:rPr>
                <w:sz w:val="20"/>
                <w:szCs w:val="20"/>
                <w:color w:val="auto"/>
              </w:rPr>
            </w:pPr>
            <w:r>
              <w:rPr>
                <w:rFonts w:ascii="Arial" w:cs="Arial" w:eastAsia="Arial" w:hAnsi="Arial"/>
                <w:sz w:val="13"/>
                <w:szCs w:val="13"/>
                <w:color w:val="auto"/>
              </w:rPr>
              <w:t>Acquisition-related amortization and</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51.5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38.5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13.0</w:t>
            </w:r>
          </w:p>
        </w:tc>
        <w:tc>
          <w:tcPr>
            <w:tcW w:w="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33.8 %</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125.3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93.1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32.2</w:t>
            </w:r>
          </w:p>
        </w:tc>
        <w:tc>
          <w:tcPr>
            <w:tcW w:w="1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34.6 %</w:t>
            </w:r>
          </w:p>
        </w:tc>
        <w:tc>
          <w:tcPr>
            <w:tcW w:w="0" w:type="dxa"/>
            <w:vAlign w:val="bottom"/>
          </w:tcPr>
          <w:p>
            <w:pPr>
              <w:spacing w:after="0"/>
              <w:rPr>
                <w:sz w:val="1"/>
                <w:szCs w:val="1"/>
                <w:color w:val="auto"/>
              </w:rPr>
            </w:pPr>
          </w:p>
        </w:tc>
      </w:tr>
      <w:tr>
        <w:trPr>
          <w:trHeight w:val="168"/>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impairment costs</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operating expenses</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1,172.0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1,089.4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82.6</w:t>
            </w:r>
          </w:p>
        </w:tc>
        <w:tc>
          <w:tcPr>
            <w:tcW w:w="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7.6 %</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3,504.2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3,219.5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284.7</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120" w:hanging="115"/>
        <w:spacing w:after="0"/>
        <w:tabs>
          <w:tab w:leader="none" w:pos="120" w:val="left"/>
        </w:tabs>
        <w:numPr>
          <w:ilvl w:val="0"/>
          <w:numId w:val="13"/>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n/m - The percentage change is not meaningful.</w:t>
      </w:r>
    </w:p>
    <w:p>
      <w:pPr>
        <w:spacing w:after="0"/>
        <w:rPr>
          <w:sz w:val="20"/>
          <w:szCs w:val="20"/>
          <w:color w:val="auto"/>
        </w:rPr>
      </w:pPr>
      <w:r>
        <w:rPr>
          <w:rFonts w:ascii="Arial" w:cs="Arial" w:eastAsia="Arial" w:hAnsi="Arial"/>
          <w:sz w:val="7"/>
          <w:szCs w:val="7"/>
          <w:i w:val="1"/>
          <w:iCs w:val="1"/>
          <w:color w:val="auto"/>
        </w:rPr>
        <w:t>(2)</w:t>
      </w:r>
      <w:r>
        <w:rPr>
          <w:rFonts w:ascii="Arial" w:cs="Arial" w:eastAsia="Arial" w:hAnsi="Arial"/>
          <w:sz w:val="11"/>
          <w:szCs w:val="11"/>
          <w:i w:val="1"/>
          <w:iCs w:val="1"/>
          <w:color w:val="auto"/>
        </w:rPr>
        <w:t>The impact of the market on the supplemental savings plan liability drives the expense recognized each period.</w:t>
      </w:r>
    </w:p>
    <w:p>
      <w:pPr>
        <w:spacing w:after="0" w:line="184"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i w:val="1"/>
          <w:iCs w:val="1"/>
          <w:u w:val="single" w:color="auto"/>
          <w:color w:val="auto"/>
        </w:rPr>
        <w:t>Compensation, benefits, and related costs</w:t>
      </w:r>
      <w:r>
        <w:rPr>
          <w:rFonts w:ascii="Arial" w:cs="Arial" w:eastAsia="Arial" w:hAnsi="Arial"/>
          <w:sz w:val="14"/>
          <w:szCs w:val="14"/>
          <w:i w:val="1"/>
          <w:iCs w:val="1"/>
          <w:color w:val="auto"/>
        </w:rPr>
        <w:t xml:space="preserve"> </w:t>
      </w:r>
      <w:r>
        <w:rPr>
          <w:rFonts w:ascii="Arial" w:cs="Arial" w:eastAsia="Arial" w:hAnsi="Arial"/>
          <w:sz w:val="14"/>
          <w:szCs w:val="14"/>
          <w:color w:val="auto"/>
        </w:rPr>
        <w:t>were $632.9 million in the third quarter of 2024, an increase of $15.9 million, or 2.6%, compared to the 2023 quarter. For the nine months</w:t>
      </w:r>
      <w:r>
        <w:rPr>
          <w:rFonts w:ascii="Arial" w:cs="Arial" w:eastAsia="Arial" w:hAnsi="Arial"/>
          <w:sz w:val="14"/>
          <w:szCs w:val="14"/>
          <w:i w:val="1"/>
          <w:iCs w:val="1"/>
          <w:color w:val="auto"/>
        </w:rPr>
        <w:t xml:space="preserve"> </w:t>
      </w:r>
      <w:r>
        <w:rPr>
          <w:rFonts w:ascii="Arial" w:cs="Arial" w:eastAsia="Arial" w:hAnsi="Arial"/>
          <w:sz w:val="14"/>
          <w:szCs w:val="14"/>
          <w:color w:val="auto"/>
        </w:rPr>
        <w:t>ended September 30, 2024, these costs were $1,898.0 million, an increase of $96.7 million, or 5.4%, compared to the 2023 period. The increases in both periods were primarily due to a higher interim bonus accrual, and higher salaries and related benefits, as base salary modestly increased in January 2024 and we increased our headcount. These increases were partially offset by higher labor capitalization and lower stock-based compensation compared to the 2023 periods. The 2023 periods included severance costs related to the July 2023 workforce action.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firm employed 8,104 associates at September 30, 2024, an increase of 2.5% from the end of 2023 and an increase of 3.3% from September 30, 2023.</w:t>
      </w:r>
    </w:p>
    <w:p>
      <w:pPr>
        <w:spacing w:after="0" w:line="200" w:lineRule="exact"/>
        <w:rPr>
          <w:sz w:val="20"/>
          <w:szCs w:val="20"/>
          <w:color w:val="auto"/>
        </w:rPr>
      </w:pPr>
    </w:p>
    <w:p>
      <w:pPr>
        <w:jc w:val="both"/>
        <w:ind w:right="220"/>
        <w:spacing w:after="0" w:line="271" w:lineRule="auto"/>
        <w:rPr>
          <w:sz w:val="20"/>
          <w:szCs w:val="20"/>
          <w:color w:val="auto"/>
        </w:rPr>
      </w:pPr>
      <w:r>
        <w:rPr>
          <w:rFonts w:ascii="Arial" w:cs="Arial" w:eastAsia="Arial" w:hAnsi="Arial"/>
          <w:sz w:val="14"/>
          <w:szCs w:val="14"/>
          <w:i w:val="1"/>
          <w:iCs w:val="1"/>
          <w:u w:val="single" w:color="auto"/>
          <w:color w:val="auto"/>
        </w:rPr>
        <w:t>Distribution and servicing costs</w:t>
      </w:r>
      <w:r>
        <w:rPr>
          <w:rFonts w:ascii="Arial" w:cs="Arial" w:eastAsia="Arial" w:hAnsi="Arial"/>
          <w:sz w:val="14"/>
          <w:szCs w:val="14"/>
          <w:i w:val="1"/>
          <w:iCs w:val="1"/>
          <w:color w:val="auto"/>
        </w:rPr>
        <w:t xml:space="preserve"> </w:t>
      </w:r>
      <w:r>
        <w:rPr>
          <w:rFonts w:ascii="Arial" w:cs="Arial" w:eastAsia="Arial" w:hAnsi="Arial"/>
          <w:sz w:val="14"/>
          <w:szCs w:val="14"/>
          <w:color w:val="auto"/>
        </w:rPr>
        <w:t>were $91.6 million for the third quarter of 2024, an increase of $16.7 million, or 22.3%, from $74.9 million recognized in the 2023 quarter.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nine months ended September 30, 2024, these costs were $261.2 million, an increase of 21.9%, from $214.2 million recognized in the comparable 2023 period. The increases in both periods were primarily driven by higher average assets under management distributed through intermediaries.</w:t>
      </w:r>
    </w:p>
    <w:p>
      <w:pPr>
        <w:spacing w:after="0" w:line="155"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The costs in this expense category primarily include amounts paid to third-party intermediaries that source the assets of certain share classes of our U.S. mutual funds, ETFs and our international products, such as our Japanese ITMs and SICAVs. These costs were offset entirely by the distribution revenue we earn and report in net revenues: 12b-1 revenue is recognized in administrative, distribution, and servicing fees for the Advisor and R share classes of the U.S. mutual funds and investment advisory fee revenue for our international products and ETFs.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Advertising and promotion costs</w:t>
      </w:r>
      <w:r>
        <w:rPr>
          <w:rFonts w:ascii="Arial" w:cs="Arial" w:eastAsia="Arial" w:hAnsi="Arial"/>
          <w:sz w:val="14"/>
          <w:szCs w:val="14"/>
          <w:i w:val="1"/>
          <w:iCs w:val="1"/>
          <w:color w:val="auto"/>
        </w:rPr>
        <w:t xml:space="preserve"> </w:t>
      </w:r>
      <w:r>
        <w:rPr>
          <w:rFonts w:ascii="Arial" w:cs="Arial" w:eastAsia="Arial" w:hAnsi="Arial"/>
          <w:sz w:val="14"/>
          <w:szCs w:val="14"/>
          <w:color w:val="auto"/>
        </w:rPr>
        <w:t>were $20.8 million in the third quarter of 2024, a decrease of $0.3 million, or 1.4%, compared to the $21.1 million recognized in the 2023 quarter.</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For the nine months ended September 30, 2024, these costs were $79.4 million, an increase of $9.6 million, or 13.8%, compared to the 2023 period.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September 30, 2024, the increase was primarily driven by higher media spend and increased investment in our brand.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0" w:name="page31"/>
    <w:bookmarkEnd w:id="30"/>
    <w:p>
      <w:pPr>
        <w:ind w:right="220"/>
        <w:spacing w:after="0" w:line="262" w:lineRule="auto"/>
        <w:rPr>
          <w:sz w:val="20"/>
          <w:szCs w:val="20"/>
          <w:color w:val="auto"/>
        </w:rPr>
      </w:pPr>
      <w:r>
        <w:rPr>
          <w:rFonts w:ascii="Arial" w:cs="Arial" w:eastAsia="Arial" w:hAnsi="Arial"/>
          <w:sz w:val="14"/>
          <w:szCs w:val="14"/>
          <w:i w:val="1"/>
          <w:iCs w:val="1"/>
          <w:u w:val="single" w:color="auto"/>
          <w:color w:val="auto"/>
        </w:rPr>
        <w:t>Technology, occupancy, and facility costs</w:t>
      </w:r>
      <w:r>
        <w:rPr>
          <w:rFonts w:ascii="Arial" w:cs="Arial" w:eastAsia="Arial" w:hAnsi="Arial"/>
          <w:sz w:val="14"/>
          <w:szCs w:val="14"/>
          <w:i w:val="1"/>
          <w:iCs w:val="1"/>
          <w:color w:val="auto"/>
        </w:rPr>
        <w:t xml:space="preserve"> </w:t>
      </w:r>
      <w:r>
        <w:rPr>
          <w:rFonts w:ascii="Arial" w:cs="Arial" w:eastAsia="Arial" w:hAnsi="Arial"/>
          <w:sz w:val="14"/>
          <w:szCs w:val="14"/>
          <w:color w:val="auto"/>
        </w:rPr>
        <w:t>were $164.0 million in the third quarter of 2024, an increase of $4.3 million, or 2.7%, compared to the $ 159.7 million recognized in the</w:t>
      </w:r>
      <w:r>
        <w:rPr>
          <w:rFonts w:ascii="Arial" w:cs="Arial" w:eastAsia="Arial" w:hAnsi="Arial"/>
          <w:sz w:val="14"/>
          <w:szCs w:val="14"/>
          <w:i w:val="1"/>
          <w:iCs w:val="1"/>
          <w:color w:val="auto"/>
        </w:rPr>
        <w:t xml:space="preserve"> </w:t>
      </w:r>
      <w:r>
        <w:rPr>
          <w:rFonts w:ascii="Arial" w:cs="Arial" w:eastAsia="Arial" w:hAnsi="Arial"/>
          <w:sz w:val="14"/>
          <w:szCs w:val="14"/>
          <w:color w:val="auto"/>
        </w:rPr>
        <w:t>2023 quarter. For the nine months ended September 30, 2024, these costs were $474.8 million, an increase of $13.8 million, or 3.0%, compared with the 2023 period. The increases in both periods were primarily related to higher costs from the firm's ongoing investment in its technology capabilities, primarily hosted solution licenses. Specific to the nine months ended comparison, these increases were offset by lower office facility costs, as the 2023 period included the rent cost of two UK facilities until we occupied our new building in the second half of 2023, and the first quarter of 2024 included a non-recurring cost benefit related to the UK facility.</w:t>
      </w:r>
    </w:p>
    <w:p>
      <w:pPr>
        <w:spacing w:after="0" w:line="161"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i w:val="1"/>
          <w:iCs w:val="1"/>
          <w:u w:val="single" w:color="auto"/>
          <w:color w:val="auto"/>
        </w:rPr>
        <w:t>General, administrative, and other expenses</w:t>
      </w:r>
      <w:r>
        <w:rPr>
          <w:rFonts w:ascii="Arial" w:cs="Arial" w:eastAsia="Arial" w:hAnsi="Arial"/>
          <w:sz w:val="14"/>
          <w:szCs w:val="14"/>
          <w:i w:val="1"/>
          <w:iCs w:val="1"/>
          <w:color w:val="auto"/>
        </w:rPr>
        <w:t xml:space="preserve"> </w:t>
      </w:r>
      <w:r>
        <w:rPr>
          <w:rFonts w:ascii="Arial" w:cs="Arial" w:eastAsia="Arial" w:hAnsi="Arial"/>
          <w:sz w:val="14"/>
          <w:szCs w:val="14"/>
          <w:color w:val="auto"/>
        </w:rPr>
        <w:t>were $104.2 million in the third quarter of 2024, an increase of $18.5 million, or 21.6%, compared to the $85.7 million recognized in the</w:t>
      </w:r>
      <w:r>
        <w:rPr>
          <w:rFonts w:ascii="Arial" w:cs="Arial" w:eastAsia="Arial" w:hAnsi="Arial"/>
          <w:sz w:val="14"/>
          <w:szCs w:val="14"/>
          <w:i w:val="1"/>
          <w:iCs w:val="1"/>
          <w:color w:val="auto"/>
        </w:rPr>
        <w:t xml:space="preserve"> </w:t>
      </w:r>
      <w:r>
        <w:rPr>
          <w:rFonts w:ascii="Arial" w:cs="Arial" w:eastAsia="Arial" w:hAnsi="Arial"/>
          <w:sz w:val="14"/>
          <w:szCs w:val="14"/>
          <w:color w:val="auto"/>
        </w:rPr>
        <w:t>2023 quarter. For the nine months ended September 30, 2024, these costs were $305.5 million, an increase of $12.3 million, or 4.2%, compared with the 2023 period. The increases in both periods were primarily due to a cost recovery recognized in 2023 that didn't recur in 2024, higher professional fees, and higher travel and entertainment. These increases were partially offset by lower research fee expense as the firm changed its approach to paying for research, consistent with regulations and general industry practice.</w:t>
      </w:r>
    </w:p>
    <w:p>
      <w:pPr>
        <w:spacing w:after="0" w:line="159"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i w:val="1"/>
          <w:iCs w:val="1"/>
          <w:u w:val="single" w:color="auto"/>
          <w:color w:val="auto"/>
        </w:rPr>
        <w:t>Change in fair value of contingent consideration.</w:t>
      </w:r>
      <w:r>
        <w:rPr>
          <w:rFonts w:ascii="Arial" w:cs="Arial" w:eastAsia="Arial" w:hAnsi="Arial"/>
          <w:sz w:val="14"/>
          <w:szCs w:val="14"/>
          <w:i w:val="1"/>
          <w:iCs w:val="1"/>
          <w:color w:val="auto"/>
        </w:rPr>
        <w:t xml:space="preserve"> </w:t>
      </w:r>
      <w:r>
        <w:rPr>
          <w:rFonts w:ascii="Arial" w:cs="Arial" w:eastAsia="Arial" w:hAnsi="Arial"/>
          <w:sz w:val="14"/>
          <w:szCs w:val="14"/>
          <w:color w:val="auto"/>
        </w:rPr>
        <w:t>The contingent consideration represents the earnout arrangement related to our acquisition of OHA in which additional purchase</w:t>
      </w:r>
      <w:r>
        <w:rPr>
          <w:rFonts w:ascii="Arial" w:cs="Arial" w:eastAsia="Arial" w:hAnsi="Arial"/>
          <w:sz w:val="14"/>
          <w:szCs w:val="14"/>
          <w:i w:val="1"/>
          <w:iCs w:val="1"/>
          <w:color w:val="auto"/>
        </w:rPr>
        <w:t xml:space="preserve"> </w:t>
      </w:r>
      <w:r>
        <w:rPr>
          <w:rFonts w:ascii="Arial" w:cs="Arial" w:eastAsia="Arial" w:hAnsi="Arial"/>
          <w:sz w:val="14"/>
          <w:szCs w:val="14"/>
          <w:color w:val="auto"/>
        </w:rPr>
        <w:t>price may be due upon satisfying or exceeding certain defined revenue targets. Every reporting period, we record the potential amount due under this arrangement at fair value. For the three months ended September 30, 2024, we recognized a $ 13.4 million reduction in the liability in 2024 compared to no change in the 2023 period. During the nine months ended September 30, 2024 and 2023, we recognized reductions of the contingent consideration liability of $ 13.4 million and $72.8 million, respectively. Challenging market conditions have reduced revenue expectations below the defined revenue targets resulting in a reduction of the contingent consideration liability to zero as of September 30, 2024.</w:t>
      </w:r>
    </w:p>
    <w:p>
      <w:pPr>
        <w:spacing w:after="0" w:line="161" w:lineRule="exact"/>
        <w:rPr>
          <w:sz w:val="20"/>
          <w:szCs w:val="20"/>
          <w:color w:val="auto"/>
        </w:rPr>
      </w:pPr>
    </w:p>
    <w:p>
      <w:pPr>
        <w:spacing w:after="0" w:line="261" w:lineRule="auto"/>
        <w:rPr>
          <w:sz w:val="20"/>
          <w:szCs w:val="20"/>
          <w:color w:val="auto"/>
        </w:rPr>
      </w:pPr>
      <w:r>
        <w:rPr>
          <w:rFonts w:ascii="Arial" w:cs="Arial" w:eastAsia="Arial" w:hAnsi="Arial"/>
          <w:sz w:val="14"/>
          <w:szCs w:val="14"/>
          <w:i w:val="1"/>
          <w:iCs w:val="1"/>
          <w:u w:val="single" w:color="auto"/>
          <w:color w:val="auto"/>
        </w:rPr>
        <w:t>Acquisition-related amortization and impairment costs.</w:t>
      </w:r>
      <w:r>
        <w:rPr>
          <w:rFonts w:ascii="Arial" w:cs="Arial" w:eastAsia="Arial" w:hAnsi="Arial"/>
          <w:sz w:val="14"/>
          <w:szCs w:val="14"/>
          <w:i w:val="1"/>
          <w:iCs w:val="1"/>
          <w:color w:val="auto"/>
        </w:rPr>
        <w:t xml:space="preserve"> </w:t>
      </w:r>
      <w:r>
        <w:rPr>
          <w:rFonts w:ascii="Arial" w:cs="Arial" w:eastAsia="Arial" w:hAnsi="Arial"/>
          <w:sz w:val="14"/>
          <w:szCs w:val="14"/>
          <w:color w:val="auto"/>
        </w:rPr>
        <w:t>As part of the purchase accounting for our acquisitions, we identified and separately recognized, at fair value, certain</w:t>
      </w:r>
      <w:r>
        <w:rPr>
          <w:rFonts w:ascii="Arial" w:cs="Arial" w:eastAsia="Arial" w:hAnsi="Arial"/>
          <w:sz w:val="14"/>
          <w:szCs w:val="14"/>
          <w:i w:val="1"/>
          <w:iCs w:val="1"/>
          <w:color w:val="auto"/>
        </w:rPr>
        <w:t xml:space="preserve"> </w:t>
      </w:r>
      <w:r>
        <w:rPr>
          <w:rFonts w:ascii="Arial" w:cs="Arial" w:eastAsia="Arial" w:hAnsi="Arial"/>
          <w:sz w:val="14"/>
          <w:szCs w:val="14"/>
          <w:color w:val="auto"/>
        </w:rPr>
        <w:t>intangible assets. During the three- and nine-month periods ended September 30, 2024, we recognized $51.5 million and $125.3 million, respectively, in amortization and impairments related to the definite and indefinite-lived intangible assets. These amounts include impairment charges of $25.6 million and $59.7 million, respectively, recognized on certain definite and indefinite-lived intangibles as reduced growth expectations reduced their fair value. For the comparable 2023 periods, amortization and impairment costs were of $38.5 million and $93.1 million, respectively. Should conditions that led us to recognize the impairment charges deteriorate further, additional impairments may be recognized in future periods.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auto"/>
        </w:rPr>
        <w:t>Non-operating income (loss)</w:t>
      </w:r>
    </w:p>
    <w:p>
      <w:pPr>
        <w:spacing w:after="0" w:line="200"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Non-operating income for the third quarter of 2024 was $212.5 million compared to $2.8 million in the 2023 quarter. The following table details the components of non-operating income for both the three- and nine-month periods ended September 30, 2024 and 2023.</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340" w:type="dxa"/>
            <w:vAlign w:val="bottom"/>
            <w:gridSpan w:val="5"/>
            <w:shd w:val="clear" w:color="auto" w:fill="CCEEFF"/>
          </w:tcPr>
          <w:p>
            <w:pPr>
              <w:ind w:left="460"/>
              <w:spacing w:after="0"/>
              <w:rPr>
                <w:sz w:val="20"/>
                <w:szCs w:val="20"/>
                <w:color w:val="auto"/>
              </w:rPr>
            </w:pPr>
            <w:r>
              <w:rPr>
                <w:rFonts w:ascii="Arial" w:cs="Arial" w:eastAsia="Arial" w:hAnsi="Arial"/>
                <w:sz w:val="11"/>
                <w:szCs w:val="11"/>
                <w:b w:val="1"/>
                <w:bCs w:val="1"/>
                <w:color w:val="auto"/>
              </w:rPr>
              <w:t>Three months ended</w:t>
            </w:r>
          </w:p>
        </w:tc>
        <w:tc>
          <w:tcPr>
            <w:tcW w:w="220" w:type="dxa"/>
            <w:vAlign w:val="bottom"/>
            <w:shd w:val="clear" w:color="auto" w:fill="CCEEFF"/>
          </w:tcPr>
          <w:p>
            <w:pPr>
              <w:spacing w:after="0"/>
              <w:rPr>
                <w:sz w:val="13"/>
                <w:szCs w:val="13"/>
                <w:color w:val="auto"/>
              </w:rPr>
            </w:pPr>
          </w:p>
        </w:tc>
        <w:tc>
          <w:tcPr>
            <w:tcW w:w="2280" w:type="dxa"/>
            <w:vAlign w:val="bottom"/>
            <w:gridSpan w:val="4"/>
            <w:shd w:val="clear" w:color="auto" w:fill="CCEEFF"/>
          </w:tcPr>
          <w:p>
            <w:pPr>
              <w:jc w:val="right"/>
              <w:ind w:right="670"/>
              <w:spacing w:after="0"/>
              <w:rPr>
                <w:sz w:val="20"/>
                <w:szCs w:val="20"/>
                <w:color w:val="auto"/>
              </w:rPr>
            </w:pPr>
            <w:r>
              <w:rPr>
                <w:rFonts w:ascii="Arial" w:cs="Arial" w:eastAsia="Arial" w:hAnsi="Arial"/>
                <w:sz w:val="11"/>
                <w:szCs w:val="11"/>
                <w:b w:val="1"/>
                <w:bCs w:val="1"/>
                <w:color w:val="auto"/>
              </w:rPr>
              <w:t>Nine months ended</w:t>
            </w:r>
          </w:p>
        </w:tc>
      </w:tr>
      <w:tr>
        <w:trPr>
          <w:trHeight w:val="15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millions)</w:t>
            </w: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1"/>
                <w:szCs w:val="11"/>
                <w:b w:val="1"/>
                <w:bCs w:val="1"/>
                <w:color w:val="auto"/>
              </w:rPr>
              <w:t>9/30/2024</w:t>
            </w:r>
          </w:p>
        </w:tc>
        <w:tc>
          <w:tcPr>
            <w:tcW w:w="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1"/>
                <w:szCs w:val="11"/>
                <w:b w:val="1"/>
                <w:bCs w:val="1"/>
                <w:color w:val="auto"/>
              </w:rPr>
              <w:t>9/30/2023</w:t>
            </w: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1"/>
                <w:szCs w:val="11"/>
                <w:b w:val="1"/>
                <w:bCs w:val="1"/>
                <w:color w:val="auto"/>
              </w:rPr>
              <w:t>9/30/2024</w:t>
            </w:r>
          </w:p>
        </w:tc>
        <w:tc>
          <w:tcPr>
            <w:tcW w:w="10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1"/>
                <w:szCs w:val="11"/>
                <w:b w:val="1"/>
                <w:bCs w:val="1"/>
                <w:color w:val="auto"/>
              </w:rPr>
              <w:t>9/30/2023</w:t>
            </w:r>
          </w:p>
        </w:tc>
      </w:tr>
      <w:tr>
        <w:trPr>
          <w:trHeight w:val="161"/>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gains (losses) from non-consolidated T. Rowe Price investment products</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80"/>
        </w:trPr>
        <w:tc>
          <w:tcPr>
            <w:tcW w:w="6160" w:type="dxa"/>
            <w:vAlign w:val="bottom"/>
          </w:tcPr>
          <w:p>
            <w:pPr>
              <w:ind w:left="20"/>
              <w:spacing w:after="0"/>
              <w:rPr>
                <w:sz w:val="20"/>
                <w:szCs w:val="20"/>
                <w:color w:val="auto"/>
              </w:rPr>
            </w:pPr>
            <w:r>
              <w:rPr>
                <w:rFonts w:ascii="Arial" w:cs="Arial" w:eastAsia="Arial" w:hAnsi="Arial"/>
                <w:sz w:val="14"/>
                <w:szCs w:val="14"/>
                <w:color w:val="auto"/>
              </w:rPr>
              <w:t>Cash and discretionary investments</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6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 income</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76.0</w:t>
            </w:r>
          </w:p>
        </w:tc>
      </w:tr>
      <w:tr>
        <w:trPr>
          <w:trHeight w:val="180"/>
        </w:trPr>
        <w:tc>
          <w:tcPr>
            <w:tcW w:w="6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Market-related gains (losses) and equity in earnings (losses)</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19.1</w:t>
            </w:r>
          </w:p>
        </w:tc>
      </w:tr>
      <w:tr>
        <w:trPr>
          <w:trHeight w:val="171"/>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cash and discretionary investments</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95.1</w:t>
            </w:r>
          </w:p>
        </w:tc>
      </w:tr>
      <w:tr>
        <w:trPr>
          <w:trHeight w:val="180"/>
        </w:trPr>
        <w:tc>
          <w:tcPr>
            <w:tcW w:w="6160" w:type="dxa"/>
            <w:vAlign w:val="bottom"/>
          </w:tcPr>
          <w:p>
            <w:pPr>
              <w:ind w:left="20"/>
              <w:spacing w:after="0"/>
              <w:rPr>
                <w:sz w:val="20"/>
                <w:szCs w:val="20"/>
                <w:color w:val="auto"/>
              </w:rPr>
            </w:pPr>
            <w:r>
              <w:rPr>
                <w:rFonts w:ascii="Arial" w:cs="Arial" w:eastAsia="Arial" w:hAnsi="Arial"/>
                <w:sz w:val="14"/>
                <w:szCs w:val="14"/>
                <w:color w:val="auto"/>
              </w:rPr>
              <w:t>Seed capital investments</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6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 income</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w:t>
            </w:r>
          </w:p>
        </w:tc>
      </w:tr>
      <w:tr>
        <w:trPr>
          <w:trHeight w:val="180"/>
        </w:trPr>
        <w:tc>
          <w:tcPr>
            <w:tcW w:w="6160" w:type="dxa"/>
            <w:vAlign w:val="bottom"/>
          </w:tcPr>
          <w:p>
            <w:pPr>
              <w:ind w:left="180"/>
              <w:spacing w:after="0"/>
              <w:rPr>
                <w:sz w:val="20"/>
                <w:szCs w:val="20"/>
                <w:color w:val="auto"/>
              </w:rPr>
            </w:pPr>
            <w:r>
              <w:rPr>
                <w:rFonts w:ascii="Arial" w:cs="Arial" w:eastAsia="Arial" w:hAnsi="Arial"/>
                <w:sz w:val="14"/>
                <w:szCs w:val="14"/>
                <w:color w:val="auto"/>
              </w:rPr>
              <w:t>Market-related gains (losses) and equity in earnings (losses)</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25.0</w:t>
            </w:r>
          </w:p>
        </w:tc>
      </w:tr>
      <w:tr>
        <w:trPr>
          <w:trHeight w:val="180"/>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gains (losses) recognized upon deconsolidation</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0.7</w:t>
            </w:r>
          </w:p>
        </w:tc>
      </w:tr>
      <w:tr>
        <w:trPr>
          <w:trHeight w:val="18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58.6</w:t>
            </w:r>
          </w:p>
        </w:tc>
      </w:tr>
      <w:tr>
        <w:trPr>
          <w:trHeight w:val="171"/>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net gains (losses) from non-consolidated T. Rowe Price investment products</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270.9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180.6</w:t>
            </w:r>
          </w:p>
        </w:tc>
      </w:tr>
      <w:tr>
        <w:trPr>
          <w:trHeight w:val="18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investment income</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33.1</w:t>
            </w:r>
          </w:p>
        </w:tc>
      </w:tr>
      <w:tr>
        <w:trPr>
          <w:trHeight w:val="171"/>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gains (losses) on investments</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213.7</w:t>
            </w:r>
          </w:p>
        </w:tc>
      </w:tr>
      <w:tr>
        <w:trPr>
          <w:trHeight w:val="180"/>
        </w:trPr>
        <w:tc>
          <w:tcPr>
            <w:tcW w:w="6160" w:type="dxa"/>
            <w:vAlign w:val="bottom"/>
          </w:tcPr>
          <w:p>
            <w:pPr>
              <w:ind w:left="20"/>
              <w:spacing w:after="0"/>
              <w:rPr>
                <w:sz w:val="20"/>
                <w:szCs w:val="20"/>
                <w:color w:val="auto"/>
              </w:rPr>
            </w:pPr>
            <w:r>
              <w:rPr>
                <w:rFonts w:ascii="Arial" w:cs="Arial" w:eastAsia="Arial" w:hAnsi="Arial"/>
                <w:sz w:val="14"/>
                <w:szCs w:val="14"/>
                <w:color w:val="auto"/>
              </w:rPr>
              <w:t>Net gains (losses) on consolidated sponsored investment products</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85.9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45.4</w:t>
            </w:r>
          </w:p>
        </w:tc>
      </w:tr>
      <w:tr>
        <w:trPr>
          <w:trHeight w:val="180"/>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gains (losses), including foreign currency gains (losses)</w:t>
            </w: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r>
      <w:tr>
        <w:trPr>
          <w:trHeight w:val="171"/>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Non-operating income (loss)</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212.5</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481.7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244.4</w:t>
            </w:r>
          </w:p>
        </w:tc>
      </w:tr>
      <w:tr>
        <w:trPr>
          <w:trHeight w:val="20"/>
        </w:trPr>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Higher investment gains earned by our investment portfolio during the three- and nine-month periods ended September 30, 2024 compared to the 2023 periods were primarily due to overall stronger market returns and higher dividend income over both periods.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The table above includes the net investment income of the underlying portfolios included in the consolidated</w:t>
      </w:r>
    </w:p>
    <w:p>
      <w:pPr>
        <w:spacing w:after="0" w:line="23" w:lineRule="exact"/>
        <w:rPr>
          <w:sz w:val="20"/>
          <w:szCs w:val="20"/>
          <w:color w:val="auto"/>
        </w:rPr>
      </w:pPr>
    </w:p>
    <w:p>
      <w:pPr>
        <w:ind w:right="260"/>
        <w:spacing w:after="0" w:line="269" w:lineRule="auto"/>
        <w:rPr>
          <w:sz w:val="20"/>
          <w:szCs w:val="20"/>
          <w:color w:val="auto"/>
        </w:rPr>
      </w:pPr>
      <w:r>
        <w:rPr>
          <w:rFonts w:ascii="Arial" w:cs="Arial" w:eastAsia="Arial" w:hAnsi="Arial"/>
          <w:sz w:val="14"/>
          <w:szCs w:val="14"/>
          <w:color w:val="auto"/>
        </w:rPr>
        <w:t>sponsored investment products and not just the net investment income related to our ownership interest in the products. The table below shows the impact that the consolidated sponsored investment products had on the individual lines of our unaudited condensed consolidated statements of income and the portion attributable to our interest:</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360" w:type="dxa"/>
            <w:vAlign w:val="bottom"/>
            <w:gridSpan w:val="5"/>
            <w:shd w:val="clear" w:color="auto" w:fill="CCEEFF"/>
          </w:tcPr>
          <w:p>
            <w:pPr>
              <w:ind w:left="480"/>
              <w:spacing w:after="0"/>
              <w:rPr>
                <w:sz w:val="20"/>
                <w:szCs w:val="20"/>
                <w:color w:val="auto"/>
              </w:rPr>
            </w:pPr>
            <w:r>
              <w:rPr>
                <w:rFonts w:ascii="Arial" w:cs="Arial" w:eastAsia="Arial" w:hAnsi="Arial"/>
                <w:sz w:val="11"/>
                <w:szCs w:val="11"/>
                <w:b w:val="1"/>
                <w:bCs w:val="1"/>
                <w:color w:val="auto"/>
              </w:rPr>
              <w:t>Three months ended</w:t>
            </w:r>
          </w:p>
        </w:tc>
        <w:tc>
          <w:tcPr>
            <w:tcW w:w="220" w:type="dxa"/>
            <w:vAlign w:val="bottom"/>
            <w:shd w:val="clear" w:color="auto" w:fill="CCEEFF"/>
          </w:tcPr>
          <w:p>
            <w:pPr>
              <w:spacing w:after="0"/>
              <w:rPr>
                <w:sz w:val="13"/>
                <w:szCs w:val="13"/>
                <w:color w:val="auto"/>
              </w:rPr>
            </w:pPr>
          </w:p>
        </w:tc>
        <w:tc>
          <w:tcPr>
            <w:tcW w:w="2280" w:type="dxa"/>
            <w:vAlign w:val="bottom"/>
            <w:gridSpan w:val="4"/>
            <w:shd w:val="clear" w:color="auto" w:fill="CCEEFF"/>
          </w:tcPr>
          <w:p>
            <w:pPr>
              <w:jc w:val="right"/>
              <w:ind w:right="651"/>
              <w:spacing w:after="0"/>
              <w:rPr>
                <w:sz w:val="20"/>
                <w:szCs w:val="20"/>
                <w:color w:val="auto"/>
              </w:rPr>
            </w:pPr>
            <w:r>
              <w:rPr>
                <w:rFonts w:ascii="Arial" w:cs="Arial" w:eastAsia="Arial" w:hAnsi="Arial"/>
                <w:sz w:val="11"/>
                <w:szCs w:val="11"/>
                <w:b w:val="1"/>
                <w:bCs w:val="1"/>
                <w:color w:val="auto"/>
              </w:rPr>
              <w:t>Nine months ended</w:t>
            </w:r>
          </w:p>
        </w:tc>
        <w:tc>
          <w:tcPr>
            <w:tcW w:w="0" w:type="dxa"/>
            <w:vAlign w:val="bottom"/>
          </w:tcPr>
          <w:p>
            <w:pPr>
              <w:spacing w:after="0"/>
              <w:rPr>
                <w:sz w:val="1"/>
                <w:szCs w:val="1"/>
                <w:color w:val="auto"/>
              </w:rPr>
            </w:pPr>
          </w:p>
        </w:tc>
      </w:tr>
      <w:tr>
        <w:trPr>
          <w:trHeight w:val="150"/>
        </w:trPr>
        <w:tc>
          <w:tcPr>
            <w:tcW w:w="61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(in millions)</w:t>
            </w: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1"/>
                <w:szCs w:val="11"/>
                <w:b w:val="1"/>
                <w:bCs w:val="1"/>
                <w:color w:val="auto"/>
              </w:rPr>
              <w:t>9/30/2024</w:t>
            </w:r>
          </w:p>
        </w:tc>
        <w:tc>
          <w:tcPr>
            <w:tcW w:w="10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1"/>
                <w:szCs w:val="11"/>
                <w:b w:val="1"/>
                <w:bCs w:val="1"/>
                <w:color w:val="auto"/>
              </w:rPr>
              <w:t>9/30/2023</w:t>
            </w: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1"/>
                <w:szCs w:val="11"/>
                <w:b w:val="1"/>
                <w:bCs w:val="1"/>
                <w:color w:val="auto"/>
              </w:rPr>
              <w:t>9/30/2024</w:t>
            </w:r>
          </w:p>
        </w:tc>
        <w:tc>
          <w:tcPr>
            <w:tcW w:w="1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1"/>
                <w:szCs w:val="11"/>
                <w:b w:val="1"/>
                <w:bCs w:val="1"/>
                <w:color w:val="auto"/>
              </w:rPr>
              <w:t>9/30/2023</w:t>
            </w:r>
          </w:p>
        </w:tc>
        <w:tc>
          <w:tcPr>
            <w:tcW w:w="0" w:type="dxa"/>
            <w:vAlign w:val="bottom"/>
          </w:tcPr>
          <w:p>
            <w:pPr>
              <w:spacing w:after="0"/>
              <w:rPr>
                <w:sz w:val="1"/>
                <w:szCs w:val="1"/>
                <w:color w:val="auto"/>
              </w:rPr>
            </w:pPr>
          </w:p>
        </w:tc>
      </w:tr>
      <w:tr>
        <w:trPr>
          <w:trHeight w:val="171"/>
        </w:trPr>
        <w:tc>
          <w:tcPr>
            <w:tcW w:w="616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 reflected in net operating income</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0"/>
        </w:trPr>
        <w:tc>
          <w:tcPr>
            <w:tcW w:w="6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investment income (loss) reflected in non-operating income</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Impact on income before taxes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16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Net income (loss) attributable to our interest in the consolidated T. Rowe Price investment</w:t>
            </w:r>
          </w:p>
        </w:tc>
        <w:tc>
          <w:tcPr>
            <w:tcW w:w="2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91"/>
        </w:trPr>
        <w:tc>
          <w:tcPr>
            <w:tcW w:w="6160" w:type="dxa"/>
            <w:vAlign w:val="bottom"/>
            <w:shd w:val="clear" w:color="auto" w:fill="CCEEFF"/>
          </w:tcPr>
          <w:p>
            <w:pPr>
              <w:spacing w:after="0"/>
              <w:rPr>
                <w:sz w:val="20"/>
                <w:szCs w:val="20"/>
                <w:color w:val="auto"/>
              </w:rPr>
            </w:pPr>
            <w:r>
              <w:rPr>
                <w:rFonts w:ascii="Arial" w:cs="Arial" w:eastAsia="Arial" w:hAnsi="Arial"/>
                <w:sz w:val="14"/>
                <w:szCs w:val="14"/>
                <w:color w:val="auto"/>
              </w:rPr>
              <w:t>products</w:t>
            </w:r>
          </w:p>
        </w:tc>
        <w:tc>
          <w:tcPr>
            <w:tcW w:w="2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160" w:type="dxa"/>
            <w:vAlign w:val="bottom"/>
          </w:tcPr>
          <w:p>
            <w:pPr>
              <w:spacing w:after="0" w:line="138" w:lineRule="exact"/>
              <w:rPr>
                <w:sz w:val="20"/>
                <w:szCs w:val="20"/>
                <w:color w:val="auto"/>
              </w:rPr>
            </w:pPr>
            <w:r>
              <w:rPr>
                <w:rFonts w:ascii="Arial" w:cs="Arial" w:eastAsia="Arial" w:hAnsi="Arial"/>
                <w:sz w:val="14"/>
                <w:szCs w:val="14"/>
                <w:color w:val="auto"/>
              </w:rPr>
              <w:t>Net income (loss) attributable to redeemable non-controlling interests (unrelated third-party</w:t>
            </w: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91"/>
        </w:trPr>
        <w:tc>
          <w:tcPr>
            <w:tcW w:w="6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investors)</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auto"/>
        </w:rPr>
        <w:t>Provision for income taxes</w:t>
      </w:r>
    </w:p>
    <w:p>
      <w:pPr>
        <w:spacing w:after="0" w:line="200"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The GAAP effective tax rate for the third quarter of 2024 was 22.5% compared with 24.8% in the third quarter of 2023. These quarterly rates were the result of an overall year-to-date rate of 23.5% for 2024 and 26.1% for 2023. The following table reconciles the statutory federal income tax rate to our effective tax rate on a U.S. GAAP basis for the nine months ended September 30, 2024 and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560" w:type="dxa"/>
            <w:vAlign w:val="bottom"/>
            <w:shd w:val="clear" w:color="auto" w:fill="CCEEFF"/>
          </w:tcPr>
          <w:p>
            <w:pPr>
              <w:spacing w:after="0"/>
              <w:rPr>
                <w:sz w:val="13"/>
                <w:szCs w:val="13"/>
                <w:color w:val="auto"/>
              </w:rPr>
            </w:pPr>
          </w:p>
        </w:tc>
        <w:tc>
          <w:tcPr>
            <w:tcW w:w="2720" w:type="dxa"/>
            <w:vAlign w:val="bottom"/>
            <w:tcBorders>
              <w:bottom w:val="single" w:sz="8" w:color="auto"/>
            </w:tcBorders>
            <w:gridSpan w:val="3"/>
            <w:shd w:val="clear" w:color="auto" w:fill="CCEEFF"/>
          </w:tcPr>
          <w:p>
            <w:pPr>
              <w:jc w:val="right"/>
              <w:ind w:right="771"/>
              <w:spacing w:after="0"/>
              <w:rPr>
                <w:sz w:val="20"/>
                <w:szCs w:val="20"/>
                <w:color w:val="auto"/>
              </w:rPr>
            </w:pPr>
            <w:r>
              <w:rPr>
                <w:rFonts w:ascii="Arial" w:cs="Arial" w:eastAsia="Arial" w:hAnsi="Arial"/>
                <w:sz w:val="11"/>
                <w:szCs w:val="11"/>
                <w:b w:val="1"/>
                <w:bCs w:val="1"/>
                <w:color w:val="auto"/>
              </w:rPr>
              <w:t>Nine months ended</w:t>
            </w:r>
          </w:p>
        </w:tc>
      </w:tr>
      <w:tr>
        <w:trPr>
          <w:trHeight w:val="150"/>
        </w:trPr>
        <w:tc>
          <w:tcPr>
            <w:tcW w:w="856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rPr>
              <w:t>9/30/2024</w:t>
            </w: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9/30/2023</w:t>
            </w:r>
          </w:p>
        </w:tc>
      </w:tr>
      <w:tr>
        <w:trPr>
          <w:trHeight w:val="171"/>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Statutory U.S. federal income tax rate</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80"/>
        </w:trPr>
        <w:tc>
          <w:tcPr>
            <w:tcW w:w="8560" w:type="dxa"/>
            <w:vAlign w:val="bottom"/>
          </w:tcPr>
          <w:p>
            <w:pPr>
              <w:ind w:left="20"/>
              <w:spacing w:after="0" w:line="181" w:lineRule="exact"/>
              <w:rPr>
                <w:sz w:val="20"/>
                <w:szCs w:val="20"/>
                <w:color w:val="auto"/>
              </w:rPr>
            </w:pPr>
            <w:r>
              <w:rPr>
                <w:rFonts w:ascii="Arial" w:cs="Arial" w:eastAsia="Arial" w:hAnsi="Arial"/>
                <w:sz w:val="14"/>
                <w:szCs w:val="14"/>
                <w:color w:val="auto"/>
              </w:rPr>
              <w:t>State income taxes for current year, net of federal income tax benefits</w:t>
            </w:r>
            <w:r>
              <w:rPr>
                <w:rFonts w:ascii="Arial" w:cs="Arial" w:eastAsia="Arial" w:hAnsi="Arial"/>
                <w:sz w:val="18"/>
                <w:szCs w:val="18"/>
                <w:color w:val="auto"/>
                <w:vertAlign w:val="superscript"/>
              </w:rPr>
              <w:t>(1)</w:t>
            </w:r>
          </w:p>
        </w:tc>
        <w:tc>
          <w:tcPr>
            <w:tcW w:w="1320" w:type="dxa"/>
            <w:vAlign w:val="bottom"/>
          </w:tcPr>
          <w:p>
            <w:pPr>
              <w:jc w:val="right"/>
              <w:ind w:right="112"/>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c>
          <w:tcPr>
            <w:tcW w:w="1320" w:type="dxa"/>
            <w:vAlign w:val="bottom"/>
          </w:tcPr>
          <w:p>
            <w:pPr>
              <w:jc w:val="right"/>
              <w:ind w:right="111"/>
              <w:spacing w:after="0"/>
              <w:rPr>
                <w:sz w:val="20"/>
                <w:szCs w:val="20"/>
                <w:color w:val="auto"/>
              </w:rPr>
            </w:pPr>
            <w:r>
              <w:rPr>
                <w:rFonts w:ascii="Arial" w:cs="Arial" w:eastAsia="Arial" w:hAnsi="Arial"/>
                <w:sz w:val="14"/>
                <w:szCs w:val="14"/>
                <w:color w:val="auto"/>
              </w:rPr>
              <w:t>3.0</w:t>
            </w:r>
          </w:p>
        </w:tc>
      </w:tr>
      <w:tr>
        <w:trPr>
          <w:trHeight w:val="180"/>
        </w:trPr>
        <w:tc>
          <w:tcPr>
            <w:tcW w:w="856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Net (income) losses attributable to redeemable non-controlling interests</w:t>
            </w:r>
            <w:r>
              <w:rPr>
                <w:rFonts w:ascii="Arial" w:cs="Arial" w:eastAsia="Arial" w:hAnsi="Arial"/>
                <w:sz w:val="18"/>
                <w:szCs w:val="18"/>
                <w:color w:val="auto"/>
                <w:vertAlign w:val="superscript"/>
              </w:rPr>
              <w:t>(2)</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(0.2)</w:t>
            </w: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Net excess tax benefits from stock-based compensation plans activity</w:t>
            </w:r>
          </w:p>
        </w:tc>
        <w:tc>
          <w:tcPr>
            <w:tcW w:w="1320" w:type="dxa"/>
            <w:vAlign w:val="bottom"/>
          </w:tcPr>
          <w:p>
            <w:pPr>
              <w:jc w:val="right"/>
              <w:ind w:right="72"/>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1320" w:type="dxa"/>
            <w:vAlign w:val="bottom"/>
          </w:tcPr>
          <w:p>
            <w:pPr>
              <w:jc w:val="right"/>
              <w:ind w:right="71"/>
              <w:spacing w:after="0"/>
              <w:rPr>
                <w:sz w:val="20"/>
                <w:szCs w:val="20"/>
                <w:color w:val="auto"/>
              </w:rPr>
            </w:pPr>
            <w:r>
              <w:rPr>
                <w:rFonts w:ascii="Arial" w:cs="Arial" w:eastAsia="Arial" w:hAnsi="Arial"/>
                <w:sz w:val="14"/>
                <w:szCs w:val="14"/>
                <w:color w:val="auto"/>
              </w:rPr>
              <w:t>(0.3)</w:t>
            </w: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w:t>
            </w:r>
          </w:p>
        </w:tc>
        <w:tc>
          <w:tcPr>
            <w:tcW w:w="13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2.7</w:t>
            </w:r>
          </w:p>
        </w:tc>
      </w:tr>
      <w:tr>
        <w:trPr>
          <w:trHeight w:val="18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items</w:t>
            </w:r>
          </w:p>
        </w:tc>
        <w:tc>
          <w:tcPr>
            <w:tcW w:w="13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(0.1)</w:t>
            </w:r>
          </w:p>
        </w:tc>
      </w:tr>
      <w:tr>
        <w:trPr>
          <w:trHeight w:val="19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Effective income tax rate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23.5 %</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26.1 %</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120" w:hanging="115"/>
        <w:spacing w:after="0"/>
        <w:tabs>
          <w:tab w:leader="none" w:pos="120" w:val="left"/>
        </w:tabs>
        <w:numPr>
          <w:ilvl w:val="0"/>
          <w:numId w:val="14"/>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State income tax benefits are reflected in the total benefits for net income attributable to redeemable non-controlling interests and stock-based compensation plans activity.</w:t>
      </w:r>
    </w:p>
    <w:p>
      <w:pPr>
        <w:ind w:left="140" w:right="400" w:hanging="135"/>
        <w:spacing w:after="0" w:line="257" w:lineRule="auto"/>
        <w:tabs>
          <w:tab w:leader="none" w:pos="123" w:val="left"/>
        </w:tabs>
        <w:numPr>
          <w:ilvl w:val="0"/>
          <w:numId w:val="14"/>
        </w:numPr>
        <w:rPr>
          <w:rFonts w:ascii="Arial" w:cs="Arial" w:eastAsia="Arial" w:hAnsi="Arial"/>
          <w:sz w:val="7"/>
          <w:szCs w:val="7"/>
          <w:i w:val="1"/>
          <w:iCs w:val="1"/>
          <w:color w:val="auto"/>
        </w:rPr>
      </w:pPr>
      <w:r>
        <w:rPr>
          <w:rFonts w:ascii="Arial" w:cs="Arial" w:eastAsia="Arial" w:hAnsi="Arial"/>
          <w:sz w:val="11"/>
          <w:szCs w:val="11"/>
          <w:i w:val="1"/>
          <w:iCs w:val="1"/>
          <w:color w:val="auto"/>
        </w:rPr>
        <w:t>Net income attributable to redeemable non-controlling interests represents the portion of earnings held in the firm's consolidated investment products, which are not taxable to the firm despite being included in pre-tax income.</w:t>
      </w:r>
    </w:p>
    <w:p>
      <w:pPr>
        <w:spacing w:after="0" w:line="1"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The non-GAAP effective tax rate primarily adjusts for the impact of the consolidated investment products, including the net income attributable to the redeemable non-controlling interests. Our non-GAAP effective tax rate was 23.8% in the third quarter of 2024 compared with 24.8% in the third quarter of 2023. Our non-GAAP effective tax rate was 24.1% for the nine months ended September 30, 2024 compared to 26.8% for the 2023 period. The year-to-date 2024 U.S. GAAP and non-GAAP effective tax rates decreased compared to 2023 rates primarily due to lower valuation allowances recognized. In the first nine months of 2023, we recognized a full valuation allowance against all UK-based deferred tax assets recorded at the time.</w:t>
      </w:r>
    </w:p>
    <w:p>
      <w:pPr>
        <w:spacing w:after="0" w:line="164"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We currently estimate that our effective tax rate for the full year 2024, on a U.S. GAAP basis, will be in the range of 23.5% to 26.5%. On a non-GAAP basis, the range is 23.5% to 25.5%</w:t>
      </w:r>
      <w:r>
        <w:rPr>
          <w:rFonts w:ascii="Arial" w:cs="Arial" w:eastAsia="Arial" w:hAnsi="Arial"/>
          <w:sz w:val="13"/>
          <w:szCs w:val="13"/>
          <w:color w:val="auto"/>
        </w:rPr>
        <w:t>.</w:t>
      </w:r>
    </w:p>
    <w:p>
      <w:pPr>
        <w:spacing w:after="0" w:line="141"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Our effective tax rate will continue to experience volatility in future periods as the tax benefits recognized from stock-based compensation are impacted by market fluctuations in our stock price and the timing of option exercises. The rate also experiences volatility from the remeasurement of the contingent consideration liability, as well as changes in deferred tax asset valuation allowances, primarily in foreign jurisdictions, based on the sufficiency of taxable income in future periods. Our U.S. GAAP rate will also be impacted by changes in the proportion of net income that is attributable to our redeemable non-controlling interests and non-controlling interests reflected in permanent equity.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NON-GAAP INFORMATION AND RECONCILIATION.</w:t>
      </w:r>
    </w:p>
    <w:p>
      <w:pPr>
        <w:spacing w:after="0" w:line="198"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3" w:name="page34"/>
    <w:bookmarkEnd w:id="33"/>
    <w:p>
      <w:pPr>
        <w:ind w:right="4960"/>
        <w:spacing w:after="0" w:line="290" w:lineRule="auto"/>
        <w:rPr>
          <w:sz w:val="20"/>
          <w:szCs w:val="20"/>
          <w:color w:val="auto"/>
        </w:rPr>
      </w:pPr>
      <w:r>
        <w:rPr>
          <w:rFonts w:ascii="Arial" w:cs="Arial" w:eastAsia="Arial" w:hAnsi="Arial"/>
          <w:sz w:val="14"/>
          <w:szCs w:val="14"/>
          <w:color w:val="auto"/>
        </w:rPr>
        <w:t>The following schedules reconcile certain U.S. GAAP financial measures for the three months ended September 30, 2024 and 2023.</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20" w:type="dxa"/>
            <w:vAlign w:val="bottom"/>
            <w:shd w:val="clear" w:color="auto" w:fill="CCEEFF"/>
          </w:tcPr>
          <w:p>
            <w:pPr>
              <w:spacing w:after="0"/>
              <w:rPr>
                <w:sz w:val="13"/>
                <w:szCs w:val="13"/>
                <w:color w:val="auto"/>
              </w:rPr>
            </w:pPr>
          </w:p>
        </w:tc>
        <w:tc>
          <w:tcPr>
            <w:tcW w:w="4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180" w:type="dxa"/>
            <w:vAlign w:val="bottom"/>
            <w:tcBorders>
              <w:bottom w:val="single" w:sz="8" w:color="auto"/>
            </w:tcBorders>
            <w:gridSpan w:val="7"/>
            <w:shd w:val="clear" w:color="auto" w:fill="CCEEFF"/>
          </w:tcPr>
          <w:p>
            <w:pPr>
              <w:ind w:left="300"/>
              <w:spacing w:after="0"/>
              <w:rPr>
                <w:sz w:val="20"/>
                <w:szCs w:val="20"/>
                <w:color w:val="auto"/>
              </w:rPr>
            </w:pPr>
            <w:r>
              <w:rPr>
                <w:rFonts w:ascii="Arial" w:cs="Arial" w:eastAsia="Arial" w:hAnsi="Arial"/>
                <w:sz w:val="11"/>
                <w:szCs w:val="11"/>
                <w:b w:val="1"/>
                <w:bCs w:val="1"/>
                <w:color w:val="auto"/>
              </w:rPr>
              <w:t>Three months ended 9/30/2024</w:t>
            </w:r>
          </w:p>
        </w:tc>
        <w:tc>
          <w:tcPr>
            <w:tcW w:w="3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4"/>
            <w:vMerge w:val="restart"/>
          </w:tcPr>
          <w:p>
            <w:pPr>
              <w:ind w:left="100"/>
              <w:spacing w:after="0"/>
              <w:rPr>
                <w:sz w:val="20"/>
                <w:szCs w:val="20"/>
                <w:color w:val="auto"/>
              </w:rPr>
            </w:pPr>
            <w:r>
              <w:rPr>
                <w:rFonts w:ascii="Arial" w:cs="Arial" w:eastAsia="Arial" w:hAnsi="Arial"/>
                <w:sz w:val="11"/>
                <w:szCs w:val="11"/>
                <w:b w:val="1"/>
                <w:bCs w:val="1"/>
                <w:color w:val="auto"/>
              </w:rPr>
              <w:t>Operating</w:t>
            </w:r>
          </w:p>
        </w:tc>
        <w:tc>
          <w:tcPr>
            <w:tcW w:w="100" w:type="dxa"/>
            <w:vAlign w:val="bottom"/>
          </w:tcPr>
          <w:p>
            <w:pPr>
              <w:spacing w:after="0"/>
              <w:rPr>
                <w:sz w:val="9"/>
                <w:szCs w:val="9"/>
                <w:color w:val="auto"/>
              </w:rPr>
            </w:pP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rPr>
              <w:t>Net operating</w:t>
            </w:r>
          </w:p>
        </w:tc>
        <w:tc>
          <w:tcPr>
            <w:tcW w:w="100" w:type="dxa"/>
            <w:vAlign w:val="bottom"/>
          </w:tcPr>
          <w:p>
            <w:pPr>
              <w:spacing w:after="0"/>
              <w:rPr>
                <w:sz w:val="9"/>
                <w:szCs w:val="9"/>
                <w:color w:val="auto"/>
              </w:rPr>
            </w:pP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rPr>
              <w:t>Non-operating</w:t>
            </w:r>
          </w:p>
        </w:tc>
        <w:tc>
          <w:tcPr>
            <w:tcW w:w="114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rPr>
              <w:t>Provision (benefit)</w:t>
            </w:r>
          </w:p>
        </w:tc>
        <w:tc>
          <w:tcPr>
            <w:tcW w:w="1420" w:type="dxa"/>
            <w:vAlign w:val="bottom"/>
            <w:gridSpan w:val="5"/>
          </w:tcPr>
          <w:p>
            <w:pPr>
              <w:jc w:val="center"/>
              <w:ind w:right="80"/>
              <w:spacing w:after="0" w:line="112" w:lineRule="exact"/>
              <w:rPr>
                <w:sz w:val="20"/>
                <w:szCs w:val="20"/>
                <w:color w:val="auto"/>
              </w:rPr>
            </w:pPr>
            <w:r>
              <w:rPr>
                <w:rFonts w:ascii="Arial" w:cs="Arial" w:eastAsia="Arial" w:hAnsi="Arial"/>
                <w:sz w:val="11"/>
                <w:szCs w:val="11"/>
                <w:b w:val="1"/>
                <w:bCs w:val="1"/>
                <w:color w:val="auto"/>
              </w:rPr>
              <w:t>Net income attributable</w:t>
            </w:r>
          </w:p>
        </w:tc>
        <w:tc>
          <w:tcPr>
            <w:tcW w:w="60" w:type="dxa"/>
            <w:vAlign w:val="bottom"/>
          </w:tcPr>
          <w:p>
            <w:pPr>
              <w:spacing w:after="0"/>
              <w:rPr>
                <w:sz w:val="9"/>
                <w:szCs w:val="9"/>
                <w:color w:val="auto"/>
              </w:rPr>
            </w:pPr>
          </w:p>
        </w:tc>
        <w:tc>
          <w:tcPr>
            <w:tcW w:w="980" w:type="dxa"/>
            <w:vAlign w:val="bottom"/>
            <w:vMerge w:val="restart"/>
          </w:tcPr>
          <w:p>
            <w:pPr>
              <w:jc w:val="center"/>
              <w:ind w:right="3"/>
              <w:spacing w:after="0"/>
              <w:rPr>
                <w:sz w:val="20"/>
                <w:szCs w:val="20"/>
                <w:color w:val="auto"/>
              </w:rPr>
            </w:pPr>
            <w:r>
              <w:rPr>
                <w:rFonts w:ascii="Arial" w:cs="Arial" w:eastAsia="Arial" w:hAnsi="Arial"/>
                <w:sz w:val="11"/>
                <w:szCs w:val="11"/>
                <w:b w:val="1"/>
                <w:bCs w:val="1"/>
                <w:color w:val="auto"/>
              </w:rPr>
              <w:t>Diluted earnings</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140" w:type="dxa"/>
            <w:vAlign w:val="bottom"/>
            <w:gridSpan w:val="4"/>
            <w:vMerge w:val="continue"/>
          </w:tcPr>
          <w:p>
            <w:pPr>
              <w:spacing w:after="0"/>
              <w:rPr>
                <w:sz w:val="9"/>
                <w:szCs w:val="9"/>
                <w:color w:val="auto"/>
              </w:rPr>
            </w:pPr>
          </w:p>
        </w:tc>
        <w:tc>
          <w:tcPr>
            <w:tcW w:w="1420" w:type="dxa"/>
            <w:vAlign w:val="bottom"/>
            <w:gridSpan w:val="5"/>
          </w:tcPr>
          <w:p>
            <w:pPr>
              <w:ind w:left="20"/>
              <w:spacing w:after="0" w:line="113" w:lineRule="exact"/>
              <w:rPr>
                <w:sz w:val="20"/>
                <w:szCs w:val="20"/>
                <w:color w:val="auto"/>
              </w:rPr>
            </w:pPr>
            <w:r>
              <w:rPr>
                <w:rFonts w:ascii="Arial" w:cs="Arial" w:eastAsia="Arial" w:hAnsi="Arial"/>
                <w:sz w:val="11"/>
                <w:szCs w:val="11"/>
                <w:b w:val="1"/>
                <w:bCs w:val="1"/>
                <w:color w:val="auto"/>
              </w:rPr>
              <w:t>to T. Rowe Price Group,</w:t>
            </w:r>
          </w:p>
        </w:tc>
        <w:tc>
          <w:tcPr>
            <w:tcW w:w="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ind w:left="120"/>
              <w:spacing w:after="0"/>
              <w:rPr>
                <w:sz w:val="20"/>
                <w:szCs w:val="20"/>
                <w:color w:val="auto"/>
              </w:rPr>
            </w:pPr>
            <w:r>
              <w:rPr>
                <w:rFonts w:ascii="Arial" w:cs="Arial" w:eastAsia="Arial" w:hAnsi="Arial"/>
                <w:sz w:val="11"/>
                <w:szCs w:val="11"/>
                <w:b w:val="1"/>
                <w:bCs w:val="1"/>
                <w:color w:val="auto"/>
              </w:rPr>
              <w:t>expenses</w:t>
            </w:r>
          </w:p>
        </w:tc>
        <w:tc>
          <w:tcPr>
            <w:tcW w:w="100" w:type="dxa"/>
            <w:vAlign w:val="bottom"/>
          </w:tcPr>
          <w:p>
            <w:pPr>
              <w:spacing w:after="0"/>
              <w:rPr>
                <w:sz w:val="12"/>
                <w:szCs w:val="12"/>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rPr>
              <w:t>income</w:t>
            </w:r>
          </w:p>
        </w:tc>
        <w:tc>
          <w:tcPr>
            <w:tcW w:w="100" w:type="dxa"/>
            <w:vAlign w:val="bottom"/>
          </w:tcPr>
          <w:p>
            <w:pPr>
              <w:spacing w:after="0"/>
              <w:rPr>
                <w:sz w:val="12"/>
                <w:szCs w:val="12"/>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rPr>
              <w:t>income (loss)</w:t>
            </w:r>
          </w:p>
        </w:tc>
        <w:tc>
          <w:tcPr>
            <w:tcW w:w="1140" w:type="dxa"/>
            <w:vAlign w:val="bottom"/>
            <w:gridSpan w:val="4"/>
          </w:tcPr>
          <w:p>
            <w:pPr>
              <w:ind w:left="40"/>
              <w:spacing w:after="0" w:line="149" w:lineRule="exact"/>
              <w:rPr>
                <w:sz w:val="20"/>
                <w:szCs w:val="20"/>
                <w:color w:val="auto"/>
              </w:rPr>
            </w:pPr>
            <w:r>
              <w:rPr>
                <w:rFonts w:ascii="Arial" w:cs="Arial" w:eastAsia="Arial" w:hAnsi="Arial"/>
                <w:sz w:val="11"/>
                <w:szCs w:val="11"/>
                <w:b w:val="1"/>
                <w:bCs w:val="1"/>
                <w:color w:val="auto"/>
              </w:rPr>
              <w:t>for income taxes</w:t>
            </w:r>
            <w:r>
              <w:rPr>
                <w:rFonts w:ascii="Arial" w:cs="Arial" w:eastAsia="Arial" w:hAnsi="Arial"/>
                <w:sz w:val="14"/>
                <w:szCs w:val="14"/>
                <w:b w:val="1"/>
                <w:bCs w:val="1"/>
                <w:color w:val="auto"/>
                <w:vertAlign w:val="superscript"/>
              </w:rPr>
              <w:t>(5)</w:t>
            </w:r>
          </w:p>
        </w:tc>
        <w:tc>
          <w:tcPr>
            <w:tcW w:w="320" w:type="dxa"/>
            <w:vAlign w:val="bottom"/>
          </w:tcPr>
          <w:p>
            <w:pPr>
              <w:spacing w:after="0"/>
              <w:rPr>
                <w:sz w:val="12"/>
                <w:szCs w:val="12"/>
                <w:color w:val="auto"/>
              </w:rPr>
            </w:pPr>
          </w:p>
        </w:tc>
        <w:tc>
          <w:tcPr>
            <w:tcW w:w="1100" w:type="dxa"/>
            <w:vAlign w:val="bottom"/>
            <w:gridSpan w:val="4"/>
          </w:tcPr>
          <w:p>
            <w:pPr>
              <w:jc w:val="center"/>
              <w:ind w:right="420"/>
              <w:spacing w:after="0"/>
              <w:rPr>
                <w:sz w:val="20"/>
                <w:szCs w:val="20"/>
                <w:color w:val="auto"/>
              </w:rPr>
            </w:pPr>
            <w:r>
              <w:rPr>
                <w:rFonts w:ascii="Arial" w:cs="Arial" w:eastAsia="Arial" w:hAnsi="Arial"/>
                <w:sz w:val="11"/>
                <w:szCs w:val="11"/>
                <w:b w:val="1"/>
                <w:bCs w:val="1"/>
                <w:color w:val="auto"/>
              </w:rPr>
              <w:t>Inc.</w:t>
            </w:r>
          </w:p>
        </w:tc>
        <w:tc>
          <w:tcPr>
            <w:tcW w:w="60" w:type="dxa"/>
            <w:vAlign w:val="bottom"/>
          </w:tcPr>
          <w:p>
            <w:pPr>
              <w:spacing w:after="0"/>
              <w:rPr>
                <w:sz w:val="12"/>
                <w:szCs w:val="12"/>
                <w:color w:val="auto"/>
              </w:rPr>
            </w:pPr>
          </w:p>
        </w:tc>
        <w:tc>
          <w:tcPr>
            <w:tcW w:w="980" w:type="dxa"/>
            <w:vAlign w:val="bottom"/>
          </w:tcPr>
          <w:p>
            <w:pPr>
              <w:jc w:val="center"/>
              <w:ind w:right="3"/>
              <w:spacing w:after="0" w:line="149" w:lineRule="exact"/>
              <w:rPr>
                <w:sz w:val="20"/>
                <w:szCs w:val="20"/>
                <w:color w:val="auto"/>
              </w:rPr>
            </w:pPr>
            <w:r>
              <w:rPr>
                <w:rFonts w:ascii="Arial" w:cs="Arial" w:eastAsia="Arial" w:hAnsi="Arial"/>
                <w:sz w:val="11"/>
                <w:szCs w:val="11"/>
                <w:b w:val="1"/>
                <w:bCs w:val="1"/>
                <w:color w:val="auto"/>
                <w:w w:val="98"/>
              </w:rPr>
              <w:t>per share</w:t>
            </w:r>
            <w:r>
              <w:rPr>
                <w:rFonts w:ascii="Arial" w:cs="Arial" w:eastAsia="Arial" w:hAnsi="Arial"/>
                <w:sz w:val="14"/>
                <w:szCs w:val="14"/>
                <w:b w:val="1"/>
                <w:bCs w:val="1"/>
                <w:color w:val="auto"/>
                <w:w w:val="98"/>
                <w:vertAlign w:val="superscript"/>
              </w:rPr>
              <w:t>(6)</w:t>
            </w:r>
          </w:p>
        </w:tc>
        <w:tc>
          <w:tcPr>
            <w:tcW w:w="0" w:type="dxa"/>
            <w:vAlign w:val="bottom"/>
          </w:tcPr>
          <w:p>
            <w:pPr>
              <w:spacing w:after="0"/>
              <w:rPr>
                <w:sz w:val="1"/>
                <w:szCs w:val="1"/>
                <w:color w:val="auto"/>
              </w:rPr>
            </w:pPr>
          </w:p>
        </w:tc>
      </w:tr>
      <w:tr>
        <w:trPr>
          <w:trHeight w:val="150"/>
        </w:trPr>
        <w:tc>
          <w:tcPr>
            <w:tcW w:w="20" w:type="dxa"/>
            <w:vAlign w:val="bottom"/>
            <w:tcBorders>
              <w:top w:val="single" w:sz="8" w:color="CCEEFF"/>
            </w:tcBorders>
            <w:shd w:val="clear" w:color="auto" w:fill="CCEEFF"/>
          </w:tcPr>
          <w:p>
            <w:pPr>
              <w:spacing w:after="0"/>
              <w:rPr>
                <w:sz w:val="13"/>
                <w:szCs w:val="13"/>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U.S. GAAP Basis (FS line item)</w:t>
            </w: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1,172.0</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613.6</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212.5</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185.7</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603.0</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8" w:lineRule="exact"/>
              <w:rPr>
                <w:sz w:val="20"/>
                <w:szCs w:val="20"/>
                <w:color w:val="auto"/>
              </w:rPr>
            </w:pPr>
            <w:r>
              <w:rPr>
                <w:rFonts w:ascii="Arial" w:cs="Arial" w:eastAsia="Arial" w:hAnsi="Arial"/>
                <w:sz w:val="13"/>
                <w:szCs w:val="13"/>
                <w:color w:val="auto"/>
              </w:rPr>
              <w:t>Non-GAAP adjustments:</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Acquisition-related:</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160" w:type="dxa"/>
            <w:vAlign w:val="bottom"/>
            <w:gridSpan w:val="2"/>
          </w:tcPr>
          <w:p>
            <w:pPr>
              <w:ind w:left="80"/>
              <w:spacing w:after="0" w:line="127" w:lineRule="exact"/>
              <w:rPr>
                <w:sz w:val="20"/>
                <w:szCs w:val="20"/>
                <w:color w:val="auto"/>
              </w:rPr>
            </w:pPr>
            <w:r>
              <w:rPr>
                <w:rFonts w:ascii="Arial" w:cs="Arial" w:eastAsia="Arial" w:hAnsi="Arial"/>
                <w:sz w:val="11"/>
                <w:szCs w:val="11"/>
                <w:color w:val="auto"/>
              </w:rPr>
              <w:t>Investment and NCI amortization and impairments</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(Capital allocation-</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gridSpan w:val="2"/>
          </w:tcPr>
          <w:p>
            <w:pPr>
              <w:ind w:left="80"/>
              <w:spacing w:after="0"/>
              <w:rPr>
                <w:sz w:val="20"/>
                <w:szCs w:val="20"/>
                <w:color w:val="auto"/>
              </w:rPr>
            </w:pPr>
            <w:r>
              <w:rPr>
                <w:rFonts w:ascii="Arial" w:cs="Arial" w:eastAsia="Arial" w:hAnsi="Arial"/>
                <w:sz w:val="13"/>
                <w:szCs w:val="13"/>
                <w:color w:val="auto"/>
              </w:rPr>
              <w:t>based income and Compensation and related costs)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13.6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16.9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14.6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0.06</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416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1"/>
                <w:szCs w:val="11"/>
                <w:color w:val="auto"/>
              </w:rPr>
              <w:t>Acquisition-related retention arrangements</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(Compensation and</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related costs)</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0.02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60" w:type="dxa"/>
            <w:vAlign w:val="bottom"/>
            <w:gridSpan w:val="2"/>
          </w:tcPr>
          <w:p>
            <w:pPr>
              <w:ind w:left="80"/>
              <w:spacing w:after="0" w:line="170" w:lineRule="exact"/>
              <w:rPr>
                <w:sz w:val="20"/>
                <w:szCs w:val="20"/>
                <w:color w:val="auto"/>
              </w:rPr>
            </w:pPr>
            <w:r>
              <w:rPr>
                <w:rFonts w:ascii="Arial" w:cs="Arial" w:eastAsia="Arial" w:hAnsi="Arial"/>
                <w:sz w:val="13"/>
                <w:szCs w:val="13"/>
                <w:color w:val="auto"/>
              </w:rPr>
              <w:t>Contingent consideration</w:t>
            </w:r>
            <w:r>
              <w:rPr>
                <w:rFonts w:ascii="Arial" w:cs="Arial" w:eastAsia="Arial" w:hAnsi="Arial"/>
                <w:sz w:val="16"/>
                <w:szCs w:val="16"/>
                <w:color w:val="auto"/>
                <w:vertAlign w:val="superscript"/>
              </w:rPr>
              <w:t>(1)</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13.4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(13.4)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(0.05)</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160" w:type="dxa"/>
            <w:vAlign w:val="bottom"/>
            <w:gridSpan w:val="2"/>
            <w:shd w:val="clear" w:color="auto" w:fill="CCEEFF"/>
          </w:tcPr>
          <w:p>
            <w:pPr>
              <w:ind w:left="80"/>
              <w:spacing w:after="0" w:line="170" w:lineRule="exact"/>
              <w:rPr>
                <w:sz w:val="20"/>
                <w:szCs w:val="20"/>
                <w:color w:val="auto"/>
              </w:rPr>
            </w:pPr>
            <w:r>
              <w:rPr>
                <w:rFonts w:ascii="Arial" w:cs="Arial" w:eastAsia="Arial" w:hAnsi="Arial"/>
                <w:sz w:val="13"/>
                <w:szCs w:val="13"/>
                <w:color w:val="auto"/>
              </w:rPr>
              <w:t>Intangible assets amortization and impairments</w:t>
            </w:r>
            <w:r>
              <w:rPr>
                <w:rFonts w:ascii="Arial" w:cs="Arial" w:eastAsia="Arial" w:hAnsi="Arial"/>
                <w:sz w:val="16"/>
                <w:szCs w:val="16"/>
                <w:color w:val="auto"/>
                <w:vertAlign w:val="superscript"/>
              </w:rPr>
              <w:t>(1)</w:t>
            </w: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(51.5)</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44.5</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8" w:lineRule="exact"/>
              <w:rPr>
                <w:sz w:val="20"/>
                <w:szCs w:val="20"/>
                <w:color w:val="auto"/>
              </w:rPr>
            </w:pPr>
            <w:r>
              <w:rPr>
                <w:rFonts w:ascii="Arial" w:cs="Arial" w:eastAsia="Arial" w:hAnsi="Arial"/>
                <w:sz w:val="13"/>
                <w:szCs w:val="13"/>
                <w:color w:val="auto"/>
              </w:rPr>
              <w:t>Total acquisition-related</w:t>
            </w: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(28.5)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59.0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51.0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0.22</w:t>
            </w: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416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 related costs)</w:t>
            </w: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(43.4)</w:t>
            </w: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43.4</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(41.1)</w:t>
            </w: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0.01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60" w:type="dxa"/>
            <w:vAlign w:val="bottom"/>
            <w:gridSpan w:val="2"/>
          </w:tcPr>
          <w:p>
            <w:pPr>
              <w:spacing w:after="0" w:line="170" w:lineRule="exact"/>
              <w:rPr>
                <w:sz w:val="20"/>
                <w:szCs w:val="20"/>
                <w:color w:val="auto"/>
              </w:rPr>
            </w:pPr>
            <w:r>
              <w:rPr>
                <w:rFonts w:ascii="Arial" w:cs="Arial" w:eastAsia="Arial" w:hAnsi="Arial"/>
                <w:sz w:val="13"/>
                <w:szCs w:val="13"/>
                <w:color w:val="auto"/>
              </w:rPr>
              <w:t>Consolidated T. Rowe Price investment products</w:t>
            </w:r>
            <w:r>
              <w:rPr>
                <w:rFonts w:ascii="Arial" w:cs="Arial" w:eastAsia="Arial" w:hAnsi="Arial"/>
                <w:sz w:val="16"/>
                <w:szCs w:val="16"/>
                <w:color w:val="auto"/>
                <w:vertAlign w:val="superscript"/>
              </w:rPr>
              <w:t>(3)</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(85.9)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(39.8)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(0.17)</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160" w:type="dxa"/>
            <w:vAlign w:val="bottom"/>
            <w:gridSpan w:val="2"/>
            <w:shd w:val="clear" w:color="auto" w:fill="CCEEFF"/>
          </w:tcPr>
          <w:p>
            <w:pPr>
              <w:spacing w:after="0" w:line="170" w:lineRule="exact"/>
              <w:rPr>
                <w:sz w:val="20"/>
                <w:szCs w:val="20"/>
                <w:color w:val="auto"/>
              </w:rPr>
            </w:pPr>
            <w:r>
              <w:rPr>
                <w:rFonts w:ascii="Arial" w:cs="Arial" w:eastAsia="Arial" w:hAnsi="Arial"/>
                <w:sz w:val="13"/>
                <w:szCs w:val="13"/>
                <w:color w:val="auto"/>
              </w:rPr>
              <w:t>Other non-operating income</w:t>
            </w:r>
            <w:r>
              <w:rPr>
                <w:rFonts w:ascii="Arial" w:cs="Arial" w:eastAsia="Arial" w:hAnsi="Arial"/>
                <w:sz w:val="16"/>
                <w:szCs w:val="16"/>
                <w:color w:val="auto"/>
                <w:vertAlign w:val="superscript"/>
              </w:rPr>
              <w:t>(4)</w:t>
            </w:r>
          </w:p>
        </w:tc>
        <w:tc>
          <w:tcPr>
            <w:tcW w:w="140" w:type="dxa"/>
            <w:vAlign w:val="bottom"/>
            <w:shd w:val="clear" w:color="auto" w:fill="CCEEFF"/>
          </w:tcPr>
          <w:p>
            <w:pPr>
              <w:spacing w:after="0"/>
              <w:rPr>
                <w:sz w:val="14"/>
                <w:szCs w:val="14"/>
                <w:color w:val="auto"/>
              </w:rPr>
            </w:pP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160" w:type="dxa"/>
            <w:vAlign w:val="bottom"/>
            <w:gridSpan w:val="2"/>
          </w:tcPr>
          <w:p>
            <w:pPr>
              <w:spacing w:after="0"/>
              <w:rPr>
                <w:sz w:val="20"/>
                <w:szCs w:val="20"/>
                <w:color w:val="auto"/>
              </w:rPr>
            </w:pPr>
            <w:r>
              <w:rPr>
                <w:rFonts w:ascii="Arial" w:cs="Arial" w:eastAsia="Arial" w:hAnsi="Arial"/>
                <w:sz w:val="13"/>
                <w:szCs w:val="13"/>
                <w:b w:val="1"/>
                <w:bCs w:val="1"/>
                <w:color w:val="auto"/>
              </w:rPr>
              <w:t>Adjusted Non-GAAP Basis</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1,099.0</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718.4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51.2</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183.1</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586.5</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1040" w:type="dxa"/>
            <w:vAlign w:val="bottom"/>
            <w:gridSpan w:val="2"/>
          </w:tcPr>
          <w:p>
            <w:pPr>
              <w:spacing w:after="0"/>
              <w:rPr>
                <w:sz w:val="23"/>
                <w:szCs w:val="23"/>
                <w:color w:val="auto"/>
              </w:rPr>
            </w:pPr>
          </w:p>
        </w:tc>
        <w:tc>
          <w:tcPr>
            <w:tcW w:w="100" w:type="dxa"/>
            <w:vAlign w:val="bottom"/>
            <w:gridSpan w:val="2"/>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180" w:type="dxa"/>
            <w:vAlign w:val="bottom"/>
            <w:tcBorders>
              <w:bottom w:val="single" w:sz="8" w:color="auto"/>
            </w:tcBorders>
            <w:gridSpan w:val="7"/>
            <w:shd w:val="clear" w:color="auto" w:fill="CCEEFF"/>
          </w:tcPr>
          <w:p>
            <w:pPr>
              <w:ind w:left="280"/>
              <w:spacing w:after="0"/>
              <w:rPr>
                <w:sz w:val="20"/>
                <w:szCs w:val="20"/>
                <w:color w:val="auto"/>
              </w:rPr>
            </w:pPr>
            <w:r>
              <w:rPr>
                <w:rFonts w:ascii="Arial" w:cs="Arial" w:eastAsia="Arial" w:hAnsi="Arial"/>
                <w:sz w:val="11"/>
                <w:szCs w:val="11"/>
                <w:b w:val="1"/>
                <w:bCs w:val="1"/>
                <w:color w:val="auto"/>
              </w:rPr>
              <w:t>Three months ended 9/30/2023</w:t>
            </w:r>
          </w:p>
        </w:tc>
        <w:tc>
          <w:tcPr>
            <w:tcW w:w="3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4"/>
            <w:vMerge w:val="restart"/>
          </w:tcPr>
          <w:p>
            <w:pPr>
              <w:ind w:left="100"/>
              <w:spacing w:after="0"/>
              <w:rPr>
                <w:sz w:val="20"/>
                <w:szCs w:val="20"/>
                <w:color w:val="auto"/>
              </w:rPr>
            </w:pPr>
            <w:r>
              <w:rPr>
                <w:rFonts w:ascii="Arial" w:cs="Arial" w:eastAsia="Arial" w:hAnsi="Arial"/>
                <w:sz w:val="11"/>
                <w:szCs w:val="11"/>
                <w:b w:val="1"/>
                <w:bCs w:val="1"/>
                <w:color w:val="auto"/>
              </w:rPr>
              <w:t>Operating</w:t>
            </w:r>
          </w:p>
        </w:tc>
        <w:tc>
          <w:tcPr>
            <w:tcW w:w="100" w:type="dxa"/>
            <w:vAlign w:val="bottom"/>
          </w:tcPr>
          <w:p>
            <w:pPr>
              <w:spacing w:after="0"/>
              <w:rPr>
                <w:sz w:val="9"/>
                <w:szCs w:val="9"/>
                <w:color w:val="auto"/>
              </w:rPr>
            </w:pPr>
          </w:p>
        </w:tc>
        <w:tc>
          <w:tcPr>
            <w:tcW w:w="1040" w:type="dxa"/>
            <w:vAlign w:val="bottom"/>
            <w:gridSpan w:val="3"/>
            <w:vMerge w:val="restart"/>
          </w:tcPr>
          <w:p>
            <w:pPr>
              <w:jc w:val="center"/>
              <w:ind w:right="220"/>
              <w:spacing w:after="0"/>
              <w:rPr>
                <w:sz w:val="20"/>
                <w:szCs w:val="20"/>
                <w:color w:val="auto"/>
              </w:rPr>
            </w:pPr>
            <w:r>
              <w:rPr>
                <w:rFonts w:ascii="Arial" w:cs="Arial" w:eastAsia="Arial" w:hAnsi="Arial"/>
                <w:sz w:val="11"/>
                <w:szCs w:val="11"/>
                <w:b w:val="1"/>
                <w:bCs w:val="1"/>
                <w:color w:val="auto"/>
              </w:rPr>
              <w:t>Net operating</w:t>
            </w:r>
          </w:p>
        </w:tc>
        <w:tc>
          <w:tcPr>
            <w:tcW w:w="100" w:type="dxa"/>
            <w:vAlign w:val="bottom"/>
          </w:tcPr>
          <w:p>
            <w:pPr>
              <w:spacing w:after="0"/>
              <w:rPr>
                <w:sz w:val="9"/>
                <w:szCs w:val="9"/>
                <w:color w:val="auto"/>
              </w:rPr>
            </w:pPr>
          </w:p>
        </w:tc>
        <w:tc>
          <w:tcPr>
            <w:tcW w:w="1040" w:type="dxa"/>
            <w:vAlign w:val="bottom"/>
            <w:gridSpan w:val="3"/>
            <w:vMerge w:val="restart"/>
          </w:tcPr>
          <w:p>
            <w:pPr>
              <w:jc w:val="center"/>
              <w:ind w:right="220"/>
              <w:spacing w:after="0"/>
              <w:rPr>
                <w:sz w:val="20"/>
                <w:szCs w:val="20"/>
                <w:color w:val="auto"/>
              </w:rPr>
            </w:pPr>
            <w:r>
              <w:rPr>
                <w:rFonts w:ascii="Arial" w:cs="Arial" w:eastAsia="Arial" w:hAnsi="Arial"/>
                <w:sz w:val="11"/>
                <w:szCs w:val="11"/>
                <w:b w:val="1"/>
                <w:bCs w:val="1"/>
                <w:color w:val="auto"/>
              </w:rPr>
              <w:t>Non-operating</w:t>
            </w:r>
          </w:p>
        </w:tc>
        <w:tc>
          <w:tcPr>
            <w:tcW w:w="114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Provision (benefit)</w:t>
            </w:r>
          </w:p>
        </w:tc>
        <w:tc>
          <w:tcPr>
            <w:tcW w:w="1420" w:type="dxa"/>
            <w:vAlign w:val="bottom"/>
            <w:gridSpan w:val="5"/>
          </w:tcPr>
          <w:p>
            <w:pPr>
              <w:ind w:left="20"/>
              <w:spacing w:after="0" w:line="108" w:lineRule="exact"/>
              <w:rPr>
                <w:sz w:val="20"/>
                <w:szCs w:val="20"/>
                <w:color w:val="auto"/>
              </w:rPr>
            </w:pPr>
            <w:r>
              <w:rPr>
                <w:rFonts w:ascii="Arial" w:cs="Arial" w:eastAsia="Arial" w:hAnsi="Arial"/>
                <w:sz w:val="11"/>
                <w:szCs w:val="11"/>
                <w:b w:val="1"/>
                <w:bCs w:val="1"/>
                <w:color w:val="auto"/>
              </w:rPr>
              <w:t>Net income attributable</w:t>
            </w:r>
          </w:p>
        </w:tc>
        <w:tc>
          <w:tcPr>
            <w:tcW w:w="104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Diluted earnings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1420" w:type="dxa"/>
            <w:vAlign w:val="bottom"/>
            <w:gridSpan w:val="5"/>
          </w:tcPr>
          <w:p>
            <w:pPr>
              <w:ind w:left="20"/>
              <w:spacing w:after="0" w:line="117" w:lineRule="exact"/>
              <w:rPr>
                <w:sz w:val="20"/>
                <w:szCs w:val="20"/>
                <w:color w:val="auto"/>
              </w:rPr>
            </w:pPr>
            <w:r>
              <w:rPr>
                <w:rFonts w:ascii="Arial" w:cs="Arial" w:eastAsia="Arial" w:hAnsi="Arial"/>
                <w:sz w:val="11"/>
                <w:szCs w:val="11"/>
                <w:b w:val="1"/>
                <w:bCs w:val="1"/>
                <w:color w:val="auto"/>
              </w:rPr>
              <w:t>to T. Rowe Price Group,</w:t>
            </w: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ind w:left="100"/>
              <w:spacing w:after="0"/>
              <w:rPr>
                <w:sz w:val="20"/>
                <w:szCs w:val="20"/>
                <w:color w:val="auto"/>
              </w:rPr>
            </w:pPr>
            <w:r>
              <w:rPr>
                <w:rFonts w:ascii="Arial" w:cs="Arial" w:eastAsia="Arial" w:hAnsi="Arial"/>
                <w:sz w:val="11"/>
                <w:szCs w:val="11"/>
                <w:b w:val="1"/>
                <w:bCs w:val="1"/>
                <w:color w:val="auto"/>
              </w:rPr>
              <w:t>expenses</w:t>
            </w:r>
          </w:p>
        </w:tc>
        <w:tc>
          <w:tcPr>
            <w:tcW w:w="100" w:type="dxa"/>
            <w:vAlign w:val="bottom"/>
          </w:tcPr>
          <w:p>
            <w:pPr>
              <w:spacing w:after="0"/>
              <w:rPr>
                <w:sz w:val="12"/>
                <w:szCs w:val="12"/>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rPr>
              <w:t>income</w:t>
            </w:r>
          </w:p>
        </w:tc>
        <w:tc>
          <w:tcPr>
            <w:tcW w:w="100" w:type="dxa"/>
            <w:vAlign w:val="bottom"/>
          </w:tcPr>
          <w:p>
            <w:pPr>
              <w:spacing w:after="0"/>
              <w:rPr>
                <w:sz w:val="12"/>
                <w:szCs w:val="12"/>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income (loss)</w:t>
            </w:r>
          </w:p>
        </w:tc>
        <w:tc>
          <w:tcPr>
            <w:tcW w:w="1140" w:type="dxa"/>
            <w:vAlign w:val="bottom"/>
            <w:gridSpan w:val="4"/>
          </w:tcPr>
          <w:p>
            <w:pPr>
              <w:ind w:left="20"/>
              <w:spacing w:after="0"/>
              <w:rPr>
                <w:sz w:val="20"/>
                <w:szCs w:val="20"/>
                <w:color w:val="auto"/>
              </w:rPr>
            </w:pPr>
            <w:r>
              <w:rPr>
                <w:rFonts w:ascii="Arial" w:cs="Arial" w:eastAsia="Arial" w:hAnsi="Arial"/>
                <w:sz w:val="11"/>
                <w:szCs w:val="11"/>
                <w:b w:val="1"/>
                <w:bCs w:val="1"/>
                <w:color w:val="auto"/>
              </w:rPr>
              <w:t>for income taxes</w:t>
            </w:r>
            <w:r>
              <w:rPr>
                <w:rFonts w:ascii="Arial" w:cs="Arial" w:eastAsia="Arial" w:hAnsi="Arial"/>
                <w:sz w:val="7"/>
                <w:szCs w:val="7"/>
                <w:b w:val="1"/>
                <w:bCs w:val="1"/>
                <w:color w:val="auto"/>
              </w:rPr>
              <w:t>(5)</w:t>
            </w:r>
          </w:p>
        </w:tc>
        <w:tc>
          <w:tcPr>
            <w:tcW w:w="320" w:type="dxa"/>
            <w:vAlign w:val="bottom"/>
          </w:tcPr>
          <w:p>
            <w:pPr>
              <w:spacing w:after="0"/>
              <w:rPr>
                <w:sz w:val="12"/>
                <w:szCs w:val="12"/>
                <w:color w:val="auto"/>
              </w:rPr>
            </w:pPr>
          </w:p>
        </w:tc>
        <w:tc>
          <w:tcPr>
            <w:tcW w:w="1100" w:type="dxa"/>
            <w:vAlign w:val="bottom"/>
            <w:gridSpan w:val="4"/>
          </w:tcPr>
          <w:p>
            <w:pPr>
              <w:jc w:val="center"/>
              <w:ind w:right="440"/>
              <w:spacing w:after="0"/>
              <w:rPr>
                <w:sz w:val="20"/>
                <w:szCs w:val="20"/>
                <w:color w:val="auto"/>
              </w:rPr>
            </w:pPr>
            <w:r>
              <w:rPr>
                <w:rFonts w:ascii="Arial" w:cs="Arial" w:eastAsia="Arial" w:hAnsi="Arial"/>
                <w:sz w:val="11"/>
                <w:szCs w:val="11"/>
                <w:b w:val="1"/>
                <w:bCs w:val="1"/>
                <w:color w:val="auto"/>
                <w:w w:val="94"/>
              </w:rPr>
              <w:t>Inc.</w:t>
            </w:r>
          </w:p>
        </w:tc>
        <w:tc>
          <w:tcPr>
            <w:tcW w:w="60" w:type="dxa"/>
            <w:vAlign w:val="bottom"/>
          </w:tcPr>
          <w:p>
            <w:pPr>
              <w:spacing w:after="0"/>
              <w:rPr>
                <w:sz w:val="12"/>
                <w:szCs w:val="12"/>
                <w:color w:val="auto"/>
              </w:rPr>
            </w:pPr>
          </w:p>
        </w:tc>
        <w:tc>
          <w:tcPr>
            <w:tcW w:w="980" w:type="dxa"/>
            <w:vAlign w:val="bottom"/>
          </w:tcPr>
          <w:p>
            <w:pPr>
              <w:jc w:val="center"/>
              <w:ind w:right="43"/>
              <w:spacing w:after="0"/>
              <w:rPr>
                <w:sz w:val="20"/>
                <w:szCs w:val="20"/>
                <w:color w:val="auto"/>
              </w:rPr>
            </w:pPr>
            <w:r>
              <w:rPr>
                <w:rFonts w:ascii="Arial" w:cs="Arial" w:eastAsia="Arial" w:hAnsi="Arial"/>
                <w:sz w:val="11"/>
                <w:szCs w:val="11"/>
                <w:b w:val="1"/>
                <w:bCs w:val="1"/>
                <w:color w:val="auto"/>
              </w:rPr>
              <w:t>per share</w:t>
            </w:r>
            <w:r>
              <w:rPr>
                <w:rFonts w:ascii="Arial" w:cs="Arial" w:eastAsia="Arial" w:hAnsi="Arial"/>
                <w:sz w:val="7"/>
                <w:szCs w:val="7"/>
                <w:b w:val="1"/>
                <w:bCs w:val="1"/>
                <w:color w:val="auto"/>
              </w:rPr>
              <w:t>(6)</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U.S. GAAP Basis (FS line item)</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1,089.4</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581.3</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144.9</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453.2</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0"/>
              <w:spacing w:after="0" w:line="148" w:lineRule="exact"/>
              <w:rPr>
                <w:sz w:val="20"/>
                <w:szCs w:val="20"/>
                <w:color w:val="auto"/>
              </w:rPr>
            </w:pPr>
            <w:r>
              <w:rPr>
                <w:rFonts w:ascii="Arial" w:cs="Arial" w:eastAsia="Arial" w:hAnsi="Arial"/>
                <w:sz w:val="13"/>
                <w:szCs w:val="13"/>
                <w:color w:val="auto"/>
              </w:rPr>
              <w:t>Non-GAAP adjustments: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Acquisition-related:</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160" w:type="dxa"/>
            <w:vAlign w:val="bottom"/>
            <w:gridSpan w:val="2"/>
          </w:tcPr>
          <w:p>
            <w:pPr>
              <w:ind w:left="100"/>
              <w:spacing w:after="0" w:line="127" w:lineRule="exact"/>
              <w:rPr>
                <w:sz w:val="20"/>
                <w:szCs w:val="20"/>
                <w:color w:val="auto"/>
              </w:rPr>
            </w:pPr>
            <w:r>
              <w:rPr>
                <w:rFonts w:ascii="Arial" w:cs="Arial" w:eastAsia="Arial" w:hAnsi="Arial"/>
                <w:sz w:val="11"/>
                <w:szCs w:val="11"/>
                <w:color w:val="auto"/>
              </w:rPr>
              <w:t>Investment and NCI amortization and impairments</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(Capital allocation-</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gridSpan w:val="2"/>
          </w:tcPr>
          <w:p>
            <w:pPr>
              <w:ind w:left="100"/>
              <w:spacing w:after="0"/>
              <w:rPr>
                <w:sz w:val="20"/>
                <w:szCs w:val="20"/>
                <w:color w:val="auto"/>
              </w:rPr>
            </w:pPr>
            <w:r>
              <w:rPr>
                <w:rFonts w:ascii="Arial" w:cs="Arial" w:eastAsia="Arial" w:hAnsi="Arial"/>
                <w:sz w:val="13"/>
                <w:szCs w:val="13"/>
                <w:color w:val="auto"/>
              </w:rPr>
              <w:t>based income and Compensation and related costs)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15.2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0.04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60" w:type="dxa"/>
            <w:vAlign w:val="bottom"/>
            <w:gridSpan w:val="2"/>
            <w:shd w:val="clear" w:color="auto" w:fill="CCEEFF"/>
          </w:tcPr>
          <w:p>
            <w:pPr>
              <w:ind w:left="100"/>
              <w:spacing w:after="0" w:line="129" w:lineRule="exact"/>
              <w:rPr>
                <w:sz w:val="20"/>
                <w:szCs w:val="20"/>
                <w:color w:val="auto"/>
              </w:rPr>
            </w:pPr>
            <w:r>
              <w:rPr>
                <w:rFonts w:ascii="Arial" w:cs="Arial" w:eastAsia="Arial" w:hAnsi="Arial"/>
                <w:sz w:val="11"/>
                <w:szCs w:val="11"/>
                <w:color w:val="auto"/>
              </w:rPr>
              <w:t>Acquisition-related retention arrangements</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(Compensation and</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related costs)</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0.04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40" w:type="dxa"/>
            <w:vAlign w:val="bottom"/>
            <w:tcBorders>
              <w:bottom w:val="single" w:sz="8" w:color="CCEEFF"/>
            </w:tcBorders>
          </w:tcPr>
          <w:p>
            <w:pPr>
              <w:ind w:left="100"/>
              <w:spacing w:after="0" w:line="170" w:lineRule="exact"/>
              <w:rPr>
                <w:sz w:val="20"/>
                <w:szCs w:val="20"/>
                <w:color w:val="auto"/>
              </w:rPr>
            </w:pPr>
            <w:r>
              <w:rPr>
                <w:rFonts w:ascii="Arial" w:cs="Arial" w:eastAsia="Arial" w:hAnsi="Arial"/>
                <w:sz w:val="13"/>
                <w:szCs w:val="13"/>
                <w:color w:val="auto"/>
              </w:rPr>
              <w:t>Intangible assets amortization and impairments</w:t>
            </w:r>
            <w:r>
              <w:rPr>
                <w:rFonts w:ascii="Arial" w:cs="Arial" w:eastAsia="Arial" w:hAnsi="Arial"/>
                <w:sz w:val="16"/>
                <w:szCs w:val="16"/>
                <w:color w:val="auto"/>
                <w:vertAlign w:val="superscript"/>
              </w:rPr>
              <w:t>(1)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(38.5)</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38.5</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gridSpan w:val="2"/>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26.8</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0.12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1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Total acquisition-related</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67.4</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0.20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140" w:type="dxa"/>
            <w:vAlign w:val="bottom"/>
          </w:tcPr>
          <w:p>
            <w:pPr>
              <w:ind w:left="20"/>
              <w:spacing w:after="0" w:line="150"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 related costs)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(14.2)</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19.7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0.02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6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3"/>
                <w:szCs w:val="13"/>
                <w:color w:val="auto"/>
              </w:rPr>
              <w:t>Consolidated T. Rowe Price investment products</w:t>
            </w:r>
            <w:r>
              <w:rPr>
                <w:rFonts w:ascii="Arial" w:cs="Arial" w:eastAsia="Arial" w:hAnsi="Arial"/>
                <w:sz w:val="16"/>
                <w:szCs w:val="16"/>
                <w:color w:val="auto"/>
                <w:vertAlign w:val="superscript"/>
              </w:rPr>
              <w:t>(3)</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0.03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4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Other non-operating income</w:t>
            </w:r>
            <w:r>
              <w:rPr>
                <w:rFonts w:ascii="Arial" w:cs="Arial" w:eastAsia="Arial" w:hAnsi="Arial"/>
                <w:sz w:val="16"/>
                <w:szCs w:val="16"/>
                <w:color w:val="auto"/>
                <w:vertAlign w:val="superscript"/>
              </w:rPr>
              <w:t>(4)</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Adjusted Non-GAAP Basis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1,061.3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635.9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499.5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0" w:right="35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auto"/>
        </w:rPr>
        <w:t>The following schedules reconcile certain U.S. GAAP financial measures for the nine months ended September 30,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160" w:type="dxa"/>
            <w:vAlign w:val="bottom"/>
            <w:tcBorders>
              <w:bottom w:val="single" w:sz="8" w:color="auto"/>
            </w:tcBorders>
            <w:gridSpan w:val="5"/>
            <w:shd w:val="clear" w:color="auto" w:fill="CCEEFF"/>
          </w:tcPr>
          <w:p>
            <w:pPr>
              <w:ind w:left="320"/>
              <w:spacing w:after="0"/>
              <w:rPr>
                <w:sz w:val="20"/>
                <w:szCs w:val="20"/>
                <w:color w:val="auto"/>
              </w:rPr>
            </w:pPr>
            <w:r>
              <w:rPr>
                <w:rFonts w:ascii="Arial" w:cs="Arial" w:eastAsia="Arial" w:hAnsi="Arial"/>
                <w:sz w:val="11"/>
                <w:szCs w:val="11"/>
                <w:b w:val="1"/>
                <w:bCs w:val="1"/>
                <w:color w:val="auto"/>
              </w:rPr>
              <w:t>Nine months ended 9/30/2024</w:t>
            </w:r>
          </w:p>
        </w:tc>
        <w:tc>
          <w:tcPr>
            <w:tcW w:w="3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Operating</w:t>
            </w:r>
          </w:p>
        </w:tc>
        <w:tc>
          <w:tcPr>
            <w:tcW w:w="120" w:type="dxa"/>
            <w:vAlign w:val="bottom"/>
          </w:tcPr>
          <w:p>
            <w:pPr>
              <w:spacing w:after="0"/>
              <w:rPr>
                <w:sz w:val="9"/>
                <w:szCs w:val="9"/>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Net operating</w:t>
            </w:r>
          </w:p>
        </w:tc>
        <w:tc>
          <w:tcPr>
            <w:tcW w:w="100" w:type="dxa"/>
            <w:vAlign w:val="bottom"/>
          </w:tcPr>
          <w:p>
            <w:pPr>
              <w:spacing w:after="0"/>
              <w:rPr>
                <w:sz w:val="9"/>
                <w:szCs w:val="9"/>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rPr>
              <w:t>Non-operating</w:t>
            </w:r>
          </w:p>
        </w:tc>
        <w:tc>
          <w:tcPr>
            <w:tcW w:w="11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Provision (benefit)</w:t>
            </w:r>
          </w:p>
        </w:tc>
        <w:tc>
          <w:tcPr>
            <w:tcW w:w="1400" w:type="dxa"/>
            <w:vAlign w:val="bottom"/>
            <w:gridSpan w:val="3"/>
          </w:tcPr>
          <w:p>
            <w:pPr>
              <w:ind w:left="20"/>
              <w:spacing w:after="0" w:line="112" w:lineRule="exact"/>
              <w:rPr>
                <w:sz w:val="20"/>
                <w:szCs w:val="20"/>
                <w:color w:val="auto"/>
              </w:rPr>
            </w:pPr>
            <w:r>
              <w:rPr>
                <w:rFonts w:ascii="Arial" w:cs="Arial" w:eastAsia="Arial" w:hAnsi="Arial"/>
                <w:sz w:val="11"/>
                <w:szCs w:val="11"/>
                <w:b w:val="1"/>
                <w:bCs w:val="1"/>
                <w:color w:val="auto"/>
              </w:rPr>
              <w:t>Net income attributable</w:t>
            </w:r>
          </w:p>
        </w:tc>
        <w:tc>
          <w:tcPr>
            <w:tcW w:w="80" w:type="dxa"/>
            <w:vAlign w:val="bottom"/>
          </w:tcPr>
          <w:p>
            <w:pPr>
              <w:spacing w:after="0"/>
              <w:rPr>
                <w:sz w:val="9"/>
                <w:szCs w:val="9"/>
                <w:color w:val="auto"/>
              </w:rPr>
            </w:pPr>
          </w:p>
        </w:tc>
        <w:tc>
          <w:tcPr>
            <w:tcW w:w="960" w:type="dxa"/>
            <w:vAlign w:val="bottom"/>
            <w:vMerge w:val="restart"/>
          </w:tcPr>
          <w:p>
            <w:pPr>
              <w:jc w:val="center"/>
              <w:ind w:right="23"/>
              <w:spacing w:after="0"/>
              <w:rPr>
                <w:sz w:val="20"/>
                <w:szCs w:val="20"/>
                <w:color w:val="auto"/>
              </w:rPr>
            </w:pPr>
            <w:r>
              <w:rPr>
                <w:rFonts w:ascii="Arial" w:cs="Arial" w:eastAsia="Arial" w:hAnsi="Arial"/>
                <w:sz w:val="11"/>
                <w:szCs w:val="11"/>
                <w:b w:val="1"/>
                <w:bCs w:val="1"/>
                <w:color w:val="auto"/>
              </w:rPr>
              <w:t>Diluted earnings</w:t>
            </w:r>
          </w:p>
        </w:tc>
        <w:tc>
          <w:tcPr>
            <w:tcW w:w="0" w:type="dxa"/>
            <w:vAlign w:val="bottom"/>
          </w:tcPr>
          <w:p>
            <w:pPr>
              <w:spacing w:after="0"/>
              <w:rPr>
                <w:sz w:val="1"/>
                <w:szCs w:val="1"/>
                <w:color w:val="auto"/>
              </w:rPr>
            </w:pPr>
          </w:p>
        </w:tc>
      </w:tr>
      <w:tr>
        <w:trPr>
          <w:trHeight w:val="112"/>
        </w:trPr>
        <w:tc>
          <w:tcPr>
            <w:tcW w:w="4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1400" w:type="dxa"/>
            <w:vAlign w:val="bottom"/>
            <w:gridSpan w:val="3"/>
          </w:tcPr>
          <w:p>
            <w:pPr>
              <w:ind w:left="20"/>
              <w:spacing w:after="0" w:line="113" w:lineRule="exact"/>
              <w:rPr>
                <w:sz w:val="20"/>
                <w:szCs w:val="20"/>
                <w:color w:val="auto"/>
              </w:rPr>
            </w:pPr>
            <w:r>
              <w:rPr>
                <w:rFonts w:ascii="Arial" w:cs="Arial" w:eastAsia="Arial" w:hAnsi="Arial"/>
                <w:sz w:val="11"/>
                <w:szCs w:val="11"/>
                <w:b w:val="1"/>
                <w:bCs w:val="1"/>
                <w:color w:val="auto"/>
              </w:rPr>
              <w:t>to T. Rowe Price Group,</w:t>
            </w:r>
          </w:p>
        </w:tc>
        <w:tc>
          <w:tcPr>
            <w:tcW w:w="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expenses</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income</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income (loss)</w:t>
            </w:r>
          </w:p>
        </w:tc>
        <w:tc>
          <w:tcPr>
            <w:tcW w:w="1140" w:type="dxa"/>
            <w:vAlign w:val="bottom"/>
            <w:gridSpan w:val="3"/>
          </w:tcPr>
          <w:p>
            <w:pPr>
              <w:ind w:left="40"/>
              <w:spacing w:after="0" w:line="149" w:lineRule="exact"/>
              <w:rPr>
                <w:sz w:val="20"/>
                <w:szCs w:val="20"/>
                <w:color w:val="auto"/>
              </w:rPr>
            </w:pPr>
            <w:r>
              <w:rPr>
                <w:rFonts w:ascii="Arial" w:cs="Arial" w:eastAsia="Arial" w:hAnsi="Arial"/>
                <w:sz w:val="11"/>
                <w:szCs w:val="11"/>
                <w:b w:val="1"/>
                <w:bCs w:val="1"/>
                <w:color w:val="auto"/>
              </w:rPr>
              <w:t>for income taxes</w:t>
            </w:r>
            <w:r>
              <w:rPr>
                <w:rFonts w:ascii="Arial" w:cs="Arial" w:eastAsia="Arial" w:hAnsi="Arial"/>
                <w:sz w:val="14"/>
                <w:szCs w:val="14"/>
                <w:b w:val="1"/>
                <w:bCs w:val="1"/>
                <w:color w:val="auto"/>
                <w:vertAlign w:val="superscript"/>
              </w:rPr>
              <w:t>(5)</w:t>
            </w:r>
          </w:p>
        </w:tc>
        <w:tc>
          <w:tcPr>
            <w:tcW w:w="320" w:type="dxa"/>
            <w:vAlign w:val="bottom"/>
          </w:tcPr>
          <w:p>
            <w:pPr>
              <w:spacing w:after="0"/>
              <w:rPr>
                <w:sz w:val="12"/>
                <w:szCs w:val="12"/>
                <w:color w:val="auto"/>
              </w:rPr>
            </w:pPr>
          </w:p>
        </w:tc>
        <w:tc>
          <w:tcPr>
            <w:tcW w:w="1080" w:type="dxa"/>
            <w:vAlign w:val="bottom"/>
            <w:gridSpan w:val="2"/>
          </w:tcPr>
          <w:p>
            <w:pPr>
              <w:ind w:left="240"/>
              <w:spacing w:after="0"/>
              <w:rPr>
                <w:sz w:val="20"/>
                <w:szCs w:val="20"/>
                <w:color w:val="auto"/>
              </w:rPr>
            </w:pPr>
            <w:r>
              <w:rPr>
                <w:rFonts w:ascii="Arial" w:cs="Arial" w:eastAsia="Arial" w:hAnsi="Arial"/>
                <w:sz w:val="11"/>
                <w:szCs w:val="11"/>
                <w:b w:val="1"/>
                <w:bCs w:val="1"/>
                <w:color w:val="auto"/>
              </w:rPr>
              <w:t>Inc.</w:t>
            </w:r>
          </w:p>
        </w:tc>
        <w:tc>
          <w:tcPr>
            <w:tcW w:w="80" w:type="dxa"/>
            <w:vAlign w:val="bottom"/>
          </w:tcPr>
          <w:p>
            <w:pPr>
              <w:spacing w:after="0"/>
              <w:rPr>
                <w:sz w:val="12"/>
                <w:szCs w:val="12"/>
                <w:color w:val="auto"/>
              </w:rPr>
            </w:pPr>
          </w:p>
        </w:tc>
        <w:tc>
          <w:tcPr>
            <w:tcW w:w="960" w:type="dxa"/>
            <w:vAlign w:val="bottom"/>
          </w:tcPr>
          <w:p>
            <w:pPr>
              <w:jc w:val="center"/>
              <w:ind w:right="23"/>
              <w:spacing w:after="0" w:line="149" w:lineRule="exact"/>
              <w:rPr>
                <w:sz w:val="20"/>
                <w:szCs w:val="20"/>
                <w:color w:val="auto"/>
              </w:rPr>
            </w:pPr>
            <w:r>
              <w:rPr>
                <w:rFonts w:ascii="Arial" w:cs="Arial" w:eastAsia="Arial" w:hAnsi="Arial"/>
                <w:sz w:val="11"/>
                <w:szCs w:val="11"/>
                <w:b w:val="1"/>
                <w:bCs w:val="1"/>
                <w:color w:val="auto"/>
                <w:w w:val="98"/>
              </w:rPr>
              <w:t>per share</w:t>
            </w:r>
            <w:r>
              <w:rPr>
                <w:rFonts w:ascii="Arial" w:cs="Arial" w:eastAsia="Arial" w:hAnsi="Arial"/>
                <w:sz w:val="14"/>
                <w:szCs w:val="14"/>
                <w:b w:val="1"/>
                <w:bCs w:val="1"/>
                <w:color w:val="auto"/>
                <w:w w:val="98"/>
                <w:vertAlign w:val="superscript"/>
              </w:rPr>
              <w:t>(6)</w:t>
            </w:r>
          </w:p>
        </w:tc>
        <w:tc>
          <w:tcPr>
            <w:tcW w:w="0" w:type="dxa"/>
            <w:vAlign w:val="bottom"/>
          </w:tcPr>
          <w:p>
            <w:pPr>
              <w:spacing w:after="0"/>
              <w:rPr>
                <w:sz w:val="1"/>
                <w:szCs w:val="1"/>
                <w:color w:val="auto"/>
              </w:rPr>
            </w:pPr>
          </w:p>
        </w:tc>
      </w:tr>
      <w:tr>
        <w:trPr>
          <w:trHeight w:val="150"/>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U.S. GAAP Basis (FS line item)</w:t>
            </w: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3,504.2</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1,764.9</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481.7</w:t>
            </w: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527.5</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1,660.2</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7.23</w:t>
            </w:r>
          </w:p>
        </w:tc>
        <w:tc>
          <w:tcPr>
            <w:tcW w:w="0" w:type="dxa"/>
            <w:vAlign w:val="bottom"/>
          </w:tcPr>
          <w:p>
            <w:pPr>
              <w:spacing w:after="0"/>
              <w:rPr>
                <w:sz w:val="1"/>
                <w:szCs w:val="1"/>
                <w:color w:val="auto"/>
              </w:rPr>
            </w:pPr>
          </w:p>
        </w:tc>
      </w:tr>
      <w:tr>
        <w:trPr>
          <w:trHeight w:val="149"/>
        </w:trPr>
        <w:tc>
          <w:tcPr>
            <w:tcW w:w="4300" w:type="dxa"/>
            <w:vAlign w:val="bottom"/>
          </w:tcPr>
          <w:p>
            <w:pPr>
              <w:ind w:left="20"/>
              <w:spacing w:after="0" w:line="148" w:lineRule="exact"/>
              <w:rPr>
                <w:sz w:val="20"/>
                <w:szCs w:val="20"/>
                <w:color w:val="auto"/>
              </w:rPr>
            </w:pPr>
            <w:r>
              <w:rPr>
                <w:rFonts w:ascii="Arial" w:cs="Arial" w:eastAsia="Arial" w:hAnsi="Arial"/>
                <w:sz w:val="13"/>
                <w:szCs w:val="13"/>
                <w:color w:val="auto"/>
              </w:rPr>
              <w:t>Non-GAAP adjustments:</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Acquisition-related:</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300" w:type="dxa"/>
            <w:vAlign w:val="bottom"/>
          </w:tcPr>
          <w:p>
            <w:pPr>
              <w:ind w:left="100"/>
              <w:spacing w:after="0" w:line="127" w:lineRule="exact"/>
              <w:rPr>
                <w:sz w:val="20"/>
                <w:szCs w:val="20"/>
                <w:color w:val="auto"/>
              </w:rPr>
            </w:pPr>
            <w:r>
              <w:rPr>
                <w:rFonts w:ascii="Arial" w:cs="Arial" w:eastAsia="Arial" w:hAnsi="Arial"/>
                <w:sz w:val="11"/>
                <w:szCs w:val="11"/>
                <w:color w:val="auto"/>
              </w:rPr>
              <w:t>Investment and NCI amortization and impairments</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(Capital allocation-</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300" w:type="dxa"/>
            <w:vAlign w:val="bottom"/>
          </w:tcPr>
          <w:p>
            <w:pPr>
              <w:ind w:left="100"/>
              <w:spacing w:after="0"/>
              <w:rPr>
                <w:sz w:val="20"/>
                <w:szCs w:val="20"/>
                <w:color w:val="auto"/>
              </w:rPr>
            </w:pPr>
            <w:r>
              <w:rPr>
                <w:rFonts w:ascii="Arial" w:cs="Arial" w:eastAsia="Arial" w:hAnsi="Arial"/>
                <w:sz w:val="13"/>
                <w:szCs w:val="13"/>
                <w:color w:val="auto"/>
              </w:rPr>
              <w:t>based income and Compensation and related costs)</w:t>
            </w:r>
          </w:p>
        </w:tc>
        <w:tc>
          <w:tcPr>
            <w:tcW w:w="160" w:type="dxa"/>
            <w:vAlign w:val="bottom"/>
          </w:tcPr>
          <w:p>
            <w:pPr>
              <w:spacing w:after="0"/>
              <w:rPr>
                <w:sz w:val="14"/>
                <w:szCs w:val="14"/>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29.8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4"/>
                <w:szCs w:val="1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7.8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0.14</w:t>
            </w:r>
          </w:p>
        </w:tc>
        <w:tc>
          <w:tcPr>
            <w:tcW w:w="0" w:type="dxa"/>
            <w:vAlign w:val="bottom"/>
          </w:tcPr>
          <w:p>
            <w:pPr>
              <w:spacing w:after="0"/>
              <w:rPr>
                <w:sz w:val="1"/>
                <w:szCs w:val="1"/>
                <w:color w:val="auto"/>
              </w:rPr>
            </w:pPr>
          </w:p>
        </w:tc>
      </w:tr>
      <w:tr>
        <w:trPr>
          <w:trHeight w:val="129"/>
        </w:trPr>
        <w:tc>
          <w:tcPr>
            <w:tcW w:w="4300" w:type="dxa"/>
            <w:vAlign w:val="bottom"/>
            <w:shd w:val="clear" w:color="auto" w:fill="CCEEFF"/>
          </w:tcPr>
          <w:p>
            <w:pPr>
              <w:ind w:left="100"/>
              <w:spacing w:after="0" w:line="129" w:lineRule="exact"/>
              <w:rPr>
                <w:sz w:val="20"/>
                <w:szCs w:val="20"/>
                <w:color w:val="auto"/>
              </w:rPr>
            </w:pPr>
            <w:r>
              <w:rPr>
                <w:rFonts w:ascii="Arial" w:cs="Arial" w:eastAsia="Arial" w:hAnsi="Arial"/>
                <w:sz w:val="11"/>
                <w:szCs w:val="11"/>
                <w:color w:val="auto"/>
              </w:rPr>
              <w:t>Acquisition-related retention arrangements</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(Compensation and related</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costs)</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0.10</w:t>
            </w:r>
          </w:p>
        </w:tc>
        <w:tc>
          <w:tcPr>
            <w:tcW w:w="0" w:type="dxa"/>
            <w:vAlign w:val="bottom"/>
          </w:tcPr>
          <w:p>
            <w:pPr>
              <w:spacing w:after="0"/>
              <w:rPr>
                <w:sz w:val="1"/>
                <w:szCs w:val="1"/>
                <w:color w:val="auto"/>
              </w:rPr>
            </w:pPr>
          </w:p>
        </w:tc>
      </w:tr>
      <w:tr>
        <w:trPr>
          <w:trHeight w:val="170"/>
        </w:trPr>
        <w:tc>
          <w:tcPr>
            <w:tcW w:w="4300" w:type="dxa"/>
            <w:vAlign w:val="bottom"/>
          </w:tcPr>
          <w:p>
            <w:pPr>
              <w:ind w:left="100"/>
              <w:spacing w:after="0" w:line="170" w:lineRule="exact"/>
              <w:rPr>
                <w:sz w:val="20"/>
                <w:szCs w:val="20"/>
                <w:color w:val="auto"/>
              </w:rPr>
            </w:pPr>
            <w:r>
              <w:rPr>
                <w:rFonts w:ascii="Arial" w:cs="Arial" w:eastAsia="Arial" w:hAnsi="Arial"/>
                <w:sz w:val="13"/>
                <w:szCs w:val="13"/>
                <w:color w:val="auto"/>
              </w:rPr>
              <w:t>Contingent consideration</w:t>
            </w:r>
            <w:r>
              <w:rPr>
                <w:rFonts w:ascii="Arial" w:cs="Arial" w:eastAsia="Arial" w:hAnsi="Arial"/>
                <w:sz w:val="16"/>
                <w:szCs w:val="16"/>
                <w:color w:val="auto"/>
                <w:vertAlign w:val="superscript"/>
              </w:rPr>
              <w:t>(1)</w:t>
            </w:r>
          </w:p>
        </w:tc>
        <w:tc>
          <w:tcPr>
            <w:tcW w:w="160" w:type="dxa"/>
            <w:vAlign w:val="bottom"/>
          </w:tcPr>
          <w:p>
            <w:pPr>
              <w:spacing w:after="0"/>
              <w:rPr>
                <w:sz w:val="14"/>
                <w:szCs w:val="14"/>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(0.05)</w:t>
            </w:r>
          </w:p>
        </w:tc>
        <w:tc>
          <w:tcPr>
            <w:tcW w:w="0" w:type="dxa"/>
            <w:vAlign w:val="bottom"/>
          </w:tcPr>
          <w:p>
            <w:pPr>
              <w:spacing w:after="0"/>
              <w:rPr>
                <w:sz w:val="1"/>
                <w:szCs w:val="1"/>
                <w:color w:val="auto"/>
              </w:rPr>
            </w:pPr>
          </w:p>
        </w:tc>
      </w:tr>
      <w:tr>
        <w:trPr>
          <w:trHeight w:val="170"/>
        </w:trPr>
        <w:tc>
          <w:tcPr>
            <w:tcW w:w="4300" w:type="dxa"/>
            <w:vAlign w:val="bottom"/>
            <w:shd w:val="clear" w:color="auto" w:fill="CCEEFF"/>
          </w:tcPr>
          <w:p>
            <w:pPr>
              <w:ind w:left="100"/>
              <w:spacing w:after="0" w:line="170" w:lineRule="exact"/>
              <w:rPr>
                <w:sz w:val="20"/>
                <w:szCs w:val="20"/>
                <w:color w:val="auto"/>
              </w:rPr>
            </w:pPr>
            <w:r>
              <w:rPr>
                <w:rFonts w:ascii="Arial" w:cs="Arial" w:eastAsia="Arial" w:hAnsi="Arial"/>
                <w:sz w:val="13"/>
                <w:szCs w:val="13"/>
                <w:color w:val="auto"/>
              </w:rPr>
              <w:t>Intangible assets amortization and impairments</w:t>
            </w:r>
            <w:r>
              <w:rPr>
                <w:rFonts w:ascii="Arial" w:cs="Arial" w:eastAsia="Arial" w:hAnsi="Arial"/>
                <w:sz w:val="16"/>
                <w:szCs w:val="16"/>
                <w:color w:val="auto"/>
                <w:vertAlign w:val="superscript"/>
              </w:rPr>
              <w:t>(1)</w:t>
            </w: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(125.3)</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125.3</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24.9</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0.44</w:t>
            </w:r>
          </w:p>
        </w:tc>
        <w:tc>
          <w:tcPr>
            <w:tcW w:w="0" w:type="dxa"/>
            <w:vAlign w:val="bottom"/>
          </w:tcPr>
          <w:p>
            <w:pPr>
              <w:spacing w:after="0"/>
              <w:rPr>
                <w:sz w:val="1"/>
                <w:szCs w:val="1"/>
                <w:color w:val="auto"/>
              </w:rPr>
            </w:pPr>
          </w:p>
        </w:tc>
      </w:tr>
      <w:tr>
        <w:trPr>
          <w:trHeight w:val="149"/>
        </w:trPr>
        <w:tc>
          <w:tcPr>
            <w:tcW w:w="4300" w:type="dxa"/>
            <w:vAlign w:val="bottom"/>
          </w:tcPr>
          <w:p>
            <w:pPr>
              <w:ind w:left="100"/>
              <w:spacing w:after="0" w:line="148" w:lineRule="exact"/>
              <w:rPr>
                <w:sz w:val="20"/>
                <w:szCs w:val="20"/>
                <w:color w:val="auto"/>
              </w:rPr>
            </w:pPr>
            <w:r>
              <w:rPr>
                <w:rFonts w:ascii="Arial" w:cs="Arial" w:eastAsia="Arial" w:hAnsi="Arial"/>
                <w:sz w:val="13"/>
                <w:szCs w:val="13"/>
                <w:color w:val="auto"/>
              </w:rPr>
              <w:t>Total acquisition-related</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182.5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38.1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144.4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0.63</w:t>
            </w:r>
          </w:p>
        </w:tc>
        <w:tc>
          <w:tcPr>
            <w:tcW w:w="0" w:type="dxa"/>
            <w:vAlign w:val="bottom"/>
          </w:tcPr>
          <w:p>
            <w:pPr>
              <w:spacing w:after="0"/>
              <w:rPr>
                <w:sz w:val="1"/>
                <w:szCs w:val="1"/>
                <w:color w:val="auto"/>
              </w:rPr>
            </w:pPr>
          </w:p>
        </w:tc>
      </w:tr>
      <w:tr>
        <w:trPr>
          <w:trHeight w:val="151"/>
        </w:trPr>
        <w:tc>
          <w:tcPr>
            <w:tcW w:w="4300" w:type="dxa"/>
            <w:vAlign w:val="bottom"/>
            <w:tcBorders>
              <w:top w:val="single" w:sz="8" w:color="CCEEFF"/>
            </w:tcBorders>
            <w:shd w:val="clear" w:color="auto" w:fill="CCEEFF"/>
          </w:tcPr>
          <w:p>
            <w:pPr>
              <w:ind w:left="20"/>
              <w:spacing w:after="0" w:line="151"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 related costs)</w:t>
            </w: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111.0</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(105.6)</w:t>
            </w: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0.02</w:t>
            </w:r>
          </w:p>
        </w:tc>
        <w:tc>
          <w:tcPr>
            <w:tcW w:w="0" w:type="dxa"/>
            <w:vAlign w:val="bottom"/>
          </w:tcPr>
          <w:p>
            <w:pPr>
              <w:spacing w:after="0"/>
              <w:rPr>
                <w:sz w:val="1"/>
                <w:szCs w:val="1"/>
                <w:color w:val="auto"/>
              </w:rPr>
            </w:pPr>
          </w:p>
        </w:tc>
      </w:tr>
      <w:tr>
        <w:trPr>
          <w:trHeight w:val="170"/>
        </w:trPr>
        <w:tc>
          <w:tcPr>
            <w:tcW w:w="4300" w:type="dxa"/>
            <w:vAlign w:val="bottom"/>
          </w:tcPr>
          <w:p>
            <w:pPr>
              <w:ind w:left="20"/>
              <w:spacing w:after="0" w:line="170" w:lineRule="exact"/>
              <w:rPr>
                <w:sz w:val="20"/>
                <w:szCs w:val="20"/>
                <w:color w:val="auto"/>
              </w:rPr>
            </w:pPr>
            <w:r>
              <w:rPr>
                <w:rFonts w:ascii="Arial" w:cs="Arial" w:eastAsia="Arial" w:hAnsi="Arial"/>
                <w:sz w:val="13"/>
                <w:szCs w:val="13"/>
                <w:color w:val="auto"/>
              </w:rPr>
              <w:t>Consolidated T. Rowe Price investment products</w:t>
            </w:r>
            <w:r>
              <w:rPr>
                <w:rFonts w:ascii="Arial" w:cs="Arial" w:eastAsia="Arial" w:hAnsi="Arial"/>
                <w:sz w:val="16"/>
                <w:szCs w:val="16"/>
                <w:color w:val="auto"/>
                <w:vertAlign w:val="superscript"/>
              </w:rPr>
              <w:t>(3)</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(166.7)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(79.3)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(0.35)</w:t>
            </w:r>
          </w:p>
        </w:tc>
        <w:tc>
          <w:tcPr>
            <w:tcW w:w="0" w:type="dxa"/>
            <w:vAlign w:val="bottom"/>
          </w:tcPr>
          <w:p>
            <w:pPr>
              <w:spacing w:after="0"/>
              <w:rPr>
                <w:sz w:val="1"/>
                <w:szCs w:val="1"/>
                <w:color w:val="auto"/>
              </w:rPr>
            </w:pPr>
          </w:p>
        </w:tc>
      </w:tr>
      <w:tr>
        <w:trPr>
          <w:trHeight w:val="170"/>
        </w:trPr>
        <w:tc>
          <w:tcPr>
            <w:tcW w:w="430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Other non-operating income</w:t>
            </w:r>
            <w:r>
              <w:rPr>
                <w:rFonts w:ascii="Arial" w:cs="Arial" w:eastAsia="Arial" w:hAnsi="Arial"/>
                <w:sz w:val="16"/>
                <w:szCs w:val="16"/>
                <w:color w:val="auto"/>
                <w:vertAlign w:val="superscript"/>
              </w:rPr>
              <w:t>(4)</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(0.32)</w:t>
            </w:r>
          </w:p>
        </w:tc>
        <w:tc>
          <w:tcPr>
            <w:tcW w:w="0" w:type="dxa"/>
            <w:vAlign w:val="bottom"/>
          </w:tcPr>
          <w:p>
            <w:pPr>
              <w:spacing w:after="0"/>
              <w:rPr>
                <w:sz w:val="1"/>
                <w:szCs w:val="1"/>
                <w:color w:val="auto"/>
              </w:rPr>
            </w:pPr>
          </w:p>
        </w:tc>
      </w:tr>
      <w:tr>
        <w:trPr>
          <w:trHeight w:val="150"/>
        </w:trPr>
        <w:tc>
          <w:tcPr>
            <w:tcW w:w="4300" w:type="dxa"/>
            <w:vAlign w:val="bottom"/>
          </w:tcPr>
          <w:p>
            <w:pPr>
              <w:ind w:left="20"/>
              <w:spacing w:after="0"/>
              <w:rPr>
                <w:sz w:val="20"/>
                <w:szCs w:val="20"/>
                <w:color w:val="auto"/>
              </w:rPr>
            </w:pPr>
            <w:r>
              <w:rPr>
                <w:rFonts w:ascii="Arial" w:cs="Arial" w:eastAsia="Arial" w:hAnsi="Arial"/>
                <w:sz w:val="13"/>
                <w:szCs w:val="13"/>
                <w:b w:val="1"/>
                <w:bCs w:val="1"/>
                <w:color w:val="auto"/>
              </w:rPr>
              <w:t>Adjusted Non-GAAP Basis</w:t>
            </w: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3,276.2</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2,065.7</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114.4</w:t>
            </w:r>
          </w:p>
        </w:tc>
        <w:tc>
          <w:tcPr>
            <w:tcW w:w="80" w:type="dxa"/>
            <w:vAlign w:val="bottom"/>
          </w:tcPr>
          <w:p>
            <w:pPr>
              <w:spacing w:after="0"/>
              <w:rPr>
                <w:sz w:val="13"/>
                <w:szCs w:val="13"/>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525.4</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1,654.7</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7.21</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gridSpan w:val="5"/>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43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160" w:type="dxa"/>
            <w:vAlign w:val="bottom"/>
            <w:tcBorders>
              <w:bottom w:val="single" w:sz="8" w:color="auto"/>
            </w:tcBorders>
            <w:gridSpan w:val="5"/>
            <w:shd w:val="clear" w:color="auto" w:fill="CCEEFF"/>
          </w:tcPr>
          <w:p>
            <w:pPr>
              <w:ind w:left="320"/>
              <w:spacing w:after="0"/>
              <w:rPr>
                <w:sz w:val="20"/>
                <w:szCs w:val="20"/>
                <w:color w:val="auto"/>
              </w:rPr>
            </w:pPr>
            <w:r>
              <w:rPr>
                <w:rFonts w:ascii="Arial" w:cs="Arial" w:eastAsia="Arial" w:hAnsi="Arial"/>
                <w:sz w:val="11"/>
                <w:szCs w:val="11"/>
                <w:b w:val="1"/>
                <w:bCs w:val="1"/>
                <w:color w:val="auto"/>
              </w:rPr>
              <w:t>Nine months ended 9/30/2023</w:t>
            </w:r>
          </w:p>
        </w:tc>
        <w:tc>
          <w:tcPr>
            <w:tcW w:w="3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Operating</w:t>
            </w:r>
          </w:p>
        </w:tc>
        <w:tc>
          <w:tcPr>
            <w:tcW w:w="120" w:type="dxa"/>
            <w:vAlign w:val="bottom"/>
          </w:tcPr>
          <w:p>
            <w:pPr>
              <w:spacing w:after="0"/>
              <w:rPr>
                <w:sz w:val="9"/>
                <w:szCs w:val="9"/>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Net operating</w:t>
            </w:r>
          </w:p>
        </w:tc>
        <w:tc>
          <w:tcPr>
            <w:tcW w:w="100" w:type="dxa"/>
            <w:vAlign w:val="bottom"/>
          </w:tcPr>
          <w:p>
            <w:pPr>
              <w:spacing w:after="0"/>
              <w:rPr>
                <w:sz w:val="9"/>
                <w:szCs w:val="9"/>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rPr>
              <w:t>Non-operating</w:t>
            </w:r>
          </w:p>
        </w:tc>
        <w:tc>
          <w:tcPr>
            <w:tcW w:w="11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Provision (benefit)</w:t>
            </w:r>
          </w:p>
        </w:tc>
        <w:tc>
          <w:tcPr>
            <w:tcW w:w="140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Net income attributable</w:t>
            </w:r>
          </w:p>
        </w:tc>
        <w:tc>
          <w:tcPr>
            <w:tcW w:w="80" w:type="dxa"/>
            <w:vAlign w:val="bottom"/>
          </w:tcPr>
          <w:p>
            <w:pPr>
              <w:spacing w:after="0"/>
              <w:rPr>
                <w:sz w:val="9"/>
                <w:szCs w:val="9"/>
                <w:color w:val="auto"/>
              </w:rPr>
            </w:pPr>
          </w:p>
        </w:tc>
        <w:tc>
          <w:tcPr>
            <w:tcW w:w="960" w:type="dxa"/>
            <w:vAlign w:val="bottom"/>
            <w:vMerge w:val="restart"/>
          </w:tcPr>
          <w:p>
            <w:pPr>
              <w:jc w:val="center"/>
              <w:ind w:right="23"/>
              <w:spacing w:after="0"/>
              <w:rPr>
                <w:sz w:val="20"/>
                <w:szCs w:val="20"/>
                <w:color w:val="auto"/>
              </w:rPr>
            </w:pPr>
            <w:r>
              <w:rPr>
                <w:rFonts w:ascii="Arial" w:cs="Arial" w:eastAsia="Arial" w:hAnsi="Arial"/>
                <w:sz w:val="11"/>
                <w:szCs w:val="11"/>
                <w:b w:val="1"/>
                <w:bCs w:val="1"/>
                <w:color w:val="auto"/>
              </w:rPr>
              <w:t>Diluted earnings</w:t>
            </w: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400" w:type="dxa"/>
            <w:vAlign w:val="bottom"/>
            <w:gridSpan w:val="3"/>
          </w:tcPr>
          <w:p>
            <w:pPr>
              <w:ind w:left="20"/>
              <w:spacing w:after="0" w:line="117" w:lineRule="exact"/>
              <w:rPr>
                <w:sz w:val="20"/>
                <w:szCs w:val="20"/>
                <w:color w:val="auto"/>
              </w:rPr>
            </w:pPr>
            <w:r>
              <w:rPr>
                <w:rFonts w:ascii="Arial" w:cs="Arial" w:eastAsia="Arial" w:hAnsi="Arial"/>
                <w:sz w:val="11"/>
                <w:szCs w:val="11"/>
                <w:b w:val="1"/>
                <w:bCs w:val="1"/>
                <w:color w:val="auto"/>
              </w:rPr>
              <w:t>to T. Rowe Price Group,</w:t>
            </w:r>
          </w:p>
        </w:tc>
        <w:tc>
          <w:tcPr>
            <w:tcW w:w="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expenses</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income</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income (loss)</w:t>
            </w:r>
          </w:p>
        </w:tc>
        <w:tc>
          <w:tcPr>
            <w:tcW w:w="1140" w:type="dxa"/>
            <w:vAlign w:val="bottom"/>
            <w:gridSpan w:val="3"/>
          </w:tcPr>
          <w:p>
            <w:pPr>
              <w:ind w:left="40"/>
              <w:spacing w:after="0"/>
              <w:rPr>
                <w:sz w:val="20"/>
                <w:szCs w:val="20"/>
                <w:color w:val="auto"/>
              </w:rPr>
            </w:pPr>
            <w:r>
              <w:rPr>
                <w:rFonts w:ascii="Arial" w:cs="Arial" w:eastAsia="Arial" w:hAnsi="Arial"/>
                <w:sz w:val="11"/>
                <w:szCs w:val="11"/>
                <w:b w:val="1"/>
                <w:bCs w:val="1"/>
                <w:color w:val="auto"/>
              </w:rPr>
              <w:t>for income taxes</w:t>
            </w:r>
            <w:r>
              <w:rPr>
                <w:rFonts w:ascii="Arial" w:cs="Arial" w:eastAsia="Arial" w:hAnsi="Arial"/>
                <w:sz w:val="7"/>
                <w:szCs w:val="7"/>
                <w:b w:val="1"/>
                <w:bCs w:val="1"/>
                <w:color w:val="auto"/>
              </w:rPr>
              <w:t>(5)</w:t>
            </w:r>
          </w:p>
        </w:tc>
        <w:tc>
          <w:tcPr>
            <w:tcW w:w="320" w:type="dxa"/>
            <w:vAlign w:val="bottom"/>
          </w:tcPr>
          <w:p>
            <w:pPr>
              <w:spacing w:after="0"/>
              <w:rPr>
                <w:sz w:val="12"/>
                <w:szCs w:val="12"/>
                <w:color w:val="auto"/>
              </w:rPr>
            </w:pPr>
          </w:p>
        </w:tc>
        <w:tc>
          <w:tcPr>
            <w:tcW w:w="1080" w:type="dxa"/>
            <w:vAlign w:val="bottom"/>
            <w:gridSpan w:val="2"/>
          </w:tcPr>
          <w:p>
            <w:pPr>
              <w:ind w:left="240"/>
              <w:spacing w:after="0"/>
              <w:rPr>
                <w:sz w:val="20"/>
                <w:szCs w:val="20"/>
                <w:color w:val="auto"/>
              </w:rPr>
            </w:pPr>
            <w:r>
              <w:rPr>
                <w:rFonts w:ascii="Arial" w:cs="Arial" w:eastAsia="Arial" w:hAnsi="Arial"/>
                <w:sz w:val="11"/>
                <w:szCs w:val="11"/>
                <w:b w:val="1"/>
                <w:bCs w:val="1"/>
                <w:color w:val="auto"/>
              </w:rPr>
              <w:t>Inc.</w:t>
            </w:r>
          </w:p>
        </w:tc>
        <w:tc>
          <w:tcPr>
            <w:tcW w:w="80" w:type="dxa"/>
            <w:vAlign w:val="bottom"/>
          </w:tcPr>
          <w:p>
            <w:pPr>
              <w:spacing w:after="0"/>
              <w:rPr>
                <w:sz w:val="12"/>
                <w:szCs w:val="12"/>
                <w:color w:val="auto"/>
              </w:rPr>
            </w:pPr>
          </w:p>
        </w:tc>
        <w:tc>
          <w:tcPr>
            <w:tcW w:w="960" w:type="dxa"/>
            <w:vAlign w:val="bottom"/>
          </w:tcPr>
          <w:p>
            <w:pPr>
              <w:jc w:val="center"/>
              <w:ind w:right="23"/>
              <w:spacing w:after="0"/>
              <w:rPr>
                <w:sz w:val="20"/>
                <w:szCs w:val="20"/>
                <w:color w:val="auto"/>
              </w:rPr>
            </w:pPr>
            <w:r>
              <w:rPr>
                <w:rFonts w:ascii="Arial" w:cs="Arial" w:eastAsia="Arial" w:hAnsi="Arial"/>
                <w:sz w:val="11"/>
                <w:szCs w:val="11"/>
                <w:b w:val="1"/>
                <w:bCs w:val="1"/>
                <w:color w:val="auto"/>
              </w:rPr>
              <w:t>per share</w:t>
            </w:r>
            <w:r>
              <w:rPr>
                <w:rFonts w:ascii="Arial" w:cs="Arial" w:eastAsia="Arial" w:hAnsi="Arial"/>
                <w:sz w:val="7"/>
                <w:szCs w:val="7"/>
                <w:b w:val="1"/>
                <w:bCs w:val="1"/>
                <w:color w:val="auto"/>
              </w:rPr>
              <w:t>(6)</w:t>
            </w:r>
          </w:p>
        </w:tc>
        <w:tc>
          <w:tcPr>
            <w:tcW w:w="0" w:type="dxa"/>
            <w:vAlign w:val="bottom"/>
          </w:tcPr>
          <w:p>
            <w:pPr>
              <w:spacing w:after="0"/>
              <w:rPr>
                <w:sz w:val="1"/>
                <w:szCs w:val="1"/>
                <w:color w:val="auto"/>
              </w:rPr>
            </w:pPr>
          </w:p>
        </w:tc>
      </w:tr>
      <w:tr>
        <w:trPr>
          <w:trHeight w:val="150"/>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U.S. GAAP Basis (FS line item)</w:t>
            </w: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3,219.5</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1,599.0</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244.4</w:t>
            </w: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481.3</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1,351.1</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5.86</w:t>
            </w:r>
          </w:p>
        </w:tc>
        <w:tc>
          <w:tcPr>
            <w:tcW w:w="0" w:type="dxa"/>
            <w:vAlign w:val="bottom"/>
          </w:tcPr>
          <w:p>
            <w:pPr>
              <w:spacing w:after="0"/>
              <w:rPr>
                <w:sz w:val="1"/>
                <w:szCs w:val="1"/>
                <w:color w:val="auto"/>
              </w:rPr>
            </w:pPr>
          </w:p>
        </w:tc>
      </w:tr>
      <w:tr>
        <w:trPr>
          <w:trHeight w:val="149"/>
        </w:trPr>
        <w:tc>
          <w:tcPr>
            <w:tcW w:w="4300" w:type="dxa"/>
            <w:vAlign w:val="bottom"/>
          </w:tcPr>
          <w:p>
            <w:pPr>
              <w:ind w:left="20"/>
              <w:spacing w:after="0" w:line="148" w:lineRule="exact"/>
              <w:rPr>
                <w:sz w:val="20"/>
                <w:szCs w:val="20"/>
                <w:color w:val="auto"/>
              </w:rPr>
            </w:pPr>
            <w:r>
              <w:rPr>
                <w:rFonts w:ascii="Arial" w:cs="Arial" w:eastAsia="Arial" w:hAnsi="Arial"/>
                <w:sz w:val="13"/>
                <w:szCs w:val="13"/>
                <w:color w:val="auto"/>
              </w:rPr>
              <w:t>Non-GAAP adjustments:</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Acquisition-related:</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300" w:type="dxa"/>
            <w:vAlign w:val="bottom"/>
          </w:tcPr>
          <w:p>
            <w:pPr>
              <w:ind w:left="100"/>
              <w:spacing w:after="0" w:line="127" w:lineRule="exact"/>
              <w:rPr>
                <w:sz w:val="20"/>
                <w:szCs w:val="20"/>
                <w:color w:val="auto"/>
              </w:rPr>
            </w:pPr>
            <w:r>
              <w:rPr>
                <w:rFonts w:ascii="Arial" w:cs="Arial" w:eastAsia="Arial" w:hAnsi="Arial"/>
                <w:sz w:val="11"/>
                <w:szCs w:val="11"/>
                <w:color w:val="auto"/>
              </w:rPr>
              <w:t>Investment and NCI amortization and impairments</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(Capital allocation-</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300" w:type="dxa"/>
            <w:vAlign w:val="bottom"/>
          </w:tcPr>
          <w:p>
            <w:pPr>
              <w:ind w:left="100"/>
              <w:spacing w:after="0"/>
              <w:rPr>
                <w:sz w:val="20"/>
                <w:szCs w:val="20"/>
                <w:color w:val="auto"/>
              </w:rPr>
            </w:pPr>
            <w:r>
              <w:rPr>
                <w:rFonts w:ascii="Arial" w:cs="Arial" w:eastAsia="Arial" w:hAnsi="Arial"/>
                <w:sz w:val="13"/>
                <w:szCs w:val="13"/>
                <w:color w:val="auto"/>
              </w:rPr>
              <w:t>based income and Compensation and related costs)</w:t>
            </w:r>
          </w:p>
        </w:tc>
        <w:tc>
          <w:tcPr>
            <w:tcW w:w="160" w:type="dxa"/>
            <w:vAlign w:val="bottom"/>
          </w:tcPr>
          <w:p>
            <w:pPr>
              <w:spacing w:after="0"/>
              <w:rPr>
                <w:sz w:val="14"/>
                <w:szCs w:val="14"/>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20.8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4"/>
                <w:szCs w:val="1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6.2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23.4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0.10</w:t>
            </w:r>
          </w:p>
        </w:tc>
        <w:tc>
          <w:tcPr>
            <w:tcW w:w="0" w:type="dxa"/>
            <w:vAlign w:val="bottom"/>
          </w:tcPr>
          <w:p>
            <w:pPr>
              <w:spacing w:after="0"/>
              <w:rPr>
                <w:sz w:val="1"/>
                <w:szCs w:val="1"/>
                <w:color w:val="auto"/>
              </w:rPr>
            </w:pPr>
          </w:p>
        </w:tc>
      </w:tr>
      <w:tr>
        <w:trPr>
          <w:trHeight w:val="129"/>
        </w:trPr>
        <w:tc>
          <w:tcPr>
            <w:tcW w:w="4300" w:type="dxa"/>
            <w:vAlign w:val="bottom"/>
            <w:shd w:val="clear" w:color="auto" w:fill="CCEEFF"/>
          </w:tcPr>
          <w:p>
            <w:pPr>
              <w:ind w:left="100"/>
              <w:spacing w:after="0" w:line="129" w:lineRule="exact"/>
              <w:rPr>
                <w:sz w:val="20"/>
                <w:szCs w:val="20"/>
                <w:color w:val="auto"/>
              </w:rPr>
            </w:pPr>
            <w:r>
              <w:rPr>
                <w:rFonts w:ascii="Arial" w:cs="Arial" w:eastAsia="Arial" w:hAnsi="Arial"/>
                <w:sz w:val="11"/>
                <w:szCs w:val="11"/>
                <w:color w:val="auto"/>
              </w:rPr>
              <w:t>Acquisition-related retention arrangements</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(Compensation and related</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costs)</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0.15</w:t>
            </w:r>
          </w:p>
        </w:tc>
        <w:tc>
          <w:tcPr>
            <w:tcW w:w="0" w:type="dxa"/>
            <w:vAlign w:val="bottom"/>
          </w:tcPr>
          <w:p>
            <w:pPr>
              <w:spacing w:after="0"/>
              <w:rPr>
                <w:sz w:val="1"/>
                <w:szCs w:val="1"/>
                <w:color w:val="auto"/>
              </w:rPr>
            </w:pPr>
          </w:p>
        </w:tc>
      </w:tr>
      <w:tr>
        <w:trPr>
          <w:trHeight w:val="170"/>
        </w:trPr>
        <w:tc>
          <w:tcPr>
            <w:tcW w:w="4300" w:type="dxa"/>
            <w:vAlign w:val="bottom"/>
          </w:tcPr>
          <w:p>
            <w:pPr>
              <w:ind w:left="100"/>
              <w:spacing w:after="0" w:line="170" w:lineRule="exact"/>
              <w:rPr>
                <w:sz w:val="20"/>
                <w:szCs w:val="20"/>
                <w:color w:val="auto"/>
              </w:rPr>
            </w:pPr>
            <w:r>
              <w:rPr>
                <w:rFonts w:ascii="Arial" w:cs="Arial" w:eastAsia="Arial" w:hAnsi="Arial"/>
                <w:sz w:val="13"/>
                <w:szCs w:val="13"/>
                <w:color w:val="auto"/>
              </w:rPr>
              <w:t>Contingent consideration</w:t>
            </w:r>
            <w:r>
              <w:rPr>
                <w:rFonts w:ascii="Arial" w:cs="Arial" w:eastAsia="Arial" w:hAnsi="Arial"/>
                <w:sz w:val="16"/>
                <w:szCs w:val="16"/>
                <w:color w:val="auto"/>
                <w:vertAlign w:val="superscript"/>
              </w:rPr>
              <w:t>(1)</w:t>
            </w:r>
          </w:p>
        </w:tc>
        <w:tc>
          <w:tcPr>
            <w:tcW w:w="160" w:type="dxa"/>
            <w:vAlign w:val="bottom"/>
          </w:tcPr>
          <w:p>
            <w:pPr>
              <w:spacing w:after="0"/>
              <w:rPr>
                <w:sz w:val="14"/>
                <w:szCs w:val="14"/>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72.8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(64.8)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(0.28)</w:t>
            </w:r>
          </w:p>
        </w:tc>
        <w:tc>
          <w:tcPr>
            <w:tcW w:w="0" w:type="dxa"/>
            <w:vAlign w:val="bottom"/>
          </w:tcPr>
          <w:p>
            <w:pPr>
              <w:spacing w:after="0"/>
              <w:rPr>
                <w:sz w:val="1"/>
                <w:szCs w:val="1"/>
                <w:color w:val="auto"/>
              </w:rPr>
            </w:pPr>
          </w:p>
        </w:tc>
      </w:tr>
      <w:tr>
        <w:trPr>
          <w:trHeight w:val="170"/>
        </w:trPr>
        <w:tc>
          <w:tcPr>
            <w:tcW w:w="4300" w:type="dxa"/>
            <w:vAlign w:val="bottom"/>
            <w:shd w:val="clear" w:color="auto" w:fill="CCEEFF"/>
          </w:tcPr>
          <w:p>
            <w:pPr>
              <w:ind w:left="100"/>
              <w:spacing w:after="0" w:line="170" w:lineRule="exact"/>
              <w:rPr>
                <w:sz w:val="20"/>
                <w:szCs w:val="20"/>
                <w:color w:val="auto"/>
              </w:rPr>
            </w:pPr>
            <w:r>
              <w:rPr>
                <w:rFonts w:ascii="Arial" w:cs="Arial" w:eastAsia="Arial" w:hAnsi="Arial"/>
                <w:sz w:val="13"/>
                <w:szCs w:val="13"/>
                <w:color w:val="auto"/>
              </w:rPr>
              <w:t>Intangible assets amortization and impairments</w:t>
            </w:r>
            <w:r>
              <w:rPr>
                <w:rFonts w:ascii="Arial" w:cs="Arial" w:eastAsia="Arial" w:hAnsi="Arial"/>
                <w:sz w:val="16"/>
                <w:szCs w:val="16"/>
                <w:color w:val="auto"/>
                <w:vertAlign w:val="superscript"/>
              </w:rPr>
              <w:t>(1)</w:t>
            </w: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0.33</w:t>
            </w:r>
          </w:p>
        </w:tc>
        <w:tc>
          <w:tcPr>
            <w:tcW w:w="0" w:type="dxa"/>
            <w:vAlign w:val="bottom"/>
          </w:tcPr>
          <w:p>
            <w:pPr>
              <w:spacing w:after="0"/>
              <w:rPr>
                <w:sz w:val="1"/>
                <w:szCs w:val="1"/>
                <w:color w:val="auto"/>
              </w:rPr>
            </w:pPr>
          </w:p>
        </w:tc>
      </w:tr>
      <w:tr>
        <w:trPr>
          <w:trHeight w:val="149"/>
        </w:trPr>
        <w:tc>
          <w:tcPr>
            <w:tcW w:w="4300" w:type="dxa"/>
            <w:vAlign w:val="bottom"/>
          </w:tcPr>
          <w:p>
            <w:pPr>
              <w:ind w:left="100"/>
              <w:spacing w:after="0" w:line="148" w:lineRule="exact"/>
              <w:rPr>
                <w:sz w:val="20"/>
                <w:szCs w:val="20"/>
                <w:color w:val="auto"/>
              </w:rPr>
            </w:pPr>
            <w:r>
              <w:rPr>
                <w:rFonts w:ascii="Arial" w:cs="Arial" w:eastAsia="Arial" w:hAnsi="Arial"/>
                <w:sz w:val="13"/>
                <w:szCs w:val="13"/>
                <w:color w:val="auto"/>
              </w:rPr>
              <w:t>Total acquisition-related</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91.4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23.1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68.3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0.30</w:t>
            </w:r>
          </w:p>
        </w:tc>
        <w:tc>
          <w:tcPr>
            <w:tcW w:w="0" w:type="dxa"/>
            <w:vAlign w:val="bottom"/>
          </w:tcPr>
          <w:p>
            <w:pPr>
              <w:spacing w:after="0"/>
              <w:rPr>
                <w:sz w:val="1"/>
                <w:szCs w:val="1"/>
                <w:color w:val="auto"/>
              </w:rPr>
            </w:pPr>
          </w:p>
        </w:tc>
      </w:tr>
      <w:tr>
        <w:trPr>
          <w:trHeight w:val="151"/>
        </w:trPr>
        <w:tc>
          <w:tcPr>
            <w:tcW w:w="4300" w:type="dxa"/>
            <w:vAlign w:val="bottom"/>
            <w:tcBorders>
              <w:top w:val="single" w:sz="8" w:color="CCEEFF"/>
            </w:tcBorders>
            <w:shd w:val="clear" w:color="auto" w:fill="CCEEFF"/>
          </w:tcPr>
          <w:p>
            <w:pPr>
              <w:ind w:left="20"/>
              <w:spacing w:after="0" w:line="151"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 related costs)</w:t>
            </w: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(61.3)</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61.3</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(58.6)</w:t>
            </w: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0.01</w:t>
            </w:r>
          </w:p>
        </w:tc>
        <w:tc>
          <w:tcPr>
            <w:tcW w:w="0" w:type="dxa"/>
            <w:vAlign w:val="bottom"/>
          </w:tcPr>
          <w:p>
            <w:pPr>
              <w:spacing w:after="0"/>
              <w:rPr>
                <w:sz w:val="1"/>
                <w:szCs w:val="1"/>
                <w:color w:val="auto"/>
              </w:rPr>
            </w:pPr>
          </w:p>
        </w:tc>
      </w:tr>
      <w:tr>
        <w:trPr>
          <w:trHeight w:val="170"/>
        </w:trPr>
        <w:tc>
          <w:tcPr>
            <w:tcW w:w="4300" w:type="dxa"/>
            <w:vAlign w:val="bottom"/>
          </w:tcPr>
          <w:p>
            <w:pPr>
              <w:ind w:left="20"/>
              <w:spacing w:after="0" w:line="170" w:lineRule="exact"/>
              <w:rPr>
                <w:sz w:val="20"/>
                <w:szCs w:val="20"/>
                <w:color w:val="auto"/>
              </w:rPr>
            </w:pPr>
            <w:r>
              <w:rPr>
                <w:rFonts w:ascii="Arial" w:cs="Arial" w:eastAsia="Arial" w:hAnsi="Arial"/>
                <w:sz w:val="13"/>
                <w:szCs w:val="13"/>
                <w:color w:val="auto"/>
              </w:rPr>
              <w:t>Consolidated T. Rowe Price investment products</w:t>
            </w:r>
            <w:r>
              <w:rPr>
                <w:rFonts w:ascii="Arial" w:cs="Arial" w:eastAsia="Arial" w:hAnsi="Arial"/>
                <w:sz w:val="16"/>
                <w:szCs w:val="16"/>
                <w:color w:val="auto"/>
                <w:vertAlign w:val="superscript"/>
              </w:rPr>
              <w:t>(3)</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(45.4)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(25.1)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(0.11)</w:t>
            </w:r>
          </w:p>
        </w:tc>
        <w:tc>
          <w:tcPr>
            <w:tcW w:w="0" w:type="dxa"/>
            <w:vAlign w:val="bottom"/>
          </w:tcPr>
          <w:p>
            <w:pPr>
              <w:spacing w:after="0"/>
              <w:rPr>
                <w:sz w:val="1"/>
                <w:szCs w:val="1"/>
                <w:color w:val="auto"/>
              </w:rPr>
            </w:pPr>
          </w:p>
        </w:tc>
      </w:tr>
      <w:tr>
        <w:trPr>
          <w:trHeight w:val="170"/>
        </w:trPr>
        <w:tc>
          <w:tcPr>
            <w:tcW w:w="430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Other non-operating income</w:t>
            </w:r>
            <w:r>
              <w:rPr>
                <w:rFonts w:ascii="Arial" w:cs="Arial" w:eastAsia="Arial" w:hAnsi="Arial"/>
                <w:sz w:val="16"/>
                <w:szCs w:val="16"/>
                <w:color w:val="auto"/>
                <w:vertAlign w:val="superscript"/>
              </w:rPr>
              <w:t>(4)</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(0.18)</w:t>
            </w:r>
          </w:p>
        </w:tc>
        <w:tc>
          <w:tcPr>
            <w:tcW w:w="0" w:type="dxa"/>
            <w:vAlign w:val="bottom"/>
          </w:tcPr>
          <w:p>
            <w:pPr>
              <w:spacing w:after="0"/>
              <w:rPr>
                <w:sz w:val="1"/>
                <w:szCs w:val="1"/>
                <w:color w:val="auto"/>
              </w:rPr>
            </w:pPr>
          </w:p>
        </w:tc>
      </w:tr>
      <w:tr>
        <w:trPr>
          <w:trHeight w:val="150"/>
        </w:trPr>
        <w:tc>
          <w:tcPr>
            <w:tcW w:w="4300" w:type="dxa"/>
            <w:vAlign w:val="bottom"/>
          </w:tcPr>
          <w:p>
            <w:pPr>
              <w:ind w:left="20"/>
              <w:spacing w:after="0"/>
              <w:rPr>
                <w:sz w:val="20"/>
                <w:szCs w:val="20"/>
                <w:color w:val="auto"/>
              </w:rPr>
            </w:pPr>
            <w:r>
              <w:rPr>
                <w:rFonts w:ascii="Arial" w:cs="Arial" w:eastAsia="Arial" w:hAnsi="Arial"/>
                <w:sz w:val="13"/>
                <w:szCs w:val="13"/>
                <w:b w:val="1"/>
                <w:bCs w:val="1"/>
                <w:color w:val="auto"/>
              </w:rPr>
              <w:t>Adjusted Non-GAAP Basis</w:t>
            </w: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3,110.0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1,760.5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91.3</w:t>
            </w:r>
          </w:p>
        </w:tc>
        <w:tc>
          <w:tcPr>
            <w:tcW w:w="80" w:type="dxa"/>
            <w:vAlign w:val="bottom"/>
          </w:tcPr>
          <w:p>
            <w:pPr>
              <w:spacing w:after="0"/>
              <w:rPr>
                <w:sz w:val="13"/>
                <w:szCs w:val="13"/>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496.4</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1,355.4</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5.88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left="260" w:right="200" w:hanging="255"/>
        <w:spacing w:after="0" w:line="235" w:lineRule="auto"/>
        <w:tabs>
          <w:tab w:leader="none" w:pos="261"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These non-GAAP adjustments remove the impact of acquisition-related amortization and costs including intangible assets and acquired assets amortization and impairments, contingent consideration liability fair value remeasurements, amortization and impairments of acquired investments and non-controlling interest basis differences, and amortization of compensation-related arrangements. Management believes adjusting for these charges helps the reader's ability to understand our core operating results and to increase comparability period to period.</w:t>
      </w:r>
    </w:p>
    <w:p>
      <w:pPr>
        <w:spacing w:after="0" w:line="173" w:lineRule="exact"/>
        <w:rPr>
          <w:rFonts w:ascii="Arial" w:cs="Arial" w:eastAsia="Arial" w:hAnsi="Arial"/>
          <w:sz w:val="17"/>
          <w:szCs w:val="17"/>
          <w:color w:val="auto"/>
          <w:vertAlign w:val="superscript"/>
        </w:rPr>
      </w:pPr>
    </w:p>
    <w:p>
      <w:pPr>
        <w:ind w:left="260" w:right="100" w:hanging="255"/>
        <w:spacing w:after="0" w:line="235" w:lineRule="auto"/>
        <w:tabs>
          <w:tab w:leader="none" w:pos="261"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This non-GAAP adjustment removes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We use T. Rowe Price investment products to economically hedge the exposure 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5" w:name="page36"/>
    <w:bookmarkEnd w:id="35"/>
    <w:p>
      <w:pPr>
        <w:ind w:left="260" w:right="120"/>
        <w:spacing w:after="0" w:line="266" w:lineRule="auto"/>
        <w:rPr>
          <w:sz w:val="20"/>
          <w:szCs w:val="20"/>
          <w:color w:val="auto"/>
        </w:rPr>
      </w:pPr>
      <w:r>
        <w:rPr>
          <w:rFonts w:ascii="Arial" w:cs="Arial" w:eastAsia="Arial" w:hAnsi="Arial"/>
          <w:sz w:val="13"/>
          <w:szCs w:val="13"/>
          <w:color w:val="auto"/>
        </w:rPr>
        <w:t>these market movements. Management believes it is useful to offset the non-operating investment income (loss) realized on the economic hedges against the related compensation expense and remove the net impact to help the reader's ability to understand our core operating results and to increase comparability period to period.</w:t>
      </w:r>
    </w:p>
    <w:p>
      <w:pPr>
        <w:spacing w:after="0" w:line="167" w:lineRule="exact"/>
        <w:rPr>
          <w:sz w:val="20"/>
          <w:szCs w:val="20"/>
          <w:color w:val="auto"/>
        </w:rPr>
      </w:pPr>
    </w:p>
    <w:p>
      <w:pPr>
        <w:ind w:left="260" w:right="60" w:hanging="255"/>
        <w:spacing w:after="0" w:line="236" w:lineRule="auto"/>
        <w:tabs>
          <w:tab w:leader="none" w:pos="261"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These non-GAAP adjustments remove the impact that the consolidated T. Rowe Price investment products have on our U.S. GAAP consolidated statements of income. Specifically, we add back the operating expenses and subtract the investment income of the consolidated T. Rowe Price investment products. The adjustment to operating expenses represents the operating expenses of the consolidated products, net of the elimination of related management and administrative fees. The adjustment to net income attributable to T. Rowe Price Group, Inc. represents the net income of the consolidated products, net of redeemable non-controlling interests. Management believes the consolidated T. Rowe Price investment products may impact the reader’s ability to understand our core operating results.</w:t>
      </w:r>
    </w:p>
    <w:p>
      <w:pPr>
        <w:spacing w:after="0" w:line="185" w:lineRule="exact"/>
        <w:rPr>
          <w:rFonts w:ascii="Arial" w:cs="Arial" w:eastAsia="Arial" w:hAnsi="Arial"/>
          <w:sz w:val="17"/>
          <w:szCs w:val="17"/>
          <w:color w:val="auto"/>
          <w:vertAlign w:val="superscript"/>
        </w:rPr>
      </w:pPr>
    </w:p>
    <w:p>
      <w:pPr>
        <w:ind w:left="260" w:right="60" w:hanging="255"/>
        <w:spacing w:after="0" w:line="236" w:lineRule="auto"/>
        <w:tabs>
          <w:tab w:leader="none" w:pos="261"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This non-GAAP adjustment represents the other non-operating income (loss) and the net gains (losses) earned on our investment portfolio that are not designated as economic hedges of the supplemental savings plan liability, and that are not part of the cash and discretionary investment portfolio. We retain in our non-GAAP measures the investment gains recognized on the cash and discretionary investments as these assets and related income (loss) are considered part of our core operations. Management believes adjusting for these non-operating income (loss) items helps the reader’s ability to understand our core operating results and increases comparability to prior years. Additionally, management does not emphasize the impact of the portion of non-operating income (loss) removed when managing and evaluating our performance.</w:t>
      </w:r>
    </w:p>
    <w:p>
      <w:pPr>
        <w:spacing w:after="0" w:line="174" w:lineRule="exact"/>
        <w:rPr>
          <w:rFonts w:ascii="Arial" w:cs="Arial" w:eastAsia="Arial" w:hAnsi="Arial"/>
          <w:sz w:val="17"/>
          <w:szCs w:val="17"/>
          <w:color w:val="auto"/>
          <w:vertAlign w:val="superscript"/>
        </w:rPr>
      </w:pPr>
    </w:p>
    <w:p>
      <w:pPr>
        <w:ind w:left="260" w:right="80" w:hanging="255"/>
        <w:spacing w:after="0" w:line="227" w:lineRule="auto"/>
        <w:tabs>
          <w:tab w:leader="none" w:pos="261"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The income tax impacts were calculated in order to achieve an overall year-to-date non-GAAP effective tax rate of 24.1% in 2024 and 26.8% in 2023. As such, the non-GAAP effective tax rate for the three months ended September 30, 2024 and 2023 was 23.8% and 24.8%, respectively.</w:t>
      </w:r>
    </w:p>
    <w:p>
      <w:pPr>
        <w:spacing w:after="0" w:line="182" w:lineRule="exact"/>
        <w:rPr>
          <w:rFonts w:ascii="Arial" w:cs="Arial" w:eastAsia="Arial" w:hAnsi="Arial"/>
          <w:sz w:val="17"/>
          <w:szCs w:val="17"/>
          <w:color w:val="auto"/>
          <w:vertAlign w:val="superscript"/>
        </w:rPr>
      </w:pPr>
    </w:p>
    <w:p>
      <w:pPr>
        <w:ind w:left="260" w:right="380" w:hanging="255"/>
        <w:spacing w:after="0" w:line="227" w:lineRule="auto"/>
        <w:tabs>
          <w:tab w:leader="none" w:pos="261"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This non-GAAP measure was calculated by applying the two-class method to adjusted net income attributable to T. Rowe Price Group, Inc. divided by the weighted-average common shares outstanding assuming dilution. The calculation of adjusted net income allocated to common stockholders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80" w:type="dxa"/>
            <w:vAlign w:val="bottom"/>
            <w:gridSpan w:val="5"/>
            <w:shd w:val="clear" w:color="auto" w:fill="CCEEFF"/>
          </w:tcPr>
          <w:p>
            <w:pPr>
              <w:ind w:left="520"/>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shd w:val="clear" w:color="auto" w:fill="CCEEFF"/>
          </w:tcPr>
          <w:p>
            <w:pPr>
              <w:spacing w:after="0"/>
              <w:rPr>
                <w:sz w:val="13"/>
                <w:szCs w:val="13"/>
                <w:color w:val="auto"/>
              </w:rPr>
            </w:pPr>
          </w:p>
        </w:tc>
        <w:tc>
          <w:tcPr>
            <w:tcW w:w="2520" w:type="dxa"/>
            <w:vAlign w:val="bottom"/>
            <w:gridSpan w:val="5"/>
            <w:shd w:val="clear" w:color="auto" w:fill="CCEEFF"/>
          </w:tcPr>
          <w:p>
            <w:pPr>
              <w:jc w:val="right"/>
              <w:ind w:right="732"/>
              <w:spacing w:after="0"/>
              <w:rPr>
                <w:sz w:val="20"/>
                <w:szCs w:val="20"/>
                <w:color w:val="auto"/>
              </w:rPr>
            </w:pPr>
            <w:r>
              <w:rPr>
                <w:rFonts w:ascii="Arial" w:cs="Arial" w:eastAsia="Arial" w:hAnsi="Arial"/>
                <w:sz w:val="11"/>
                <w:szCs w:val="11"/>
                <w:b w:val="1"/>
                <w:bCs w:val="1"/>
                <w:color w:val="auto"/>
              </w:rPr>
              <w:t>Nine months ended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322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1"/>
                <w:szCs w:val="11"/>
                <w:b w:val="1"/>
                <w:bCs w:val="1"/>
                <w:color w:val="auto"/>
              </w:rPr>
              <w:t>9/30/2024</w:t>
            </w:r>
          </w:p>
        </w:tc>
        <w:tc>
          <w:tcPr>
            <w:tcW w:w="2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1"/>
                <w:szCs w:val="11"/>
                <w:b w:val="1"/>
                <w:bCs w:val="1"/>
                <w:color w:val="auto"/>
              </w:rPr>
              <w:t>9/30/2023</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9/30/2024</w:t>
            </w:r>
          </w:p>
        </w:tc>
        <w:tc>
          <w:tcPr>
            <w:tcW w:w="2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9/30/2023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Adjusted net income attributable to T. Rowe Price Group, Inc.</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586.5</w:t>
            </w:r>
          </w:p>
        </w:tc>
        <w:tc>
          <w:tcPr>
            <w:tcW w:w="2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499.5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3"/>
            <w:shd w:val="clear" w:color="auto" w:fill="CCEEFF"/>
          </w:tcPr>
          <w:p>
            <w:pPr>
              <w:jc w:val="right"/>
              <w:ind w:right="9"/>
              <w:spacing w:after="0"/>
              <w:rPr>
                <w:sz w:val="20"/>
                <w:szCs w:val="20"/>
                <w:color w:val="auto"/>
              </w:rPr>
            </w:pPr>
            <w:r>
              <w:rPr>
                <w:rFonts w:ascii="Arial" w:cs="Arial" w:eastAsia="Arial" w:hAnsi="Arial"/>
                <w:sz w:val="14"/>
                <w:szCs w:val="14"/>
                <w:color w:val="auto"/>
              </w:rPr>
              <w:t>1,654.7</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1,355.4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2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Less: adjusted net income allocated to outstanding restricted stock and stock unit holders</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11.7</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color w:val="auto"/>
              </w:rPr>
              <w:t>44.1</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Adjusted net income allocated to common stockholders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571.5</w:t>
            </w:r>
          </w:p>
        </w:tc>
        <w:tc>
          <w:tcPr>
            <w:tcW w:w="2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487.8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gridSpan w:val="3"/>
            <w:shd w:val="clear" w:color="auto" w:fill="CCEEFF"/>
          </w:tcPr>
          <w:p>
            <w:pPr>
              <w:jc w:val="right"/>
              <w:ind w:right="9"/>
              <w:spacing w:after="0"/>
              <w:rPr>
                <w:sz w:val="20"/>
                <w:szCs w:val="20"/>
                <w:color w:val="auto"/>
              </w:rPr>
            </w:pPr>
            <w:r>
              <w:rPr>
                <w:rFonts w:ascii="Arial" w:cs="Arial" w:eastAsia="Arial" w:hAnsi="Arial"/>
                <w:sz w:val="14"/>
                <w:szCs w:val="14"/>
                <w:color w:val="auto"/>
              </w:rPr>
              <w:t>1,610.6</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1,322.6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6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w w:val="99"/>
              </w:rPr>
              <w:t>CAPITAL RESOURCES AND LIQUIDITY.</w:t>
            </w:r>
          </w:p>
        </w:tc>
        <w:tc>
          <w:tcPr>
            <w:tcW w:w="3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660" w:type="dxa"/>
            <w:vAlign w:val="bottom"/>
            <w:tcBorders>
              <w:bottom w:val="single" w:sz="8" w:color="auto"/>
            </w:tcBorders>
            <w:gridSpan w:val="4"/>
            <w:vMerge w:val="continue"/>
          </w:tcPr>
          <w:p>
            <w:pPr>
              <w:spacing w:after="0"/>
              <w:rPr>
                <w:sz w:val="24"/>
                <w:szCs w:val="24"/>
                <w:color w:val="auto"/>
              </w:rPr>
            </w:pPr>
          </w:p>
        </w:tc>
        <w:tc>
          <w:tcPr>
            <w:tcW w:w="3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880" w:type="dxa"/>
            <w:vAlign w:val="bottom"/>
            <w:gridSpan w:val="5"/>
          </w:tcPr>
          <w:p>
            <w:pPr>
              <w:spacing w:after="0"/>
              <w:rPr>
                <w:sz w:val="20"/>
                <w:szCs w:val="20"/>
                <w:color w:val="auto"/>
              </w:rPr>
            </w:pPr>
            <w:r>
              <w:rPr>
                <w:rFonts w:ascii="Arial" w:cs="Arial" w:eastAsia="Arial" w:hAnsi="Arial"/>
                <w:sz w:val="14"/>
                <w:szCs w:val="14"/>
                <w:b w:val="1"/>
                <w:bCs w:val="1"/>
                <w:color w:val="auto"/>
              </w:rPr>
              <w:t>Sources of Liquidity</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120" w:type="dxa"/>
            <w:vAlign w:val="bottom"/>
            <w:gridSpan w:val="6"/>
          </w:tcPr>
          <w:p>
            <w:pPr>
              <w:spacing w:after="0"/>
              <w:rPr>
                <w:sz w:val="20"/>
                <w:szCs w:val="20"/>
                <w:color w:val="auto"/>
              </w:rPr>
            </w:pPr>
            <w:r>
              <w:rPr>
                <w:rFonts w:ascii="Arial" w:cs="Arial" w:eastAsia="Arial" w:hAnsi="Arial"/>
                <w:sz w:val="14"/>
                <w:szCs w:val="14"/>
                <w:color w:val="auto"/>
              </w:rPr>
              <w:t>We have ample liquidity, including cash and investments in T. Rowe Price products, as follows:</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860" w:type="dxa"/>
            <w:vAlign w:val="bottom"/>
            <w:gridSpan w:val="4"/>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6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1"/>
                <w:szCs w:val="11"/>
                <w:b w:val="1"/>
                <w:bCs w:val="1"/>
                <w:color w:val="auto"/>
              </w:rPr>
              <w:t>9/30/2024</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1"/>
                <w:szCs w:val="11"/>
                <w:b w:val="1"/>
                <w:bCs w:val="1"/>
                <w:color w:val="auto"/>
              </w:rPr>
              <w:t>12/31/2023</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gridSpan w:val="4"/>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3,173.5</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2,066.6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Discretionary investments</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463.7</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gridSpan w:val="4"/>
          </w:tcPr>
          <w:p>
            <w:pPr>
              <w:ind w:left="20"/>
              <w:spacing w:after="0"/>
              <w:rPr>
                <w:sz w:val="20"/>
                <w:szCs w:val="20"/>
                <w:color w:val="auto"/>
              </w:rPr>
            </w:pPr>
            <w:r>
              <w:rPr>
                <w:rFonts w:ascii="Arial" w:cs="Arial" w:eastAsia="Arial" w:hAnsi="Arial"/>
                <w:sz w:val="14"/>
                <w:szCs w:val="14"/>
                <w:color w:val="auto"/>
              </w:rPr>
              <w:t>Total cash and discretionary investments</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3,645.3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2,530.3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Redeemable seed capital investments</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969.1</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894.6</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58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Total cash and investments in T. Rowe Price products</w:t>
            </w:r>
          </w:p>
        </w:tc>
        <w:tc>
          <w:tcPr>
            <w:tcW w:w="2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5,994.3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4,795.8</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Our discretionary investment portfolio is comprised of short duration bond funds, which typically yield higher than money market rates. Our subsidiaries outside the United States held cash and discretionary investments of $771.5 million at September 30, 2024 and $699.0 million at December 31, 2023. Given the availability of our financial resources and cash expected to be generated through future operations, we do not maintain an available external source of additional liquidity.</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4" w:right="339" w:bottom="1440" w:gutter="0" w:footer="0" w:header="0"/>
        </w:sectPr>
      </w:pPr>
    </w:p>
    <w:bookmarkStart w:id="36" w:name="page37"/>
    <w:bookmarkEnd w:id="36"/>
    <w:p>
      <w:pPr>
        <w:ind w:right="180"/>
        <w:spacing w:after="0" w:line="290" w:lineRule="auto"/>
        <w:rPr>
          <w:sz w:val="20"/>
          <w:szCs w:val="20"/>
          <w:color w:val="auto"/>
        </w:rPr>
      </w:pPr>
      <w:r>
        <w:rPr>
          <w:rFonts w:ascii="Arial" w:cs="Arial" w:eastAsia="Arial" w:hAnsi="Arial"/>
          <w:sz w:val="14"/>
          <w:szCs w:val="14"/>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141"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cash and investment presentation on the unaudited condensed consolidated balance sheet is based on the accounting treatment for the cash equivalent or investment item. The following table details how T. Rowe Price Group, Inc.’s interests in cash and investments relate to where they are presented on the unaudited condensed consolidated balance sheet as of September 30, 2024.</w:t>
      </w:r>
    </w:p>
    <w:p>
      <w:pPr>
        <w:spacing w:after="0" w:line="64"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5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rPr>
              <w:t>Net assets of</w:t>
            </w: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right="220"/>
              <w:spacing w:after="0" w:line="111" w:lineRule="exact"/>
              <w:rPr>
                <w:sz w:val="20"/>
                <w:szCs w:val="20"/>
                <w:color w:val="auto"/>
              </w:rPr>
            </w:pPr>
            <w:r>
              <w:rPr>
                <w:rFonts w:ascii="Arial" w:cs="Arial" w:eastAsia="Arial" w:hAnsi="Arial"/>
                <w:sz w:val="11"/>
                <w:szCs w:val="11"/>
                <w:b w:val="1"/>
                <w:bCs w:val="1"/>
                <w:color w:val="auto"/>
              </w:rPr>
              <w:t>consolidated T. Rowe</w:t>
            </w: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57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18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center"/>
              <w:ind w:right="280"/>
              <w:spacing w:after="0" w:line="120" w:lineRule="exact"/>
              <w:rPr>
                <w:sz w:val="20"/>
                <w:szCs w:val="20"/>
                <w:color w:val="auto"/>
              </w:rPr>
            </w:pPr>
            <w:r>
              <w:rPr>
                <w:rFonts w:ascii="Arial" w:cs="Arial" w:eastAsia="Arial" w:hAnsi="Arial"/>
                <w:sz w:val="11"/>
                <w:szCs w:val="11"/>
                <w:b w:val="1"/>
                <w:bCs w:val="1"/>
                <w:color w:val="auto"/>
              </w:rPr>
              <w:t>Cash and cash</w:t>
            </w:r>
          </w:p>
        </w:tc>
        <w:tc>
          <w:tcPr>
            <w:tcW w:w="1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ind w:left="100"/>
              <w:spacing w:after="0"/>
              <w:rPr>
                <w:sz w:val="20"/>
                <w:szCs w:val="20"/>
                <w:color w:val="auto"/>
              </w:rPr>
            </w:pPr>
            <w:r>
              <w:rPr>
                <w:rFonts w:ascii="Arial" w:cs="Arial" w:eastAsia="Arial" w:hAnsi="Arial"/>
                <w:sz w:val="11"/>
                <w:szCs w:val="11"/>
                <w:b w:val="1"/>
                <w:bCs w:val="1"/>
                <w:color w:val="auto"/>
              </w:rPr>
              <w:t>Investments</w:t>
            </w:r>
          </w:p>
        </w:tc>
        <w:tc>
          <w:tcPr>
            <w:tcW w:w="12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center"/>
              <w:ind w:right="220"/>
              <w:spacing w:after="0" w:line="120" w:lineRule="exact"/>
              <w:rPr>
                <w:sz w:val="20"/>
                <w:szCs w:val="20"/>
                <w:color w:val="auto"/>
              </w:rPr>
            </w:pPr>
            <w:r>
              <w:rPr>
                <w:rFonts w:ascii="Arial" w:cs="Arial" w:eastAsia="Arial" w:hAnsi="Arial"/>
                <w:sz w:val="11"/>
                <w:szCs w:val="11"/>
                <w:b w:val="1"/>
                <w:bCs w:val="1"/>
                <w:color w:val="auto"/>
              </w:rPr>
              <w:t>Price investment</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35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1"/>
        </w:trPr>
        <w:tc>
          <w:tcPr>
            <w:tcW w:w="57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260"/>
              <w:spacing w:after="0"/>
              <w:rPr>
                <w:sz w:val="20"/>
                <w:szCs w:val="20"/>
                <w:color w:val="auto"/>
              </w:rPr>
            </w:pPr>
            <w:r>
              <w:rPr>
                <w:rFonts w:ascii="Arial" w:cs="Arial" w:eastAsia="Arial" w:hAnsi="Arial"/>
                <w:sz w:val="11"/>
                <w:szCs w:val="11"/>
                <w:b w:val="1"/>
                <w:bCs w:val="1"/>
                <w:color w:val="auto"/>
              </w:rPr>
              <w:t>equivalents</w:t>
            </w:r>
          </w:p>
        </w:tc>
        <w:tc>
          <w:tcPr>
            <w:tcW w:w="18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center"/>
              <w:ind w:right="220"/>
              <w:spacing w:after="0" w:line="151" w:lineRule="exact"/>
              <w:rPr>
                <w:sz w:val="20"/>
                <w:szCs w:val="20"/>
                <w:color w:val="auto"/>
              </w:rPr>
            </w:pPr>
            <w:r>
              <w:rPr>
                <w:rFonts w:ascii="Arial" w:cs="Arial" w:eastAsia="Arial" w:hAnsi="Arial"/>
                <w:sz w:val="11"/>
                <w:szCs w:val="11"/>
                <w:b w:val="1"/>
                <w:bCs w:val="1"/>
                <w:color w:val="auto"/>
                <w:w w:val="99"/>
              </w:rPr>
              <w:t>products</w:t>
            </w:r>
            <w:r>
              <w:rPr>
                <w:rFonts w:ascii="Arial" w:cs="Arial" w:eastAsia="Arial" w:hAnsi="Arial"/>
                <w:sz w:val="14"/>
                <w:szCs w:val="14"/>
                <w:b w:val="1"/>
                <w:bCs w:val="1"/>
                <w:color w:val="auto"/>
                <w:w w:val="99"/>
                <w:vertAlign w:val="superscript"/>
              </w:rPr>
              <w:t>(1)</w:t>
            </w:r>
          </w:p>
        </w:tc>
        <w:tc>
          <w:tcPr>
            <w:tcW w:w="26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740" w:type="dxa"/>
            <w:vAlign w:val="bottom"/>
          </w:tcPr>
          <w:p>
            <w:pPr>
              <w:ind w:left="20"/>
              <w:spacing w:after="0"/>
              <w:rPr>
                <w:sz w:val="20"/>
                <w:szCs w:val="20"/>
                <w:color w:val="auto"/>
              </w:rPr>
            </w:pPr>
            <w:r>
              <w:rPr>
                <w:rFonts w:ascii="Arial" w:cs="Arial" w:eastAsia="Arial" w:hAnsi="Arial"/>
                <w:sz w:val="14"/>
                <w:szCs w:val="14"/>
                <w:color w:val="auto"/>
              </w:rPr>
              <w:t>Cash and discretionary investments</w:t>
            </w: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3,173.5</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321.9</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149.9</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3,645.3</w:t>
            </w: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Seed capital investments</w:t>
            </w: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1,379.9</w:t>
            </w:r>
          </w:p>
        </w:tc>
        <w:tc>
          <w:tcPr>
            <w:tcW w:w="0" w:type="dxa"/>
            <w:vAlign w:val="bottom"/>
          </w:tcPr>
          <w:p>
            <w:pPr>
              <w:spacing w:after="0"/>
              <w:rPr>
                <w:sz w:val="1"/>
                <w:szCs w:val="1"/>
                <w:color w:val="auto"/>
              </w:rPr>
            </w:pPr>
          </w:p>
        </w:tc>
      </w:tr>
      <w:tr>
        <w:trPr>
          <w:trHeight w:val="180"/>
        </w:trPr>
        <w:tc>
          <w:tcPr>
            <w:tcW w:w="5740" w:type="dxa"/>
            <w:vAlign w:val="bottom"/>
          </w:tcPr>
          <w:p>
            <w:pPr>
              <w:ind w:left="2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1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969.1</w:t>
            </w:r>
          </w:p>
        </w:tc>
        <w:tc>
          <w:tcPr>
            <w:tcW w:w="0" w:type="dxa"/>
            <w:vAlign w:val="bottom"/>
          </w:tcPr>
          <w:p>
            <w:pPr>
              <w:spacing w:after="0"/>
              <w:rPr>
                <w:sz w:val="1"/>
                <w:szCs w:val="1"/>
                <w:color w:val="auto"/>
              </w:rPr>
            </w:pPr>
          </w:p>
        </w:tc>
      </w:tr>
      <w:tr>
        <w:trPr>
          <w:trHeight w:val="118"/>
        </w:trPr>
        <w:tc>
          <w:tcPr>
            <w:tcW w:w="5740" w:type="dxa"/>
            <w:vAlign w:val="bottom"/>
            <w:tcBorders>
              <w:top w:val="single" w:sz="8" w:color="CCEEFF"/>
            </w:tcBorders>
            <w:shd w:val="clear" w:color="auto" w:fill="CCEEFF"/>
          </w:tcPr>
          <w:p>
            <w:pPr>
              <w:ind w:left="20"/>
              <w:spacing w:after="0" w:line="118" w:lineRule="exact"/>
              <w:rPr>
                <w:sz w:val="20"/>
                <w:szCs w:val="20"/>
                <w:color w:val="auto"/>
              </w:rPr>
            </w:pPr>
            <w:r>
              <w:rPr>
                <w:rFonts w:ascii="Arial" w:cs="Arial" w:eastAsia="Arial" w:hAnsi="Arial"/>
                <w:sz w:val="13"/>
                <w:szCs w:val="13"/>
                <w:color w:val="auto"/>
              </w:rPr>
              <w:t>Total cash and investments in T. Rowe Price products attributable to T. Rowe Price Group,</w:t>
            </w:r>
          </w:p>
        </w:tc>
        <w:tc>
          <w:tcPr>
            <w:tcW w:w="18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3,173.5</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1,784.8</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1,036.0</w:t>
            </w: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5,994.3</w:t>
            </w:r>
          </w:p>
        </w:tc>
        <w:tc>
          <w:tcPr>
            <w:tcW w:w="0" w:type="dxa"/>
            <w:vAlign w:val="bottom"/>
          </w:tcPr>
          <w:p>
            <w:pPr>
              <w:spacing w:after="0"/>
              <w:rPr>
                <w:sz w:val="1"/>
                <w:szCs w:val="1"/>
                <w:color w:val="auto"/>
              </w:rPr>
            </w:pPr>
          </w:p>
        </w:tc>
      </w:tr>
      <w:tr>
        <w:trPr>
          <w:trHeight w:val="191"/>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w:t>
            </w:r>
          </w:p>
        </w:tc>
        <w:tc>
          <w:tcPr>
            <w:tcW w:w="18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740" w:type="dxa"/>
            <w:vAlign w:val="bottom"/>
          </w:tcPr>
          <w:p>
            <w:pPr>
              <w:ind w:left="20"/>
              <w:spacing w:after="0" w:line="181" w:lineRule="exact"/>
              <w:rPr>
                <w:sz w:val="20"/>
                <w:szCs w:val="20"/>
                <w:color w:val="auto"/>
              </w:rPr>
            </w:pPr>
            <w:r>
              <w:rPr>
                <w:rFonts w:ascii="Arial" w:cs="Arial" w:eastAsia="Arial" w:hAnsi="Arial"/>
                <w:sz w:val="14"/>
                <w:szCs w:val="14"/>
                <w:color w:val="auto"/>
              </w:rPr>
              <w:t>Investments in affiliated private investment funds</w:t>
            </w:r>
            <w:r>
              <w:rPr>
                <w:rFonts w:ascii="Arial" w:cs="Arial" w:eastAsia="Arial" w:hAnsi="Arial"/>
                <w:sz w:val="18"/>
                <w:szCs w:val="18"/>
                <w:color w:val="auto"/>
                <w:vertAlign w:val="superscript"/>
              </w:rPr>
              <w:t>(2)</w:t>
            </w:r>
          </w:p>
        </w:tc>
        <w:tc>
          <w:tcPr>
            <w:tcW w:w="1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785.8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785.8</w:t>
            </w: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in CLOs</w:t>
            </w: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180"/>
        </w:trPr>
        <w:tc>
          <w:tcPr>
            <w:tcW w:w="5740" w:type="dxa"/>
            <w:vAlign w:val="bottom"/>
          </w:tcPr>
          <w:p>
            <w:pPr>
              <w:ind w:left="20"/>
              <w:spacing w:after="0"/>
              <w:rPr>
                <w:sz w:val="20"/>
                <w:szCs w:val="20"/>
                <w:color w:val="auto"/>
              </w:rPr>
            </w:pPr>
            <w:r>
              <w:rPr>
                <w:rFonts w:ascii="Arial" w:cs="Arial" w:eastAsia="Arial" w:hAnsi="Arial"/>
                <w:sz w:val="14"/>
                <w:szCs w:val="14"/>
                <w:color w:val="auto"/>
              </w:rPr>
              <w:t>Investment in UTI and other investments</w:t>
            </w:r>
          </w:p>
        </w:tc>
        <w:tc>
          <w:tcPr>
            <w:tcW w:w="1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307.2</w:t>
            </w:r>
          </w:p>
        </w:tc>
        <w:tc>
          <w:tcPr>
            <w:tcW w:w="0" w:type="dxa"/>
            <w:vAlign w:val="bottom"/>
          </w:tcPr>
          <w:p>
            <w:pPr>
              <w:spacing w:after="0"/>
              <w:rPr>
                <w:sz w:val="1"/>
                <w:szCs w:val="1"/>
                <w:color w:val="auto"/>
              </w:rPr>
            </w:pPr>
          </w:p>
        </w:tc>
      </w:tr>
      <w:tr>
        <w:trPr>
          <w:trHeight w:val="171"/>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and investments attributable to T. Rowe Price Group, Inc.</w:t>
            </w:r>
          </w:p>
        </w:tc>
        <w:tc>
          <w:tcPr>
            <w:tcW w:w="1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3,173.5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2,966.0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1,036.0</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7,175.5</w:t>
            </w:r>
          </w:p>
        </w:tc>
        <w:tc>
          <w:tcPr>
            <w:tcW w:w="0" w:type="dxa"/>
            <w:vAlign w:val="bottom"/>
          </w:tcPr>
          <w:p>
            <w:pPr>
              <w:spacing w:after="0"/>
              <w:rPr>
                <w:sz w:val="1"/>
                <w:szCs w:val="1"/>
                <w:color w:val="auto"/>
              </w:rPr>
            </w:pPr>
          </w:p>
        </w:tc>
      </w:tr>
      <w:tr>
        <w:trPr>
          <w:trHeight w:val="180"/>
        </w:trPr>
        <w:tc>
          <w:tcPr>
            <w:tcW w:w="5740" w:type="dxa"/>
            <w:vAlign w:val="bottom"/>
          </w:tcPr>
          <w:p>
            <w:pPr>
              <w:ind w:left="20"/>
              <w:spacing w:after="0"/>
              <w:rPr>
                <w:sz w:val="20"/>
                <w:szCs w:val="20"/>
                <w:color w:val="auto"/>
              </w:rPr>
            </w:pPr>
            <w:r>
              <w:rPr>
                <w:rFonts w:ascii="Arial" w:cs="Arial" w:eastAsia="Arial" w:hAnsi="Arial"/>
                <w:sz w:val="14"/>
                <w:szCs w:val="14"/>
                <w:color w:val="auto"/>
              </w:rPr>
              <w:t>Redeemable non-controlling interests</w:t>
            </w:r>
          </w:p>
        </w:tc>
        <w:tc>
          <w:tcPr>
            <w:tcW w:w="1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763.4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763.4</w:t>
            </w: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 reported on unaudited condensed consolidated balance sheet at September 30, 2024</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7,938.9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jc w:val="both"/>
        <w:ind w:left="140" w:right="140" w:hanging="135"/>
        <w:spacing w:after="0" w:line="268" w:lineRule="auto"/>
        <w:tabs>
          <w:tab w:leader="none" w:pos="123" w:val="left"/>
        </w:tabs>
        <w:numPr>
          <w:ilvl w:val="0"/>
          <w:numId w:val="17"/>
        </w:numPr>
        <w:rPr>
          <w:rFonts w:ascii="Arial" w:cs="Arial" w:eastAsia="Arial" w:hAnsi="Arial"/>
          <w:sz w:val="7"/>
          <w:szCs w:val="7"/>
          <w:i w:val="1"/>
          <w:iCs w:val="1"/>
          <w:color w:val="auto"/>
        </w:rPr>
      </w:pPr>
      <w:r>
        <w:rPr>
          <w:rFonts w:ascii="Arial" w:cs="Arial" w:eastAsia="Arial" w:hAnsi="Arial"/>
          <w:sz w:val="11"/>
          <w:szCs w:val="11"/>
          <w:i w:val="1"/>
          <w:iCs w:val="1"/>
          <w:color w:val="auto"/>
        </w:rPr>
        <w:t>The consolidated T. Rowe Price investment products are generally those products we provided seed capital at the time of their formation and we have a controlling interest. These products generally represent U.S. mutual funds, ETFs, and funds regulated outside the U.S. The $1,036.0 million represents the total value at September 30, 2024 of our interest in the consolidated T. Rowe Price investment products. The total net assets of the T. Rowe Price investment products at September 30, 2024 of $1,799.4 million includes assets of $1,857.2 million, less liabilities of $57.8 million as reflected in our unaudited condensed consolidated balance sheets.</w:t>
      </w:r>
    </w:p>
    <w:p>
      <w:pPr>
        <w:ind w:left="120" w:hanging="115"/>
        <w:spacing w:after="0" w:line="206" w:lineRule="auto"/>
        <w:tabs>
          <w:tab w:leader="none" w:pos="120" w:val="left"/>
        </w:tabs>
        <w:numPr>
          <w:ilvl w:val="0"/>
          <w:numId w:val="17"/>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Includes $203.4 million of non-controlling interests in consolidated entities and represents the portion of these investments, held by related parties, that we cannot sell in order to obtain cash for general operations.</w:t>
      </w:r>
    </w:p>
    <w:p>
      <w:pPr>
        <w:spacing w:after="0" w:line="172"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unaudited condensed consolidated balance sheet reflects the cash and cash equivalents, investments, other assets and liabilities of those sponsored investment products we consolidate, as well as redeemable non-controlling interests for the portion of these sponsored investment products that are held by unrelated third-party investors. Although we can redeem our net interest in these sponsored investment products at any time, we cannot directly access or sell the assets held by the products to obtain cash for general operations. Additionally, the assets of these sponsored investment products are not available to our general creditors. Our interest in these sponsored investment products was generally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Uses of Liquidity</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increased our quarterly recurring dividend per common share in February 2024 by 1.6% to $1.24 per common share from $1.22 per common share. Further, we expended $263.7 million in the first nine months of 2024 to repurchase 2.3 million shares of our outstanding common stock, at an average price of $112.30 per share. These dividends and repurchases were expended using existing cash balances and cash generated from operations. While opportunistic in our approach to stock buybacks, we will generally repurchase our common stock over time to offset the dilution created by our equity-based compensation plans.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Since the end of 2021, we have returned nearly $4.5 billion to stockholders through stock repurchases and regular quarterly dividends, as follows: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37" w:name="page38"/>
    <w:bookmarkEnd w:id="37"/>
    <w:tbl>
      <w:tblPr>
        <w:tblLayout w:type="fixed"/>
        <w:tblInd w:w="60" w:type="dxa"/>
        <w:tblCellMar>
          <w:top w:w="0" w:type="dxa"/>
          <w:left w:w="0" w:type="dxa"/>
          <w:bottom w:w="0" w:type="dxa"/>
          <w:right w:w="0" w:type="dxa"/>
        </w:tblCellMar>
      </w:tblPr>
      <w:tr>
        <w:trPr>
          <w:trHeight w:val="126"/>
        </w:trPr>
        <w:tc>
          <w:tcPr>
            <w:tcW w:w="668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140" w:type="dxa"/>
            <w:vAlign w:val="bottom"/>
            <w:shd w:val="clear" w:color="auto" w:fill="CCEEFF"/>
          </w:tcPr>
          <w:p>
            <w:pPr>
              <w:spacing w:after="0"/>
              <w:rPr>
                <w:sz w:val="10"/>
                <w:szCs w:val="10"/>
                <w:color w:val="auto"/>
              </w:rPr>
            </w:pPr>
          </w:p>
        </w:tc>
        <w:tc>
          <w:tcPr>
            <w:tcW w:w="1380" w:type="dxa"/>
            <w:vAlign w:val="bottom"/>
            <w:gridSpan w:val="2"/>
            <w:vMerge w:val="restart"/>
            <w:shd w:val="clear" w:color="auto" w:fill="CCEEFF"/>
          </w:tcPr>
          <w:p>
            <w:pPr>
              <w:ind w:left="60"/>
              <w:spacing w:after="0"/>
              <w:rPr>
                <w:sz w:val="20"/>
                <w:szCs w:val="20"/>
                <w:color w:val="auto"/>
              </w:rPr>
            </w:pPr>
            <w:r>
              <w:rPr>
                <w:rFonts w:ascii="Arial" w:cs="Arial" w:eastAsia="Arial" w:hAnsi="Arial"/>
                <w:sz w:val="11"/>
                <w:szCs w:val="11"/>
                <w:b w:val="1"/>
                <w:bCs w:val="1"/>
                <w:color w:val="auto"/>
              </w:rPr>
              <w:t>Recurring dividend</w:t>
            </w:r>
          </w:p>
        </w:tc>
        <w:tc>
          <w:tcPr>
            <w:tcW w:w="160" w:type="dxa"/>
            <w:vAlign w:val="bottom"/>
            <w:shd w:val="clear" w:color="auto" w:fill="CCEEFF"/>
          </w:tcPr>
          <w:p>
            <w:pPr>
              <w:spacing w:after="0"/>
              <w:rPr>
                <w:sz w:val="10"/>
                <w:szCs w:val="10"/>
                <w:color w:val="auto"/>
              </w:rPr>
            </w:pPr>
          </w:p>
        </w:tc>
        <w:tc>
          <w:tcPr>
            <w:tcW w:w="1380" w:type="dxa"/>
            <w:vAlign w:val="bottom"/>
            <w:gridSpan w:val="2"/>
            <w:vMerge w:val="restart"/>
            <w:shd w:val="clear" w:color="auto" w:fill="CCEEFF"/>
          </w:tcPr>
          <w:p>
            <w:pPr>
              <w:ind w:left="60"/>
              <w:spacing w:after="0"/>
              <w:rPr>
                <w:sz w:val="20"/>
                <w:szCs w:val="20"/>
                <w:color w:val="auto"/>
              </w:rPr>
            </w:pPr>
            <w:r>
              <w:rPr>
                <w:rFonts w:ascii="Arial" w:cs="Arial" w:eastAsia="Arial" w:hAnsi="Arial"/>
                <w:sz w:val="11"/>
                <w:szCs w:val="11"/>
                <w:b w:val="1"/>
                <w:bCs w:val="1"/>
                <w:color w:val="auto"/>
              </w:rPr>
              <w:t>Stock repurchases</w:t>
            </w:r>
          </w:p>
        </w:tc>
        <w:tc>
          <w:tcPr>
            <w:tcW w:w="100" w:type="dxa"/>
            <w:vAlign w:val="bottom"/>
            <w:shd w:val="clear" w:color="auto" w:fill="CCEEFF"/>
          </w:tcPr>
          <w:p>
            <w:pPr>
              <w:spacing w:after="0"/>
              <w:rPr>
                <w:sz w:val="10"/>
                <w:szCs w:val="10"/>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1"/>
                <w:szCs w:val="11"/>
                <w:b w:val="1"/>
                <w:bCs w:val="1"/>
                <w:color w:val="auto"/>
              </w:rPr>
              <w:t>Total cash returned to</w:t>
            </w:r>
          </w:p>
        </w:tc>
        <w:tc>
          <w:tcPr>
            <w:tcW w:w="0" w:type="dxa"/>
            <w:vAlign w:val="bottom"/>
          </w:tcPr>
          <w:p>
            <w:pPr>
              <w:spacing w:after="0"/>
              <w:rPr>
                <w:sz w:val="1"/>
                <w:szCs w:val="1"/>
                <w:color w:val="auto"/>
              </w:rPr>
            </w:pPr>
          </w:p>
        </w:tc>
      </w:tr>
      <w:tr>
        <w:trPr>
          <w:trHeight w:val="149"/>
        </w:trPr>
        <w:tc>
          <w:tcPr>
            <w:tcW w:w="66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314"/>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71"/>
        </w:trPr>
        <w:tc>
          <w:tcPr>
            <w:tcW w:w="6680" w:type="dxa"/>
            <w:vAlign w:val="bottom"/>
          </w:tcPr>
          <w:p>
            <w:pPr>
              <w:ind w:left="20"/>
              <w:spacing w:after="0"/>
              <w:rPr>
                <w:sz w:val="20"/>
                <w:szCs w:val="20"/>
                <w:color w:val="auto"/>
              </w:rPr>
            </w:pPr>
            <w:r>
              <w:rPr>
                <w:rFonts w:ascii="Arial" w:cs="Arial" w:eastAsia="Arial" w:hAnsi="Arial"/>
                <w:sz w:val="14"/>
                <w:szCs w:val="14"/>
                <w:color w:val="auto"/>
              </w:rPr>
              <w:t>2022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1,108.8</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855.3</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4"/>
                <w:szCs w:val="14"/>
                <w:color w:val="auto"/>
              </w:rPr>
              <w:t>1,964.1</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1,376.2</w:t>
            </w:r>
          </w:p>
        </w:tc>
        <w:tc>
          <w:tcPr>
            <w:tcW w:w="0" w:type="dxa"/>
            <w:vAlign w:val="bottom"/>
          </w:tcPr>
          <w:p>
            <w:pPr>
              <w:spacing w:after="0"/>
              <w:rPr>
                <w:sz w:val="1"/>
                <w:szCs w:val="1"/>
                <w:color w:val="auto"/>
              </w:rPr>
            </w:pPr>
          </w:p>
        </w:tc>
      </w:tr>
      <w:tr>
        <w:trPr>
          <w:trHeight w:val="18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Nine months ended 9/30/2024</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850.7</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1,114.4</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3,081.4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4,454.7</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We anticipate property, equipment, software and other capital expenditures, including internal labor capitalization, for the full-year 2024 to be about $460 million of which approximately 60% is planned for technology initiatives with the remaining primarily related to the build out of our new Baltimore headquarters. We expect to fund our anticipated capital expenditures with operating cash flows and other available resources.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30" w:right="35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auto"/>
        </w:rPr>
        <w:t>Cash Flows</w:t>
      </w:r>
    </w:p>
    <w:p>
      <w:pPr>
        <w:spacing w:after="0" w:line="200" w:lineRule="exact"/>
        <w:rPr>
          <w:sz w:val="20"/>
          <w:szCs w:val="20"/>
          <w:color w:val="auto"/>
        </w:rPr>
      </w:pPr>
    </w:p>
    <w:p>
      <w:pPr>
        <w:ind w:right="500"/>
        <w:spacing w:after="0" w:line="290" w:lineRule="auto"/>
        <w:rPr>
          <w:sz w:val="20"/>
          <w:szCs w:val="20"/>
          <w:color w:val="auto"/>
        </w:rPr>
      </w:pPr>
      <w:r>
        <w:rPr>
          <w:rFonts w:ascii="Arial" w:cs="Arial" w:eastAsia="Arial" w:hAnsi="Arial"/>
          <w:sz w:val="14"/>
          <w:szCs w:val="14"/>
          <w:color w:val="auto"/>
        </w:rPr>
        <w:t>The following table summarizes the cash flows for the nine months ended September 30, 2024 and 2023, that are attributable to T. Rowe Price Group, Inc., our consolidated sponsored investment products, and the related eliminations required in preparing the statement.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gridSpan w:val="5"/>
            <w:shd w:val="clear" w:color="auto" w:fill="CCEEFF"/>
          </w:tcPr>
          <w:p>
            <w:pPr>
              <w:ind w:left="140"/>
              <w:spacing w:after="0"/>
              <w:rPr>
                <w:sz w:val="20"/>
                <w:szCs w:val="20"/>
                <w:color w:val="auto"/>
              </w:rPr>
            </w:pPr>
            <w:r>
              <w:rPr>
                <w:rFonts w:ascii="Arial" w:cs="Arial" w:eastAsia="Arial" w:hAnsi="Arial"/>
                <w:sz w:val="11"/>
                <w:szCs w:val="11"/>
                <w:b w:val="1"/>
                <w:bCs w:val="1"/>
                <w:color w:val="auto"/>
              </w:rPr>
              <w:t>Nine months ended</w:t>
            </w:r>
          </w:p>
        </w:tc>
        <w:tc>
          <w:tcPr>
            <w:tcW w:w="1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9/30/2024</w:t>
            </w: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9/30/2023</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center"/>
              <w:ind w:right="180"/>
              <w:spacing w:after="0" w:line="112" w:lineRule="exact"/>
              <w:rPr>
                <w:sz w:val="20"/>
                <w:szCs w:val="20"/>
                <w:color w:val="auto"/>
              </w:rPr>
            </w:pPr>
            <w:r>
              <w:rPr>
                <w:rFonts w:ascii="Arial" w:cs="Arial" w:eastAsia="Arial" w:hAnsi="Arial"/>
                <w:sz w:val="11"/>
                <w:szCs w:val="11"/>
                <w:b w:val="1"/>
                <w:bCs w:val="1"/>
                <w:color w:val="auto"/>
                <w:w w:val="99"/>
              </w:rPr>
              <w:t>Cash flow</w:t>
            </w: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center"/>
              <w:ind w:right="180"/>
              <w:spacing w:after="0" w:line="112" w:lineRule="exact"/>
              <w:rPr>
                <w:sz w:val="20"/>
                <w:szCs w:val="20"/>
                <w:color w:val="auto"/>
              </w:rPr>
            </w:pPr>
            <w:r>
              <w:rPr>
                <w:rFonts w:ascii="Arial" w:cs="Arial" w:eastAsia="Arial" w:hAnsi="Arial"/>
                <w:sz w:val="11"/>
                <w:szCs w:val="11"/>
                <w:b w:val="1"/>
                <w:bCs w:val="1"/>
                <w:color w:val="auto"/>
                <w:w w:val="99"/>
              </w:rPr>
              <w:t>Cash flow</w:t>
            </w: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1"/>
                <w:szCs w:val="11"/>
                <w:b w:val="1"/>
                <w:bCs w:val="1"/>
                <w:color w:val="auto"/>
                <w:w w:val="99"/>
              </w:rPr>
              <w:t>Cash flow</w:t>
            </w:r>
          </w:p>
        </w:tc>
        <w:tc>
          <w:tcPr>
            <w:tcW w:w="1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center"/>
              <w:ind w:right="180"/>
              <w:spacing w:after="0" w:line="117" w:lineRule="exact"/>
              <w:rPr>
                <w:sz w:val="20"/>
                <w:szCs w:val="20"/>
                <w:color w:val="auto"/>
              </w:rPr>
            </w:pPr>
            <w:r>
              <w:rPr>
                <w:rFonts w:ascii="Arial" w:cs="Arial" w:eastAsia="Arial" w:hAnsi="Arial"/>
                <w:sz w:val="11"/>
                <w:szCs w:val="11"/>
                <w:b w:val="1"/>
                <w:bCs w:val="1"/>
                <w:color w:val="auto"/>
              </w:rPr>
              <w:t>attributable to</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1"/>
                <w:szCs w:val="11"/>
                <w:b w:val="1"/>
                <w:bCs w:val="1"/>
                <w:color w:val="auto"/>
              </w:rPr>
              <w:t>Cash flow</w:t>
            </w:r>
          </w:p>
        </w:tc>
        <w:tc>
          <w:tcPr>
            <w:tcW w:w="1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center"/>
              <w:ind w:right="180"/>
              <w:spacing w:after="0" w:line="117" w:lineRule="exact"/>
              <w:rPr>
                <w:sz w:val="20"/>
                <w:szCs w:val="20"/>
                <w:color w:val="auto"/>
              </w:rPr>
            </w:pPr>
            <w:r>
              <w:rPr>
                <w:rFonts w:ascii="Arial" w:cs="Arial" w:eastAsia="Arial" w:hAnsi="Arial"/>
                <w:sz w:val="11"/>
                <w:szCs w:val="11"/>
                <w:b w:val="1"/>
                <w:bCs w:val="1"/>
                <w:color w:val="auto"/>
              </w:rPr>
              <w:t>attributable to</w:t>
            </w: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center"/>
              <w:ind w:right="180"/>
              <w:spacing w:after="0" w:line="113" w:lineRule="exact"/>
              <w:rPr>
                <w:sz w:val="20"/>
                <w:szCs w:val="20"/>
                <w:color w:val="auto"/>
              </w:rPr>
            </w:pPr>
            <w:r>
              <w:rPr>
                <w:rFonts w:ascii="Arial" w:cs="Arial" w:eastAsia="Arial" w:hAnsi="Arial"/>
                <w:sz w:val="11"/>
                <w:szCs w:val="11"/>
                <w:b w:val="1"/>
                <w:bCs w:val="1"/>
                <w:color w:val="auto"/>
              </w:rPr>
              <w:t>consolidated</w:t>
            </w: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center"/>
              <w:ind w:right="180"/>
              <w:spacing w:after="0" w:line="113" w:lineRule="exact"/>
              <w:rPr>
                <w:sz w:val="20"/>
                <w:szCs w:val="20"/>
                <w:color w:val="auto"/>
              </w:rPr>
            </w:pPr>
            <w:r>
              <w:rPr>
                <w:rFonts w:ascii="Arial" w:cs="Arial" w:eastAsia="Arial" w:hAnsi="Arial"/>
                <w:sz w:val="11"/>
                <w:szCs w:val="11"/>
                <w:b w:val="1"/>
                <w:bCs w:val="1"/>
                <w:color w:val="auto"/>
              </w:rPr>
              <w:t>consolidated</w:t>
            </w: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100" w:type="dxa"/>
            <w:vAlign w:val="bottom"/>
            <w:shd w:val="clear" w:color="auto" w:fill="CCEEFF"/>
          </w:tcPr>
          <w:p>
            <w:pPr>
              <w:spacing w:after="0"/>
              <w:rPr>
                <w:sz w:val="9"/>
                <w:szCs w:val="9"/>
                <w:color w:val="auto"/>
              </w:rPr>
            </w:pPr>
          </w:p>
        </w:tc>
        <w:tc>
          <w:tcPr>
            <w:tcW w:w="960" w:type="dxa"/>
            <w:vAlign w:val="bottom"/>
            <w:gridSpan w:val="3"/>
            <w:shd w:val="clear" w:color="auto" w:fill="CCEEFF"/>
          </w:tcPr>
          <w:p>
            <w:pPr>
              <w:jc w:val="center"/>
              <w:ind w:right="80"/>
              <w:spacing w:after="0" w:line="111" w:lineRule="exact"/>
              <w:rPr>
                <w:sz w:val="20"/>
                <w:szCs w:val="20"/>
                <w:color w:val="auto"/>
              </w:rPr>
            </w:pPr>
            <w:r>
              <w:rPr>
                <w:rFonts w:ascii="Arial" w:cs="Arial" w:eastAsia="Arial" w:hAnsi="Arial"/>
                <w:sz w:val="11"/>
                <w:szCs w:val="11"/>
                <w:b w:val="1"/>
                <w:bCs w:val="1"/>
                <w:color w:val="auto"/>
              </w:rPr>
              <w:t>attributable to</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center"/>
              <w:ind w:right="180"/>
              <w:spacing w:after="0" w:line="111" w:lineRule="exact"/>
              <w:rPr>
                <w:sz w:val="20"/>
                <w:szCs w:val="20"/>
                <w:color w:val="auto"/>
              </w:rPr>
            </w:pPr>
            <w:r>
              <w:rPr>
                <w:rFonts w:ascii="Arial" w:cs="Arial" w:eastAsia="Arial" w:hAnsi="Arial"/>
                <w:sz w:val="11"/>
                <w:szCs w:val="11"/>
                <w:b w:val="1"/>
                <w:bCs w:val="1"/>
                <w:color w:val="auto"/>
                <w:w w:val="99"/>
              </w:rPr>
              <w:t>sponsored</w:t>
            </w: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40" w:type="dxa"/>
            <w:vAlign w:val="bottom"/>
            <w:gridSpan w:val="3"/>
            <w:shd w:val="clear" w:color="auto" w:fill="CCEEFF"/>
          </w:tcPr>
          <w:p>
            <w:pPr>
              <w:jc w:val="center"/>
              <w:ind w:right="80"/>
              <w:spacing w:after="0" w:line="111" w:lineRule="exact"/>
              <w:rPr>
                <w:sz w:val="20"/>
                <w:szCs w:val="20"/>
                <w:color w:val="auto"/>
              </w:rPr>
            </w:pPr>
            <w:r>
              <w:rPr>
                <w:rFonts w:ascii="Arial" w:cs="Arial" w:eastAsia="Arial" w:hAnsi="Arial"/>
                <w:sz w:val="11"/>
                <w:szCs w:val="11"/>
                <w:b w:val="1"/>
                <w:bCs w:val="1"/>
                <w:color w:val="auto"/>
              </w:rPr>
              <w:t>attributable to</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center"/>
              <w:ind w:right="180"/>
              <w:spacing w:after="0" w:line="111" w:lineRule="exact"/>
              <w:rPr>
                <w:sz w:val="20"/>
                <w:szCs w:val="20"/>
                <w:color w:val="auto"/>
              </w:rPr>
            </w:pPr>
            <w:r>
              <w:rPr>
                <w:rFonts w:ascii="Arial" w:cs="Arial" w:eastAsia="Arial" w:hAnsi="Arial"/>
                <w:sz w:val="11"/>
                <w:szCs w:val="11"/>
                <w:b w:val="1"/>
                <w:bCs w:val="1"/>
                <w:color w:val="auto"/>
                <w:w w:val="99"/>
              </w:rPr>
              <w:t>sponsored</w:t>
            </w: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10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960" w:type="dxa"/>
            <w:vAlign w:val="bottom"/>
            <w:gridSpan w:val="3"/>
            <w:shd w:val="clear" w:color="auto" w:fill="CCEEFF"/>
          </w:tcPr>
          <w:p>
            <w:pPr>
              <w:jc w:val="center"/>
              <w:ind w:right="80"/>
              <w:spacing w:after="0" w:line="113" w:lineRule="exact"/>
              <w:rPr>
                <w:sz w:val="20"/>
                <w:szCs w:val="20"/>
                <w:color w:val="auto"/>
              </w:rPr>
            </w:pPr>
            <w:r>
              <w:rPr>
                <w:rFonts w:ascii="Arial" w:cs="Arial" w:eastAsia="Arial" w:hAnsi="Arial"/>
                <w:sz w:val="11"/>
                <w:szCs w:val="11"/>
                <w:b w:val="1"/>
                <w:bCs w:val="1"/>
                <w:color w:val="auto"/>
                <w:w w:val="99"/>
              </w:rPr>
              <w:t>T. Rowe Price</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center"/>
              <w:ind w:right="180"/>
              <w:spacing w:after="0" w:line="113" w:lineRule="exact"/>
              <w:rPr>
                <w:sz w:val="20"/>
                <w:szCs w:val="20"/>
                <w:color w:val="auto"/>
              </w:rPr>
            </w:pPr>
            <w:r>
              <w:rPr>
                <w:rFonts w:ascii="Arial" w:cs="Arial" w:eastAsia="Arial" w:hAnsi="Arial"/>
                <w:sz w:val="11"/>
                <w:szCs w:val="11"/>
                <w:b w:val="1"/>
                <w:bCs w:val="1"/>
                <w:color w:val="auto"/>
              </w:rPr>
              <w:t>investment</w:t>
            </w:r>
          </w:p>
        </w:tc>
        <w:tc>
          <w:tcPr>
            <w:tcW w:w="12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b w:val="1"/>
                <w:bCs w:val="1"/>
                <w:color w:val="auto"/>
              </w:rPr>
              <w:t>Elims</w:t>
            </w:r>
          </w:p>
        </w:tc>
        <w:tc>
          <w:tcPr>
            <w:tcW w:w="960" w:type="dxa"/>
            <w:vAlign w:val="bottom"/>
            <w:gridSpan w:val="3"/>
            <w:vMerge w:val="restart"/>
            <w:shd w:val="clear" w:color="auto" w:fill="CCEEFF"/>
          </w:tcPr>
          <w:p>
            <w:pPr>
              <w:ind w:left="80"/>
              <w:spacing w:after="0"/>
              <w:rPr>
                <w:sz w:val="20"/>
                <w:szCs w:val="20"/>
                <w:color w:val="auto"/>
              </w:rPr>
            </w:pPr>
            <w:r>
              <w:rPr>
                <w:rFonts w:ascii="Arial" w:cs="Arial" w:eastAsia="Arial" w:hAnsi="Arial"/>
                <w:sz w:val="11"/>
                <w:szCs w:val="11"/>
                <w:b w:val="1"/>
                <w:bCs w:val="1"/>
                <w:color w:val="auto"/>
              </w:rPr>
              <w:t>As reported</w:t>
            </w:r>
          </w:p>
        </w:tc>
        <w:tc>
          <w:tcPr>
            <w:tcW w:w="940" w:type="dxa"/>
            <w:vAlign w:val="bottom"/>
            <w:gridSpan w:val="3"/>
            <w:shd w:val="clear" w:color="auto" w:fill="CCEEFF"/>
          </w:tcPr>
          <w:p>
            <w:pPr>
              <w:jc w:val="center"/>
              <w:ind w:right="80"/>
              <w:spacing w:after="0" w:line="113" w:lineRule="exact"/>
              <w:rPr>
                <w:sz w:val="20"/>
                <w:szCs w:val="20"/>
                <w:color w:val="auto"/>
              </w:rPr>
            </w:pPr>
            <w:r>
              <w:rPr>
                <w:rFonts w:ascii="Arial" w:cs="Arial" w:eastAsia="Arial" w:hAnsi="Arial"/>
                <w:sz w:val="11"/>
                <w:szCs w:val="11"/>
                <w:b w:val="1"/>
                <w:bCs w:val="1"/>
                <w:color w:val="auto"/>
              </w:rPr>
              <w:t>T. Rowe Price</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center"/>
              <w:ind w:right="180"/>
              <w:spacing w:after="0" w:line="113" w:lineRule="exact"/>
              <w:rPr>
                <w:sz w:val="20"/>
                <w:szCs w:val="20"/>
                <w:color w:val="auto"/>
              </w:rPr>
            </w:pPr>
            <w:r>
              <w:rPr>
                <w:rFonts w:ascii="Arial" w:cs="Arial" w:eastAsia="Arial" w:hAnsi="Arial"/>
                <w:sz w:val="11"/>
                <w:szCs w:val="11"/>
                <w:b w:val="1"/>
                <w:bCs w:val="1"/>
                <w:color w:val="auto"/>
              </w:rPr>
              <w:t>investment</w:t>
            </w:r>
          </w:p>
        </w:tc>
        <w:tc>
          <w:tcPr>
            <w:tcW w:w="12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b w:val="1"/>
                <w:bCs w:val="1"/>
                <w:color w:val="auto"/>
              </w:rPr>
              <w:t>Elims</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As reported</w:t>
            </w:r>
          </w:p>
        </w:tc>
        <w:tc>
          <w:tcPr>
            <w:tcW w:w="0" w:type="dxa"/>
            <w:vAlign w:val="bottom"/>
          </w:tcPr>
          <w:p>
            <w:pPr>
              <w:spacing w:after="0"/>
              <w:rPr>
                <w:sz w:val="1"/>
                <w:szCs w:val="1"/>
                <w:color w:val="auto"/>
              </w:rPr>
            </w:pPr>
          </w:p>
        </w:tc>
      </w:tr>
      <w:tr>
        <w:trPr>
          <w:trHeight w:val="149"/>
        </w:trPr>
        <w:tc>
          <w:tcPr>
            <w:tcW w:w="41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00"/>
              <w:spacing w:after="0"/>
              <w:rPr>
                <w:sz w:val="20"/>
                <w:szCs w:val="20"/>
                <w:color w:val="auto"/>
              </w:rPr>
            </w:pPr>
            <w:r>
              <w:rPr>
                <w:rFonts w:ascii="Arial" w:cs="Arial" w:eastAsia="Arial" w:hAnsi="Arial"/>
                <w:sz w:val="11"/>
                <w:szCs w:val="11"/>
                <w:b w:val="1"/>
                <w:bCs w:val="1"/>
                <w:color w:val="auto"/>
              </w:rPr>
              <w:t>Group, Inc.</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rPr>
                <w:sz w:val="20"/>
                <w:szCs w:val="20"/>
                <w:color w:val="auto"/>
              </w:rPr>
            </w:pPr>
            <w:r>
              <w:rPr>
                <w:rFonts w:ascii="Arial" w:cs="Arial" w:eastAsia="Arial" w:hAnsi="Arial"/>
                <w:sz w:val="11"/>
                <w:szCs w:val="11"/>
                <w:b w:val="1"/>
                <w:bCs w:val="1"/>
                <w:color w:val="auto"/>
              </w:rPr>
              <w:t>products</w:t>
            </w:r>
          </w:p>
        </w:tc>
        <w:tc>
          <w:tcPr>
            <w:tcW w:w="12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96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00"/>
              <w:spacing w:after="0"/>
              <w:rPr>
                <w:sz w:val="20"/>
                <w:szCs w:val="20"/>
                <w:color w:val="auto"/>
              </w:rPr>
            </w:pPr>
            <w:r>
              <w:rPr>
                <w:rFonts w:ascii="Arial" w:cs="Arial" w:eastAsia="Arial" w:hAnsi="Arial"/>
                <w:sz w:val="11"/>
                <w:szCs w:val="11"/>
                <w:b w:val="1"/>
                <w:bCs w:val="1"/>
                <w:color w:val="auto"/>
              </w:rPr>
              <w:t>Group, Inc.</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rPr>
                <w:sz w:val="20"/>
                <w:szCs w:val="20"/>
                <w:color w:val="auto"/>
              </w:rPr>
            </w:pPr>
            <w:r>
              <w:rPr>
                <w:rFonts w:ascii="Arial" w:cs="Arial" w:eastAsia="Arial" w:hAnsi="Arial"/>
                <w:sz w:val="11"/>
                <w:szCs w:val="11"/>
                <w:b w:val="1"/>
                <w:bCs w:val="1"/>
                <w:color w:val="auto"/>
              </w:rPr>
              <w:t>products</w:t>
            </w:r>
          </w:p>
        </w:tc>
        <w:tc>
          <w:tcPr>
            <w:tcW w:w="12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100" w:type="dxa"/>
            <w:vAlign w:val="bottom"/>
          </w:tcPr>
          <w:p>
            <w:pPr>
              <w:ind w:left="20"/>
              <w:spacing w:after="0"/>
              <w:rPr>
                <w:sz w:val="20"/>
                <w:szCs w:val="20"/>
                <w:color w:val="auto"/>
              </w:rPr>
            </w:pPr>
            <w:r>
              <w:rPr>
                <w:rFonts w:ascii="Arial" w:cs="Arial" w:eastAsia="Arial" w:hAnsi="Arial"/>
                <w:sz w:val="14"/>
                <w:szCs w:val="14"/>
                <w:color w:val="auto"/>
              </w:rPr>
              <w:t>Cash flows from operating activities</w:t>
            </w: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1,660.2</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159.4</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1,719.1</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1,351.1</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1,362.1</w:t>
            </w:r>
          </w:p>
        </w:tc>
        <w:tc>
          <w:tcPr>
            <w:tcW w:w="0" w:type="dxa"/>
            <w:vAlign w:val="bottom"/>
          </w:tcPr>
          <w:p>
            <w:pPr>
              <w:spacing w:after="0"/>
              <w:rPr>
                <w:sz w:val="1"/>
                <w:szCs w:val="1"/>
                <w:color w:val="auto"/>
              </w:rPr>
            </w:pPr>
          </w:p>
        </w:tc>
      </w:tr>
      <w:tr>
        <w:trPr>
          <w:trHeight w:val="124"/>
        </w:trPr>
        <w:tc>
          <w:tcPr>
            <w:tcW w:w="4100" w:type="dxa"/>
            <w:vAlign w:val="bottom"/>
          </w:tcPr>
          <w:p>
            <w:pPr>
              <w:ind w:left="120"/>
              <w:spacing w:after="0" w:line="125" w:lineRule="exact"/>
              <w:rPr>
                <w:sz w:val="20"/>
                <w:szCs w:val="20"/>
                <w:color w:val="auto"/>
              </w:rPr>
            </w:pPr>
            <w:r>
              <w:rPr>
                <w:rFonts w:ascii="Arial" w:cs="Arial" w:eastAsia="Arial" w:hAnsi="Arial"/>
                <w:sz w:val="14"/>
                <w:szCs w:val="14"/>
                <w:color w:val="auto"/>
              </w:rPr>
              <w:t>Adjustments to reconcile net income (loss) to net cash provided</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100" w:type="dxa"/>
            <w:vAlign w:val="bottom"/>
          </w:tcPr>
          <w:p>
            <w:pPr>
              <w:ind w:left="120"/>
              <w:spacing w:after="0"/>
              <w:rPr>
                <w:sz w:val="20"/>
                <w:szCs w:val="20"/>
                <w:color w:val="auto"/>
              </w:rPr>
            </w:pPr>
            <w:r>
              <w:rPr>
                <w:rFonts w:ascii="Arial" w:cs="Arial" w:eastAsia="Arial" w:hAnsi="Arial"/>
                <w:sz w:val="14"/>
                <w:szCs w:val="14"/>
                <w:color w:val="auto"/>
              </w:rPr>
              <w:t>by (used in) operating activities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color w:val="auto"/>
              </w:rPr>
              <w:t>Depreciation, amortization and impairments of property,</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181.6</w:t>
            </w:r>
          </w:p>
        </w:tc>
        <w:tc>
          <w:tcPr>
            <w:tcW w:w="0" w:type="dxa"/>
            <w:vAlign w:val="bottom"/>
          </w:tcPr>
          <w:p>
            <w:pPr>
              <w:spacing w:after="0"/>
              <w:rPr>
                <w:sz w:val="1"/>
                <w:szCs w:val="1"/>
                <w:color w:val="auto"/>
              </w:rPr>
            </w:pPr>
          </w:p>
        </w:tc>
      </w:tr>
      <w:tr>
        <w:trPr>
          <w:trHeight w:val="184"/>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 and software</w:t>
            </w: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100" w:type="dxa"/>
            <w:vAlign w:val="bottom"/>
          </w:tcPr>
          <w:p>
            <w:pPr>
              <w:ind w:left="180"/>
              <w:spacing w:after="0" w:line="145" w:lineRule="exact"/>
              <w:rPr>
                <w:sz w:val="20"/>
                <w:szCs w:val="20"/>
                <w:color w:val="auto"/>
              </w:rPr>
            </w:pPr>
            <w:r>
              <w:rPr>
                <w:rFonts w:ascii="Arial" w:cs="Arial" w:eastAsia="Arial" w:hAnsi="Arial"/>
                <w:sz w:val="14"/>
                <w:szCs w:val="14"/>
                <w:color w:val="auto"/>
              </w:rPr>
              <w:t>Amortization and impairment of acquisition-related assets and</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196.5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196.5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165.6</w:t>
            </w:r>
          </w:p>
        </w:tc>
        <w:tc>
          <w:tcPr>
            <w:tcW w:w="0" w:type="dxa"/>
            <w:vAlign w:val="bottom"/>
          </w:tcPr>
          <w:p>
            <w:pPr>
              <w:spacing w:after="0"/>
              <w:rPr>
                <w:sz w:val="1"/>
                <w:szCs w:val="1"/>
                <w:color w:val="auto"/>
              </w:rPr>
            </w:pPr>
          </w:p>
        </w:tc>
      </w:tr>
      <w:tr>
        <w:trPr>
          <w:trHeight w:val="184"/>
        </w:trPr>
        <w:tc>
          <w:tcPr>
            <w:tcW w:w="4100" w:type="dxa"/>
            <w:vAlign w:val="bottom"/>
          </w:tcPr>
          <w:p>
            <w:pPr>
              <w:ind w:left="180"/>
              <w:spacing w:after="0"/>
              <w:rPr>
                <w:sz w:val="20"/>
                <w:szCs w:val="20"/>
                <w:color w:val="auto"/>
              </w:rPr>
            </w:pPr>
            <w:r>
              <w:rPr>
                <w:rFonts w:ascii="Arial" w:cs="Arial" w:eastAsia="Arial" w:hAnsi="Arial"/>
                <w:sz w:val="14"/>
                <w:szCs w:val="14"/>
                <w:color w:val="auto"/>
              </w:rPr>
              <w:t>retention agreements</w:t>
            </w: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Fair value remeasurement of contingent liability</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180"/>
        </w:trPr>
        <w:tc>
          <w:tcPr>
            <w:tcW w:w="410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162.2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169.7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169.7</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(gains) losses recognized on investments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(300.4)</w:t>
            </w:r>
          </w:p>
        </w:tc>
        <w:tc>
          <w:tcPr>
            <w:tcW w:w="0" w:type="dxa"/>
            <w:vAlign w:val="bottom"/>
          </w:tcPr>
          <w:p>
            <w:pPr>
              <w:spacing w:after="0"/>
              <w:rPr>
                <w:sz w:val="1"/>
                <w:szCs w:val="1"/>
                <w:color w:val="auto"/>
              </w:rPr>
            </w:pPr>
          </w:p>
        </w:tc>
      </w:tr>
      <w:tr>
        <w:trPr>
          <w:trHeight w:val="171"/>
        </w:trPr>
        <w:tc>
          <w:tcPr>
            <w:tcW w:w="4100" w:type="dxa"/>
            <w:vAlign w:val="bottom"/>
          </w:tcPr>
          <w:p>
            <w:pPr>
              <w:ind w:left="120"/>
              <w:spacing w:after="0"/>
              <w:rPr>
                <w:sz w:val="20"/>
                <w:szCs w:val="20"/>
                <w:color w:val="auto"/>
              </w:rPr>
            </w:pPr>
            <w:r>
              <w:rPr>
                <w:rFonts w:ascii="Arial" w:cs="Arial" w:eastAsia="Arial" w:hAnsi="Arial"/>
                <w:sz w:val="14"/>
                <w:szCs w:val="14"/>
                <w:color w:val="auto"/>
              </w:rPr>
              <w:t>Total non-cash adjustments</w:t>
            </w: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101.1</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100.5</w:t>
            </w: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118.1</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143.7</w:t>
            </w: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color w:val="auto"/>
              </w:rPr>
              <w:t>Net redemptions in sponsored investment products used to</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84"/>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economically hedge supplemental savings plan liability</w:t>
            </w: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100" w:type="dxa"/>
            <w:vAlign w:val="bottom"/>
          </w:tcPr>
          <w:p>
            <w:pPr>
              <w:ind w:left="180"/>
              <w:spacing w:after="0" w:line="145" w:lineRule="exact"/>
              <w:rPr>
                <w:sz w:val="20"/>
                <w:szCs w:val="20"/>
                <w:color w:val="auto"/>
              </w:rPr>
            </w:pPr>
            <w:r>
              <w:rPr>
                <w:rFonts w:ascii="Arial" w:cs="Arial" w:eastAsia="Arial" w:hAnsi="Arial"/>
                <w:sz w:val="14"/>
                <w:szCs w:val="14"/>
                <w:color w:val="auto"/>
              </w:rPr>
              <w:t>Net change in trading securities held by consolidated</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(517.9)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(517.9)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(779.9)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(779.9)</w:t>
            </w:r>
          </w:p>
        </w:tc>
        <w:tc>
          <w:tcPr>
            <w:tcW w:w="0" w:type="dxa"/>
            <w:vAlign w:val="bottom"/>
          </w:tcPr>
          <w:p>
            <w:pPr>
              <w:spacing w:after="0"/>
              <w:rPr>
                <w:sz w:val="1"/>
                <w:szCs w:val="1"/>
                <w:color w:val="auto"/>
              </w:rPr>
            </w:pPr>
          </w:p>
        </w:tc>
      </w:tr>
      <w:tr>
        <w:trPr>
          <w:trHeight w:val="184"/>
        </w:trPr>
        <w:tc>
          <w:tcPr>
            <w:tcW w:w="4100" w:type="dxa"/>
            <w:vAlign w:val="bottom"/>
          </w:tcPr>
          <w:p>
            <w:pPr>
              <w:ind w:left="180"/>
              <w:spacing w:after="0"/>
              <w:rPr>
                <w:sz w:val="20"/>
                <w:szCs w:val="20"/>
                <w:color w:val="auto"/>
              </w:rPr>
            </w:pPr>
            <w:r>
              <w:rPr>
                <w:rFonts w:ascii="Arial" w:cs="Arial" w:eastAsia="Arial" w:hAnsi="Arial"/>
                <w:sz w:val="14"/>
                <w:szCs w:val="14"/>
                <w:color w:val="auto"/>
              </w:rPr>
              <w:t>sponsored investment products</w:t>
            </w: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changes</w:t>
            </w: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548.3</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534.9</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549.3</w:t>
            </w:r>
          </w:p>
        </w:tc>
        <w:tc>
          <w:tcPr>
            <w:tcW w:w="0" w:type="dxa"/>
            <w:vAlign w:val="bottom"/>
          </w:tcPr>
          <w:p>
            <w:pPr>
              <w:spacing w:after="0"/>
              <w:rPr>
                <w:sz w:val="1"/>
                <w:szCs w:val="1"/>
                <w:color w:val="auto"/>
              </w:rPr>
            </w:pPr>
          </w:p>
        </w:tc>
      </w:tr>
      <w:tr>
        <w:trPr>
          <w:trHeight w:val="171"/>
        </w:trPr>
        <w:tc>
          <w:tcPr>
            <w:tcW w:w="4100" w:type="dxa"/>
            <w:vAlign w:val="bottom"/>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2,339.4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(352.8)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1,967.5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2,117.3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1,376.5</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407.0</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80"/>
        </w:trPr>
        <w:tc>
          <w:tcPr>
            <w:tcW w:w="4100" w:type="dxa"/>
            <w:vAlign w:val="bottom"/>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(1,089.4)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(728.2)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741.4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(397.7)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(617.2)</w:t>
            </w: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4"/>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consolidated sponsored investment products</w:t>
            </w: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00" w:type="dxa"/>
            <w:vAlign w:val="bottom"/>
          </w:tcPr>
          <w:p>
            <w:pPr>
              <w:ind w:left="20"/>
              <w:spacing w:after="0"/>
              <w:rPr>
                <w:sz w:val="20"/>
                <w:szCs w:val="20"/>
                <w:color w:val="auto"/>
              </w:rPr>
            </w:pPr>
            <w:r>
              <w:rPr>
                <w:rFonts w:ascii="Arial" w:cs="Arial" w:eastAsia="Arial" w:hAnsi="Arial"/>
                <w:sz w:val="14"/>
                <w:szCs w:val="14"/>
                <w:color w:val="auto"/>
              </w:rPr>
              <w:t>Net change in cash and cash equivalents during period</w:t>
            </w: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1,106.9</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1,084.8</w:t>
            </w: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823.1</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795.6</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year</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2,143.8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1,874.7</w:t>
            </w:r>
          </w:p>
        </w:tc>
        <w:tc>
          <w:tcPr>
            <w:tcW w:w="0" w:type="dxa"/>
            <w:vAlign w:val="bottom"/>
          </w:tcPr>
          <w:p>
            <w:pPr>
              <w:spacing w:after="0"/>
              <w:rPr>
                <w:sz w:val="1"/>
                <w:szCs w:val="1"/>
                <w:color w:val="auto"/>
              </w:rPr>
            </w:pPr>
          </w:p>
        </w:tc>
      </w:tr>
      <w:tr>
        <w:trPr>
          <w:trHeight w:val="171"/>
        </w:trPr>
        <w:tc>
          <w:tcPr>
            <w:tcW w:w="410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3,173.5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3,228.6</w:t>
            </w: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2,578.7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91.6</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2,670.3</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u w:val="single" w:color="auto"/>
          <w:color w:val="auto"/>
        </w:rPr>
        <w:t>Operating Activities</w:t>
      </w:r>
    </w:p>
    <w:p>
      <w:pPr>
        <w:spacing w:after="0" w:line="21"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Operating activities attributable to T. Rowe Price Group, Inc. during the first nine months of 2024 provided cash flows of $2,339.4 million, an increase of $222.1 million from $2,117.3 million provided during the 2023 period. The increase was primarily driven by a $309.1 million increase in net income and a $1.5 million increase in cash flows related to timing differences associated with the cash settlement of our assets and liabilities. These increases to operating cash flows were offset in part by a $17.0 million decrease in the add-back for non-cash items as detailed in the table above. Additionally, in 2024, proceeds received from net redemptions of investments that economically hedge our supplemental savings plan liability decreased $ 71.5 million as compared to the 2023 period. The remaining change in reported cash flows from operating activities was attributable to the net change in trading securities held in our consolidated investment products’ underlying portfolios.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Our interim operating cash flows does not include the cash impact of variable compensation that is accrued throughout the year before being substantially paid out in December.</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Investing Activities</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Net cash used in investing activities that were attributable to T. Rowe Price Group, Inc. totaled $143.1 million in 2024 compared with $333.3 million in 2023. During 2024, we had net proceeds from the sale of investments of $209.9 million compared to net purchases of investments totaling $72.1 million during the 2023 period. In 2024, we increased our property and equipment expenditures by $84.4 million and other investing activity by $7.4 million compared to the 2023 period. We eliminate our capital in those sponsored investment products we consolidate in preparing our consolidated statements of cash flows. The remaining change in reported cash flows from investing activities of $19.9 million is primarily related to the net cash removed from our unaudited condensed consolidated balance sheet from consolidating and deconsolidating investment products.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Financing Activities</w:t>
      </w:r>
    </w:p>
    <w:p>
      <w:pPr>
        <w:spacing w:after="0" w:line="21"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Net cash used in financing activities attributable to T. Rowe Price Group, Inc. totaled $1,089.4 million in 2024 compared with $960.9 million in 2023. During 2024, we used $269.1 million to repurchase 2.3 million shares compared to $151.4 million to repurchase 1.4 million shares in 2023. The $9.0 million increase in dividends paid in 2024 was a result of the 1.6% increase in our quarterly dividend per share over prior year. In addition, cash flows generated from common stock issued under stock compensation plans increased by $2.6 million during 2024 compared to 2023. The remaining change in reported cash flows from financing activities was primarily attributable to a $17.5 million increase in net subscriptions from redeemable non-controlling interest holders of our consolidated investment products during 2024.</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CRITICAL ACCOUNTING POLICIES.</w:t>
      </w:r>
    </w:p>
    <w:p>
      <w:pPr>
        <w:spacing w:after="0" w:line="198" w:lineRule="exact"/>
        <w:rPr>
          <w:sz w:val="20"/>
          <w:szCs w:val="20"/>
          <w:color w:val="auto"/>
        </w:rPr>
      </w:pPr>
    </w:p>
    <w:p>
      <w:pPr>
        <w:ind w:right="260"/>
        <w:spacing w:after="0" w:line="260" w:lineRule="auto"/>
        <w:rPr>
          <w:sz w:val="20"/>
          <w:szCs w:val="20"/>
          <w:color w:val="auto"/>
        </w:rPr>
      </w:pPr>
      <w:r>
        <w:rPr>
          <w:rFonts w:ascii="Arial" w:cs="Arial" w:eastAsia="Arial" w:hAnsi="Arial"/>
          <w:sz w:val="14"/>
          <w:szCs w:val="14"/>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condensed consolidated balance sheets, the revenues and expenses in our unaudited condensed consolidated statements of income, and the information that is contained in our significant accounting policies and notes to unaudited condensed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condensed consolidated financial statements, significant accounting policies, and notes.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There have been no material changes in the critical accounting policies previously identified in our 2023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NEWLY-ISSUED BUT NOT YET ADOPTED ACCOUNTING GUIDANCE.</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 1 - The Company and Basis of Preparation</w:t>
      </w:r>
      <w:r>
        <w:rPr>
          <w:rFonts w:ascii="Arial" w:cs="Arial" w:eastAsia="Arial" w:hAnsi="Arial"/>
          <w:sz w:val="14"/>
          <w:szCs w:val="14"/>
          <w:color w:val="auto"/>
        </w:rPr>
        <w:t xml:space="preserve"> note within </w:t>
      </w:r>
      <w:r>
        <w:rPr>
          <w:rFonts w:ascii="Arial" w:cs="Arial" w:eastAsia="Arial" w:hAnsi="Arial"/>
          <w:sz w:val="14"/>
          <w:szCs w:val="14"/>
          <w:i w:val="1"/>
          <w:iCs w:val="1"/>
          <w:color w:val="auto"/>
        </w:rPr>
        <w:t>Item 1. Financial Statements</w:t>
      </w:r>
      <w:r>
        <w:rPr>
          <w:rFonts w:ascii="Arial" w:cs="Arial" w:eastAsia="Arial" w:hAnsi="Arial"/>
          <w:sz w:val="14"/>
          <w:szCs w:val="14"/>
          <w:color w:val="auto"/>
        </w:rPr>
        <w:t xml:space="preserve"> for a discussion of newly issued but not yet adopted accounting guidance.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i w:val="1"/>
          <w:iCs w:val="1"/>
          <w:u w:val="single" w:color="auto"/>
          <w:color w:val="auto"/>
        </w:rPr>
        <w:t>FORWARD-LOOKING INFORMATION.</w:t>
      </w:r>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From time to time, information or statements provided by or on behalf of T. Rowe Price Group, Inc., including those within this report, may contain certain forward-looking information, including information or anticipated information relating to: our revenues, net income, and earnings per share of common stock; changes in the amount and composition of our assets under management; our expense levels; our tax rate; legal or regulatory developments; geopolitical instability; interest rates and currency fluctuations; and our expectations regarding financial markets, future transactions, dividends, stock repurchases, investments, new products and services, capital expenditures, changes in our effective fee rate, and other industry or market conditions. Readers are cautioned that any forward-looking information provided by or on behalf of T. Rowe Price Group, Inc. is not a guarantee of future performance. Actual results may differ materially from those in forward-looking information because of various factors including, but not limited to, those discussed below and in Item 1A, Risk Factors, included in our Form 10-K Annual Report for 2023.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334"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Our future revenues and results of operations will fluctuate primarily due to changes in the total value and composition of assets under our management. Such changes result from many factors, including, among other things: client-related cash inflows and outflows in our products, performance fees, capital allocation-based income, fluctuations in global financial markets that result in appreciation or depreciation of the assets under our management, our introduction of new investment products, and changes in retirement savings trends relative to participant-directed investments and defined contribution plans.</w:t>
      </w:r>
    </w:p>
    <w:p>
      <w:pPr>
        <w:spacing w:after="0" w:line="159"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The ability to attract and retain investors’ assets under our management is dependent on investor sentiment and confidence; the relative investment performance of the T. Rowe Price mutual funds and other managed investment products as compared with competing offerings and market indexes; the ability to maintain our investment management and administrative fees at appropriate levels; the impact of changes in interest rates and inflation; competitive conditions in the mutual fund, asset management, and broader financial services sectors; our level of success in implementing our strategy to expand our business; and our ability to attract and retain key personnel.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154" w:lineRule="exact"/>
        <w:rPr>
          <w:sz w:val="20"/>
          <w:szCs w:val="20"/>
          <w:color w:val="auto"/>
        </w:rPr>
      </w:pPr>
    </w:p>
    <w:p>
      <w:pPr>
        <w:ind w:right="20"/>
        <w:spacing w:after="0"/>
        <w:rPr>
          <w:sz w:val="20"/>
          <w:szCs w:val="20"/>
          <w:color w:val="auto"/>
        </w:rPr>
      </w:pPr>
      <w:r>
        <w:rPr>
          <w:rFonts w:ascii="Arial" w:cs="Arial" w:eastAsia="Arial" w:hAnsi="Arial"/>
          <w:sz w:val="14"/>
          <w:szCs w:val="14"/>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our supplemental savings plan, changes in our employee count and mix, and competitive factors; any goodwill, intangible asset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w:t>
      </w:r>
    </w:p>
    <w:p>
      <w:pPr>
        <w:spacing w:after="0" w:line="3" w:lineRule="exact"/>
        <w:rPr>
          <w:sz w:val="20"/>
          <w:szCs w:val="20"/>
          <w:color w:val="auto"/>
        </w:rPr>
      </w:pPr>
    </w:p>
    <w:p>
      <w:pPr>
        <w:ind w:right="260"/>
        <w:spacing w:after="0" w:line="238" w:lineRule="auto"/>
        <w:rPr>
          <w:sz w:val="20"/>
          <w:szCs w:val="20"/>
          <w:color w:val="auto"/>
        </w:rPr>
      </w:pPr>
      <w:r>
        <w:rPr>
          <w:rFonts w:ascii="Arial" w:cs="Arial" w:eastAsia="Arial" w:hAnsi="Arial"/>
          <w:sz w:val="14"/>
          <w:szCs w:val="14"/>
          <w:color w:val="auto"/>
        </w:rPr>
        <w:t>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 recordkeeping, facilities, communications, power, and the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mutual fund transfer agent and accounting systems, as a result of extreme events, cyberattacks or otherwise.</w:t>
      </w:r>
    </w:p>
    <w:p>
      <w:pPr>
        <w:spacing w:after="0" w:line="200" w:lineRule="exact"/>
        <w:rPr>
          <w:sz w:val="20"/>
          <w:szCs w:val="20"/>
          <w:color w:val="auto"/>
        </w:rPr>
      </w:pPr>
    </w:p>
    <w:p>
      <w:pPr>
        <w:jc w:val="both"/>
        <w:ind w:right="120"/>
        <w:spacing w:after="0" w:line="271" w:lineRule="auto"/>
        <w:rPr>
          <w:sz w:val="20"/>
          <w:szCs w:val="20"/>
          <w:color w:val="auto"/>
        </w:rPr>
      </w:pPr>
      <w:r>
        <w:rPr>
          <w:rFonts w:ascii="Arial" w:cs="Arial" w:eastAsia="Arial" w:hAnsi="Arial"/>
          <w:sz w:val="14"/>
          <w:szCs w:val="14"/>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sponsored investment products and investing in general or in particular classes of mutual funds or other investments.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3"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There has been no material change in our market risks from those provided in Item 7A of the Form 10-K Annual Report for 2023.</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Our management, including our principal executive and principal financial officers, has evaluated the effectiveness of our disclosure controls and procedures as of September 30, 2024. Based on that evaluation, our principal executive and principal financial officers have concluded that our disclosure controls and procedures as of September 30, 2024,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3"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Our management, including our principal executive and principal financial officers, has evaluated any change in our internal control over financial reporting that occurred during the third quarter of 2024, and has concluded that there was no change during the third quarter of 2024 that has materially affected, or is reasonably likely to materially affect, our internal control over financial reporting.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 – OTHER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200"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For information about our legal proceedings, please see our Commitments and Contingencies footnote to our unaudited condensed consolidated financial statements in Part 1 of this Form 10-Q.</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There have been no material changes in the information provided in Item 1A of our Form 10-K Annual Report for 2023.</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(c) Repurchase activity during the third quarter of 2024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Total Number of</w:t>
            </w:r>
          </w:p>
        </w:tc>
        <w:tc>
          <w:tcPr>
            <w:tcW w:w="100" w:type="dxa"/>
            <w:vAlign w:val="bottom"/>
            <w:shd w:val="clear" w:color="auto" w:fill="CCEEFF"/>
          </w:tcPr>
          <w:p>
            <w:pPr>
              <w:spacing w:after="0"/>
              <w:rPr>
                <w:sz w:val="10"/>
                <w:szCs w:val="10"/>
                <w:color w:val="auto"/>
              </w:rPr>
            </w:pP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rPr>
              <w:t>Maximum Number of Shares</w:t>
            </w:r>
          </w:p>
        </w:tc>
        <w:tc>
          <w:tcPr>
            <w:tcW w:w="0" w:type="dxa"/>
            <w:vAlign w:val="bottom"/>
          </w:tcPr>
          <w:p>
            <w:pPr>
              <w:spacing w:after="0"/>
              <w:rPr>
                <w:sz w:val="1"/>
                <w:szCs w:val="1"/>
                <w:color w:val="auto"/>
              </w:rPr>
            </w:pPr>
          </w:p>
        </w:tc>
      </w:tr>
      <w:tr>
        <w:trPr>
          <w:trHeight w:val="112"/>
        </w:trPr>
        <w:tc>
          <w:tcPr>
            <w:tcW w:w="3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1"/>
                <w:szCs w:val="11"/>
                <w:b w:val="1"/>
                <w:bCs w:val="1"/>
                <w:color w:val="auto"/>
              </w:rPr>
              <w:t>Total Number of</w:t>
            </w:r>
          </w:p>
        </w:tc>
        <w:tc>
          <w:tcPr>
            <w:tcW w:w="280" w:type="dxa"/>
            <w:vAlign w:val="bottom"/>
            <w:shd w:val="clear" w:color="auto" w:fill="CCEEFF"/>
          </w:tcPr>
          <w:p>
            <w:pPr>
              <w:spacing w:after="0"/>
              <w:rPr>
                <w:sz w:val="9"/>
                <w:szCs w:val="9"/>
                <w:color w:val="auto"/>
              </w:rPr>
            </w:pPr>
          </w:p>
        </w:tc>
        <w:tc>
          <w:tcPr>
            <w:tcW w:w="1560" w:type="dxa"/>
            <w:vAlign w:val="bottom"/>
            <w:gridSpan w:val="2"/>
            <w:vMerge w:val="restart"/>
            <w:shd w:val="clear" w:color="auto" w:fill="CCEEFF"/>
          </w:tcPr>
          <w:p>
            <w:pPr>
              <w:jc w:val="center"/>
              <w:ind w:right="380"/>
              <w:spacing w:after="0"/>
              <w:rPr>
                <w:sz w:val="20"/>
                <w:szCs w:val="20"/>
                <w:color w:val="auto"/>
              </w:rPr>
            </w:pPr>
            <w:r>
              <w:rPr>
                <w:rFonts w:ascii="Arial" w:cs="Arial" w:eastAsia="Arial" w:hAnsi="Arial"/>
                <w:sz w:val="11"/>
                <w:szCs w:val="11"/>
                <w:b w:val="1"/>
                <w:bCs w:val="1"/>
                <w:color w:val="auto"/>
              </w:rPr>
              <w:t>Average Price</w:t>
            </w:r>
          </w:p>
        </w:tc>
        <w:tc>
          <w:tcPr>
            <w:tcW w:w="1900" w:type="dxa"/>
            <w:vAlign w:val="bottom"/>
            <w:shd w:val="clear" w:color="auto" w:fill="CCEEFF"/>
          </w:tcPr>
          <w:p>
            <w:pPr>
              <w:jc w:val="center"/>
              <w:spacing w:after="0" w:line="113" w:lineRule="exact"/>
              <w:rPr>
                <w:sz w:val="20"/>
                <w:szCs w:val="20"/>
                <w:color w:val="auto"/>
              </w:rPr>
            </w:pPr>
            <w:r>
              <w:rPr>
                <w:rFonts w:ascii="Arial" w:cs="Arial" w:eastAsia="Arial" w:hAnsi="Arial"/>
                <w:sz w:val="11"/>
                <w:szCs w:val="11"/>
                <w:b w:val="1"/>
                <w:bCs w:val="1"/>
                <w:color w:val="auto"/>
              </w:rPr>
              <w:t>Shares Purchased as</w:t>
            </w:r>
          </w:p>
        </w:tc>
        <w:tc>
          <w:tcPr>
            <w:tcW w:w="100" w:type="dxa"/>
            <w:vAlign w:val="bottom"/>
            <w:shd w:val="clear" w:color="auto" w:fill="CCEEFF"/>
          </w:tcPr>
          <w:p>
            <w:pPr>
              <w:spacing w:after="0"/>
              <w:rPr>
                <w:sz w:val="9"/>
                <w:szCs w:val="9"/>
                <w:color w:val="auto"/>
              </w:rPr>
            </w:pPr>
          </w:p>
        </w:tc>
        <w:tc>
          <w:tcPr>
            <w:tcW w:w="17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8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1"/>
                <w:szCs w:val="11"/>
                <w:b w:val="1"/>
                <w:bCs w:val="1"/>
                <w:color w:val="auto"/>
              </w:rPr>
              <w:t>Month</w:t>
            </w:r>
          </w:p>
        </w:tc>
        <w:tc>
          <w:tcPr>
            <w:tcW w:w="1860" w:type="dxa"/>
            <w:vAlign w:val="bottom"/>
            <w:gridSpan w:val="2"/>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560" w:type="dxa"/>
            <w:vAlign w:val="bottom"/>
            <w:gridSpan w:val="2"/>
            <w:vMerge w:val="continue"/>
            <w:shd w:val="clear" w:color="auto" w:fill="CCEEFF"/>
          </w:tcPr>
          <w:p>
            <w:pPr>
              <w:spacing w:after="0"/>
              <w:rPr>
                <w:sz w:val="10"/>
                <w:szCs w:val="10"/>
                <w:color w:val="auto"/>
              </w:rPr>
            </w:pPr>
          </w:p>
        </w:tc>
        <w:tc>
          <w:tcPr>
            <w:tcW w:w="1900" w:type="dxa"/>
            <w:vAlign w:val="bottom"/>
            <w:shd w:val="clear" w:color="auto" w:fill="CCEEFF"/>
          </w:tcPr>
          <w:p>
            <w:pPr>
              <w:jc w:val="center"/>
              <w:spacing w:after="0" w:line="117" w:lineRule="exact"/>
              <w:rPr>
                <w:sz w:val="20"/>
                <w:szCs w:val="20"/>
                <w:color w:val="auto"/>
              </w:rPr>
            </w:pPr>
            <w:r>
              <w:rPr>
                <w:rFonts w:ascii="Arial" w:cs="Arial" w:eastAsia="Arial" w:hAnsi="Arial"/>
                <w:sz w:val="11"/>
                <w:szCs w:val="11"/>
                <w:b w:val="1"/>
                <w:bCs w:val="1"/>
                <w:color w:val="auto"/>
              </w:rPr>
              <w:t>Part of Publicly</w:t>
            </w:r>
          </w:p>
        </w:tc>
        <w:tc>
          <w:tcPr>
            <w:tcW w:w="100" w:type="dxa"/>
            <w:vAlign w:val="bottom"/>
            <w:shd w:val="clear" w:color="auto" w:fill="CCEEFF"/>
          </w:tcPr>
          <w:p>
            <w:pPr>
              <w:spacing w:after="0"/>
              <w:rPr>
                <w:sz w:val="10"/>
                <w:szCs w:val="10"/>
                <w:color w:val="auto"/>
              </w:rPr>
            </w:pPr>
          </w:p>
        </w:tc>
        <w:tc>
          <w:tcPr>
            <w:tcW w:w="1760" w:type="dxa"/>
            <w:vAlign w:val="bottom"/>
            <w:shd w:val="clear" w:color="auto" w:fill="CCEEFF"/>
          </w:tcPr>
          <w:p>
            <w:pPr>
              <w:jc w:val="center"/>
              <w:spacing w:after="0" w:line="117" w:lineRule="exact"/>
              <w:rPr>
                <w:sz w:val="20"/>
                <w:szCs w:val="20"/>
                <w:color w:val="auto"/>
              </w:rPr>
            </w:pPr>
            <w:r>
              <w:rPr>
                <w:rFonts w:ascii="Arial" w:cs="Arial" w:eastAsia="Arial" w:hAnsi="Arial"/>
                <w:sz w:val="11"/>
                <w:szCs w:val="11"/>
                <w:b w:val="1"/>
                <w:bCs w:val="1"/>
                <w:color w:val="auto"/>
              </w:rPr>
              <w:t>that May Yet Be Purchased</w:t>
            </w:r>
          </w:p>
        </w:tc>
        <w:tc>
          <w:tcPr>
            <w:tcW w:w="0" w:type="dxa"/>
            <w:vAlign w:val="bottom"/>
          </w:tcPr>
          <w:p>
            <w:pPr>
              <w:spacing w:after="0"/>
              <w:rPr>
                <w:sz w:val="1"/>
                <w:szCs w:val="1"/>
                <w:color w:val="auto"/>
              </w:rPr>
            </w:pPr>
          </w:p>
        </w:tc>
      </w:tr>
      <w:tr>
        <w:trPr>
          <w:trHeight w:val="149"/>
        </w:trPr>
        <w:tc>
          <w:tcPr>
            <w:tcW w:w="3820" w:type="dxa"/>
            <w:vAlign w:val="bottom"/>
            <w:gridSpan w:val="2"/>
            <w:vMerge w:val="continue"/>
            <w:shd w:val="clear" w:color="auto" w:fill="CCEEFF"/>
          </w:tcPr>
          <w:p>
            <w:pPr>
              <w:spacing w:after="0"/>
              <w:rPr>
                <w:sz w:val="12"/>
                <w:szCs w:val="12"/>
                <w:color w:val="auto"/>
              </w:rPr>
            </w:pP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b w:val="1"/>
                <w:bCs w:val="1"/>
                <w:color w:val="auto"/>
              </w:rPr>
              <w:t>Shares Purchased</w:t>
            </w:r>
          </w:p>
        </w:tc>
        <w:tc>
          <w:tcPr>
            <w:tcW w:w="2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380"/>
              <w:spacing w:after="0"/>
              <w:rPr>
                <w:sz w:val="20"/>
                <w:szCs w:val="20"/>
                <w:color w:val="auto"/>
              </w:rPr>
            </w:pPr>
            <w:r>
              <w:rPr>
                <w:rFonts w:ascii="Arial" w:cs="Arial" w:eastAsia="Arial" w:hAnsi="Arial"/>
                <w:sz w:val="11"/>
                <w:szCs w:val="11"/>
                <w:b w:val="1"/>
                <w:bCs w:val="1"/>
                <w:color w:val="auto"/>
              </w:rPr>
              <w:t>Paid per Share</w:t>
            </w:r>
          </w:p>
        </w:tc>
        <w:tc>
          <w:tcPr>
            <w:tcW w:w="190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Announced Program</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Under the Program</w:t>
            </w:r>
          </w:p>
        </w:tc>
        <w:tc>
          <w:tcPr>
            <w:tcW w:w="0" w:type="dxa"/>
            <w:vAlign w:val="bottom"/>
          </w:tcPr>
          <w:p>
            <w:pPr>
              <w:spacing w:after="0"/>
              <w:rPr>
                <w:sz w:val="1"/>
                <w:szCs w:val="1"/>
                <w:color w:val="auto"/>
              </w:rPr>
            </w:pPr>
          </w:p>
        </w:tc>
      </w:tr>
      <w:tr>
        <w:trPr>
          <w:trHeight w:val="171"/>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July</w:t>
            </w:r>
          </w:p>
        </w:tc>
        <w:tc>
          <w:tcPr>
            <w:tcW w:w="100" w:type="dxa"/>
            <w:vAlign w:val="bottom"/>
          </w:tcPr>
          <w:p>
            <w:pPr>
              <w:spacing w:after="0"/>
              <w:rPr>
                <w:sz w:val="14"/>
                <w:szCs w:val="14"/>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84,805</w:t>
            </w:r>
          </w:p>
        </w:tc>
        <w:tc>
          <w:tcPr>
            <w:tcW w:w="10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113.97</w:t>
            </w:r>
          </w:p>
        </w:tc>
        <w:tc>
          <w:tcPr>
            <w:tcW w:w="80" w:type="dxa"/>
            <w:vAlign w:val="bottom"/>
          </w:tcPr>
          <w:p>
            <w:pPr>
              <w:spacing w:after="0"/>
              <w:rPr>
                <w:sz w:val="14"/>
                <w:szCs w:val="14"/>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80,000</w:t>
            </w:r>
          </w:p>
        </w:tc>
        <w:tc>
          <w:tcPr>
            <w:tcW w:w="100" w:type="dxa"/>
            <w:vAlign w:val="bottom"/>
          </w:tcPr>
          <w:p>
            <w:pPr>
              <w:spacing w:after="0"/>
              <w:rPr>
                <w:sz w:val="14"/>
                <w:szCs w:val="14"/>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4,584,419</w:t>
            </w:r>
          </w:p>
        </w:tc>
        <w:tc>
          <w:tcPr>
            <w:tcW w:w="0" w:type="dxa"/>
            <w:vAlign w:val="bottom"/>
          </w:tcPr>
          <w:p>
            <w:pPr>
              <w:spacing w:after="0"/>
              <w:rPr>
                <w:sz w:val="1"/>
                <w:szCs w:val="1"/>
                <w:color w:val="auto"/>
              </w:rPr>
            </w:pPr>
          </w:p>
        </w:tc>
      </w:tr>
      <w:tr>
        <w:trPr>
          <w:trHeight w:val="180"/>
        </w:trPr>
        <w:tc>
          <w:tcPr>
            <w:tcW w:w="38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August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422,228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106.60</w:t>
            </w: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398,799</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4,185,620</w:t>
            </w:r>
          </w:p>
        </w:tc>
        <w:tc>
          <w:tcPr>
            <w:tcW w:w="0" w:type="dxa"/>
            <w:vAlign w:val="bottom"/>
          </w:tcPr>
          <w:p>
            <w:pPr>
              <w:spacing w:after="0"/>
              <w:rPr>
                <w:sz w:val="1"/>
                <w:szCs w:val="1"/>
                <w:color w:val="auto"/>
              </w:rPr>
            </w:pPr>
          </w:p>
        </w:tc>
      </w:tr>
      <w:tr>
        <w:trPr>
          <w:trHeight w:val="180"/>
        </w:trPr>
        <w:tc>
          <w:tcPr>
            <w:tcW w:w="38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9"/>
              </w:rPr>
              <w:t>September</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225,995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103.68</w:t>
            </w:r>
          </w:p>
        </w:tc>
        <w:tc>
          <w:tcPr>
            <w:tcW w:w="80" w:type="dxa"/>
            <w:vAlign w:val="bottom"/>
            <w:tcBorders>
              <w:bottom w:val="single" w:sz="8" w:color="CCEEFF"/>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185,131</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4,000,489</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6"/>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733,028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106.56</w:t>
            </w:r>
          </w:p>
        </w:tc>
        <w:tc>
          <w:tcPr>
            <w:tcW w:w="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663,930</w:t>
            </w: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color w:val="auto"/>
        </w:rPr>
        <w:t>Shares repurchased by us in a quarter may include repurchases conducted pursuant to publicly announced board authorization, outstanding shares surrendered to us to pay the exercise price in connection with swap exercises of employee stock options, and shares withheld to cover the minimum tax withholding obligation associated with the vesting of restricted stock awards. Of the total number of shares purchased during the third quarter of 2024, 69,098 were related to shares surrendered in connection with employee stock option exercises and no shares were withheld to cover tax withholdings associated with the vesting of restricted stock awards.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auto"/>
        </w:rPr>
        <w:t>The following table details the changes in and status of the Board of Directors’ outstanding publicly announced board authorizations.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b w:val="1"/>
                <w:bCs w:val="1"/>
                <w:color w:val="auto"/>
              </w:rPr>
              <w:t>Maximum Number of Shares</w:t>
            </w:r>
          </w:p>
        </w:tc>
        <w:tc>
          <w:tcPr>
            <w:tcW w:w="2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1"/>
                <w:szCs w:val="11"/>
                <w:b w:val="1"/>
                <w:bCs w:val="1"/>
                <w:color w:val="auto"/>
              </w:rPr>
              <w:t>Total Number of</w:t>
            </w:r>
          </w:p>
        </w:tc>
        <w:tc>
          <w:tcPr>
            <w:tcW w:w="178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Maximum Number of Shares</w:t>
            </w:r>
          </w:p>
        </w:tc>
        <w:tc>
          <w:tcPr>
            <w:tcW w:w="0" w:type="dxa"/>
            <w:vAlign w:val="bottom"/>
          </w:tcPr>
          <w:p>
            <w:pPr>
              <w:spacing w:after="0"/>
              <w:rPr>
                <w:sz w:val="1"/>
                <w:szCs w:val="1"/>
                <w:color w:val="auto"/>
              </w:rPr>
            </w:pPr>
          </w:p>
        </w:tc>
      </w:tr>
      <w:tr>
        <w:trPr>
          <w:trHeight w:val="112"/>
        </w:trPr>
        <w:tc>
          <w:tcPr>
            <w:tcW w:w="5580" w:type="dxa"/>
            <w:vAlign w:val="bottom"/>
            <w:gridSpan w:val="2"/>
            <w:vMerge w:val="restart"/>
            <w:shd w:val="clear" w:color="auto" w:fill="CCEEFF"/>
          </w:tcPr>
          <w:p>
            <w:pPr>
              <w:ind w:left="2200"/>
              <w:spacing w:after="0"/>
              <w:rPr>
                <w:sz w:val="20"/>
                <w:szCs w:val="20"/>
                <w:color w:val="auto"/>
              </w:rPr>
            </w:pPr>
            <w:r>
              <w:rPr>
                <w:rFonts w:ascii="Arial" w:cs="Arial" w:eastAsia="Arial" w:hAnsi="Arial"/>
                <w:sz w:val="11"/>
                <w:szCs w:val="11"/>
                <w:b w:val="1"/>
                <w:bCs w:val="1"/>
                <w:color w:val="auto"/>
              </w:rPr>
              <w:t>Authorization Dates</w:t>
            </w:r>
          </w:p>
        </w:tc>
        <w:tc>
          <w:tcPr>
            <w:tcW w:w="1880" w:type="dxa"/>
            <w:vAlign w:val="bottom"/>
            <w:gridSpan w:val="2"/>
            <w:shd w:val="clear" w:color="auto" w:fill="CCEEFF"/>
          </w:tcPr>
          <w:p>
            <w:pPr>
              <w:jc w:val="center"/>
              <w:ind w:right="100"/>
              <w:spacing w:after="0" w:line="113" w:lineRule="exact"/>
              <w:rPr>
                <w:sz w:val="20"/>
                <w:szCs w:val="20"/>
                <w:color w:val="auto"/>
              </w:rPr>
            </w:pPr>
            <w:r>
              <w:rPr>
                <w:rFonts w:ascii="Arial" w:cs="Arial" w:eastAsia="Arial" w:hAnsi="Arial"/>
                <w:sz w:val="11"/>
                <w:szCs w:val="11"/>
                <w:b w:val="1"/>
                <w:bCs w:val="1"/>
                <w:color w:val="auto"/>
              </w:rPr>
              <w:t>that May Yet Be Purchased at</w:t>
            </w:r>
          </w:p>
        </w:tc>
        <w:tc>
          <w:tcPr>
            <w:tcW w:w="2000" w:type="dxa"/>
            <w:vAlign w:val="bottom"/>
            <w:gridSpan w:val="2"/>
            <w:vMerge w:val="continue"/>
            <w:shd w:val="clear" w:color="auto" w:fill="CCEEFF"/>
          </w:tcPr>
          <w:p>
            <w:pPr>
              <w:spacing w:after="0"/>
              <w:rPr>
                <w:sz w:val="9"/>
                <w:szCs w:val="9"/>
                <w:color w:val="auto"/>
              </w:rPr>
            </w:pPr>
          </w:p>
        </w:tc>
        <w:tc>
          <w:tcPr>
            <w:tcW w:w="1780" w:type="dxa"/>
            <w:vAlign w:val="bottom"/>
            <w:shd w:val="clear" w:color="auto" w:fill="CCEEFF"/>
          </w:tcPr>
          <w:p>
            <w:pPr>
              <w:jc w:val="center"/>
              <w:spacing w:after="0" w:line="113" w:lineRule="exact"/>
              <w:rPr>
                <w:sz w:val="20"/>
                <w:szCs w:val="20"/>
                <w:color w:val="auto"/>
              </w:rPr>
            </w:pPr>
            <w:r>
              <w:rPr>
                <w:rFonts w:ascii="Arial" w:cs="Arial" w:eastAsia="Arial" w:hAnsi="Arial"/>
                <w:sz w:val="11"/>
                <w:szCs w:val="11"/>
                <w:b w:val="1"/>
                <w:bCs w:val="1"/>
                <w:color w:val="auto"/>
              </w:rPr>
              <w:t>that May Yet Be Purchased at</w:t>
            </w:r>
          </w:p>
        </w:tc>
        <w:tc>
          <w:tcPr>
            <w:tcW w:w="0" w:type="dxa"/>
            <w:vAlign w:val="bottom"/>
          </w:tcPr>
          <w:p>
            <w:pPr>
              <w:spacing w:after="0"/>
              <w:rPr>
                <w:sz w:val="1"/>
                <w:szCs w:val="1"/>
                <w:color w:val="auto"/>
              </w:rPr>
            </w:pPr>
          </w:p>
        </w:tc>
      </w:tr>
      <w:tr>
        <w:trPr>
          <w:trHeight w:val="149"/>
        </w:trPr>
        <w:tc>
          <w:tcPr>
            <w:tcW w:w="5580" w:type="dxa"/>
            <w:vAlign w:val="bottom"/>
            <w:gridSpan w:val="2"/>
            <w:vMerge w:val="continue"/>
            <w:shd w:val="clear" w:color="auto" w:fill="CCEEFF"/>
          </w:tcPr>
          <w:p>
            <w:pPr>
              <w:spacing w:after="0"/>
              <w:rPr>
                <w:sz w:val="12"/>
                <w:szCs w:val="12"/>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7/1/2024</w:t>
            </w:r>
          </w:p>
        </w:tc>
        <w:tc>
          <w:tcPr>
            <w:tcW w:w="10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b w:val="1"/>
                <w:bCs w:val="1"/>
                <w:color w:val="auto"/>
              </w:rPr>
              <w:t>Shares Purchased</w:t>
            </w:r>
          </w:p>
        </w:tc>
        <w:tc>
          <w:tcPr>
            <w:tcW w:w="178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9/30/2024</w:t>
            </w:r>
          </w:p>
        </w:tc>
        <w:tc>
          <w:tcPr>
            <w:tcW w:w="0" w:type="dxa"/>
            <w:vAlign w:val="bottom"/>
          </w:tcPr>
          <w:p>
            <w:pPr>
              <w:spacing w:after="0"/>
              <w:rPr>
                <w:sz w:val="1"/>
                <w:szCs w:val="1"/>
                <w:color w:val="auto"/>
              </w:rPr>
            </w:pPr>
          </w:p>
        </w:tc>
      </w:tr>
      <w:tr>
        <w:trPr>
          <w:trHeight w:val="177"/>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March 2020</w:t>
            </w:r>
          </w:p>
        </w:tc>
        <w:tc>
          <w:tcPr>
            <w:tcW w:w="100" w:type="dxa"/>
            <w:vAlign w:val="bottom"/>
          </w:tcPr>
          <w:p>
            <w:pPr>
              <w:spacing w:after="0"/>
              <w:rPr>
                <w:sz w:val="15"/>
                <w:szCs w:val="15"/>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4,664,419</w:t>
            </w:r>
          </w:p>
        </w:tc>
        <w:tc>
          <w:tcPr>
            <w:tcW w:w="100" w:type="dxa"/>
            <w:vAlign w:val="bottom"/>
          </w:tcPr>
          <w:p>
            <w:pPr>
              <w:spacing w:after="0"/>
              <w:rPr>
                <w:sz w:val="15"/>
                <w:szCs w:val="15"/>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(663,930)</w:t>
            </w:r>
          </w:p>
        </w:tc>
        <w:tc>
          <w:tcPr>
            <w:tcW w:w="100" w:type="dxa"/>
            <w:vAlign w:val="bottom"/>
          </w:tcPr>
          <w:p>
            <w:pPr>
              <w:spacing w:after="0"/>
              <w:rPr>
                <w:sz w:val="15"/>
                <w:szCs w:val="15"/>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4,000,489</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exhibits required by Item 601 of Regulation S-K are furnished herewith.</w:t>
      </w:r>
    </w:p>
    <w:p>
      <w:pPr>
        <w:spacing w:after="0" w:line="104" w:lineRule="exact"/>
        <w:rPr>
          <w:sz w:val="20"/>
          <w:szCs w:val="20"/>
          <w:color w:val="auto"/>
        </w:rPr>
      </w:pPr>
    </w:p>
    <w:p>
      <w:pPr>
        <w:ind w:left="20"/>
        <w:spacing w:after="0"/>
        <w:tabs>
          <w:tab w:leader="none" w:pos="1360" w:val="left"/>
        </w:tabs>
        <w:rPr>
          <w:rFonts w:ascii="Arial" w:cs="Arial" w:eastAsia="Arial" w:hAnsi="Arial"/>
          <w:sz w:val="14"/>
          <w:szCs w:val="14"/>
          <w:color w:val="auto"/>
        </w:rPr>
      </w:pPr>
      <w:r>
        <w:rPr>
          <w:rFonts w:ascii="Arial" w:cs="Arial" w:eastAsia="Arial" w:hAnsi="Arial"/>
          <w:sz w:val="14"/>
          <w:szCs w:val="14"/>
          <w:color w:val="auto"/>
        </w:rPr>
        <w:t>3(i)</w:t>
      </w:r>
      <w:r>
        <w:rPr>
          <w:sz w:val="20"/>
          <w:szCs w:val="20"/>
          <w:color w:val="auto"/>
        </w:rPr>
        <w:tab/>
      </w:r>
      <w:hyperlink r:id="rId61">
        <w:r>
          <w:rPr>
            <w:rFonts w:ascii="Arial" w:cs="Arial" w:eastAsia="Arial" w:hAnsi="Arial"/>
            <w:sz w:val="14"/>
            <w:szCs w:val="14"/>
            <w:color w:val="auto"/>
          </w:rPr>
          <w:t>Charter of T. Rowe Price Group, Inc., as reflected by Articles of Restatement dated June 20, 2018. (Incorporated by reference from Form 10-Q Quarterly</w:t>
        </w:r>
      </w:hyperlink>
    </w:p>
    <w:p>
      <w:pPr>
        <w:spacing w:after="0" w:line="2" w:lineRule="exact"/>
        <w:rPr>
          <w:sz w:val="20"/>
          <w:szCs w:val="20"/>
          <w:color w:val="auto"/>
        </w:rPr>
      </w:pPr>
    </w:p>
    <w:p>
      <w:pPr>
        <w:ind w:left="1380"/>
        <w:spacing w:after="0"/>
        <w:rPr>
          <w:rFonts w:ascii="Arial" w:cs="Arial" w:eastAsia="Arial" w:hAnsi="Arial"/>
          <w:sz w:val="14"/>
          <w:szCs w:val="14"/>
          <w:color w:val="auto"/>
        </w:rPr>
      </w:pPr>
      <w:hyperlink r:id="rId61">
        <w:r>
          <w:rPr>
            <w:rFonts w:ascii="Arial" w:cs="Arial" w:eastAsia="Arial" w:hAnsi="Arial"/>
            <w:sz w:val="14"/>
            <w:szCs w:val="14"/>
            <w:color w:val="auto"/>
          </w:rPr>
          <w:t>Report filed on July 25, 2018.)</w:t>
        </w:r>
      </w:hyperlink>
    </w:p>
    <w:p>
      <w:pPr>
        <w:spacing w:after="0" w:line="48" w:lineRule="exact"/>
        <w:rPr>
          <w:sz w:val="20"/>
          <w:szCs w:val="20"/>
          <w:color w:val="auto"/>
        </w:rPr>
      </w:pPr>
    </w:p>
    <w:p>
      <w:pPr>
        <w:ind w:left="20"/>
        <w:spacing w:after="0"/>
        <w:tabs>
          <w:tab w:leader="none" w:pos="1360" w:val="left"/>
        </w:tabs>
        <w:rPr>
          <w:rFonts w:ascii="Arial" w:cs="Arial" w:eastAsia="Arial" w:hAnsi="Arial"/>
          <w:sz w:val="14"/>
          <w:szCs w:val="14"/>
          <w:color w:val="auto"/>
        </w:rPr>
      </w:pPr>
      <w:r>
        <w:rPr>
          <w:rFonts w:ascii="Arial" w:cs="Arial" w:eastAsia="Arial" w:hAnsi="Arial"/>
          <w:sz w:val="14"/>
          <w:szCs w:val="14"/>
          <w:color w:val="auto"/>
        </w:rPr>
        <w:t>3(ii)</w:t>
      </w:r>
      <w:r>
        <w:rPr>
          <w:sz w:val="20"/>
          <w:szCs w:val="20"/>
          <w:color w:val="auto"/>
        </w:rPr>
        <w:tab/>
      </w:r>
      <w:hyperlink r:id="rId62">
        <w:r>
          <w:rPr>
            <w:rFonts w:ascii="Arial" w:cs="Arial" w:eastAsia="Arial" w:hAnsi="Arial"/>
            <w:sz w:val="14"/>
            <w:szCs w:val="14"/>
            <w:color w:val="auto"/>
          </w:rPr>
          <w:t>Amended and Restated By-Laws of T. Rowe Price Group, Inc. as of February 9, 2021. (Incorporated by reference from Form 10-K Annual Report filed on</w:t>
        </w:r>
      </w:hyperlink>
    </w:p>
    <w:p>
      <w:pPr>
        <w:spacing w:after="0" w:line="2" w:lineRule="exact"/>
        <w:rPr>
          <w:sz w:val="20"/>
          <w:szCs w:val="20"/>
          <w:color w:val="auto"/>
        </w:rPr>
      </w:pPr>
    </w:p>
    <w:p>
      <w:pPr>
        <w:ind w:left="1380"/>
        <w:spacing w:after="0"/>
        <w:rPr>
          <w:rFonts w:ascii="Arial" w:cs="Arial" w:eastAsia="Arial" w:hAnsi="Arial"/>
          <w:sz w:val="14"/>
          <w:szCs w:val="14"/>
          <w:color w:val="auto"/>
        </w:rPr>
      </w:pPr>
      <w:hyperlink r:id="rId62">
        <w:r>
          <w:rPr>
            <w:rFonts w:ascii="Arial" w:cs="Arial" w:eastAsia="Arial" w:hAnsi="Arial"/>
            <w:sz w:val="14"/>
            <w:szCs w:val="14"/>
            <w:color w:val="auto"/>
          </w:rPr>
          <w:t>February 11, 2021.)</w:t>
        </w:r>
      </w:hyperlink>
    </w:p>
    <w:p>
      <w:pPr>
        <w:sectPr>
          <w:pgSz w:w="11900" w:h="16838" w:orient="portrait"/>
          <w:cols w:equalWidth="0" w:num="1">
            <w:col w:w="11240"/>
          </w:cols>
          <w:pgMar w:left="300" w:top="730" w:right="359" w:bottom="1440" w:gutter="0" w:footer="0" w:header="0"/>
        </w:sectPr>
      </w:pP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15</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31(i).1</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31(i).2</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32</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101.INS</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101.SCH</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101.CAL</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101.LAB</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101.PRE</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101.DEF</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2020 Long Term Incentive Plan (Amended and Restated July 30, 2024).</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Report from KPMG LLP, independent registered public accounting firm, re unaudited interim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Rule 13a-14(a) Certification of Principal Executive Officer.</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Rule 13a-14(a) Certification of Principal Financial Officer.</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Section 1350 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series of unaudited XBRL-formatted documents are collectively included herewith as Exhibit 101. The financial information is extracted from T.</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Rowe Price Group, Inc.’s unaudited condensed consolidated interim financial statements and notes that are included in this Form 10-Q Report.</w:t>
      </w:r>
    </w:p>
    <w:p>
      <w:pPr>
        <w:spacing w:after="0" w:line="80"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XBRL Instance Document - the instance document does not appear in the Interactive Data File because its XBRL tags are embedded within the Inline XBRL document.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Schema Document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XBRL Taxonomy Calculation Linkbase Document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XBRL Taxonomy Label Linkbase Document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XBRL Taxonomy Presentation Linkbase Document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XBRL Taxonomy Definition Linkbase Document</w:t>
      </w:r>
    </w:p>
    <w:p>
      <w:pPr>
        <w:spacing w:after="0" w:line="200" w:lineRule="exact"/>
        <w:rPr>
          <w:sz w:val="20"/>
          <w:szCs w:val="20"/>
          <w:color w:val="auto"/>
        </w:rPr>
      </w:pPr>
    </w:p>
    <w:p>
      <w:pPr>
        <w:sectPr>
          <w:pgSz w:w="11900" w:h="16838" w:orient="portrait"/>
          <w:cols w:equalWidth="0" w:num="2">
            <w:col w:w="660" w:space="720"/>
            <w:col w:w="9860"/>
          </w:cols>
          <w:pgMar w:left="300" w:top="730" w:right="359" w:bottom="1440" w:gutter="0" w:footer="0" w:header="0"/>
          <w:type w:val="continuous"/>
        </w:sect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0" w:right="359" w:bottom="1440" w:gutter="0" w:footer="0" w:header="0"/>
          <w:type w:val="continuous"/>
        </w:sectPr>
      </w:pPr>
    </w:p>
    <w:bookmarkStart w:id="43" w:name="page44"/>
    <w:bookmarkEnd w:id="43"/>
    <w:p>
      <w:pPr>
        <w:ind w:left="5180"/>
        <w:spacing w:after="0"/>
        <w:rPr>
          <w:sz w:val="20"/>
          <w:szCs w:val="20"/>
          <w:color w:val="auto"/>
        </w:rPr>
      </w:pPr>
      <w:r>
        <w:rPr>
          <w:rFonts w:ascii="Arial" w:cs="Arial" w:eastAsia="Arial" w:hAnsi="Arial"/>
          <w:sz w:val="14"/>
          <w:szCs w:val="14"/>
          <w:b w:val="1"/>
          <w:bCs w:val="1"/>
          <w:color w:val="auto"/>
        </w:rPr>
        <w:t>SIGNATURES</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 on November 1, 2024.</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 Rowe Price Group, Inc.</w:t>
      </w:r>
    </w:p>
    <w:p>
      <w:pPr>
        <w:spacing w:after="0" w:line="200"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By:</w:t>
        <w:tab/>
        <w:t>/s/ Jennifer B. Dardis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Chief Financial Officer and Treasurer</w:t>
      </w:r>
    </w:p>
    <w:p>
      <w:pPr>
        <w:spacing w:after="0" w:line="200" w:lineRule="exact"/>
        <w:rPr>
          <w:sz w:val="20"/>
          <w:szCs w:val="20"/>
          <w:color w:val="auto"/>
        </w:rPr>
      </w:pPr>
    </w:p>
    <w:p>
      <w:pPr>
        <w:spacing w:after="0" w:line="230" w:lineRule="exact"/>
        <w:rPr>
          <w:sz w:val="20"/>
          <w:szCs w:val="20"/>
          <w:color w:val="auto"/>
        </w:rPr>
      </w:pPr>
    </w:p>
    <w:p>
      <w:pPr>
        <w:ind w:left="5380"/>
        <w:spacing w:after="0"/>
        <w:rPr>
          <w:sz w:val="20"/>
          <w:szCs w:val="20"/>
          <w:color w:val="auto"/>
        </w:rPr>
      </w:pPr>
      <w:r>
        <w:rPr>
          <w:rFonts w:ascii="Arial" w:cs="Arial" w:eastAsia="Arial" w:hAnsi="Arial"/>
          <w:sz w:val="14"/>
          <w:szCs w:val="14"/>
          <w:color w:val="auto"/>
        </w:rPr>
        <w:t>Page 44</w:t>
      </w:r>
    </w:p>
    <w:p>
      <w:pPr>
        <w:sectPr>
          <w:pgSz w:w="11900" w:h="16838" w:orient="portrait"/>
          <w:cols w:equalWidth="0" w:num="1">
            <w:col w:w="10720"/>
          </w:cols>
          <w:pgMar w:left="300" w:top="730" w:right="879" w:bottom="1440"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3" w:name="page84"/>
    <w:bookmarkEnd w:id="83"/>
    <w:p>
      <w:pPr>
        <w:ind w:left="5480"/>
        <w:spacing w:after="0"/>
        <w:rPr>
          <w:sz w:val="20"/>
          <w:szCs w:val="20"/>
          <w:color w:val="auto"/>
        </w:rPr>
      </w:pPr>
      <w:r>
        <w:rPr>
          <w:rFonts w:ascii="Arial" w:cs="Arial" w:eastAsia="Arial" w:hAnsi="Arial"/>
          <w:sz w:val="14"/>
          <w:szCs w:val="14"/>
          <w:color w:val="auto"/>
        </w:rPr>
        <w:t>EXHIBIT 15</w:t>
      </w:r>
    </w:p>
    <w:p>
      <w:pPr>
        <w:spacing w:after="0" w:line="20" w:lineRule="exact"/>
        <w:rPr>
          <w:sz w:val="20"/>
          <w:szCs w:val="20"/>
          <w:color w:val="auto"/>
        </w:rPr>
      </w:pPr>
      <w:r>
        <w:rPr>
          <w:sz w:val="20"/>
          <w:szCs w:val="20"/>
          <w:color w:val="auto"/>
        </w:rPr>
        <w:br w:type="column"/>
      </w:r>
    </w:p>
    <w:p>
      <w:pPr>
        <w:jc w:val="right"/>
        <w:spacing w:after="0" w:line="290" w:lineRule="auto"/>
        <w:rPr>
          <w:sz w:val="20"/>
          <w:szCs w:val="20"/>
          <w:color w:val="auto"/>
        </w:rPr>
      </w:pPr>
      <w:r>
        <w:rPr>
          <w:rFonts w:ascii="Arial" w:cs="Arial" w:eastAsia="Arial" w:hAnsi="Arial"/>
          <w:sz w:val="14"/>
          <w:szCs w:val="14"/>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6240" w:space="660"/>
            <w:col w:w="4380"/>
          </w:cols>
          <w:pgMar w:left="300" w:top="729" w:right="31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November 1, 2024</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Baltimore, Maryland</w:t>
      </w:r>
    </w:p>
    <w:p>
      <w:pPr>
        <w:spacing w:after="0" w:line="377" w:lineRule="exact"/>
        <w:rPr>
          <w:sz w:val="20"/>
          <w:szCs w:val="20"/>
          <w:color w:val="auto"/>
        </w:rPr>
      </w:pPr>
    </w:p>
    <w:p>
      <w:pPr>
        <w:ind w:right="420"/>
        <w:spacing w:after="0" w:line="302" w:lineRule="auto"/>
        <w:rPr>
          <w:sz w:val="20"/>
          <w:szCs w:val="20"/>
          <w:color w:val="auto"/>
        </w:rPr>
      </w:pPr>
      <w:r>
        <w:rPr>
          <w:rFonts w:ascii="Arial" w:cs="Arial" w:eastAsia="Arial" w:hAnsi="Arial"/>
          <w:sz w:val="14"/>
          <w:szCs w:val="14"/>
          <w:color w:val="auto"/>
        </w:rPr>
        <w:t>Re: Registration Statements No. 033-7012, No. 333-59714, No. 333-120882, No. 333-120883, No. 333-142092, No. 333-167317, No. 333-180904, No. 333-199560, No. 333-212705 , No. 333-217483, No. 333-238319, and No. 333-273601</w:t>
      </w:r>
      <w:r>
        <w:rPr>
          <w:rFonts w:ascii="Arial" w:cs="Arial" w:eastAsia="Arial" w:hAnsi="Arial"/>
          <w:sz w:val="14"/>
          <w:szCs w:val="14"/>
          <w:b w:val="1"/>
          <w:bCs w:val="1"/>
          <w:color w:val="0E32E1"/>
        </w:rPr>
        <w:t>.</w:t>
      </w:r>
    </w:p>
    <w:p>
      <w:pPr>
        <w:spacing w:after="0" w:line="125"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With respect to the subject registration statements, we acknowledge our awareness of the use therein of our report dated November 1, 2024 related to our review of interim financial information.</w:t>
      </w:r>
    </w:p>
    <w:p>
      <w:pPr>
        <w:spacing w:after="0" w:line="141"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Baltimore, Maryland</w:t>
      </w:r>
    </w:p>
    <w:p>
      <w:pPr>
        <w:sectPr>
          <w:pgSz w:w="11900" w:h="16838" w:orient="portrait"/>
          <w:cols w:equalWidth="0" w:num="1">
            <w:col w:w="11280"/>
          </w:cols>
          <w:pgMar w:left="300" w:top="729" w:right="319" w:bottom="1440" w:gutter="0" w:footer="0" w:header="0"/>
          <w:type w:val="continuous"/>
        </w:sectPr>
      </w:pPr>
    </w:p>
    <w:bookmarkStart w:id="84" w:name="page85"/>
    <w:bookmarkEnd w:id="84"/>
    <w:p>
      <w:pPr>
        <w:spacing w:after="0"/>
        <w:tabs>
          <w:tab w:leader="none" w:pos="1800" w:val="left"/>
        </w:tabs>
        <w:rPr>
          <w:sz w:val="20"/>
          <w:szCs w:val="20"/>
          <w:color w:val="auto"/>
        </w:rPr>
      </w:pPr>
      <w:r>
        <w:rPr>
          <w:rFonts w:ascii="Arial" w:cs="Arial" w:eastAsia="Arial" w:hAnsi="Arial"/>
          <w:sz w:val="14"/>
          <w:szCs w:val="14"/>
          <w:color w:val="auto"/>
        </w:rPr>
        <w:t>EXHIBIT 31(i).1</w:t>
      </w:r>
      <w:r>
        <w:rPr>
          <w:sz w:val="20"/>
          <w:szCs w:val="20"/>
          <w:color w:val="auto"/>
        </w:rPr>
        <w:tab/>
      </w:r>
      <w:r>
        <w:rPr>
          <w:rFonts w:ascii="Arial" w:cs="Arial" w:eastAsia="Arial" w:hAnsi="Arial"/>
          <w:sz w:val="14"/>
          <w:szCs w:val="14"/>
          <w:color w:val="auto"/>
        </w:rPr>
        <w:t>Rule 13a-14(a) Certification of Principal Executive Officer</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I, Robert W. Sharps, certify that:</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1.I have reviewed this Form 10-Q Quarterly Report for the quarterly period ended September 30, 2024 of T. Rowe Price Group, Inc.;</w:t>
      </w:r>
    </w:p>
    <w:p>
      <w:pPr>
        <w:spacing w:after="0" w:line="72" w:lineRule="exact"/>
        <w:rPr>
          <w:sz w:val="20"/>
          <w:szCs w:val="20"/>
          <w:color w:val="auto"/>
        </w:rPr>
      </w:pPr>
    </w:p>
    <w:p>
      <w:pPr>
        <w:ind w:left="140" w:right="20" w:hanging="126"/>
        <w:spacing w:after="0" w:line="290" w:lineRule="auto"/>
        <w:rPr>
          <w:sz w:val="20"/>
          <w:szCs w:val="20"/>
          <w:color w:val="auto"/>
        </w:rPr>
      </w:pPr>
      <w:r>
        <w:rPr>
          <w:rFonts w:ascii="Arial" w:cs="Arial" w:eastAsia="Arial" w:hAnsi="Arial"/>
          <w:sz w:val="14"/>
          <w:szCs w:val="14"/>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 w:lineRule="exact"/>
        <w:rPr>
          <w:sz w:val="20"/>
          <w:szCs w:val="20"/>
          <w:color w:val="auto"/>
        </w:rPr>
      </w:pPr>
    </w:p>
    <w:p>
      <w:pPr>
        <w:ind w:left="140" w:right="300" w:hanging="126"/>
        <w:spacing w:after="0" w:line="290" w:lineRule="auto"/>
        <w:rPr>
          <w:sz w:val="20"/>
          <w:szCs w:val="20"/>
          <w:color w:val="auto"/>
        </w:rPr>
      </w:pPr>
      <w:r>
        <w:rPr>
          <w:rFonts w:ascii="Arial" w:cs="Arial" w:eastAsia="Arial" w:hAnsi="Arial"/>
          <w:sz w:val="14"/>
          <w:szCs w:val="14"/>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4.The registrant’s other certifying officer and I are responsible for establishing and maintaining disclosure controls and procedures (as defined in Exchange Act Rules 13a-15(e) and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58" w:lineRule="exact"/>
        <w:rPr>
          <w:sz w:val="20"/>
          <w:szCs w:val="20"/>
          <w:color w:val="auto"/>
        </w:rPr>
      </w:pPr>
    </w:p>
    <w:p>
      <w:pPr>
        <w:ind w:left="140" w:firstLine="56"/>
        <w:spacing w:after="0" w:line="271" w:lineRule="auto"/>
        <w:tabs>
          <w:tab w:leader="none" w:pos="4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4"/>
          <w:szCs w:val="14"/>
          <w:color w:val="auto"/>
        </w:rPr>
      </w:pPr>
    </w:p>
    <w:p>
      <w:pPr>
        <w:ind w:left="140" w:right="220" w:firstLine="56"/>
        <w:spacing w:after="0" w:line="271" w:lineRule="auto"/>
        <w:tabs>
          <w:tab w:leader="none" w:pos="4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4"/>
          <w:szCs w:val="14"/>
          <w:color w:val="auto"/>
        </w:rPr>
      </w:pPr>
    </w:p>
    <w:p>
      <w:pPr>
        <w:ind w:left="140" w:right="460" w:firstLine="56"/>
        <w:spacing w:after="0" w:line="290" w:lineRule="auto"/>
        <w:tabs>
          <w:tab w:leader="none" w:pos="408" w:val="left"/>
        </w:tabs>
        <w:numPr>
          <w:ilvl w:val="0"/>
          <w:numId w:val="1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Arial" w:cs="Arial" w:eastAsia="Arial" w:hAnsi="Arial"/>
          <w:sz w:val="14"/>
          <w:szCs w:val="14"/>
          <w:color w:val="auto"/>
        </w:rPr>
      </w:pPr>
    </w:p>
    <w:p>
      <w:pPr>
        <w:ind w:left="140" w:right="120" w:firstLine="56"/>
        <w:spacing w:after="0" w:line="271" w:lineRule="auto"/>
        <w:tabs>
          <w:tab w:leader="none" w:pos="4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sz w:val="20"/>
          <w:szCs w:val="20"/>
          <w:color w:val="auto"/>
        </w:rPr>
      </w:pPr>
    </w:p>
    <w:p>
      <w:pPr>
        <w:ind w:left="140" w:right="300" w:hanging="126"/>
        <w:spacing w:after="0" w:line="290" w:lineRule="auto"/>
        <w:rPr>
          <w:sz w:val="20"/>
          <w:szCs w:val="20"/>
          <w:color w:val="auto"/>
        </w:rPr>
      </w:pPr>
      <w:r>
        <w:rPr>
          <w:rFonts w:ascii="Arial" w:cs="Arial" w:eastAsia="Arial" w:hAnsi="Arial"/>
          <w:sz w:val="14"/>
          <w:szCs w:val="14"/>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left="140" w:right="260" w:firstLine="56"/>
        <w:spacing w:after="0" w:line="290" w:lineRule="auto"/>
        <w:tabs>
          <w:tab w:leader="none" w:pos="4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 w:lineRule="exact"/>
        <w:rPr>
          <w:rFonts w:ascii="Arial" w:cs="Arial" w:eastAsia="Arial" w:hAnsi="Arial"/>
          <w:sz w:val="14"/>
          <w:szCs w:val="14"/>
          <w:color w:val="auto"/>
        </w:rPr>
      </w:pPr>
    </w:p>
    <w:p>
      <w:pPr>
        <w:ind w:left="400" w:hanging="204"/>
        <w:spacing w:after="0"/>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November 1, 2024</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/s/ Robert W. Sharps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 and President</w:t>
      </w:r>
    </w:p>
    <w:p>
      <w:pPr>
        <w:sectPr>
          <w:pgSz w:w="11900" w:h="16838" w:orient="portrait"/>
          <w:cols w:equalWidth="0" w:num="1">
            <w:col w:w="11280"/>
          </w:cols>
          <w:pgMar w:left="300" w:top="804" w:right="319" w:bottom="1440" w:gutter="0" w:footer="0" w:header="0"/>
        </w:sectPr>
      </w:pPr>
    </w:p>
    <w:bookmarkStart w:id="85" w:name="page86"/>
    <w:bookmarkEnd w:id="85"/>
    <w:p>
      <w:pPr>
        <w:spacing w:after="0"/>
        <w:tabs>
          <w:tab w:leader="none" w:pos="1840" w:val="left"/>
        </w:tabs>
        <w:rPr>
          <w:sz w:val="20"/>
          <w:szCs w:val="20"/>
          <w:color w:val="auto"/>
        </w:rPr>
      </w:pPr>
      <w:r>
        <w:rPr>
          <w:rFonts w:ascii="Arial" w:cs="Arial" w:eastAsia="Arial" w:hAnsi="Arial"/>
          <w:sz w:val="14"/>
          <w:szCs w:val="14"/>
          <w:color w:val="auto"/>
        </w:rPr>
        <w:t>EXHIBIT 31(i).2</w:t>
      </w:r>
      <w:r>
        <w:rPr>
          <w:sz w:val="20"/>
          <w:szCs w:val="20"/>
          <w:color w:val="auto"/>
        </w:rPr>
        <w:tab/>
      </w:r>
      <w:r>
        <w:rPr>
          <w:rFonts w:ascii="Arial" w:cs="Arial" w:eastAsia="Arial" w:hAnsi="Arial"/>
          <w:sz w:val="14"/>
          <w:szCs w:val="14"/>
          <w:color w:val="auto"/>
        </w:rPr>
        <w:t>Rule 13a-14(a) Certification of Principal Financial Officer</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I, Jennifer B. Dardis, certify that:</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1.I have reviewed this Form 10-Q Quarterly Report for the quarterly period ended September 30, 2024 of T. Rowe Price Group, Inc.;</w:t>
      </w:r>
    </w:p>
    <w:p>
      <w:pPr>
        <w:spacing w:after="0" w:line="72" w:lineRule="exact"/>
        <w:rPr>
          <w:sz w:val="20"/>
          <w:szCs w:val="20"/>
          <w:color w:val="auto"/>
        </w:rPr>
      </w:pPr>
    </w:p>
    <w:p>
      <w:pPr>
        <w:ind w:left="140" w:right="20" w:hanging="126"/>
        <w:spacing w:after="0" w:line="290" w:lineRule="auto"/>
        <w:rPr>
          <w:sz w:val="20"/>
          <w:szCs w:val="20"/>
          <w:color w:val="auto"/>
        </w:rPr>
      </w:pPr>
      <w:r>
        <w:rPr>
          <w:rFonts w:ascii="Arial" w:cs="Arial" w:eastAsia="Arial" w:hAnsi="Arial"/>
          <w:sz w:val="14"/>
          <w:szCs w:val="14"/>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 w:lineRule="exact"/>
        <w:rPr>
          <w:sz w:val="20"/>
          <w:szCs w:val="20"/>
          <w:color w:val="auto"/>
        </w:rPr>
      </w:pPr>
    </w:p>
    <w:p>
      <w:pPr>
        <w:ind w:left="140" w:right="300" w:hanging="126"/>
        <w:spacing w:after="0" w:line="290" w:lineRule="auto"/>
        <w:rPr>
          <w:sz w:val="20"/>
          <w:szCs w:val="20"/>
          <w:color w:val="auto"/>
        </w:rPr>
      </w:pPr>
      <w:r>
        <w:rPr>
          <w:rFonts w:ascii="Arial" w:cs="Arial" w:eastAsia="Arial" w:hAnsi="Arial"/>
          <w:sz w:val="14"/>
          <w:szCs w:val="14"/>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4.The registrant’s other certifying officer and I are responsible for establishing and maintaining disclosure controls and procedures (as defined in Exchange Act Rules 13a-15(e) and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58" w:lineRule="exact"/>
        <w:rPr>
          <w:sz w:val="20"/>
          <w:szCs w:val="20"/>
          <w:color w:val="auto"/>
        </w:rPr>
      </w:pPr>
    </w:p>
    <w:p>
      <w:pPr>
        <w:ind w:left="140" w:firstLine="56"/>
        <w:spacing w:after="0" w:line="271" w:lineRule="auto"/>
        <w:tabs>
          <w:tab w:leader="none" w:pos="4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4"/>
          <w:szCs w:val="14"/>
          <w:color w:val="auto"/>
        </w:rPr>
      </w:pPr>
    </w:p>
    <w:p>
      <w:pPr>
        <w:ind w:left="140" w:right="220" w:firstLine="56"/>
        <w:spacing w:after="0" w:line="271" w:lineRule="auto"/>
        <w:tabs>
          <w:tab w:leader="none" w:pos="4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4"/>
          <w:szCs w:val="14"/>
          <w:color w:val="auto"/>
        </w:rPr>
      </w:pPr>
    </w:p>
    <w:p>
      <w:pPr>
        <w:ind w:left="140" w:right="460" w:firstLine="56"/>
        <w:spacing w:after="0" w:line="290" w:lineRule="auto"/>
        <w:tabs>
          <w:tab w:leader="none" w:pos="408" w:val="left"/>
        </w:tabs>
        <w:numPr>
          <w:ilvl w:val="0"/>
          <w:numId w:val="2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Arial" w:cs="Arial" w:eastAsia="Arial" w:hAnsi="Arial"/>
          <w:sz w:val="14"/>
          <w:szCs w:val="14"/>
          <w:color w:val="auto"/>
        </w:rPr>
      </w:pPr>
    </w:p>
    <w:p>
      <w:pPr>
        <w:ind w:left="140" w:right="120" w:firstLine="56"/>
        <w:spacing w:after="0" w:line="271" w:lineRule="auto"/>
        <w:tabs>
          <w:tab w:leader="none" w:pos="4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sz w:val="20"/>
          <w:szCs w:val="20"/>
          <w:color w:val="auto"/>
        </w:rPr>
      </w:pPr>
    </w:p>
    <w:p>
      <w:pPr>
        <w:ind w:left="140" w:right="300" w:hanging="126"/>
        <w:spacing w:after="0" w:line="290" w:lineRule="auto"/>
        <w:rPr>
          <w:sz w:val="20"/>
          <w:szCs w:val="20"/>
          <w:color w:val="auto"/>
        </w:rPr>
      </w:pPr>
      <w:r>
        <w:rPr>
          <w:rFonts w:ascii="Arial" w:cs="Arial" w:eastAsia="Arial" w:hAnsi="Arial"/>
          <w:sz w:val="14"/>
          <w:szCs w:val="14"/>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left="140" w:right="260" w:firstLine="56"/>
        <w:spacing w:after="0" w:line="290" w:lineRule="auto"/>
        <w:tabs>
          <w:tab w:leader="none" w:pos="4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 w:lineRule="exact"/>
        <w:rPr>
          <w:rFonts w:ascii="Arial" w:cs="Arial" w:eastAsia="Arial" w:hAnsi="Arial"/>
          <w:sz w:val="14"/>
          <w:szCs w:val="14"/>
          <w:color w:val="auto"/>
        </w:rPr>
      </w:pPr>
    </w:p>
    <w:p>
      <w:pPr>
        <w:ind w:left="400" w:hanging="204"/>
        <w:spacing w:after="0"/>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November 1, 2024</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/s/ Jennifer B. Dardis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Chief Financial Officer and Treasurer</w:t>
      </w:r>
    </w:p>
    <w:p>
      <w:pPr>
        <w:sectPr>
          <w:pgSz w:w="11900" w:h="16838" w:orient="portrait"/>
          <w:cols w:equalWidth="0" w:num="1">
            <w:col w:w="11280"/>
          </w:cols>
          <w:pgMar w:left="300" w:top="804" w:right="319" w:bottom="1440" w:gutter="0" w:footer="0" w:header="0"/>
        </w:sectPr>
      </w:pPr>
    </w:p>
    <w:bookmarkStart w:id="86" w:name="page87"/>
    <w:bookmarkEnd w:id="86"/>
    <w:p>
      <w:pPr>
        <w:spacing w:after="0"/>
        <w:tabs>
          <w:tab w:leader="none" w:pos="2180" w:val="left"/>
        </w:tabs>
        <w:rPr>
          <w:sz w:val="20"/>
          <w:szCs w:val="20"/>
          <w:color w:val="auto"/>
        </w:rPr>
      </w:pPr>
      <w:r>
        <w:rPr>
          <w:rFonts w:ascii="Arial" w:cs="Arial" w:eastAsia="Arial" w:hAnsi="Arial"/>
          <w:sz w:val="14"/>
          <w:szCs w:val="14"/>
          <w:color w:val="auto"/>
        </w:rPr>
        <w:t>EXHIBIT 32</w:t>
      </w:r>
      <w:r>
        <w:rPr>
          <w:sz w:val="20"/>
          <w:szCs w:val="20"/>
          <w:color w:val="auto"/>
        </w:rPr>
        <w:tab/>
      </w:r>
      <w:r>
        <w:rPr>
          <w:rFonts w:ascii="Arial" w:cs="Arial" w:eastAsia="Arial" w:hAnsi="Arial"/>
          <w:sz w:val="14"/>
          <w:szCs w:val="14"/>
          <w:color w:val="auto"/>
        </w:rPr>
        <w:t>Section 1350 Certifications</w:t>
      </w:r>
    </w:p>
    <w:p>
      <w:pPr>
        <w:spacing w:after="0" w:line="33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certify, to the best of our knowledge, based upon a review of the Form 10-Q Quarterly Report for the quarterly period ended September 30, 2024, of T. Rowe Price Group, Inc., that:</w:t>
      </w:r>
    </w:p>
    <w:p>
      <w:pPr>
        <w:spacing w:after="0" w:line="25" w:lineRule="exact"/>
        <w:rPr>
          <w:sz w:val="20"/>
          <w:szCs w:val="20"/>
          <w:color w:val="auto"/>
        </w:rPr>
      </w:pPr>
    </w:p>
    <w:p>
      <w:pPr>
        <w:ind w:left="220" w:hanging="215"/>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Form 10-Q Quarterly Report fully complies with the requirements of Section 13(a) of the Securities Exchange Act of 1934, as amended; and</w:t>
      </w:r>
    </w:p>
    <w:p>
      <w:pPr>
        <w:spacing w:after="0" w:line="72" w:lineRule="exact"/>
        <w:rPr>
          <w:rFonts w:ascii="Arial" w:cs="Arial" w:eastAsia="Arial" w:hAnsi="Arial"/>
          <w:sz w:val="14"/>
          <w:szCs w:val="14"/>
          <w:color w:val="auto"/>
        </w:rPr>
      </w:pPr>
    </w:p>
    <w:p>
      <w:pPr>
        <w:ind w:right="140" w:firstLine="5"/>
        <w:spacing w:after="0" w:line="290" w:lineRule="auto"/>
        <w:tabs>
          <w:tab w:leader="none" w:pos="212"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information contained in the Form 10-Q Quarterly Report fairly presents, in all material respects, the financial condition and results of operations of T. Rowe Price Group, Inc.</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November 1, 2024</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/s/ Robert W. Sharps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 and President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/s/ Jennifer B. Dardis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Chief Financial Officer and Treasurer</w:t>
      </w:r>
    </w:p>
    <w:sectPr>
      <w:pgSz w:w="11900" w:h="16838" w:orient="portrait"/>
      <w:cols w:equalWidth="0" w:num="1">
        <w:col w:w="11160"/>
      </w:cols>
      <w:pgMar w:left="300" w:top="8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6"/>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61" Type="http://schemas.openxmlformats.org/officeDocument/2006/relationships/hyperlink" Target="https://www.sec.gov/Archives/edgar/data/1113169/000111316918000018/articlesofrestatementfin.htm" TargetMode="External"/><Relationship Id="rId62" Type="http://schemas.openxmlformats.org/officeDocument/2006/relationships/hyperlink" Target="https://www.sec.gov/Archives/edgar/data/1113169/000111316921000006/exhibit3-1trpgamendedand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2024-11-01T11:15:13Z</dcterms:created>
  <dcterms:modified xsi:type="dcterms:W3CDTF">2024-11-01T11:15:13Z</dcterms:modified>
</cp:coreProperties>
</file>