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852170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817880</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25"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425"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425" w:right="339" w:bottom="1440" w:gutter="0" w:footer="0" w:header="0"/>
          <w:type w:val="continuous"/>
        </w:sectPr>
      </w:pPr>
    </w:p>
    <w:p>
      <w:pPr>
        <w:ind w:left="3560"/>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3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5" w:lineRule="exact"/>
        <w:rPr>
          <w:sz w:val="24"/>
          <w:szCs w:val="24"/>
          <w:color w:val="auto"/>
        </w:rPr>
      </w:pPr>
    </w:p>
    <w:p>
      <w:pPr>
        <w:ind w:right="480"/>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6"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140"/>
        <w:spacing w:after="0" w:line="209"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25" w:lineRule="exact"/>
        <w:rPr>
          <w:sz w:val="24"/>
          <w:szCs w:val="24"/>
          <w:color w:val="auto"/>
        </w:rPr>
      </w:pPr>
    </w:p>
    <w:p>
      <w:pPr>
        <w:ind w:right="3080"/>
        <w:spacing w:after="0" w:line="304"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25, 2022, is 223,464,812.</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Assets of consolidated T. Rowe Price investment products ($1,234.8 million at September 30, 2022</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1,284.3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and $1,761.5 million at December 31, 2021,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T. Rowe Price investment products ($41.6 million at September 30, 2022</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and $36.2 million at December 31, 2021,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Common stock, $.20 par value—authorized 750,000,000; issued 223,920,000 shares at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September 30, 2022 and 229,175,000 at December 31, 2021</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9,022.7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right="5180"/>
        <w:spacing w:after="0" w:line="296"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4,600.8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5,288.4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5,710.2</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2,862.7</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2,847.5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2,364.9</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3560"/>
        <w:spacing w:after="0" w:line="296"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960" w:type="dxa"/>
            <w:vAlign w:val="bottom"/>
            <w:tcBorders>
              <w:bottom w:val="single" w:sz="8" w:color="auto"/>
            </w:tcBorders>
            <w:gridSpan w:val="2"/>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2760" w:type="dxa"/>
            <w:vAlign w:val="bottom"/>
            <w:tcBorders>
              <w:bottom w:val="single" w:sz="8" w:color="auto"/>
            </w:tcBorders>
            <w:gridSpan w:val="2"/>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94"/>
        </w:trPr>
        <w:tc>
          <w:tcPr>
            <w:tcW w:w="68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9/30/2022</w:t>
            </w: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9/30/2021</w:t>
            </w:r>
          </w:p>
        </w:tc>
        <w:tc>
          <w:tcPr>
            <w:tcW w:w="120" w:type="dxa"/>
            <w:vAlign w:val="bottom"/>
          </w:tcPr>
          <w:p>
            <w:pPr>
              <w:spacing w:after="0"/>
              <w:rPr>
                <w:sz w:val="16"/>
                <w:szCs w:val="16"/>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9/30/2022</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9/30/2021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0"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adjustments</w:t>
      </w:r>
    </w:p>
    <w:p>
      <w:pPr>
        <w:spacing w:after="0" w:line="63" w:lineRule="exact"/>
        <w:rPr>
          <w:sz w:val="20"/>
          <w:szCs w:val="20"/>
          <w:color w:val="auto"/>
        </w:rPr>
      </w:pPr>
    </w:p>
    <w:p>
      <w:pPr>
        <w:ind w:left="220" w:right="700"/>
        <w:spacing w:after="0" w:line="281" w:lineRule="auto"/>
        <w:rPr>
          <w:sz w:val="20"/>
          <w:szCs w:val="20"/>
          <w:color w:val="auto"/>
        </w:rPr>
      </w:pPr>
      <w:r>
        <w:rPr>
          <w:rFonts w:ascii="Arial" w:cs="Arial" w:eastAsia="Arial" w:hAnsi="Arial"/>
          <w:sz w:val="18"/>
          <w:szCs w:val="18"/>
          <w:color w:val="auto"/>
        </w:rPr>
        <w:t>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220" w:right="260"/>
        <w:spacing w:after="0" w:line="281" w:lineRule="auto"/>
        <w:rPr>
          <w:sz w:val="20"/>
          <w:szCs w:val="20"/>
          <w:color w:val="auto"/>
        </w:rPr>
      </w:pPr>
      <w:r>
        <w:rPr>
          <w:rFonts w:ascii="Arial" w:cs="Arial" w:eastAsia="Arial" w:hAnsi="Arial"/>
          <w:sz w:val="18"/>
          <w:szCs w:val="18"/>
          <w:color w:val="auto"/>
        </w:rPr>
        <w:t>Reclassification gains recognized in non-operating income upon deconsolidation of certain T. Rowe Price investment products</w:t>
      </w:r>
    </w:p>
    <w:p>
      <w:pPr>
        <w:spacing w:after="0" w:line="1" w:lineRule="exact"/>
        <w:rPr>
          <w:sz w:val="20"/>
          <w:szCs w:val="20"/>
          <w:color w:val="auto"/>
        </w:rPr>
      </w:pPr>
    </w:p>
    <w:p>
      <w:pPr>
        <w:ind w:left="220" w:right="380"/>
        <w:spacing w:after="0" w:line="281" w:lineRule="auto"/>
        <w:rPr>
          <w:sz w:val="20"/>
          <w:szCs w:val="20"/>
          <w:color w:val="auto"/>
        </w:rPr>
      </w:pPr>
      <w:r>
        <w:rPr>
          <w:rFonts w:ascii="Arial" w:cs="Arial" w:eastAsia="Arial" w:hAnsi="Arial"/>
          <w:sz w:val="18"/>
          <w:szCs w:val="18"/>
          <w:color w:val="auto"/>
        </w:rPr>
        <w:t>Total currency translation adjustments of 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Equity method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deferred tax benefits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40" w:right="480"/>
        <w:spacing w:after="0" w:line="281" w:lineRule="auto"/>
        <w:rPr>
          <w:sz w:val="20"/>
          <w:szCs w:val="20"/>
          <w:color w:val="auto"/>
        </w:rPr>
      </w:pPr>
      <w:r>
        <w:rPr>
          <w:rFonts w:ascii="Arial" w:cs="Arial" w:eastAsia="Arial" w:hAnsi="Arial"/>
          <w:sz w:val="18"/>
          <w:szCs w:val="18"/>
          <w:color w:val="auto"/>
        </w:rPr>
        <w:t>Less: comprehensive income (loss) attributable to redeemable non-controlling interests</w:t>
      </w:r>
    </w:p>
    <w:p>
      <w:pPr>
        <w:spacing w:after="0" w:line="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Total comprehensive income attributable to T. Rowe Price Group</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640" w:val="left"/>
          <w:tab w:leader="none" w:pos="1520" w:val="left"/>
          <w:tab w:leader="none" w:pos="2180" w:val="left"/>
          <w:tab w:leader="none" w:pos="2800" w:val="left"/>
          <w:tab w:leader="none" w:pos="3600" w:val="left"/>
          <w:tab w:leader="none" w:pos="4240" w:val="left"/>
        </w:tabs>
        <w:rPr>
          <w:sz w:val="20"/>
          <w:szCs w:val="20"/>
          <w:color w:val="auto"/>
        </w:rPr>
      </w:pPr>
      <w:r>
        <w:rPr>
          <w:rFonts w:ascii="Arial" w:cs="Arial" w:eastAsia="Arial" w:hAnsi="Arial"/>
          <w:sz w:val="18"/>
          <w:szCs w:val="18"/>
          <w:color w:val="auto"/>
        </w:rPr>
        <w:t>357.8</w:t>
        <w:tab/>
        <w:t>$</w:t>
      </w:r>
      <w:r>
        <w:rPr>
          <w:sz w:val="20"/>
          <w:szCs w:val="20"/>
          <w:color w:val="auto"/>
        </w:rPr>
        <w:tab/>
      </w:r>
      <w:r>
        <w:rPr>
          <w:rFonts w:ascii="Arial" w:cs="Arial" w:eastAsia="Arial" w:hAnsi="Arial"/>
          <w:sz w:val="18"/>
          <w:szCs w:val="18"/>
          <w:color w:val="auto"/>
        </w:rPr>
        <w:t>757.4</w:t>
        <w:tab/>
        <w:t>$</w:t>
      </w:r>
      <w:r>
        <w:rPr>
          <w:sz w:val="20"/>
          <w:szCs w:val="20"/>
          <w:color w:val="auto"/>
        </w:rPr>
        <w:tab/>
      </w:r>
      <w:r>
        <w:rPr>
          <w:rFonts w:ascii="Arial" w:cs="Arial" w:eastAsia="Arial" w:hAnsi="Arial"/>
          <w:sz w:val="18"/>
          <w:szCs w:val="18"/>
          <w:color w:val="auto"/>
        </w:rPr>
        <w:t>1,160.0</w:t>
        <w:tab/>
        <w:t>$</w:t>
      </w:r>
      <w:r>
        <w:rPr>
          <w:sz w:val="20"/>
          <w:szCs w:val="20"/>
          <w:color w:val="auto"/>
        </w:rPr>
        <w:tab/>
      </w:r>
      <w:r>
        <w:rPr>
          <w:rFonts w:ascii="Arial" w:cs="Arial" w:eastAsia="Arial" w:hAnsi="Arial"/>
          <w:sz w:val="17"/>
          <w:szCs w:val="17"/>
          <w:color w:val="auto"/>
        </w:rPr>
        <w:t>2,364.9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17780</wp:posOffset>
            </wp:positionV>
            <wp:extent cx="3711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482"/>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7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5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66"/>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4"/>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66"/>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(28.2)</w:t>
            </w: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416"/>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329.6</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2,338.3</w:t>
            </w:r>
          </w:p>
        </w:tc>
      </w:tr>
      <w:tr>
        <w:trPr>
          <w:trHeight w:val="482"/>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(45.7)</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375.3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2,335.9</w:t>
            </w:r>
          </w:p>
        </w:tc>
      </w:tr>
      <w:tr>
        <w:trPr>
          <w:trHeight w:val="20"/>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-33655</wp:posOffset>
            </wp:positionV>
            <wp:extent cx="9086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-7620</wp:posOffset>
            </wp:positionV>
            <wp:extent cx="9086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-187960</wp:posOffset>
            </wp:positionV>
            <wp:extent cx="9086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-942340</wp:posOffset>
            </wp:positionV>
            <wp:extent cx="9086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-1285240</wp:posOffset>
            </wp:positionV>
            <wp:extent cx="908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-1765300</wp:posOffset>
            </wp:positionV>
            <wp:extent cx="908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40"/>
          </w:cols>
          <w:pgMar w:left="320" w:top="93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ind w:right="4700"/>
        <w:spacing w:after="0" w:line="296"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1,160.0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2,364.9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and amortization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Net redemptions in T. Rowe Price investment products used to economically hedge supplemental</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T. Rowe Price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distributions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(redemptions) received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(1,891.1)</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$101.1 million at December 31, 2021,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$104.8 million at December 31, 2020, held by consolidated T. Rowe Price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$78.1 million at September 30, 2022, and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2,444.4</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3,510.1</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color w:val="auto"/>
              </w:rPr>
              <w:t>$91.6 million at September 30, 2021, held by consolidated T. Rowe Price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3620"/>
        <w:spacing w:after="0" w:line="296"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gridSpan w:val="8"/>
            <w:shd w:val="clear" w:color="auto" w:fill="CCEEFF"/>
          </w:tcPr>
          <w:p>
            <w:pPr>
              <w:ind w:left="460"/>
              <w:spacing w:after="0"/>
              <w:rPr>
                <w:sz w:val="20"/>
                <w:szCs w:val="20"/>
                <w:color w:val="auto"/>
              </w:rPr>
            </w:pPr>
            <w:r>
              <w:rPr>
                <w:rFonts w:ascii="Arial" w:cs="Arial" w:eastAsia="Arial" w:hAnsi="Arial"/>
                <w:sz w:val="13"/>
                <w:szCs w:val="13"/>
                <w:b w:val="1"/>
                <w:bCs w:val="1"/>
                <w:color w:val="auto"/>
              </w:rPr>
              <w:t>Three months ended 9/30/2022</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8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78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6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3"/>
            <w:vMerge w:val="continue"/>
          </w:tcPr>
          <w:p>
            <w:pPr>
              <w:spacing w:after="0"/>
              <w:rPr>
                <w:sz w:val="10"/>
                <w:szCs w:val="10"/>
                <w:color w:val="auto"/>
              </w:rPr>
            </w:pPr>
          </w:p>
        </w:tc>
        <w:tc>
          <w:tcPr>
            <w:tcW w:w="78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60" w:type="dxa"/>
            <w:vAlign w:val="bottom"/>
            <w:gridSpan w:val="2"/>
            <w:vMerge w:val="continue"/>
          </w:tcPr>
          <w:p>
            <w:pPr>
              <w:spacing w:after="0"/>
              <w:rPr>
                <w:sz w:val="10"/>
                <w:szCs w:val="10"/>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T. Rowe Price</w:t>
            </w:r>
          </w:p>
        </w:tc>
        <w:tc>
          <w:tcPr>
            <w:tcW w:w="96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8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stock</w:t>
            </w: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Group, Inc.</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entities</w:t>
            </w:r>
          </w:p>
        </w:tc>
        <w:tc>
          <w:tcPr>
            <w:tcW w:w="18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40" w:type="dxa"/>
            <w:vAlign w:val="bottom"/>
          </w:tcPr>
          <w:p>
            <w:pPr>
              <w:spacing w:after="0"/>
              <w:rPr>
                <w:sz w:val="16"/>
                <w:szCs w:val="16"/>
                <w:color w:val="auto"/>
              </w:rPr>
            </w:pPr>
          </w:p>
        </w:tc>
        <w:tc>
          <w:tcPr>
            <w:tcW w:w="70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9"/>
              </w:rPr>
              <w:t>$ 8,311.9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8,964.2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384.4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Dividends declared ($1.20 per share)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(1,941)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(224.2)</w:t>
            </w: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distributions to non-controlling interests in</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Net subscriptions from T. Rowe Price investment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4"/>
                <w:szCs w:val="14"/>
                <w:color w:val="auto"/>
              </w:rPr>
              <w:t>products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consolidations of T. Rowe Price investment products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00"/>
        </w:trPr>
        <w:tc>
          <w:tcPr>
            <w:tcW w:w="3720" w:type="dxa"/>
            <w:vAlign w:val="bottom"/>
          </w:tcPr>
          <w:p>
            <w:pPr>
              <w:ind w:left="20"/>
              <w:spacing w:after="0"/>
              <w:rPr>
                <w:sz w:val="20"/>
                <w:szCs w:val="20"/>
                <w:color w:val="auto"/>
              </w:rPr>
            </w:pPr>
            <w:r>
              <w:rPr>
                <w:rFonts w:ascii="Arial" w:cs="Arial" w:eastAsia="Arial" w:hAnsi="Arial"/>
                <w:sz w:val="14"/>
                <w:szCs w:val="14"/>
                <w:color w:val="auto"/>
              </w:rPr>
              <w:t>Balances at September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223,920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499.3</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$ 8,419.9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8,907.5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9,114.5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580.8</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gridSpan w:val="7"/>
            <w:shd w:val="clear" w:color="auto" w:fill="CCEEFF"/>
          </w:tcPr>
          <w:p>
            <w:pPr>
              <w:ind w:left="80"/>
              <w:spacing w:after="0"/>
              <w:rPr>
                <w:sz w:val="20"/>
                <w:szCs w:val="20"/>
                <w:color w:val="auto"/>
              </w:rPr>
            </w:pPr>
            <w:r>
              <w:rPr>
                <w:rFonts w:ascii="Arial" w:cs="Arial" w:eastAsia="Arial" w:hAnsi="Arial"/>
                <w:sz w:val="13"/>
                <w:szCs w:val="13"/>
                <w:b w:val="1"/>
                <w:bCs w:val="1"/>
                <w:color w:val="auto"/>
              </w:rPr>
              <w:t>Three months ended 9/30/2021</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52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82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tcPr>
          <w:p>
            <w:pPr>
              <w:jc w:val="center"/>
              <w:ind w:right="60"/>
              <w:spacing w:after="0" w:line="126"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9"/>
              <w:spacing w:after="0" w:line="126"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1"/>
        </w:trPr>
        <w:tc>
          <w:tcPr>
            <w:tcW w:w="552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tcPr>
          <w:p>
            <w:pPr>
              <w:spacing w:after="0"/>
              <w:rPr>
                <w:sz w:val="10"/>
                <w:szCs w:val="10"/>
                <w:color w:val="auto"/>
              </w:rPr>
            </w:pP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8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70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2021</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226,925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673.7</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$ 7,202.6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7,893.0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777.2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777.2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Dividends declared ($1.08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Net redemptions from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531.0</w:t>
            </w:r>
          </w:p>
        </w:tc>
        <w:tc>
          <w:tcPr>
            <w:tcW w:w="0" w:type="dxa"/>
            <w:vAlign w:val="bottom"/>
          </w:tcPr>
          <w:p>
            <w:pPr>
              <w:spacing w:after="0"/>
              <w:rPr>
                <w:sz w:val="1"/>
                <w:szCs w:val="1"/>
                <w:color w:val="auto"/>
              </w:rPr>
            </w:pPr>
          </w:p>
        </w:tc>
      </w:tr>
      <w:tr>
        <w:trPr>
          <w:trHeight w:val="200"/>
        </w:trPr>
        <w:tc>
          <w:tcPr>
            <w:tcW w:w="5520" w:type="dxa"/>
            <w:vAlign w:val="bottom"/>
          </w:tcPr>
          <w:p>
            <w:pPr>
              <w:ind w:left="20"/>
              <w:spacing w:after="0"/>
              <w:rPr>
                <w:sz w:val="20"/>
                <w:szCs w:val="20"/>
                <w:color w:val="auto"/>
              </w:rPr>
            </w:pPr>
            <w:r>
              <w:rPr>
                <w:rFonts w:ascii="Arial" w:cs="Arial" w:eastAsia="Arial" w:hAnsi="Arial"/>
                <w:sz w:val="14"/>
                <w:szCs w:val="14"/>
                <w:color w:val="auto"/>
              </w:rPr>
              <w:t>Balances at September 30, 2021</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226,217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$ 7,591.7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8,262.1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1,086.6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5"/>
        </w:trPr>
        <w:tc>
          <w:tcPr>
            <w:tcW w:w="29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540" w:type="dxa"/>
            <w:vAlign w:val="bottom"/>
            <w:tcBorders>
              <w:bottom w:val="single" w:sz="8" w:color="auto"/>
            </w:tcBorders>
            <w:gridSpan w:val="8"/>
            <w:shd w:val="clear" w:color="auto" w:fill="CCEEFF"/>
          </w:tcPr>
          <w:p>
            <w:pPr>
              <w:ind w:left="480"/>
              <w:spacing w:after="0"/>
              <w:rPr>
                <w:sz w:val="20"/>
                <w:szCs w:val="20"/>
                <w:color w:val="auto"/>
              </w:rPr>
            </w:pPr>
            <w:r>
              <w:rPr>
                <w:rFonts w:ascii="Arial" w:cs="Arial" w:eastAsia="Arial" w:hAnsi="Arial"/>
                <w:sz w:val="13"/>
                <w:szCs w:val="13"/>
                <w:b w:val="1"/>
                <w:bCs w:val="1"/>
                <w:color w:val="auto"/>
              </w:rPr>
              <w:t>Nine months ended 9/30/2022</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equity</w:t>
            </w: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60" w:type="dxa"/>
            <w:vAlign w:val="bottom"/>
          </w:tcPr>
          <w:p>
            <w:pPr>
              <w:spacing w:after="0"/>
              <w:rPr>
                <w:sz w:val="11"/>
                <w:szCs w:val="11"/>
                <w:color w:val="auto"/>
              </w:rPr>
            </w:pPr>
          </w:p>
        </w:tc>
        <w:tc>
          <w:tcPr>
            <w:tcW w:w="70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96"/>
              </w:rPr>
              <w:t>Total</w:t>
            </w: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attributable to</w:t>
            </w:r>
          </w:p>
        </w:tc>
        <w:tc>
          <w:tcPr>
            <w:tcW w:w="9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excess of</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9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T. Rowe Price</w:t>
            </w: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consolidated</w:t>
            </w:r>
          </w:p>
        </w:tc>
        <w:tc>
          <w:tcPr>
            <w:tcW w:w="8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3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stock</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par value</w:t>
            </w:r>
          </w:p>
        </w:tc>
        <w:tc>
          <w:tcPr>
            <w:tcW w:w="12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earnings</w:t>
            </w: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Group, Inc.</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entities</w:t>
            </w:r>
          </w:p>
        </w:tc>
        <w:tc>
          <w:tcPr>
            <w:tcW w:w="160" w:type="dxa"/>
            <w:vAlign w:val="bottom"/>
          </w:tcPr>
          <w:p>
            <w:pPr>
              <w:spacing w:after="0"/>
              <w:rPr>
                <w:sz w:val="15"/>
                <w:szCs w:val="15"/>
                <w:color w:val="auto"/>
              </w:rPr>
            </w:pPr>
          </w:p>
        </w:tc>
        <w:tc>
          <w:tcPr>
            <w:tcW w:w="700" w:type="dxa"/>
            <w:vAlign w:val="bottom"/>
          </w:tcPr>
          <w:p>
            <w:pPr>
              <w:jc w:val="center"/>
              <w:ind w:right="89"/>
              <w:spacing w:after="0"/>
              <w:rPr>
                <w:sz w:val="20"/>
                <w:szCs w:val="20"/>
                <w:color w:val="auto"/>
              </w:rPr>
            </w:pPr>
            <w:r>
              <w:rPr>
                <w:rFonts w:ascii="Arial" w:cs="Arial" w:eastAsia="Arial" w:hAnsi="Arial"/>
                <w:sz w:val="13"/>
                <w:szCs w:val="13"/>
                <w:b w:val="1"/>
                <w:bCs w:val="1"/>
                <w:color w:val="auto"/>
                <w:w w:val="99"/>
              </w:rPr>
              <w:t>equity</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229,175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248.7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9,271.4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1,291.9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1,258.6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Dividends declared ($3.60 per share)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(832.7)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Net shares issued upon vesting of restricted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Restricted stock units issued as dividend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equivalents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Net distributions to non-controlling interests</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in consolidated entities</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redemptions from T. Rowe Price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85"/>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Net deconsolidations of T. Rowe Price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investment products</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9,114.5</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9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20" w:type="dxa"/>
            <w:vAlign w:val="bottom"/>
            <w:tcBorders>
              <w:bottom w:val="single" w:sz="8" w:color="auto"/>
            </w:tcBorders>
            <w:gridSpan w:val="8"/>
            <w:shd w:val="clear" w:color="auto" w:fill="CCEEFF"/>
          </w:tcPr>
          <w:p>
            <w:pPr>
              <w:ind w:left="500"/>
              <w:spacing w:after="0"/>
              <w:rPr>
                <w:sz w:val="20"/>
                <w:szCs w:val="20"/>
                <w:color w:val="auto"/>
              </w:rPr>
            </w:pPr>
            <w:r>
              <w:rPr>
                <w:rFonts w:ascii="Arial" w:cs="Arial" w:eastAsia="Arial" w:hAnsi="Arial"/>
                <w:sz w:val="13"/>
                <w:szCs w:val="13"/>
                <w:b w:val="1"/>
                <w:bCs w:val="1"/>
                <w:color w:val="auto"/>
              </w:rPr>
              <w:t>Nine months ended 9/30/2021</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80"/>
              <w:spacing w:after="0" w:line="117"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96"/>
              </w:rPr>
              <w:t>Total</w:t>
            </w:r>
          </w:p>
        </w:tc>
        <w:tc>
          <w:tcPr>
            <w:tcW w:w="320" w:type="dxa"/>
            <w:vAlign w:val="bottom"/>
          </w:tcPr>
          <w:p>
            <w:pPr>
              <w:spacing w:after="0"/>
              <w:rPr>
                <w:sz w:val="10"/>
                <w:szCs w:val="10"/>
                <w:color w:val="auto"/>
              </w:rPr>
            </w:pPr>
          </w:p>
        </w:tc>
        <w:tc>
          <w:tcPr>
            <w:tcW w:w="80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capital in</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Retained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excess of</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3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earnings</w:t>
            </w: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89"/>
              <w:spacing w:after="0"/>
              <w:rPr>
                <w:sz w:val="20"/>
                <w:szCs w:val="20"/>
                <w:color w:val="auto"/>
              </w:rPr>
            </w:pPr>
            <w:r>
              <w:rPr>
                <w:rFonts w:ascii="Arial" w:cs="Arial" w:eastAsia="Arial" w:hAnsi="Arial"/>
                <w:sz w:val="13"/>
                <w:szCs w:val="13"/>
                <w:b w:val="1"/>
                <w:bCs w:val="1"/>
                <w:color w:val="auto"/>
                <w:w w:val="99"/>
              </w:rPr>
              <w:t>equity</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7,029.8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7,707.0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2,342.3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Dividends declared ($3.24 per share)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(754.8)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Special cash dividend declared ($3.00 per share)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gridSpan w:val="3"/>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gridSpan w:val="3"/>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gridSpan w:val="3"/>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3"/>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4"/>
                <w:szCs w:val="14"/>
                <w:color w:val="auto"/>
              </w:rPr>
              <w:t>Balances at September 30, 2021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226,217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7,591.7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8,262.1</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1,086.6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76"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 Rowe Price Group, Inc. (“T. Rowe Price”, “us”, or “we”)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affiliated products. The other affiliated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also derive revenue from our interests in general partners of certain affiliated private investment funds that are entitled to a disproportionate allocation of income through capital allocation-based arrangements.</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 -investment entities") and a majority of the equity interests in entities that have interests in general partners of affiliated private investment funds and are entitled to a disproportionate allocation of income (the "carried interest entities"). As of September 30, 2022, OHA had $56 billion of capital under management (which includes net asset value, portfolio value and/or unfunded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2021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INFLATION REDUCTION LEGISLATION.</w:t>
      </w:r>
    </w:p>
    <w:p>
      <w:pPr>
        <w:spacing w:after="0" w:line="237"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On August 16, 2022, the U.S. enacted the Inflation Reduction Act of 2022 ("IRA"). The IRA establishes new tax provisions and various incentives and tax credits. Among other things, the IRA created a 15% minimum tax on adjusted book income effective for taxable years beginning after December 31, 2022 as well as an excise tax of 1% on stock repurchases, net of stock issuances, for publicly traded companies effective for net stock repurchases made after December 31, 2022. We are currently assessing what impact, if any, the IRA’s provisions will have on our financial position and results of operations, but we do not believe the impact will be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under agreements with clients include: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320" w:type="dxa"/>
            <w:vAlign w:val="bottom"/>
            <w:tcBorders>
              <w:bottom w:val="single" w:sz="8" w:color="auto"/>
            </w:tcBorders>
            <w:gridSpan w:val="8"/>
            <w:shd w:val="clear" w:color="auto" w:fill="CCEEFF"/>
          </w:tcPr>
          <w:p>
            <w:pPr>
              <w:ind w:left="560"/>
              <w:spacing w:after="0"/>
              <w:rPr>
                <w:sz w:val="20"/>
                <w:szCs w:val="20"/>
                <w:color w:val="auto"/>
              </w:rPr>
            </w:pPr>
            <w:r>
              <w:rPr>
                <w:rFonts w:ascii="Arial" w:cs="Arial" w:eastAsia="Arial" w:hAnsi="Arial"/>
                <w:sz w:val="13"/>
                <w:szCs w:val="13"/>
                <w:b w:val="1"/>
                <w:bCs w:val="1"/>
                <w:color w:val="auto"/>
              </w:rPr>
              <w:t>Three months ended 9/30/2022</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rPr>
              <w:t>Three months ended 9/30/2021</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2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6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w w:val="99"/>
              </w:rPr>
              <w:t>servicing fees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rPr>
              <w:t>servicing fees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ind w:right="220"/>
              <w:spacing w:after="0" w:line="115" w:lineRule="exact"/>
              <w:rPr>
                <w:sz w:val="20"/>
                <w:szCs w:val="20"/>
                <w:color w:val="auto"/>
              </w:rPr>
            </w:pPr>
            <w:r>
              <w:rPr>
                <w:rFonts w:ascii="Arial" w:cs="Arial" w:eastAsia="Arial" w:hAnsi="Arial"/>
                <w:sz w:val="13"/>
                <w:szCs w:val="13"/>
                <w:b w:val="1"/>
                <w:bCs w:val="1"/>
                <w:color w:val="auto"/>
              </w:rPr>
              <w:t>Capital</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Distribution</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Administrative</w:t>
            </w:r>
          </w:p>
        </w:tc>
        <w:tc>
          <w:tcPr>
            <w:tcW w:w="14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allocation-</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based</w:t>
            </w:r>
          </w:p>
        </w:tc>
        <w:tc>
          <w:tcPr>
            <w:tcW w:w="100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3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6"/>
        </w:trPr>
        <w:tc>
          <w:tcPr>
            <w:tcW w:w="1280" w:type="dxa"/>
            <w:vAlign w:val="bottom"/>
            <w:vMerge w:val="continue"/>
            <w:shd w:val="clear" w:color="auto" w:fill="CCEEFF"/>
          </w:tcPr>
          <w:p>
            <w:pPr>
              <w:spacing w:after="0"/>
              <w:rPr>
                <w:sz w:val="15"/>
                <w:szCs w:val="15"/>
                <w:color w:val="auto"/>
              </w:rPr>
            </w:pP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fees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rPr>
              <w:t>income</w:t>
            </w:r>
          </w:p>
        </w:tc>
        <w:tc>
          <w:tcPr>
            <w:tcW w:w="1000" w:type="dxa"/>
            <w:vAlign w:val="bottom"/>
            <w:gridSpan w:val="3"/>
            <w:vMerge w:val="continue"/>
            <w:shd w:val="clear" w:color="auto" w:fill="CCEEFF"/>
          </w:tcPr>
          <w:p>
            <w:pPr>
              <w:spacing w:after="0"/>
              <w:rPr>
                <w:sz w:val="15"/>
                <w:szCs w:val="15"/>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841.7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950.2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1,239.0</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Subadvised funds,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separate accounts,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collective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investment trusts,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and other</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687.9</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4"/>
                <w:szCs w:val="14"/>
                <w:color w:val="auto"/>
              </w:rPr>
              <w:t>Other clients</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34"/>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3"/>
                <w:szCs w:val="13"/>
                <w:b w:val="1"/>
                <w:bCs w:val="1"/>
                <w:color w:val="auto"/>
              </w:rPr>
              <w:t>Nine months ended 9/30/2022</w:t>
            </w: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w w:val="99"/>
              </w:rPr>
              <w:t>Nine months ended 9/30/2021</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20"/>
              <w:spacing w:after="0" w:line="132" w:lineRule="exact"/>
              <w:rPr>
                <w:sz w:val="20"/>
                <w:szCs w:val="20"/>
                <w:color w:val="auto"/>
              </w:rPr>
            </w:pPr>
            <w:r>
              <w:rPr>
                <w:rFonts w:ascii="Arial" w:cs="Arial" w:eastAsia="Arial" w:hAnsi="Arial"/>
                <w:sz w:val="13"/>
                <w:szCs w:val="13"/>
                <w:b w:val="1"/>
                <w:bCs w:val="1"/>
                <w:color w:val="auto"/>
              </w:rPr>
              <w:t>Administrative, distribution,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60"/>
              <w:spacing w:after="0" w:line="132" w:lineRule="exact"/>
              <w:rPr>
                <w:sz w:val="20"/>
                <w:szCs w:val="20"/>
                <w:color w:val="auto"/>
              </w:rPr>
            </w:pPr>
            <w:r>
              <w:rPr>
                <w:rFonts w:ascii="Arial" w:cs="Arial" w:eastAsia="Arial" w:hAnsi="Arial"/>
                <w:sz w:val="13"/>
                <w:szCs w:val="13"/>
                <w:b w:val="1"/>
                <w:bCs w:val="1"/>
                <w:color w:val="auto"/>
              </w:rPr>
              <w:t>Administrative, distribution, and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w w:val="99"/>
              </w:rPr>
              <w:t>servicing fees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rPr>
              <w:t>servicing fees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ind w:right="220"/>
              <w:spacing w:after="0" w:line="115" w:lineRule="exact"/>
              <w:rPr>
                <w:sz w:val="20"/>
                <w:szCs w:val="20"/>
                <w:color w:val="auto"/>
              </w:rPr>
            </w:pPr>
            <w:r>
              <w:rPr>
                <w:rFonts w:ascii="Arial" w:cs="Arial" w:eastAsia="Arial" w:hAnsi="Arial"/>
                <w:sz w:val="13"/>
                <w:szCs w:val="13"/>
                <w:b w:val="1"/>
                <w:bCs w:val="1"/>
                <w:color w:val="auto"/>
              </w:rPr>
              <w:t>Capital</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Distribution</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Administrative</w:t>
            </w:r>
          </w:p>
        </w:tc>
        <w:tc>
          <w:tcPr>
            <w:tcW w:w="14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allocation-</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based</w:t>
            </w:r>
          </w:p>
        </w:tc>
        <w:tc>
          <w:tcPr>
            <w:tcW w:w="100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3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6"/>
        </w:trPr>
        <w:tc>
          <w:tcPr>
            <w:tcW w:w="1280" w:type="dxa"/>
            <w:vAlign w:val="bottom"/>
            <w:vMerge w:val="continue"/>
            <w:shd w:val="clear" w:color="auto" w:fill="CCEEFF"/>
          </w:tcPr>
          <w:p>
            <w:pPr>
              <w:spacing w:after="0"/>
              <w:rPr>
                <w:sz w:val="15"/>
                <w:szCs w:val="15"/>
                <w:color w:val="auto"/>
              </w:rPr>
            </w:pP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fees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rPr>
              <w:t>income</w:t>
            </w:r>
          </w:p>
        </w:tc>
        <w:tc>
          <w:tcPr>
            <w:tcW w:w="1000" w:type="dxa"/>
            <w:vAlign w:val="bottom"/>
            <w:gridSpan w:val="3"/>
            <w:vMerge w:val="continue"/>
            <w:shd w:val="clear" w:color="auto" w:fill="CCEEFF"/>
          </w:tcPr>
          <w:p>
            <w:pPr>
              <w:spacing w:after="0"/>
              <w:rPr>
                <w:sz w:val="15"/>
                <w:szCs w:val="15"/>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2,694.4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6"/>
                <w:szCs w:val="16"/>
                <w:color w:val="auto"/>
              </w:rPr>
              <w:t>265.1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3,031.0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3,606.3</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Subadvised funds,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separate accounts,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collective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investment trusts,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and other</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2,015.2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2,015.2</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4"/>
                <w:szCs w:val="14"/>
                <w:color w:val="auto"/>
              </w:rPr>
              <w:t>Other clients</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34"/>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5,710.2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Other clients primarily include individuals, defined contribution plans, college savings plans, and institutions related to our non-discretionary advisory services.</w:t>
      </w:r>
    </w:p>
    <w:p>
      <w:pPr>
        <w:spacing w:after="0" w:line="23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Total net revenues earned from our related parties aggregate $1,311.2 million and $1,599.5 million for the three months ended September 30, 2022 and 2021, respectively. For the nine months ended September 30, 2022 and 2021, net revenues from related parties aggregate $4,069.7 million and $ 4,653.7 million, respectively. Accounts receivable from these products aggregate to $490.2 million at September 30, 2022 and $577.9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details the investment advisory revenues earned from clients by their underlying asset class.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8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7"/>
                <w:szCs w:val="17"/>
                <w:color w:val="auto"/>
              </w:rPr>
            </w:pPr>
          </w:p>
        </w:tc>
        <w:tc>
          <w:tcPr>
            <w:tcW w:w="2160" w:type="dxa"/>
            <w:vAlign w:val="bottom"/>
            <w:gridSpan w:val="4"/>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9/30/2021</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2,310.8</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30"/>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w:t>
            </w:r>
          </w:p>
        </w:tc>
      </w:tr>
      <w:tr>
        <w:trPr>
          <w:trHeight w:val="223"/>
        </w:trPr>
        <w:tc>
          <w:tcPr>
            <w:tcW w:w="6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r>
      <w:tr>
        <w:trPr>
          <w:trHeight w:val="156"/>
        </w:trPr>
        <w:tc>
          <w:tcPr>
            <w:tcW w:w="6440" w:type="dxa"/>
            <w:vAlign w:val="bottom"/>
          </w:tcPr>
          <w:p>
            <w:pPr>
              <w:ind w:left="20"/>
              <w:spacing w:after="0" w:line="156"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644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Alternatives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2,015.2</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5,288.4</w:t>
            </w:r>
          </w:p>
        </w:tc>
      </w:tr>
      <w:tr>
        <w:trPr>
          <w:trHeight w:val="21"/>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Average during</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40" w:type="dxa"/>
            <w:vAlign w:val="bottom"/>
          </w:tcPr>
          <w:p>
            <w:pPr>
              <w:spacing w:after="0"/>
              <w:rPr>
                <w:sz w:val="16"/>
                <w:szCs w:val="16"/>
                <w:color w:val="auto"/>
              </w:rPr>
            </w:pPr>
          </w:p>
        </w:tc>
      </w:tr>
      <w:tr>
        <w:trPr>
          <w:trHeight w:val="197"/>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12/31/2021</w:t>
            </w: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23"/>
        </w:trPr>
        <w:tc>
          <w:tcPr>
            <w:tcW w:w="4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r>
      <w:tr>
        <w:trPr>
          <w:trHeight w:val="155"/>
        </w:trPr>
        <w:tc>
          <w:tcPr>
            <w:tcW w:w="40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Subadvised funds, separate accounts, collective</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trusts, and other investment products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245.5</w:t>
            </w: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Alternatives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40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9.0%, 9.4%, and 9.9% of our assets under management at September 30, 2022,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12/31/2021</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518.7</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and nine- months ended September 30, 2022, net losses on investments included $35.3 million and $258.7 million, respectively, of net unrealized losses related to investments held at fair value that were still held at September 30, 2022. During the three months ended September 30, 2021, net losses on investments included $4.6 million of net unrealized losses related to investments held at fair value that were still held at September 30, 2021. During the nine months ended September 30, 2021, net gains on investments included $83.7 million of net unrealized gains related to investments held at fair value that were still held at September 30, 2021.</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nine months ended September 30, 2022 and 2021,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nine months ended September 30, 2022 and September 30, 2021, certain T. Rowe Price investment products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2"/>
        </w:trPr>
        <w:tc>
          <w:tcPr>
            <w:tcW w:w="5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460" w:type="dxa"/>
            <w:vAlign w:val="bottom"/>
            <w:gridSpan w:val="4"/>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Net increase (decrease) in assets of consolidated T. Rowe Price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2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rPr>
              <w:t>Net increase (decrease) in liabilities of consolidated T. Rowe Price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26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 is debt associated with our long-term investments in affiliated collateralized loan obligations (“CLOs”). As of September 30, 2022 and December 31, 2021, the debt is carried at $94.6 million and $ 113.5 million, and is reported in accounts payable and accrued expenses in our unaudited condensed consolidated balance sheets. The debt includes outstanding repurchase agreements of € 66.8 million (equivalent to $65.4 million at September 30, 2022 and $75.9 million at December 31, 2021 at the respective EUR spot rates) and collateralized by the CLO investments. The debt also includes outstanding note facilities of €35.6 million (equivalent to $ 29.2 million at September 30, 2022 and $36.9 million at December 31, 2021 at the respective EUR spot rates) and are collateralized by first priority security interests in the assets of the consolidated OHA entity that is party to the notes. The debt bears interest at rates based on EURIBOR plus the initial margin, which equals all-in rates ranging from 1.75% to 2.00% as of September 30, 2022. The debt matures on various dates through 2032 or if the investments are paid back in full or cancelled.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investments at September 30, 2022 and December 31, 2021 include interests in variable interest entities that we do not consolidate as we are not deemed the primary beneficiary. Our maximum risk of loss related to our involvement with these entities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9/30/2022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943.3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unfunded capital commitments totaling $87.9 million at September 30, 2022 and $94.2 million at December 31, 2021 relate primarily to the affiliated private investment funds and the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PARTNERS.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2021, as part of the OHA acquisition, we acquired a majority of the equity interests in entities that have interests in general partners of affiliated private investment funds and are entitled to a disproportionate allocation of income. These entities are considered variable interest entities and are consolidated as T. Rowe Price was determined to be the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total assets, liabilities and non-controlling interests of these consolidated variable interest entities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9/30/2022</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248.7</w:t>
            </w:r>
          </w:p>
        </w:tc>
      </w:tr>
      <w:tr>
        <w:trPr>
          <w:trHeight w:val="20"/>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9/30/2022</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12/31/2021</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1,917.3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4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$91.0 million at September 30, 2022, and $108.1 million at December 31, 2021.</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part of the purchase consideration for our acquisition of OHA in December 2021, there was contingent consideration in the amount of up to $900.0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For the three- and nine- months ended September 30, 2022, $2.9 million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ind w:right="500"/>
        <w:spacing w:after="0" w:line="287" w:lineRule="auto"/>
        <w:rPr>
          <w:sz w:val="20"/>
          <w:szCs w:val="20"/>
          <w:color w:val="auto"/>
        </w:rPr>
      </w:pPr>
      <w:r>
        <w:rPr>
          <w:rFonts w:ascii="Arial" w:cs="Arial" w:eastAsia="Arial" w:hAnsi="Arial"/>
          <w:sz w:val="18"/>
          <w:szCs w:val="18"/>
          <w:color w:val="auto"/>
        </w:rPr>
        <w:t>and $11.7 million, respectively, was recorded as part of compensation expense in our unaudited condensed consolidated statements of income for the portion of the earnout deemed compensatory.</w:t>
      </w:r>
    </w:p>
    <w:p>
      <w:pPr>
        <w:spacing w:after="0" w:line="18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Measurement period adjustment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Unrealized (gains) losses, included in earnings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September 30, 2022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Contingent Consideration Liability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Three months ended 9/30/2022</w:t>
            </w:r>
          </w:p>
        </w:tc>
        <w:tc>
          <w:tcPr>
            <w:tcW w:w="280" w:type="dxa"/>
            <w:vAlign w:val="bottom"/>
            <w:tcBorders>
              <w:top w:val="single" w:sz="8" w:color="auto"/>
              <w:bottom w:val="single" w:sz="8" w:color="auto"/>
            </w:tcBorders>
          </w:tcPr>
          <w:p>
            <w:pPr>
              <w:spacing w:after="0"/>
              <w:rPr>
                <w:sz w:val="17"/>
                <w:szCs w:val="17"/>
                <w:color w:val="auto"/>
              </w:rPr>
            </w:pPr>
          </w:p>
        </w:tc>
        <w:tc>
          <w:tcPr>
            <w:tcW w:w="26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Nine months ended 9/30/2022</w:t>
            </w:r>
          </w:p>
        </w:tc>
      </w:tr>
      <w:tr>
        <w:trPr>
          <w:trHeight w:val="21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640" w:type="dxa"/>
            <w:vAlign w:val="bottom"/>
          </w:tcPr>
          <w:p>
            <w:pPr>
              <w:jc w:val="right"/>
              <w:spacing w:after="0"/>
              <w:rPr>
                <w:sz w:val="20"/>
                <w:szCs w:val="20"/>
                <w:color w:val="auto"/>
              </w:rPr>
            </w:pPr>
            <w:r>
              <w:rPr>
                <w:rFonts w:ascii="Arial" w:cs="Arial" w:eastAsia="Arial" w:hAnsi="Arial"/>
                <w:sz w:val="18"/>
                <w:szCs w:val="18"/>
                <w:color w:val="auto"/>
              </w:rPr>
              <w:t>161.2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29"/>
        </w:trPr>
        <w:tc>
          <w:tcPr>
            <w:tcW w:w="26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5"/>
        </w:trPr>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-633730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-334010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890" w:right="339" w:bottom="1440" w:gutter="0" w:footer="0" w:header="0"/>
          <w:type w:val="continuous"/>
        </w:sectPr>
      </w:pPr>
    </w:p>
    <w:p>
      <w:pPr>
        <w:spacing w:after="0" w:line="1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 The unrealized (gains) losses during the quarter are reflected in general, administrative and other expenses in our unaudited condensed consolidated statements of income.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For the three- and nine- months ended September 30, 2022, $2.4 million and $7.1 million was recognized as part of compensation expense in our unaudited condensed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 AND OTHER ENTITIES.</w:t>
      </w:r>
    </w:p>
    <w:p>
      <w:pPr>
        <w:spacing w:after="0" w:line="25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$.1 million at September 30, 2022, and $6.5 million at December 31, 2021, of T. Rowe Price money market mutual funds.</w:t>
      </w:r>
    </w:p>
    <w:p>
      <w:pPr>
        <w:spacing w:after="0" w:line="3" w:lineRule="exact"/>
        <w:rPr>
          <w:rFonts w:ascii="Arial" w:cs="Arial" w:eastAsia="Arial" w:hAnsi="Arial"/>
          <w:sz w:val="16"/>
          <w:szCs w:val="16"/>
          <w:i w:val="1"/>
          <w:iCs w:val="1"/>
          <w:color w:val="auto"/>
          <w:vertAlign w:val="superscript"/>
        </w:rPr>
      </w:pPr>
    </w:p>
    <w:p>
      <w:pPr>
        <w:ind w:left="140" w:hanging="132"/>
        <w:spacing w:after="0" w:line="229"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$8.6 million at September 30, 2022, and $42.5 million at December 31, 2021 of other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4" w:name="page15"/>
    <w:bookmarkEnd w:id="14"/>
    <w:p>
      <w:pPr>
        <w:ind w:right="120"/>
        <w:spacing w:after="0" w:line="268"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operating results of the consolidated T. Rowe Price investment products for the three- and nine-months ended September 30, 2022 and 2021, are reflected in our unaudited condensed consolidated statements of income as follows: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6"/>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4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7"/>
              <w:spacing w:after="0" w:line="143"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Voting 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77"/>
              <w:spacing w:after="0" w:line="149"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20" w:type="dxa"/>
            <w:vAlign w:val="bottom"/>
            <w:gridSpan w:val="2"/>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475"/>
              <w:spacing w:after="0"/>
              <w:rPr>
                <w:sz w:val="20"/>
                <w:szCs w:val="20"/>
                <w:color w:val="auto"/>
              </w:rPr>
            </w:pPr>
            <w:r>
              <w:rPr>
                <w:rFonts w:ascii="Arial" w:cs="Arial" w:eastAsia="Arial" w:hAnsi="Arial"/>
                <w:sz w:val="18"/>
                <w:szCs w:val="18"/>
                <w:color w:val="auto"/>
                <w:w w:val="96"/>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495"/>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495"/>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495"/>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6"/>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9/30/2021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17"/>
              <w:spacing w:after="0" w:line="147"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17"/>
              <w:spacing w:after="0" w:line="14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40"/>
              <w:spacing w:after="0" w:line="14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34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435"/>
              <w:spacing w:after="0"/>
              <w:rPr>
                <w:sz w:val="20"/>
                <w:szCs w:val="20"/>
                <w:color w:val="auto"/>
              </w:rPr>
            </w:pPr>
            <w:r>
              <w:rPr>
                <w:rFonts w:ascii="Arial" w:cs="Arial" w:eastAsia="Arial" w:hAnsi="Arial"/>
                <w:sz w:val="18"/>
                <w:szCs w:val="18"/>
                <w:color w:val="auto"/>
                <w:w w:val="96"/>
              </w:rPr>
              <w:t>(.4)</w:t>
            </w:r>
          </w:p>
        </w:tc>
        <w:tc>
          <w:tcPr>
            <w:tcW w:w="20" w:type="dxa"/>
            <w:vAlign w:val="bottom"/>
          </w:tcPr>
          <w:p>
            <w:pPr>
              <w:spacing w:after="0"/>
              <w:rPr>
                <w:sz w:val="13"/>
                <w:szCs w:val="13"/>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3"/>
                <w:szCs w:val="13"/>
                <w:color w:val="auto"/>
              </w:rPr>
            </w:pPr>
          </w:p>
        </w:tc>
        <w:tc>
          <w:tcPr>
            <w:tcW w:w="3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80" w:type="dxa"/>
            <w:vAlign w:val="bottom"/>
            <w:gridSpan w:val="3"/>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gridSpan w:val="3"/>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00" w:type="dxa"/>
            <w:vAlign w:val="bottom"/>
            <w:gridSpan w:val="3"/>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3"/>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$.5 million and $1.6 million for the three months ended September 30, 2022 and 2021, respectively, against the investment advisory and administrative fees earned from these products. Operating expenses eliminated for the nine months ended September 30, 2022 and 2021, were $2.0 million and $4.0 million, respectively. The net investment income (loss) reflected in non-operating income (loss) includes dividend and interest income as well as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5" w:name="page16"/>
    <w:bookmarkEnd w:id="15"/>
    <w:p>
      <w:pPr>
        <w:ind w:right="102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nine months ended September 30, 2022 and 2021.</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equivalents of consolidated</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 Rowe Price investment products</w:t>
            </w: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net cash provided by financing activities during the nine months ended September 30, 2022 and 2021 includes $22.3 million and $35.3 million, respectively, of net subscriptions we made into the consolidated T. Rowe Price investment products, net of dividends received. These cash flows were eliminated in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740" w:right="2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0" w:hanging="72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9/30/2022</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12/31/2021</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1,187.4</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9/30/2022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2,652.4</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2,693.2</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3,606.6</w:t>
            </w:r>
          </w:p>
        </w:tc>
      </w:tr>
      <w:tr>
        <w:trPr>
          <w:trHeight w:val="21"/>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Amortization expense for the definite-lived investment advisory agreements intangible assets was $27.1 million and $81.4 million for the three- and nine- months ended September 30, 2022, respectively. Estimated amortization expense for the definite-lived investment advisory agreements intangible assets for the remainder of 2022 is $27.1 million, $108.1 million for 2023, $105.6 million for 2024, $105.0 million for 2025, and $87.7 million for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during the three- and nine- months ended September 30, 2022 was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2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9/30/2022</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Nine months ended 9/30/2022</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2,652.4</w:t>
            </w:r>
          </w:p>
        </w:tc>
        <w:tc>
          <w:tcPr>
            <w:tcW w:w="10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2,693.2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w:t>
            </w:r>
          </w:p>
        </w:tc>
        <w:tc>
          <w:tcPr>
            <w:tcW w:w="8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2,652.4</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2,652.4</w:t>
            </w:r>
          </w:p>
        </w:tc>
      </w:tr>
      <w:tr>
        <w:trPr>
          <w:trHeight w:val="21"/>
        </w:trPr>
        <w:tc>
          <w:tcPr>
            <w:tcW w:w="6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We evaluate the carrying amount of goodwill for possible impairment on an annual basis in the fourth quarter using a fair value approach or if triggering events occur that require us to evaluate for impairment earlier.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5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Accounts payable and accrued expenses includes liabilities of $16.1 million at September 30, 2022 for common stock repurchases that settled during the first week of October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nine months ended September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2,846,579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(463,232)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September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2,383,347</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2,383,347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nine months ended September 30,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2021</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5,701,865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63,475</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2,897</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(97,003)</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(149,318)</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143.31</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5,521,916</w:t>
            </w:r>
          </w:p>
        </w:tc>
        <w:tc>
          <w:tcPr>
            <w:tcW w:w="380" w:type="dxa"/>
            <w:vAlign w:val="bottom"/>
            <w:tcBorders>
              <w:top w:val="single" w:sz="8" w:color="CCEEFF"/>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Nonvested at September 30, 2022, includes performance-based restricted stock units of 294,518. These nonvested performance-based restricted stock units include 81,123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September 30, 2022. Estimated future compensation expense will change to reflect future grants of restricted stock awards and units, future option grants, changes in the probability of performance thresholds being met, and adjustments for actual forfeitures.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Fourth quarter 2022</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 through 2027</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94"/>
        </w:trPr>
        <w:tc>
          <w:tcPr>
            <w:tcW w:w="5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9/30/2022</w:t>
            </w:r>
          </w:p>
        </w:tc>
        <w:tc>
          <w:tcPr>
            <w:tcW w:w="1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9/30/2021</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9/30/2022</w:t>
            </w:r>
          </w:p>
        </w:tc>
        <w:tc>
          <w:tcPr>
            <w:tcW w:w="13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9/30/2021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1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Net income attributable to T. Rowe Price</w:t>
      </w:r>
      <w:r>
        <w:rPr>
          <w:sz w:val="20"/>
          <w:szCs w:val="20"/>
          <w:color w:val="auto"/>
        </w:rPr>
        <w:tab/>
      </w:r>
      <w:r>
        <w:rPr>
          <w:rFonts w:ascii="Arial" w:cs="Arial" w:eastAsia="Arial" w:hAnsi="Arial"/>
          <w:sz w:val="17"/>
          <w:szCs w:val="17"/>
          <w:color w:val="auto"/>
        </w:rPr>
        <w:t>$</w:t>
      </w:r>
    </w:p>
    <w:p>
      <w:pPr>
        <w:spacing w:after="0" w:line="32" w:lineRule="exact"/>
        <w:rPr>
          <w:sz w:val="20"/>
          <w:szCs w:val="20"/>
          <w:color w:val="auto"/>
        </w:rPr>
      </w:pPr>
    </w:p>
    <w:p>
      <w:pPr>
        <w:ind w:left="20" w:right="260"/>
        <w:spacing w:after="0" w:line="245" w:lineRule="auto"/>
        <w:rPr>
          <w:sz w:val="20"/>
          <w:szCs w:val="20"/>
          <w:color w:val="auto"/>
        </w:rPr>
      </w:pPr>
      <w:r>
        <w:rPr>
          <w:rFonts w:ascii="Arial" w:cs="Arial" w:eastAsia="Arial" w:hAnsi="Arial"/>
          <w:sz w:val="18"/>
          <w:szCs w:val="18"/>
          <w:color w:val="auto"/>
        </w:rPr>
        <w:t>Less: net income allocated to outstanding restricted stock and stock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tabs>
          <w:tab w:leader="none" w:pos="5480" w:val="left"/>
        </w:tabs>
        <w:rPr>
          <w:sz w:val="20"/>
          <w:szCs w:val="20"/>
          <w:color w:val="auto"/>
        </w:rPr>
      </w:pPr>
      <w:r>
        <w:rPr>
          <w:rFonts w:ascii="Arial" w:cs="Arial" w:eastAsia="Arial" w:hAnsi="Arial"/>
          <w:sz w:val="18"/>
          <w:szCs w:val="18"/>
          <w:color w:val="auto"/>
        </w:rPr>
        <w:t>Net income allocated to common stockholders</w:t>
      </w:r>
      <w:r>
        <w:rPr>
          <w:sz w:val="20"/>
          <w:szCs w:val="20"/>
          <w:color w:val="auto"/>
        </w:rPr>
        <w:tab/>
      </w:r>
      <w:r>
        <w:rPr>
          <w:rFonts w:ascii="Arial" w:cs="Arial" w:eastAsia="Arial" w:hAnsi="Arial"/>
          <w:sz w:val="17"/>
          <w:szCs w:val="17"/>
          <w:color w:val="auto"/>
        </w:rPr>
        <w:t>$</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 assuming dilution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384.4</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0" w:type="dxa"/>
            <w:vAlign w:val="bottom"/>
          </w:tcPr>
          <w:p>
            <w:pPr>
              <w:spacing w:after="0"/>
              <w:rPr>
                <w:sz w:val="1"/>
                <w:szCs w:val="1"/>
                <w:color w:val="auto"/>
              </w:rPr>
            </w:pPr>
          </w:p>
        </w:tc>
      </w:tr>
      <w:tr>
        <w:trPr>
          <w:trHeight w:val="405"/>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375.2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225.3</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
        </w:trPr>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226.3</w:t>
            </w: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0" w:type="dxa"/>
            <w:vAlign w:val="bottom"/>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-8255</wp:posOffset>
            </wp:positionV>
            <wp:extent cx="9086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-213995</wp:posOffset>
            </wp:positionV>
            <wp:extent cx="908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-668020</wp:posOffset>
            </wp:positionV>
            <wp:extent cx="908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OTHER COMPREHENSIVE INCOME AND ACCUMULATED OTHER COMPREHENSIVE LOSS.</w:t>
      </w:r>
    </w:p>
    <w:p>
      <w:pPr>
        <w:spacing w:after="0" w:line="30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September 30, 2022 and 2021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60" w:type="dxa"/>
            <w:vAlign w:val="bottom"/>
            <w:gridSpan w:val="8"/>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 9/30/2022</w:t>
            </w:r>
          </w:p>
        </w:tc>
        <w:tc>
          <w:tcPr>
            <w:tcW w:w="120" w:type="dxa"/>
            <w:vAlign w:val="bottom"/>
            <w:shd w:val="clear" w:color="auto" w:fill="CCEEFF"/>
          </w:tcPr>
          <w:p>
            <w:pPr>
              <w:spacing w:after="0"/>
              <w:rPr>
                <w:sz w:val="17"/>
                <w:szCs w:val="17"/>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9/30/2021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42"/>
        </w:trPr>
        <w:tc>
          <w:tcPr>
            <w:tcW w:w="322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2"/>
                <w:szCs w:val="12"/>
                <w:color w:val="auto"/>
              </w:rPr>
            </w:pP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other comprehensive income (loss) in the table above excludes losses of $19.1 million and $12.2 million of other comprehensive income related to redeemable non-controlling interests held in our consolidated products for the three months ended September 30, 2022 and 2021, respectively.</w:t>
      </w:r>
    </w:p>
    <w:p>
      <w:pPr>
        <w:spacing w:after="0" w:line="117"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nine months ended September 30, 2022 and 2021, are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Nine months ended 9/30/2022</w:t>
            </w:r>
          </w:p>
        </w:tc>
        <w:tc>
          <w:tcPr>
            <w:tcW w:w="16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Nine months ended 9/30/2021</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2"/>
                <w:szCs w:val="12"/>
                <w:color w:val="auto"/>
              </w:rPr>
            </w:pPr>
          </w:p>
        </w:tc>
        <w:tc>
          <w:tcPr>
            <w:tcW w:w="142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2"/>
                <w:szCs w:val="12"/>
                <w:color w:val="auto"/>
              </w:rPr>
            </w:pPr>
          </w:p>
        </w:tc>
        <w:tc>
          <w:tcPr>
            <w:tcW w:w="144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2"/>
                <w:szCs w:val="12"/>
                <w:color w:val="auto"/>
              </w:rPr>
            </w:pPr>
          </w:p>
        </w:tc>
        <w:tc>
          <w:tcPr>
            <w:tcW w:w="1140" w:type="dxa"/>
            <w:vAlign w:val="bottom"/>
          </w:tcPr>
          <w:p>
            <w:pPr>
              <w:jc w:val="center"/>
              <w:ind w:right="42"/>
              <w:spacing w:after="0" w:line="13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5"/>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6"/>
                <w:szCs w:val="16"/>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42"/>
        </w:trPr>
        <w:tc>
          <w:tcPr>
            <w:tcW w:w="308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Reclassification adjustments recognized</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The other comprehensive income (loss) in the table above excludes losses of $44.6 million for the 2022 period and income of $20.2 million for the 2021 period of other comprehensive income (loss) related to redeemable non-controlling interests held in our consolidated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$482.3 million to fund OHA products over the next five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2022, the related condensed consolidated statements of income, comprehensive income, stockholders’ equity for the three-month and nine-month periods ended September 30, 2022 and 2021, the related condensed consolidated statements of cash flows for the nine-month periods ended September 30, 2022 and 2021,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2021, and the related consolidated statements of income, comprehensive income, stockholders’ equity, and cash flows for the year then ended (not presented herein); and in our report dated February 24, 2022, we expressed an unqualified opinion on those consolidated financial statements. In our opinion, the information set forth in the accompanying condensed consolidated balance sheet as of December 31, 2021,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affiliated products. The other affiliated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derive revenue from our interests in general partners of certain affiliated private investment funds that are entitled to a disproportionate allocation of income through capital allocation-based arrangements also known as carried interest.</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manage a broad range of U.S., international and global stock, bond, money market mutual funds, collective investment trusts and other investment products as well as affiliated private investment funds or private accounts, and collateralized loan obligations,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"co-investment entities") and a majority of the equity interests in entities that have interests in general partners of affiliated private investment funds and are entitled to a disproportionate allocation of income (the "carried interest entities"). As of September 30, 2022, OHA had $56 billion of capital under management (which includes net asset value, portfolio value and/or unfunded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Major U.S. stock indexes declined in the third quarter of 2022. Shares advanced through mid-August, helped by second-quarter corporate earnings reports that were better than expected. Investors were also hopeful that the Federal Reserve, which raised short-term interest rates in late July, would slow the pace of its rate increases in response to tentative signs that inflation was retreating from recent peaks. However, equities plunged and U.S. Treasury yields rose in the second half of the third quarter of 2022, as comments from Federal Reserve officials indicated that they would be willing to risk causing a recession by raising rates and keeping them at a higher level in order to bring inflation down. Toward the end of September 2022, investor sentiment deteriorated further as the Federal Reserve raised rates again, Treasury yields</w:t>
      </w:r>
    </w:p>
    <w:p>
      <w:pPr>
        <w:spacing w:after="0" w:line="2"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reached multi-year highs, and UK government bond yields surged in reaction to the UK government’s plan to cut taxes, increase energy subsidies, and boost borrowing.</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Stocks in developed non-U.S. markets underperformed U.S. shares, as a stronger U.S. dollar reduced overseas returns to U.S. investors. Developed markets in Asia were broadly negative. Shares in Singapore fell only about 1.5%, while Hong Kong stocks plunged about 17%. In Europe, UK shares dropped almost 11% in dollar terms. Two of the worst-performing European markets were Austria and Norway, where stocks fell about 15%.</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2" w:name="page23"/>
    <w:bookmarkEnd w:id="22"/>
    <w:p>
      <w:pPr>
        <w:ind w:right="120"/>
        <w:spacing w:after="0" w:line="247" w:lineRule="auto"/>
        <w:rPr>
          <w:sz w:val="20"/>
          <w:szCs w:val="20"/>
          <w:color w:val="auto"/>
        </w:rPr>
      </w:pPr>
      <w:r>
        <w:rPr>
          <w:rFonts w:ascii="Arial" w:cs="Arial" w:eastAsia="Arial" w:hAnsi="Arial"/>
          <w:sz w:val="18"/>
          <w:szCs w:val="18"/>
          <w:color w:val="auto"/>
        </w:rPr>
        <w:t>Stocks in emerging markets generally performed worse than their counterparts in developed markets. In Asia, Chinese stocks plunged amid concerns about slower growth in the world’s second-largest economy. In emerging Europe, most major markets declined, but Turkish stocks surged 16% in dollar terms as the central bank reduced interest rates twice despite year-over-year inflation of about 80%. Markets in Latin America were mixed. Mexican stocks slipped 5%, while Brazilian stocks advanced more than 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8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9/30/2022</w:t>
            </w:r>
          </w:p>
        </w:tc>
        <w:tc>
          <w:tcPr>
            <w:tcW w:w="0" w:type="dxa"/>
            <w:vAlign w:val="bottom"/>
          </w:tcPr>
          <w:p>
            <w:pPr>
              <w:spacing w:after="0"/>
              <w:rPr>
                <w:sz w:val="1"/>
                <w:szCs w:val="1"/>
                <w:color w:val="auto"/>
              </w:rPr>
            </w:pPr>
          </w:p>
        </w:tc>
      </w:tr>
      <w:tr>
        <w:trPr>
          <w:trHeight w:val="224"/>
        </w:trPr>
        <w:tc>
          <w:tcPr>
            <w:tcW w:w="8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0" w:hanging="13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3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Global bond prices declined in the third quarter of 2022, as bond yields rose and central banks increased short-term interest rates in many countries due to elevated inflation. In the U.S., Treasury yields reached levels unseen since 2007-2008 and the Federal Reserve increased official short-term interest rates twice. The fed funds target rate range at the end of September was 3.00% to 3.25%. The 10-year U.S. Treasury note yield increased from 2.98% to 3.83% during the quarter.</w:t>
      </w:r>
    </w:p>
    <w:p>
      <w:pPr>
        <w:spacing w:after="0" w:line="201"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In the investment-grade universe, corporate and mortgage-backed securities were among the worst-performing issues. Treasury and commercial mortgage-backed securities also declined considerably. Asset-backed securities lost value but held up better than other investment-grade segments. Tax-free municipal bonds declined but outperformed the taxable bond market. High yield bonds, which have less sensitivity to rising interest rates than higher-quality issues, held up well.</w:t>
      </w:r>
    </w:p>
    <w:p>
      <w:pPr>
        <w:spacing w:after="0" w:line="201"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Bonds in developed non-U.S. markets fell sharply; losses to U.S. investors were exacerbated by a stronger dollar. The euro fell more than 6%, even though the European Central Bank raised short-term interest rates in July and September. The British pound plunged 8%, and UK</w:t>
      </w:r>
    </w:p>
    <w:p>
      <w:pPr>
        <w:spacing w:after="0" w:line="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government bond yields surged in September, resulting in the Bank of England purchasing long-term UK government debt in an effort to stabilize the market. The Japanese yen slumped more than 6%—to levels not seen in more than two decades—which prompted the Bank of Japan to intervene in the currency market in late September in an attempt to support the yen.</w:t>
      </w:r>
    </w:p>
    <w:p>
      <w:pPr>
        <w:spacing w:after="0" w:line="206"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Emerging markets bonds declined as central banks in many developing countries raised interest rates to fight inflation and defend their weakening currencies. Local currency bonds fared slightly worse than dollar-denominated debt, as most emerging markets currencies depreciated versus the dollar.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8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9/30/2022</w:t>
            </w:r>
          </w:p>
        </w:tc>
        <w:tc>
          <w:tcPr>
            <w:tcW w:w="0" w:type="dxa"/>
            <w:vAlign w:val="bottom"/>
          </w:tcPr>
          <w:p>
            <w:pPr>
              <w:spacing w:after="0"/>
              <w:rPr>
                <w:sz w:val="1"/>
                <w:szCs w:val="1"/>
                <w:color w:val="auto"/>
              </w:rPr>
            </w:pPr>
          </w:p>
        </w:tc>
      </w:tr>
      <w:tr>
        <w:trPr>
          <w:trHeight w:val="224"/>
        </w:trPr>
        <w:tc>
          <w:tcPr>
            <w:tcW w:w="8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Bank of America U.S.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Leveraged Loan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Assets under management ended the third quarter of 2022 at $1,230.0 billion, a decrease of $79.7 billion from June 30, 2022 and $457.8 billion from the end of 2021. The decrease in assets under management during the third quarter of 2022 was driven by market depreciation, including net distributions not reinvested, of $55.1 billion and net cash outflows of $24.6 billion. Clients transferred $3.3 billion in net assets from the U.S. mutual funds primarily to collective investment trusts and other investment products, of which $2.2 billion transferred into the retirement date trusts.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nine months ended September 30, 2022, the decrease in assets under management was driven by market depreciation, including net distributions not reinvested, of $413.2 billion and net cash outflows of $44.6 billion. Clients transferred $ 10.3 billion in net assets from the U.S. mutual funds primarily to collective investment trusts and other investment products, of which $7.1 billion transferred into the retirement date trusts.</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detail changes in our assets under management, by vehicle and asset class, during the three- and nine-month periods ended September 30,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gridSpan w:val="9"/>
            <w:shd w:val="clear" w:color="auto" w:fill="CCEEFF"/>
          </w:tcPr>
          <w:p>
            <w:pPr>
              <w:ind w:left="260"/>
              <w:spacing w:after="0"/>
              <w:rPr>
                <w:sz w:val="20"/>
                <w:szCs w:val="20"/>
                <w:color w:val="auto"/>
              </w:rPr>
            </w:pPr>
            <w:r>
              <w:rPr>
                <w:rFonts w:ascii="Arial" w:cs="Arial" w:eastAsia="Arial" w:hAnsi="Arial"/>
                <w:sz w:val="14"/>
                <w:szCs w:val="14"/>
                <w:b w:val="1"/>
                <w:bCs w:val="1"/>
                <w:color w:val="auto"/>
              </w:rPr>
              <w:t>Three months ended 9/30/2022</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9"/>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Nine months ended 9/30/2022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Collective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Collective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Subadvised</w:t>
            </w:r>
          </w:p>
        </w:tc>
        <w:tc>
          <w:tcPr>
            <w:tcW w:w="13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rPr>
              <w:t>Subadvised</w:t>
            </w:r>
          </w:p>
        </w:tc>
        <w:tc>
          <w:tcPr>
            <w:tcW w:w="1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34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rPr>
              <w:t>investment trusts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trusts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U.S. mutual</w:t>
            </w:r>
          </w:p>
        </w:tc>
        <w:tc>
          <w:tcPr>
            <w:tcW w:w="100" w:type="dxa"/>
            <w:vAlign w:val="bottom"/>
          </w:tcPr>
          <w:p>
            <w:pPr>
              <w:spacing w:after="0"/>
              <w:rPr>
                <w:sz w:val="12"/>
                <w:szCs w:val="12"/>
                <w:color w:val="auto"/>
              </w:rPr>
            </w:pPr>
          </w:p>
        </w:tc>
        <w:tc>
          <w:tcPr>
            <w:tcW w:w="12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funds and</w:t>
            </w:r>
          </w:p>
        </w:tc>
        <w:tc>
          <w:tcPr>
            <w:tcW w:w="13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funds and</w:t>
            </w:r>
          </w:p>
        </w:tc>
        <w:tc>
          <w:tcPr>
            <w:tcW w:w="1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separate</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mutual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separate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funds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accounts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funds</w:t>
            </w:r>
          </w:p>
        </w:tc>
        <w:tc>
          <w:tcPr>
            <w:tcW w:w="10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accounts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products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140" w:type="dxa"/>
            <w:vAlign w:val="bottom"/>
            <w:gridSpan w:val="4"/>
            <w:shd w:val="clear" w:color="auto" w:fill="CCEEFF"/>
          </w:tcPr>
          <w:p>
            <w:pPr>
              <w:ind w:left="20"/>
              <w:spacing w:after="0" w:line="129" w:lineRule="exact"/>
              <w:rPr>
                <w:sz w:val="20"/>
                <w:szCs w:val="20"/>
                <w:color w:val="auto"/>
              </w:rPr>
            </w:pPr>
            <w:r>
              <w:rPr>
                <w:rFonts w:ascii="Arial" w:cs="Arial" w:eastAsia="Arial" w:hAnsi="Arial"/>
                <w:sz w:val="14"/>
                <w:szCs w:val="14"/>
                <w:color w:val="auto"/>
              </w:rPr>
              <w:t>Assets under management at</w:t>
            </w:r>
          </w:p>
        </w:tc>
        <w:tc>
          <w:tcPr>
            <w:tcW w:w="16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657.1</w:t>
            </w:r>
          </w:p>
        </w:tc>
        <w:tc>
          <w:tcPr>
            <w:tcW w:w="5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332.8</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1,309.7</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871.4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437.1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379.3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1,687.8</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440" w:type="dxa"/>
            <w:vAlign w:val="bottom"/>
            <w:gridSpan w:val="3"/>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2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Net cash flows before client transfers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(24.6)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98"/>
        </w:trPr>
        <w:tc>
          <w:tcPr>
            <w:tcW w:w="1340" w:type="dxa"/>
            <w:vAlign w:val="bottom"/>
          </w:tcPr>
          <w:p>
            <w:pPr>
              <w:ind w:left="20"/>
              <w:spacing w:after="0"/>
              <w:rPr>
                <w:sz w:val="20"/>
                <w:szCs w:val="20"/>
                <w:color w:val="auto"/>
              </w:rPr>
            </w:pPr>
            <w:r>
              <w:rPr>
                <w:rFonts w:ascii="Arial" w:cs="Arial" w:eastAsia="Arial" w:hAnsi="Arial"/>
                <w:sz w:val="14"/>
                <w:szCs w:val="14"/>
                <w:color w:val="auto"/>
              </w:rPr>
              <w:t>Client transfers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30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Net cash flows after client transfers</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(13.9)</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(24.6)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15.4</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98"/>
        </w:trPr>
        <w:tc>
          <w:tcPr>
            <w:tcW w:w="2300" w:type="dxa"/>
            <w:vAlign w:val="bottom"/>
            <w:gridSpan w:val="5"/>
          </w:tcPr>
          <w:p>
            <w:pPr>
              <w:ind w:left="20"/>
              <w:spacing w:after="0"/>
              <w:rPr>
                <w:sz w:val="20"/>
                <w:szCs w:val="20"/>
                <w:color w:val="auto"/>
              </w:rPr>
            </w:pPr>
            <w:r>
              <w:rPr>
                <w:rFonts w:ascii="Arial" w:cs="Arial" w:eastAsia="Arial" w:hAnsi="Arial"/>
                <w:sz w:val="14"/>
                <w:szCs w:val="14"/>
                <w:color w:val="auto"/>
              </w:rPr>
              <w:t>Net market depreciation and losses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rPr>
              <w:t>(54.9)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(217.1)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(85.7)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207"/>
        </w:trPr>
        <w:tc>
          <w:tcPr>
            <w:tcW w:w="21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distributions not reinvested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Change during the period</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(79.7)</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(70.3)</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(457.8)</w:t>
            </w:r>
          </w:p>
        </w:tc>
        <w:tc>
          <w:tcPr>
            <w:tcW w:w="0" w:type="dxa"/>
            <w:vAlign w:val="bottom"/>
          </w:tcPr>
          <w:p>
            <w:pPr>
              <w:spacing w:after="0"/>
              <w:rPr>
                <w:sz w:val="1"/>
                <w:szCs w:val="1"/>
                <w:color w:val="auto"/>
              </w:rPr>
            </w:pPr>
          </w:p>
        </w:tc>
      </w:tr>
      <w:tr>
        <w:trPr>
          <w:trHeight w:val="92"/>
        </w:trPr>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Assets under management at</w:t>
            </w:r>
          </w:p>
        </w:tc>
        <w:tc>
          <w:tcPr>
            <w:tcW w:w="16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400" w:type="dxa"/>
            <w:vAlign w:val="bottom"/>
            <w:vMerge w:val="restart"/>
          </w:tcPr>
          <w:p>
            <w:pPr>
              <w:jc w:val="right"/>
              <w:ind w:right="248"/>
              <w:spacing w:after="0"/>
              <w:rPr>
                <w:sz w:val="20"/>
                <w:szCs w:val="20"/>
                <w:color w:val="auto"/>
              </w:rPr>
            </w:pPr>
            <w:r>
              <w:rPr>
                <w:rFonts w:ascii="Arial" w:cs="Arial" w:eastAsia="Arial" w:hAnsi="Arial"/>
                <w:sz w:val="14"/>
                <w:szCs w:val="14"/>
                <w:color w:val="auto"/>
                <w:w w:val="76"/>
              </w:rPr>
              <w:t>$</w:t>
            </w:r>
          </w:p>
        </w:tc>
        <w:tc>
          <w:tcPr>
            <w:tcW w:w="440" w:type="dxa"/>
            <w:vAlign w:val="bottom"/>
            <w:gridSpan w:val="3"/>
            <w:vMerge w:val="restart"/>
          </w:tcPr>
          <w:p>
            <w:pPr>
              <w:jc w:val="right"/>
              <w:spacing w:after="0"/>
              <w:rPr>
                <w:sz w:val="20"/>
                <w:szCs w:val="20"/>
                <w:color w:val="auto"/>
              </w:rPr>
            </w:pPr>
            <w:r>
              <w:rPr>
                <w:rFonts w:ascii="Arial" w:cs="Arial" w:eastAsia="Arial" w:hAnsi="Arial"/>
                <w:sz w:val="14"/>
                <w:szCs w:val="14"/>
                <w:color w:val="auto"/>
              </w:rPr>
              <w:t>614.5</w:t>
            </w:r>
          </w:p>
        </w:tc>
        <w:tc>
          <w:tcPr>
            <w:tcW w:w="100" w:type="dxa"/>
            <w:vAlign w:val="bottom"/>
            <w:vMerge w:val="restart"/>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306.5</w:t>
            </w:r>
          </w:p>
        </w:tc>
        <w:tc>
          <w:tcPr>
            <w:tcW w:w="120" w:type="dxa"/>
            <w:vAlign w:val="bottom"/>
          </w:tcPr>
          <w:p>
            <w:pPr>
              <w:spacing w:after="0"/>
              <w:rPr>
                <w:sz w:val="12"/>
                <w:szCs w:val="12"/>
                <w:color w:val="auto"/>
              </w:rPr>
            </w:pPr>
          </w:p>
        </w:tc>
        <w:tc>
          <w:tcPr>
            <w:tcW w:w="560" w:type="dxa"/>
            <w:vAlign w:val="bottom"/>
            <w:vMerge w:val="restart"/>
          </w:tcPr>
          <w:p>
            <w:pPr>
              <w:jc w:val="right"/>
              <w:ind w:right="40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309.0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color w:val="auto"/>
              </w:rPr>
              <w:t>1,230.0</w:t>
            </w:r>
          </w:p>
        </w:tc>
        <w:tc>
          <w:tcPr>
            <w:tcW w:w="120" w:type="dxa"/>
            <w:vAlign w:val="bottom"/>
            <w:tcBorders>
              <w:right w:val="single" w:sz="8" w:color="auto"/>
            </w:tcBorders>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614.5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color w:val="auto"/>
              </w:rPr>
              <w:t>306.5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309.0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1,230.0</w:t>
            </w:r>
          </w:p>
        </w:tc>
        <w:tc>
          <w:tcPr>
            <w:tcW w:w="0" w:type="dxa"/>
            <w:vAlign w:val="bottom"/>
          </w:tcPr>
          <w:p>
            <w:pPr>
              <w:spacing w:after="0"/>
              <w:rPr>
                <w:sz w:val="1"/>
                <w:szCs w:val="1"/>
                <w:color w:val="auto"/>
              </w:rPr>
            </w:pPr>
          </w:p>
        </w:tc>
      </w:tr>
      <w:tr>
        <w:trPr>
          <w:trHeight w:val="202"/>
        </w:trPr>
        <w:tc>
          <w:tcPr>
            <w:tcW w:w="1340" w:type="dxa"/>
            <w:vAlign w:val="bottom"/>
          </w:tcPr>
          <w:p>
            <w:pPr>
              <w:ind w:left="20"/>
              <w:spacing w:after="0"/>
              <w:rPr>
                <w:sz w:val="20"/>
                <w:szCs w:val="20"/>
                <w:color w:val="auto"/>
              </w:rPr>
            </w:pPr>
            <w:r>
              <w:rPr>
                <w:rFonts w:ascii="Arial" w:cs="Arial" w:eastAsia="Arial" w:hAnsi="Arial"/>
                <w:sz w:val="14"/>
                <w:szCs w:val="14"/>
                <w:color w:val="auto"/>
              </w:rPr>
              <w:t>September 30, 2022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gridSpan w:val="4"/>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gridSpan w:val="2"/>
            <w:vMerge w:val="continue"/>
          </w:tcPr>
          <w:p>
            <w:pPr>
              <w:spacing w:after="0"/>
              <w:rPr>
                <w:sz w:val="17"/>
                <w:szCs w:val="17"/>
                <w:color w:val="auto"/>
              </w:rPr>
            </w:pPr>
          </w:p>
        </w:tc>
        <w:tc>
          <w:tcPr>
            <w:tcW w:w="92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spacing w:after="0"/>
              <w:rPr>
                <w:sz w:val="24"/>
                <w:szCs w:val="24"/>
                <w:color w:val="auto"/>
              </w:rPr>
            </w:pPr>
          </w:p>
        </w:tc>
        <w:tc>
          <w:tcPr>
            <w:tcW w:w="680" w:type="dxa"/>
            <w:vAlign w:val="bottom"/>
            <w:gridSpan w:val="3"/>
          </w:tcPr>
          <w:p>
            <w:pPr>
              <w:spacing w:after="0"/>
              <w:rPr>
                <w:sz w:val="24"/>
                <w:szCs w:val="24"/>
                <w:color w:val="auto"/>
              </w:rPr>
            </w:pPr>
          </w:p>
        </w:tc>
        <w:tc>
          <w:tcPr>
            <w:tcW w:w="134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134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820" w:type="dxa"/>
            <w:vAlign w:val="bottom"/>
            <w:tcBorders>
              <w:bottom w:val="single" w:sz="8" w:color="auto"/>
            </w:tcBorders>
            <w:gridSpan w:val="11"/>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 9/30/2022</w:t>
            </w: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980" w:type="dxa"/>
            <w:vAlign w:val="bottom"/>
            <w:tcBorders>
              <w:bottom w:val="single" w:sz="8" w:color="auto"/>
            </w:tcBorders>
            <w:gridSpan w:val="13"/>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Nine months ended 9/30/2022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rPr>
              <w:t>Fixed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Multi-</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center"/>
              <w:ind w:right="80"/>
              <w:spacing w:after="0" w:line="145" w:lineRule="exact"/>
              <w:rPr>
                <w:sz w:val="20"/>
                <w:szCs w:val="20"/>
                <w:color w:val="auto"/>
              </w:rPr>
            </w:pPr>
            <w:r>
              <w:rPr>
                <w:rFonts w:ascii="Arial" w:cs="Arial" w:eastAsia="Arial" w:hAnsi="Arial"/>
                <w:sz w:val="14"/>
                <w:szCs w:val="14"/>
                <w:b w:val="1"/>
                <w:bCs w:val="1"/>
                <w:color w:val="auto"/>
              </w:rPr>
              <w:t>including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Multi-</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2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1"/>
                <w:szCs w:val="11"/>
                <w:color w:val="auto"/>
              </w:rPr>
            </w:pPr>
          </w:p>
        </w:tc>
        <w:tc>
          <w:tcPr>
            <w:tcW w:w="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money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13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9"/>
                <w:szCs w:val="9"/>
                <w:b w:val="1"/>
                <w:bCs w:val="1"/>
                <w:color w:val="auto"/>
              </w:rPr>
              <w:t>(3)</w:t>
            </w:r>
          </w:p>
        </w:tc>
        <w:tc>
          <w:tcPr>
            <w:tcW w:w="120" w:type="dxa"/>
            <w:vAlign w:val="bottom"/>
          </w:tcPr>
          <w:p>
            <w:pPr>
              <w:spacing w:after="0"/>
              <w:rPr>
                <w:sz w:val="11"/>
                <w:szCs w:val="11"/>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rPr>
              <w:t>money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34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9"/>
                <w:szCs w:val="9"/>
                <w:b w:val="1"/>
                <w:bCs w:val="1"/>
                <w:color w:val="auto"/>
              </w:rPr>
              <w:t>(3)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jc w:val="center"/>
              <w:ind w:right="10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1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134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Assets under</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righ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management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699.6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395.9</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1,309.7</w:t>
            </w:r>
          </w:p>
        </w:tc>
        <w:tc>
          <w:tcPr>
            <w:tcW w:w="140" w:type="dxa"/>
            <w:vAlign w:val="bottom"/>
            <w:tcBorders>
              <w:right w:val="single" w:sz="8" w:color="auto"/>
            </w:tcBorders>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992.7</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175.7</w:t>
            </w:r>
          </w:p>
        </w:tc>
        <w:tc>
          <w:tcPr>
            <w:tcW w:w="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477.7</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2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ind w:left="28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340" w:type="dxa"/>
            <w:vAlign w:val="bottom"/>
          </w:tcPr>
          <w:p>
            <w:pPr>
              <w:ind w:left="20"/>
              <w:spacing w:after="0" w:line="153" w:lineRule="exact"/>
              <w:rPr>
                <w:sz w:val="20"/>
                <w:szCs w:val="20"/>
                <w:color w:val="auto"/>
              </w:rPr>
            </w:pPr>
            <w:r>
              <w:rPr>
                <w:rFonts w:ascii="Arial" w:cs="Arial" w:eastAsia="Arial" w:hAnsi="Arial"/>
                <w:sz w:val="14"/>
                <w:szCs w:val="14"/>
                <w:color w:val="auto"/>
              </w:rPr>
              <w:t>Net market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40" w:type="dxa"/>
            <w:vAlign w:val="bottom"/>
          </w:tcPr>
          <w:p>
            <w:pPr>
              <w:ind w:left="20"/>
              <w:spacing w:after="0" w:line="146" w:lineRule="exact"/>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restart"/>
          </w:tcPr>
          <w:p>
            <w:pPr>
              <w:jc w:val="center"/>
              <w:ind w:left="28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(55.1)</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color w:val="auto"/>
              </w:rPr>
              <w:t>(286.5)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(413.2)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40" w:type="dxa"/>
            <w:vAlign w:val="bottom"/>
            <w:tcBorders>
              <w:bottom w:val="single" w:sz="8" w:color="CCEEFF"/>
            </w:tcBorders>
          </w:tcPr>
          <w:p>
            <w:pPr>
              <w:ind w:left="20"/>
              <w:spacing w:after="0" w:line="188" w:lineRule="exact"/>
              <w:rPr>
                <w:sz w:val="20"/>
                <w:szCs w:val="20"/>
                <w:color w:val="auto"/>
              </w:rPr>
            </w:pPr>
            <w:r>
              <w:rPr>
                <w:rFonts w:ascii="Arial" w:cs="Arial" w:eastAsia="Arial" w:hAnsi="Arial"/>
                <w:sz w:val="14"/>
                <w:szCs w:val="14"/>
                <w:color w:val="auto"/>
              </w:rPr>
              <w:t>losses</w:t>
            </w:r>
            <w:r>
              <w:rPr>
                <w:rFonts w:ascii="Arial" w:cs="Arial" w:eastAsia="Arial" w:hAnsi="Arial"/>
                <w:sz w:val="18"/>
                <w:szCs w:val="18"/>
                <w:color w:val="auto"/>
                <w:vertAlign w:val="superscript"/>
              </w:rPr>
              <w:t>(4)</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Change during the</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center"/>
              <w:ind w:left="28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(344.9)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(10.3)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3"/>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right w:val="single" w:sz="8" w:color="CCEEFF"/>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40" w:type="dxa"/>
            <w:vAlign w:val="bottom"/>
          </w:tcPr>
          <w:p>
            <w:pPr>
              <w:ind w:left="20"/>
              <w:spacing w:after="0" w:line="133" w:lineRule="exact"/>
              <w:rPr>
                <w:sz w:val="20"/>
                <w:szCs w:val="20"/>
                <w:color w:val="auto"/>
              </w:rPr>
            </w:pPr>
            <w:r>
              <w:rPr>
                <w:rFonts w:ascii="Arial" w:cs="Arial" w:eastAsia="Arial" w:hAnsi="Arial"/>
                <w:sz w:val="14"/>
                <w:szCs w:val="14"/>
                <w:color w:val="auto"/>
              </w:rPr>
              <w:t>Assets under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20"/>
              <w:spacing w:after="0" w:line="149" w:lineRule="exact"/>
              <w:rPr>
                <w:sz w:val="20"/>
                <w:szCs w:val="20"/>
                <w:color w:val="auto"/>
              </w:rPr>
            </w:pPr>
            <w:r>
              <w:rPr>
                <w:rFonts w:ascii="Arial" w:cs="Arial" w:eastAsia="Arial" w:hAnsi="Arial"/>
                <w:sz w:val="14"/>
                <w:szCs w:val="14"/>
                <w:color w:val="auto"/>
              </w:rPr>
              <w:t>management at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tcPr>
          <w:p>
            <w:pPr>
              <w:ind w:left="20"/>
              <w:spacing w:after="0" w:line="145" w:lineRule="exact"/>
              <w:rPr>
                <w:sz w:val="20"/>
                <w:szCs w:val="20"/>
                <w:color w:val="auto"/>
              </w:rPr>
            </w:pPr>
            <w:r>
              <w:rPr>
                <w:rFonts w:ascii="Arial" w:cs="Arial" w:eastAsia="Arial" w:hAnsi="Arial"/>
                <w:sz w:val="14"/>
                <w:szCs w:val="14"/>
                <w:color w:val="auto"/>
              </w:rPr>
              <w:t>September 30,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647.8</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165.4</w:t>
            </w:r>
          </w:p>
        </w:tc>
        <w:tc>
          <w:tcPr>
            <w:tcW w:w="120" w:type="dxa"/>
            <w:vAlign w:val="bottom"/>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374.1</w:t>
            </w:r>
          </w:p>
        </w:tc>
        <w:tc>
          <w:tcPr>
            <w:tcW w:w="100" w:type="dxa"/>
            <w:vAlign w:val="bottom"/>
          </w:tcPr>
          <w:p>
            <w:pPr>
              <w:spacing w:after="0"/>
              <w:rPr>
                <w:sz w:val="12"/>
                <w:szCs w:val="12"/>
                <w:color w:val="auto"/>
              </w:rPr>
            </w:pP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1,230.0</w:t>
            </w:r>
          </w:p>
        </w:tc>
        <w:tc>
          <w:tcPr>
            <w:tcW w:w="140" w:type="dxa"/>
            <w:vAlign w:val="bottom"/>
            <w:tcBorders>
              <w:right w:val="single" w:sz="8" w:color="auto"/>
            </w:tcBorders>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ind w:left="160"/>
              <w:spacing w:after="0"/>
              <w:rPr>
                <w:sz w:val="20"/>
                <w:szCs w:val="20"/>
                <w:color w:val="auto"/>
              </w:rPr>
            </w:pPr>
            <w:r>
              <w:rPr>
                <w:rFonts w:ascii="Arial" w:cs="Arial" w:eastAsia="Arial" w:hAnsi="Arial"/>
                <w:sz w:val="14"/>
                <w:szCs w:val="14"/>
                <w:color w:val="auto"/>
              </w:rPr>
              <w:t>647.8</w:t>
            </w:r>
          </w:p>
        </w:tc>
        <w:tc>
          <w:tcPr>
            <w:tcW w:w="60" w:type="dxa"/>
            <w:vAlign w:val="bottom"/>
            <w:vMerge w:val="restart"/>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165.4</w:t>
            </w:r>
          </w:p>
        </w:tc>
        <w:tc>
          <w:tcPr>
            <w:tcW w:w="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374.1</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1,230.0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4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3"/>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30" w:lineRule="auto"/>
        <w:tabs>
          <w:tab w:leader="none" w:pos="26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fee basis assets under management.</w:t>
      </w:r>
    </w:p>
    <w:p>
      <w:pPr>
        <w:ind w:left="240" w:hanging="232"/>
        <w:spacing w:after="0" w:line="200" w:lineRule="auto"/>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2" w:lineRule="exact"/>
        <w:rPr>
          <w:rFonts w:ascii="Arial" w:cs="Arial" w:eastAsia="Arial" w:hAnsi="Arial"/>
          <w:sz w:val="16"/>
          <w:szCs w:val="16"/>
          <w:i w:val="1"/>
          <w:iCs w:val="1"/>
          <w:color w:val="auto"/>
          <w:vertAlign w:val="superscript"/>
        </w:rPr>
      </w:pPr>
    </w:p>
    <w:p>
      <w:pPr>
        <w:ind w:left="180" w:right="360" w:hanging="172"/>
        <w:spacing w:after="0"/>
        <w:tabs>
          <w:tab w:leader="none" w:pos="157" w:val="left"/>
        </w:tabs>
        <w:numPr>
          <w:ilvl w:val="0"/>
          <w:numId w:val="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w:t>
      </w:r>
    </w:p>
    <w:p>
      <w:pPr>
        <w:ind w:left="240" w:hanging="232"/>
        <w:spacing w:after="0" w:line="200" w:lineRule="auto"/>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24" w:name="page25"/>
    <w:bookmarkEnd w:id="24"/>
    <w:p>
      <w:pPr>
        <w:ind w:right="320"/>
        <w:spacing w:after="0" w:line="287" w:lineRule="auto"/>
        <w:rPr>
          <w:sz w:val="20"/>
          <w:szCs w:val="20"/>
          <w:color w:val="auto"/>
        </w:rPr>
      </w:pPr>
      <w:r>
        <w:rPr>
          <w:rFonts w:ascii="Arial" w:cs="Arial" w:eastAsia="Arial" w:hAnsi="Arial"/>
          <w:sz w:val="18"/>
          <w:szCs w:val="18"/>
          <w:color w:val="auto"/>
        </w:rPr>
        <w:t>Investment advisory clients outside the United States account for 9.0% of our assets under management at September 30, 2022, 9.4% at June 30, 2022, and 9.9% at December 31, 2021.</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6"/>
            <w:shd w:val="clear" w:color="auto" w:fill="CCEEFF"/>
          </w:tcPr>
          <w:p>
            <w:pPr>
              <w:ind w:left="80"/>
              <w:spacing w:after="0"/>
              <w:rPr>
                <w:sz w:val="20"/>
                <w:szCs w:val="20"/>
                <w:color w:val="auto"/>
              </w:rPr>
            </w:pPr>
            <w:r>
              <w:rPr>
                <w:rFonts w:ascii="Arial" w:cs="Arial" w:eastAsia="Arial" w:hAnsi="Arial"/>
                <w:sz w:val="14"/>
                <w:szCs w:val="14"/>
                <w:b w:val="1"/>
                <w:bCs w:val="1"/>
                <w:color w:val="auto"/>
              </w:rPr>
              <w:t>Net cash inflows (outflows)</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tcBorders>
              <w:right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Assets under management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right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4"/>
                <w:szCs w:val="14"/>
                <w:b w:val="1"/>
                <w:bCs w:val="1"/>
                <w:color w:val="auto"/>
              </w:rPr>
              <w:t>12/31/2021</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9/30/2021</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5"/>
                <w:szCs w:val="15"/>
                <w:color w:val="auto"/>
              </w:rPr>
              <w:t>U.S. mutual 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187.1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Collective investment trusts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9" w:lineRule="exact"/>
              <w:rPr>
                <w:sz w:val="20"/>
                <w:szCs w:val="20"/>
                <w:color w:val="auto"/>
              </w:rPr>
            </w:pPr>
            <w:r>
              <w:rPr>
                <w:rFonts w:ascii="Arial" w:cs="Arial" w:eastAsia="Arial" w:hAnsi="Arial"/>
                <w:sz w:val="15"/>
                <w:szCs w:val="15"/>
                <w:color w:val="auto"/>
              </w:rPr>
              <w:t>Subadvised and separately managed</w:t>
            </w:r>
          </w:p>
        </w:tc>
        <w:tc>
          <w:tcPr>
            <w:tcW w:w="160" w:type="dxa"/>
            <w:vAlign w:val="bottom"/>
          </w:tcPr>
          <w:p>
            <w:pPr>
              <w:spacing w:after="0"/>
              <w:rPr>
                <w:sz w:val="12"/>
                <w:szCs w:val="12"/>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12.9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5"/>
                <w:szCs w:val="15"/>
                <w:color w:val="auto"/>
              </w:rPr>
              <w:t>accounts</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391.1</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September 30, 2022, total assets in these solutions were $383 billion, of which $376 billion are included in our reported assets under management in the tables above.</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outside of the firm's complex. As of September 30, 2022, our assets under administration were $206 billion, of which nearly $125 billion are assets we manage.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September 30, 2022. Past performance is no guarantee of future results.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109"/>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72%</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84%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97%</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74%</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36%</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70%</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14%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bl>
    <w:p>
      <w:pPr>
        <w:spacing w:after="0" w:line="9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of September 30, 2022, 73 of 124 (58.9%)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72%</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September 30, 2022 with an overall rating of 4 or 5 stars.</w:t>
      </w:r>
    </w:p>
    <w:p>
      <w:pPr>
        <w:spacing w:after="0" w:line="196"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left="140" w:hanging="132"/>
        <w:spacing w:after="0"/>
        <w:tabs>
          <w:tab w:leader="none" w:pos="140"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Source: © 2022 Morningstar, Inc. All rights reserved. The information contained herein: 1) is proprietary to Morningstar and/or its content providers; 2) may not be copied or</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right="60" w:firstLine="8"/>
        <w:spacing w:after="0" w:line="229" w:lineRule="auto"/>
        <w:tabs>
          <w:tab w:leader="none" w:pos="154" w:val="left"/>
        </w:tabs>
        <w:numPr>
          <w:ilvl w:val="0"/>
          <w:numId w:val="1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$297B for 1 year, $297B for 3 years, $297B for 5 years, and $291B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9" w:lineRule="auto"/>
        <w:tabs>
          <w:tab w:leader="none" w:pos="154"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$281B for 1 year, $279B for 3 years, $278B for 5 years, and $261B for 10 years.</w:t>
      </w:r>
    </w:p>
    <w:p>
      <w:pPr>
        <w:spacing w:after="0" w:line="1" w:lineRule="exact"/>
        <w:rPr>
          <w:rFonts w:ascii="Arial" w:cs="Arial" w:eastAsia="Arial" w:hAnsi="Arial"/>
          <w:sz w:val="9"/>
          <w:szCs w:val="9"/>
          <w:i w:val="1"/>
          <w:iCs w:val="1"/>
          <w:color w:val="auto"/>
        </w:rPr>
      </w:pPr>
    </w:p>
    <w:p>
      <w:pPr>
        <w:ind w:right="280"/>
        <w:spacing w:after="0" w:line="231" w:lineRule="auto"/>
        <w:rPr>
          <w:rFonts w:ascii="Arial" w:cs="Arial" w:eastAsia="Arial" w:hAnsi="Arial"/>
          <w:sz w:val="9"/>
          <w:szCs w:val="9"/>
          <w:i w:val="1"/>
          <w:iCs w:val="1"/>
          <w:color w:val="auto"/>
        </w:rPr>
      </w:pPr>
      <w:r>
        <w:rPr>
          <w:rFonts w:ascii="Arial" w:cs="Arial" w:eastAsia="Arial" w:hAnsi="Arial"/>
          <w:sz w:val="9"/>
          <w:szCs w:val="9"/>
          <w:i w:val="1"/>
          <w:iCs w:val="1"/>
          <w:color w:val="auto"/>
        </w:rPr>
        <w:t>(5)</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$1,081B for 1 year, $1,077B for 3 years, $1,065B for 5 years, and $1,033B for 10 years.</w:t>
      </w:r>
    </w:p>
    <w:p>
      <w:pPr>
        <w:spacing w:after="0" w:line="1" w:lineRule="exact"/>
        <w:rPr>
          <w:rFonts w:ascii="Arial" w:cs="Arial" w:eastAsia="Arial" w:hAnsi="Arial"/>
          <w:sz w:val="9"/>
          <w:szCs w:val="9"/>
          <w:i w:val="1"/>
          <w:iCs w:val="1"/>
          <w:color w:val="auto"/>
        </w:rPr>
      </w:pPr>
    </w:p>
    <w:p>
      <w:pPr>
        <w:ind w:right="100" w:firstLine="8"/>
        <w:spacing w:after="0" w:line="241" w:lineRule="auto"/>
        <w:tabs>
          <w:tab w:leader="none" w:pos="154"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nine months ended September 30, 2022 and 2021 on a U.S. GAAP basis as well as a non-GAAP basis. The 2022 periods reflect the operating results of OHA, which was acquired at the end of 2021. The non-GAAP basis adjusts for the impact of our consolidated T. Rowe Price investment products, the impact of market movements on the supplemental savings plan liability and related economic hedges, investment income related to certain other investments, acquisition-related amortization and costs, and certain nonrecurring charges and gains.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Q3 2022 vs. Q3 2021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2022 vs. YTD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right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U.S. GAAP basis</w:t>
            </w:r>
          </w:p>
        </w:tc>
        <w:tc>
          <w:tcPr>
            <w:tcW w:w="10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1,442.0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(371.4)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4,600.8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5,288.4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(687.6)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line="217"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Net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(365.9)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5,710.2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(746.0)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996.2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2,847.5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(726.9)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line="217"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Net income attributable to</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384.4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777.2</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(392.8)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1,291.9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2,342.3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(1,050.4)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T. Rowe Price</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52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Weighted average common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229.1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229.4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dilution</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4"/>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(924.8)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line="217"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Net income attributable to</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767.6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1,465.2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2,258.6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(793.4)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T. Rowe Price</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52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6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2080" w:type="dxa"/>
            <w:vAlign w:val="bottom"/>
            <w:tcBorders>
              <w:top w:val="single" w:sz="8" w:color="auto"/>
            </w:tcBorders>
            <w:gridSpan w:val="3"/>
          </w:tcPr>
          <w:p>
            <w:pPr>
              <w:spacing w:after="0" w:line="162" w:lineRule="exact"/>
              <w:rPr>
                <w:sz w:val="20"/>
                <w:szCs w:val="20"/>
                <w:color w:val="auto"/>
              </w:rPr>
            </w:pPr>
            <w:r>
              <w:rPr>
                <w:rFonts w:ascii="Arial" w:cs="Arial" w:eastAsia="Arial" w:hAnsi="Arial"/>
                <w:sz w:val="16"/>
                <w:szCs w:val="16"/>
                <w:color w:val="auto"/>
              </w:rPr>
              <w:t>Average assets under</w:t>
            </w:r>
          </w:p>
        </w:tc>
        <w:tc>
          <w:tcPr>
            <w:tcW w:w="4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1,347.5</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1,648.7</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(301.2)</w:t>
            </w:r>
          </w:p>
        </w:tc>
        <w:tc>
          <w:tcPr>
            <w:tcW w:w="10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top w:val="single" w:sz="8" w:color="CCEEFF"/>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1,437.1</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1,581.3</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management</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Ending assets under management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is not meaningful (n/m).</w:t>
      </w:r>
    </w:p>
    <w:p>
      <w:pPr>
        <w:spacing w:after="0" w:line="26"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September 30,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net revenues were $1,588.2 million in the third quarter of 2022 compared with $1,954.1 million in the third quarter of 2021.</w:t>
      </w:r>
    </w:p>
    <w:p>
      <w:pPr>
        <w:spacing w:after="0" w:line="2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Capital allocation income will fluctuate quarter-to-quarter to reflect the adjustment to accrued carried interest for the change in value of the affiliated funds assuming the funds’ underlying investments were realized as of September 30, 2022, regardless of whether the funds’ underlying investments have been realized.</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$1,013.6 million in the third quarter of 2022 compared with $957.9 million in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2021. On a non-GAAP basis, operating expenses were $1,028.2 million, a 7.4% increase over the comparable 2021 period. Our operating expenses in the third quarter of 2022 include OHA's operating expenses, including the accrued carried interest compensation associated with the capital allocation-based income. OHA's operating expenses primarily impact compensation expense; technology, occupancy, and facility costs; and general, administrative and other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7" w:name="page28"/>
    <w:bookmarkEnd w:id="27"/>
    <w:p>
      <w:pPr>
        <w:ind w:right="20"/>
        <w:spacing w:after="0" w:line="262" w:lineRule="auto"/>
        <w:rPr>
          <w:sz w:val="20"/>
          <w:szCs w:val="20"/>
          <w:color w:val="auto"/>
        </w:rPr>
      </w:pPr>
      <w:r>
        <w:rPr>
          <w:rFonts w:ascii="Arial" w:cs="Arial" w:eastAsia="Arial" w:hAnsi="Arial"/>
          <w:sz w:val="18"/>
          <w:szCs w:val="18"/>
          <w:color w:val="auto"/>
        </w:rPr>
        <w:t>In comparison to the third quarter of 2021, the increase in our non-GAAP operating expenses was primarily attributable to higher salaries and benefits, including higher non-cash stock-based compensation expense; the addition of OHA operating expenses; and higher costs related to the ongoing investment in our technology capabilities. These increases were partially offset by lower distribution and servicing costs due to lower average assets under management and a lower interim bonus accrual.</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2022 was 36.2%, compared to 51.0% earned in the 2021 quarter. The decrease in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margin for the third quarter of 2022 compared to the 2021 period was primarily driven by the decrease in investment advisory fee revenue and the increases in operating expenses, primarily due to the increase in the compensation expenses, in the third quarter of 2022. Further, the impacts of capital allocation-based income and related compensation are reflected in the operating margin for the third quarter of 2022.</w:t>
      </w:r>
    </w:p>
    <w:p>
      <w:pPr>
        <w:spacing w:after="0" w:line="20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$1.66 for the third quarter of 2022 as compared to $3.31 for the third quarter of 2021.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operating income and by higher net investment losses recognized in the third quarter of 2022 as compared to the third quarter of 2021, as market returns in the third quarter of 2022 were weaker than market returns in 2021.</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a non-GAAP basis, diluted earnings per share was $1.86 for the third quarter of 2022 as compared to $ 3.27 for the third quarter of 2021. Similar to our U.S. GAAP diluted earnings per share, the decrease is largely attributable to lower operating income compared to the 2021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September 30, 2022</w:t>
      </w:r>
    </w:p>
    <w:p>
      <w:pPr>
        <w:spacing w:after="0" w:line="27"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net revenues were $4,964.2 million in the nine months ended September 30, 2022 compared with $5,710.2 million in the nine months ended September 30, 2021.</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$2,843.6 million in the nine months ended September 30, 2022 compared with $2,862.7 million in the 2021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 a non-GAAP basis, our operating expenses for the nine months ended September 30, 2022 increased 7.7% to $3,014.6 million compared to the 2021 period. Our operating expenses for the nine months ended September 30, 2022 include OHA's operating expenses, including the accrued carried interest compensation associated with the capital allocation-based income. OHA's operating expenses primarily impact compensation expense; technology, occupancy, and facility costs; and general, administrative and other costs.</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increase in our non-GAAP operating expenses for the nine months ended September 30, 2022 compared with the 2021 period was primarily due to higher salaries and benefits, including non-cash stock-based compensation; the addition of OHA operating expenses; and higher costs related to the ongoing investment in our technology capabilities. These increases were mostly offset by lower distribution and servicing costs due to lower average assets under management and a lower interim bonus accrual.</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continue to expect our forecasted 2022 non-GAAP operating expenses growth to be in the range of 4% to 7%. The range reflects lower market-related expenses and continued efforts to manage expense growth. The addition of OHA's operating expenses, since the acquisition at end of 2021, is driving nearly all of the 2022 forecasted expense growth. We could elect to further adjust our expense growth should unforeseen circumstances arise, including significant market movements.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2022 was 42.7%, compared to 49.9% earned in the 2021 period.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for the nine months ended September 30, 2022 compared to the 2021 period was primarily driven by a larger decrease in investment advisory fee revenue as compared to the decrease in operating expenses, primarily the decrease in the supplemental savings plan liability, for the nine months ended September 30, 2022. Further, the impacts of capital allocation-based income and carried interest-related compensation are reflected in the operating margin for the nine months ended September 30, 2022.</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$ 5.54 for the nine months ended September 30, 2022 as compared to $9.94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The 44.3% decrease was primarily driven by net investment losses recognized in the nine months ended September 30, 2022, as compared to net investment gains in the nine months ended September 30, 2021, as market returns in the third quarter of 2022 were weaker than the market returns in 2021, and by lower operating income.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t>On a non-GAAP basis, diluted earnings per share was $6.28 for the nine months ended September 30, 2022 as compared to $9.59 for the 2021 period. The decrease in adjusted diluted earnings per share was primarily due to lower operating income compared to 2021 period and net investment losses on our cash investment strategy recognized in the nine months ended September 30, 2022 as compared to net investment gains in the nine months ended September 30, 2021. See our non-GAAP reconciliations later in this Management’s Discussion and Analysis section.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Q3 2022 vs. Q3 2021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2022 vs. YTD 2021</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841.7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1,125.5</w:t>
            </w:r>
          </w:p>
        </w:tc>
        <w:tc>
          <w:tcPr>
            <w:tcW w:w="10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(283.8)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2,694.4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(578.8)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Subadvised funds, separate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accounts, collective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trusts, and other investment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600.3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1,906.4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4,600.8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(687.6)</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Administrative, distribution,</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servicing fees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1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372.7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Capital allocation-based</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income</w:t>
            </w:r>
            <w:r>
              <w:rPr>
                <w:rFonts w:ascii="Arial" w:cs="Arial" w:eastAsia="Arial" w:hAnsi="Arial"/>
                <w:sz w:val="21"/>
                <w:szCs w:val="21"/>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1,588.2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1,954.1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4,964.2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(746.0)</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for capital allocation-based income is not meaningful (n/m)</w:t>
      </w:r>
      <w:r>
        <w:rPr>
          <w:rFonts w:ascii="Arial" w:cs="Arial" w:eastAsia="Arial" w:hAnsi="Arial"/>
          <w:sz w:val="17"/>
          <w:szCs w:val="17"/>
          <w:i w:val="1"/>
          <w:iCs w:val="1"/>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 advisory revenues earned in the third quarter of 2022 decreased over the comparable 2021 quarter as average assets under management decreased $301.2 billion, or 18.3%, to $1,347.5 billion. For the nine months ended September 30, 2022, investment advisory revenues decreased over the comparable 2021 period as average assets under management decreased $144.2 billion, or 9.1%, to $1,437.1 billion.</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third quarter of 2022, we did not voluntarily waive money market investment advisory fees. For the nine months ended September 30, 2022, we voluntarily waived $9.3 million, or less than 1%, of our investment advisory fees. At September 30, 2022, combined net assets of the investment portfolios in which we waived fees for the nine months ended September 30, 2022 were $23.9 billion. For the nine months ended September 30, 2021, we waived money market investment advisory fees of $43.0 million.</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total average annualized effective fee rate earned during the third quarter of 2022 was 42.5 basis points, compared with 43.6 basis points earned during the third quarter of 2021 and 42.7 basis points earned during the second quarter of 2022. The total average annualized effective fee rate earned during the nine months ended September 30, 2022 was 42.8 basis points, compared with 44.7 basis points during the nine months ended September 30, 2021. The total average annualized effective fee rate has declined in comparison to the second quarter of 2022 and the third quarter and year-to-date periods of 2021 due to a mix shift toward lower fee asset classes and vehicles as a result of market declines and net flows, partially offset slightly by a reduction in money market fee waivers. Further, in comparison to third quarter and year-to-date period of 2021, the annualized effective fee rate was also impacted by a higher-than-average effective fee rate earned on the firm's alternative asset class.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Investment advisory revenues earned in the third quarter of 2022 from our U.S. mutual funds were $841.7 million, a decrease of 25.2% from the comparable 2021 quarter. Average assets under management in these funds for the third quarter of 2022 decreased 23.1% from the 2021 quarter to $ 677.6 billion. The annualized effective fee rate of 49.3 basis points for the third quarter of 2022 decreased from 50.7 basis points in the third quarter 2021 primarily due to a mix shift towards lower fee asset and share classes as a result of market declines and net flows, including client transfers to the firm’s collective investment trusts.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9" w:name="page30"/>
    <w:bookmarkEnd w:id="29"/>
    <w:p>
      <w:pPr>
        <w:ind w:right="80"/>
        <w:spacing w:after="0" w:line="257" w:lineRule="auto"/>
        <w:rPr>
          <w:sz w:val="20"/>
          <w:szCs w:val="20"/>
          <w:color w:val="auto"/>
        </w:rPr>
      </w:pPr>
      <w:r>
        <w:rPr>
          <w:rFonts w:ascii="Arial" w:cs="Arial" w:eastAsia="Arial" w:hAnsi="Arial"/>
          <w:sz w:val="18"/>
          <w:szCs w:val="18"/>
          <w:color w:val="auto"/>
        </w:rPr>
        <w:t>For the nine months ended September 30, 2022, investment advisory revenues earned from the firm's U.S. mutual funds were $2,694.4 million, a decrease of 17.7% from the 2021 period. Average assets under management in these funds for the nine months ended September 30, 2022 decreased 14.1% from the 2021 period to $728.5 billion. The annualized effective fee rate of 49.4 basis points for the nine months ended September 30, 2022 decreased from 51.6 basis points in the nine months ended September 30, 2021, primarily due to the July 2021 fee reductions in our target-date products and a mix shift towards lower fee asset classes as a result of market declines and net flows, partially offset by a reduction in money market fee waivers.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funds, separate accounts, collective investment trusts and other investment products (other portfolios)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 advisory revenues earned in the third quarter of 2022 from these other portfolios were $600.3 million, a decrease of 12.7% from the comparable 2021 quarter. Average assets under management for these products decreased 12.7% from the 2021 quarter to $669.9 billion. Investment advisory revenues and average assets under management in Q2 2022 reflect OHA's revenue and related average assets under management. The annualized effective fee rate of 35.6 basis points for the third quarter of 2022 increased from 35.5 basis points in the third quarter of 2021. The increase was primarily due to the higher-than-average fee rate earned on our alternative asset class, mostly offset by a mix shift towards lower fee asset classes as a result of market declines and net flows, including client transfers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2022, investment advisory revenues earned from subadvised and separate accounts, as well as collective investment trusts and other investment products, were $1,906.4 million, a decrease of 5.4% from the 2021 period. Average assets under management for these products decreased 3.4% from the 2021 period to $708.6 billion. The annualized effective fee rate of 36.0 basis points for the nine months ended September 30, 2022 decreased from 36.7 basis points for the nine months ended September 30, 2021. Our annualized effective fee rate for our other portfolios decreased primarily due to the July 2021 fee reductions in our target-date products and a mix shift towards lower fee asset classes and vehicles as a result of market declines and net flows. These fee pressures were partially offset by the higher-than-average fee rate earned on our alternative asset class.</w:t>
      </w:r>
    </w:p>
    <w:p>
      <w:pPr>
        <w:spacing w:after="0" w:line="210"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i w:val="1"/>
          <w:iCs w:val="1"/>
          <w:u w:val="single" w:color="auto"/>
          <w:color w:val="auto"/>
        </w:rPr>
        <w:t>Administrative, distribution, and servicing fees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2022 were $145.1 million, an increase of $ 4.4 million, or 3.1%,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2021 quarter. For the nine months ended September 30, 2022, these fees were $444.2 million, an increase of $22.4 million, or 5.3%, from the 2021 period. The increase in both periods was primarily due to higher transfer agent servicing activities provided to the 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Rowe Price mutual funds for retail shareholders and higher trustee services revenue. These increases were partially offset by lower 12b-1 revenue earned primarily on the Advisor and R share classes of the U.S. mutual funds as a result of lower assets under management in these share classes. The decrease in 12b-1 revenue is offset entirely by a decrease in the costs paid to third-party intermediaries that source these assets and are reported in distribution and servicing expense.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2022 increased net revenues by $1.1 million. The third quarter of 2022 amount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represents an increase of $14.3 million in accrued carried interest from investments in affiliated investment funds, substantially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million in non-cash amortization associated with the difference in the closing date fair value and carrying value of investments acquired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OHA acquisition.</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nine months ended September 30, 2022, capital allocation-based income reduced net revenues by $80.8 million. The nine months ended September 30, 2022 amount represents reductions of $41.1 million in accrued carried interest from investments in affiliated investment funds and $39.7 million in non-cash amortization associated with the difference in the closing date fair value and carrying value of investments acquired as part of the OHA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 Rowe Price investment products. The corresponding expenses recognized by these products, and consolidated in our financial statements, were also eliminated from operating expenses. For the third quarter, we eliminated net revenue of $.5 million in 2022 and $1.6 million in 2021. For the nine months ended September 30, we eliminated net revenue of $2.0 million in 2022 and $4.0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Q3 2022 vs. Q3 2021</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YTD 2022 vs. YTD 2021</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3"/>
        </w:trPr>
        <w:tc>
          <w:tcPr>
            <w:tcW w:w="28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Compensation and related costs,</w:t>
            </w: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excluding acquisition-related retention</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agreements, capital allocation-based</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income compensation,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595.6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564.9</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1,692.3</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savings plan</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retention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ind w:left="68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agreements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Capital allocation-based income</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line="216"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ind w:left="68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compensation and related costs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Product and recordkeeping related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7.5 %</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50.3 %</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costs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Technology, occupancy, and facility</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administrative,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37.0 %</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Compensation and related costs, excluding non-cash amortization of certain acquisition-related retention arrangements, capital allocation-based income compensation, and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were $595.6 million in the third quarter of 2022, an increase of $30.7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5.4%, compared to the 2021 quarter. For the nine months ended September 30, 2022, these costs were $1,781.3 million, an increase of $89.0 million, or 5.3%, compared to the 2021 period. Both the third quarter and nine months ended September 30, 2022 periods include OHA’s compensation and related costs as well as carried interest-related compensation. The increase in both the third quarter and nine months ended September 30, 2022 periods were primarily due to an increase in base salaries in January and July 2022 and the related benefits, including non-cash stock-based compensation expense, partially offset by a lower interim bonus accrual. The firm employed 7,990 associates at September 30, 2022, an increase of 6.1% from the end of 2021.</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$69.9 million for the third quarter of 2022, a decrease of 27.2% from the $96.0 million recognized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2021 quarter. For the nine months ended September 30, 2022, these costs were $231.5 million, a decrease of 15.6% over the $274.3 million recognized in the comparable 2021 period. The decrease in both periods was primarily driven by lower average assets under management in certain share classes of the U.S. mutual funds that earn 12(b)-1 fees. Additionally, lower AUM in our international products, including our Japanese Investment Trusts (ITMs), and certain SICAV share classes contributed to lower distribution costs.</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costs in this expense category primarily include amounts paid to third-party intermediaries that source the assets of certain share classes of our U.S. mutual funds and our international products, such as our Japanese ITMs and SICAVs. These costs are offset entirely by the distribution revenue we earn and report in net revenues: 12b-1 revenue recognized in administrative, distribution, and servicing fees for the Advisor and R share classes of the U.S. mutual funds and investment advisory fee revenue for our international products.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$24.3 million in the third quarter of 2022, an increase of $2.2 million, or 10.0%, compared to the $22.1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recognized in the 2021 quarter. For the nine months ended September 30, 2022, these costs were $69.1 million, an increase of $7.7 million, or 12.5%, compared to the 2021 period. The increase in both periods was driven primarily by an increase in sponsorships and promotion-related costs. Increased agency costs also contributed to the higher advertising and promotion costs for the nine months ended September 30, 2022 as compared to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$75.6 million in the third quarter of 2022, an increase of $5.3 million, or 7.5%,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$70.3 million in the 2021 quarter. For the nine months ended September 30, 2022, these costs were $232.3 million, an increase of $77.7 million, or 50.3%, compared to the 2021 period. Approximately 60% of the increase in the third quarter and more than 85% of the increase for the year-to-date 2022 period was driven by the recordkeeping costs incurred as part of our expanded relationship with Fidelity National Information Services, Inc. (“FIS”) that began in August 2021. The costs incurred from the FIS arrangement were partially offset by a reduction in compensation expenses as a result of the approximately 800 associates who transitioned to FIS in August 2021.</w:t>
      </w:r>
    </w:p>
    <w:p>
      <w:pPr>
        <w:spacing w:after="0" w:line="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$143.6 million in the third quarter of 2022, an increase of $20.5 million, or 16.7%,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$123.1 million recognized in the 2021 quarter. For the nine months ended September 30, 2022, these costs were $411.8 million, an increase of $52.1 million, or 14.5%, compared to the 2021 period. The increase in both periods was primarily due to the ongoing investment in our technology capabilities, including hosted solution licenses, depreciation, and increased office facility costs, primarily due to higher rent expense and other facility-related costs.</w:t>
      </w: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$112.1 million in the third quarter of 2022, an increase of $30.3 million, or 37.0%,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$81.8 million recognized in the 2021 quarter. The increase was primarily related to higher travel and information services expenses as well as certain nonrecurring costs incurred during the 2022 quarter. The 2022 quarter also includes a net favorable impact of $2.8 million as the $27.1 million in acquisition-related amortization was more than offset by the $29.9 million reduction in the fair value of the contingent consideration liability.</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nine months ended September 30, 2022, these costs were $265.8 million, an increase of $5.0 million, or 1.9%, compared to the 2021 period. The 2022 period includes a net favorable impact of $44.3 million related to our acquisition of OHA as $81.4 million in acquisition-related amortization and other costs were more than offset by the $ 125.7 million favorable change in fair value of the contingent consideration liability. Partially offsetting this favorable impact were higher net business related expenses including higher travel and information services as well as certain nonrecurring costs incurred during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Non-operating loss for the third quarter of 2022 was $82.8 million as compared to non-operating loss of $11.5 million in the 2021 quarter. For the nine months ended September 30, 2022, we recognized net non-operating losses of $561.2 million, compared with net non-operating income of $234.5 million in the comparable 2021 period. The following table details the components of non-operating income (loss) for both the third quarter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3"/>
        </w:trPr>
        <w:tc>
          <w:tcPr>
            <w:tcW w:w="6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4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56"/>
        </w:trPr>
        <w:tc>
          <w:tcPr>
            <w:tcW w:w="6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net gains (losses) from non-consolidated T. Rowe Price investment</w:t>
            </w:r>
          </w:p>
        </w:tc>
        <w:tc>
          <w:tcPr>
            <w:tcW w:w="2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(306.2)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117.5</w:t>
            </w: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w:t>
            </w: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165.0</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including foreign currency gains and losses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234.5</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investment portfolio valuations at the end of the third quarter 2022 were negatively impacted by market declines caused by the continued elevated inflation and more aggressive pace of the Federal Reserve interest rate increases.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 Rowe Price investment products and not just the net investment income related to our ownership interest in the products. The table below shows the impact that the consolidated T. Rowe Price investment products had on the individual lines of our unaudited condensed consolidated statements of income and the portion attributable to our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our interest in the consolidated 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investment products</w:t>
            </w: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72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(unrelated third-party investors)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reconciles the statutory federal income tax rate to our effective tax rate on a U.S. GAAP basis for both the three- and nine-months ended September 30,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shd w:val="clear" w:color="auto" w:fill="CCEEFF"/>
          </w:tcPr>
          <w:p>
            <w:pPr>
              <w:spacing w:after="0"/>
              <w:rPr>
                <w:sz w:val="17"/>
                <w:szCs w:val="17"/>
                <w:color w:val="auto"/>
              </w:rPr>
            </w:pPr>
          </w:p>
        </w:tc>
        <w:tc>
          <w:tcPr>
            <w:tcW w:w="3260" w:type="dxa"/>
            <w:vAlign w:val="bottom"/>
            <w:gridSpan w:val="4"/>
            <w:shd w:val="clear" w:color="auto" w:fill="CCEEFF"/>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3"/>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32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9/30/2021</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20" w:type="dxa"/>
            <w:vAlign w:val="bottom"/>
          </w:tcPr>
          <w:p>
            <w:pPr>
              <w:jc w:val="right"/>
              <w:ind w:right="15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3.8</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losses attributable to redeemable non-controlling interests</w:t>
            </w:r>
          </w:p>
        </w:tc>
        <w:tc>
          <w:tcPr>
            <w:tcW w:w="15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29"/>
        </w:trPr>
        <w:tc>
          <w:tcPr>
            <w:tcW w:w="532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(1.1)</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25.6 %</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23.3 %</w:t>
            </w:r>
          </w:p>
        </w:tc>
      </w:tr>
      <w:tr>
        <w:trPr>
          <w:trHeight w:val="21"/>
        </w:trPr>
        <w:tc>
          <w:tcPr>
            <w:tcW w:w="5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U.S. GAAP effective tax rate for the third quarter of 2022 was 27.2%, compared with 23.1% in the 2021 quarter. For the nine months ended September 30, 2022, our U.S. GAAP effective tax rate was 25.6%, compared with 23.3% in the 2021 period. The increase in the U.S. GAAP effective tax rate in 2022 from 2021 was primarily due to net losses attributable to redeemable non-controlling interests held in our consolidated investment products and lower discrete tax benefits associated with the settlement of stock-based awards. These increases were partially offset by the favorable impacts of the reduction in the effective state tax rate due to the full phase-in of the 2018 Maryland state tax legislation and the remeasurement of the contingent consideration liability.</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the net income attributable to the redeemable non-controlling interests. Our non-GAAP effective tax rate was 24.4% in the third quarter of 2022 compared with 23.1% in third quarter of 2021 and 24.2% for the nine months ended September 30, 2022 compared to 23.4% in the 2021 period. The increase in the non-GAAP effective tax rates for both the third quarter of 2022 and the nine months ended September 30, 2022 were primarily attributable to lower discrete tax benefits associated with the settlement of stock-based awards compared to the same periods of 2021. The non-GAAP effective tax rates for the 2022 quarter and year-to-date periods continue to be favorably impacted by the complete phase-in benefit of the 2018 Maryland state tax legislation.</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as well as the remeasurement of the contingent consideration liability. Our U.S. GAAP rate will also be impacted by changes in the proportion of net income that is attributable to our redeemable non-controlling interests and non-controlling interests reflected in permanent equity.</w:t>
      </w:r>
    </w:p>
    <w:p>
      <w:pPr>
        <w:spacing w:after="0" w:line="2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We currently estimate that our effective tax rate for the full year 2022, on a U.S. GAAP basis, will be in the range of 24% to 27%. On a non-GAAP basis, the range is </w:t>
      </w:r>
      <w:r>
        <w:rPr>
          <w:rFonts w:ascii="Arial" w:cs="Arial" w:eastAsia="Arial" w:hAnsi="Arial"/>
          <w:sz w:val="17"/>
          <w:szCs w:val="17"/>
          <w:color w:val="auto"/>
        </w:rPr>
        <w:t>24% to 26%.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right="3180"/>
        <w:spacing w:after="0" w:line="287" w:lineRule="auto"/>
        <w:rPr>
          <w:sz w:val="20"/>
          <w:szCs w:val="20"/>
          <w:color w:val="auto"/>
        </w:rPr>
      </w:pPr>
      <w:r>
        <w:rPr>
          <w:rFonts w:ascii="Arial" w:cs="Arial" w:eastAsia="Arial" w:hAnsi="Arial"/>
          <w:sz w:val="18"/>
          <w:szCs w:val="18"/>
          <w:color w:val="auto"/>
        </w:rPr>
        <w:t>The following schedules reconcile certain U.S. GAAP financial measures for the three months ended September 30, 2022 and 2021.</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9/30/2022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Revenues and Compensation and related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9/30/2021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998.7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 September 30, 2022 and 2021.</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Revenues and Compensation and related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2,862.7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2,847.5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2,342.3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2,916.2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686.1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2,258.6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6" w:name="page37"/>
    <w:bookmarkEnd w:id="36"/>
    <w:p>
      <w:pPr>
        <w:ind w:left="340" w:hanging="332"/>
        <w:spacing w:after="0" w:line="241"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our core operating results and to increase comparability period to period.</w:t>
      </w:r>
    </w:p>
    <w:p>
      <w:pPr>
        <w:spacing w:after="0" w:line="217" w:lineRule="exact"/>
        <w:rPr>
          <w:rFonts w:ascii="Arial" w:cs="Arial" w:eastAsia="Arial" w:hAnsi="Arial"/>
          <w:sz w:val="22"/>
          <w:szCs w:val="22"/>
          <w:color w:val="auto"/>
          <w:vertAlign w:val="superscript"/>
        </w:rPr>
      </w:pPr>
    </w:p>
    <w:p>
      <w:pPr>
        <w:ind w:left="340" w:right="20" w:hanging="332"/>
        <w:spacing w:after="0" w:line="235" w:lineRule="auto"/>
        <w:tabs>
          <w:tab w:leader="none" w:pos="322"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the transactions costs incurred related to the acquisition of OHA. Management believes adjusting for these charges helps the reader's ability to understand our core operating results and to increase comparability period to period.</w:t>
      </w:r>
    </w:p>
    <w:p>
      <w:pPr>
        <w:spacing w:after="0" w:line="217" w:lineRule="exact"/>
        <w:rPr>
          <w:rFonts w:ascii="Arial" w:cs="Arial" w:eastAsia="Arial" w:hAnsi="Arial"/>
          <w:sz w:val="21"/>
          <w:szCs w:val="21"/>
          <w:color w:val="auto"/>
          <w:vertAlign w:val="superscript"/>
        </w:rPr>
      </w:pPr>
    </w:p>
    <w:p>
      <w:pPr>
        <w:ind w:left="34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15" w:lineRule="exact"/>
        <w:rPr>
          <w:rFonts w:ascii="Arial" w:cs="Arial" w:eastAsia="Arial" w:hAnsi="Arial"/>
          <w:sz w:val="22"/>
          <w:szCs w:val="22"/>
          <w:color w:val="auto"/>
          <w:vertAlign w:val="superscript"/>
        </w:rPr>
      </w:pPr>
    </w:p>
    <w:p>
      <w:pPr>
        <w:ind w:left="340" w:right="10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our U.S. GAAP consolidated statements of income. Specifically, we add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our core operating results.</w:t>
      </w:r>
    </w:p>
    <w:p>
      <w:pPr>
        <w:spacing w:after="0" w:line="215" w:lineRule="exact"/>
        <w:rPr>
          <w:rFonts w:ascii="Arial" w:cs="Arial" w:eastAsia="Arial" w:hAnsi="Arial"/>
          <w:sz w:val="22"/>
          <w:szCs w:val="22"/>
          <w:color w:val="auto"/>
          <w:vertAlign w:val="superscript"/>
        </w:rPr>
      </w:pPr>
    </w:p>
    <w:p>
      <w:pPr>
        <w:ind w:left="340" w:right="4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our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228" w:lineRule="exact"/>
        <w:rPr>
          <w:rFonts w:ascii="Arial" w:cs="Arial" w:eastAsia="Arial" w:hAnsi="Arial"/>
          <w:sz w:val="22"/>
          <w:szCs w:val="22"/>
          <w:color w:val="auto"/>
          <w:vertAlign w:val="superscript"/>
        </w:rPr>
      </w:pPr>
    </w:p>
    <w:p>
      <w:pPr>
        <w:jc w:val="both"/>
        <w:ind w:left="340" w:right="100" w:hanging="332"/>
        <w:spacing w:after="0" w:line="234"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24.2% for 2022 and 23.4% for 2021. As such, the non-GAAP effective tax rate for three months ended September 30, 2022 and 2021 was 24.4% and 23.1%, respectively. We estimate that our effective tax rate for the full-year 2022 on a non-GAAP basis will be in the range of 24% to 26%.</w:t>
      </w:r>
    </w:p>
    <w:p>
      <w:pPr>
        <w:spacing w:after="0" w:line="231" w:lineRule="exact"/>
        <w:rPr>
          <w:rFonts w:ascii="Arial" w:cs="Arial" w:eastAsia="Arial" w:hAnsi="Arial"/>
          <w:sz w:val="22"/>
          <w:szCs w:val="22"/>
          <w:color w:val="auto"/>
          <w:vertAlign w:val="superscript"/>
        </w:rPr>
      </w:pPr>
    </w:p>
    <w:p>
      <w:pPr>
        <w:ind w:left="340" w:right="20" w:hanging="332"/>
        <w:spacing w:after="0" w:line="229"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jc w:val="right"/>
              <w:ind w:right="40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9/30/2022</w:t>
            </w: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9/30/2022</w:t>
            </w: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1,465.2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2,258.6</w:t>
            </w:r>
          </w:p>
        </w:tc>
        <w:tc>
          <w:tcPr>
            <w:tcW w:w="0" w:type="dxa"/>
            <w:vAlign w:val="bottom"/>
          </w:tcPr>
          <w:p>
            <w:pPr>
              <w:spacing w:after="0"/>
              <w:rPr>
                <w:sz w:val="1"/>
                <w:szCs w:val="1"/>
                <w:color w:val="auto"/>
              </w:rPr>
            </w:pPr>
          </w:p>
        </w:tc>
      </w:tr>
      <w:tr>
        <w:trPr>
          <w:trHeight w:val="162"/>
        </w:trPr>
        <w:tc>
          <w:tcPr>
            <w:tcW w:w="5960" w:type="dxa"/>
            <w:vAlign w:val="bottom"/>
          </w:tcPr>
          <w:p>
            <w:pPr>
              <w:ind w:left="20"/>
              <w:spacing w:after="0" w:line="162" w:lineRule="exact"/>
              <w:rPr>
                <w:sz w:val="20"/>
                <w:szCs w:val="20"/>
                <w:color w:val="auto"/>
              </w:rPr>
            </w:pPr>
            <w:r>
              <w:rPr>
                <w:rFonts w:ascii="Arial" w:cs="Arial" w:eastAsia="Arial" w:hAnsi="Arial"/>
                <w:sz w:val="16"/>
                <w:szCs w:val="16"/>
                <w:color w:val="auto"/>
              </w:rPr>
              <w:t>Less: adjusted net income allocated to outstanding restricted stock and stock</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4"/>
                <w:szCs w:val="14"/>
                <w:color w:val="auto"/>
              </w:rPr>
            </w:pP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34.1</w:t>
            </w:r>
          </w:p>
        </w:tc>
        <w:tc>
          <w:tcPr>
            <w:tcW w:w="30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 holders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1,431.1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2,199.1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9/30/2022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2,077.2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and asset allocation products. Cash and discretionary investments experienced market losses of $ 3.7 million and $58.1 million in the three- and nine-months ended September 30, 2022 compared to market losses of $3.0 million and $28.5 million of market gains in the three- and nine-months ended September 30, 2021. Our subsidiaries outside the United States held cash and discretionary investments of $915.5 million at September 30, 2022 and $764.2 million at December 31, 2021. Given the availability of our financial resources and cash expected to be generated through future operations, we do not maintain an available external source of additional liquidity.</w:t>
      </w:r>
    </w:p>
    <w:p>
      <w:pPr>
        <w:spacing w:after="0" w:line="20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September 30,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60"/>
              <w:spacing w:after="0" w:line="14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b w:val="1"/>
                <w:bCs w:val="1"/>
                <w:color w:val="auto"/>
              </w:rPr>
              <w:t>Rowe Price</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4"/>
                <w:szCs w:val="14"/>
                <w:b w:val="1"/>
                <w:bCs w:val="1"/>
                <w:color w:val="auto"/>
              </w:rPr>
              <w:t>Cash and cash</w:t>
            </w:r>
          </w:p>
        </w:tc>
        <w:tc>
          <w:tcPr>
            <w:tcW w:w="2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investment</w:t>
            </w: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9/30/2022</w:t>
            </w:r>
          </w:p>
        </w:tc>
        <w:tc>
          <w:tcPr>
            <w:tcW w:w="0" w:type="dxa"/>
            <w:vAlign w:val="bottom"/>
          </w:tcPr>
          <w:p>
            <w:pPr>
              <w:spacing w:after="0"/>
              <w:rPr>
                <w:sz w:val="1"/>
                <w:szCs w:val="1"/>
                <w:color w:val="auto"/>
              </w:rPr>
            </w:pPr>
          </w:p>
        </w:tc>
      </w:tr>
      <w:tr>
        <w:trPr>
          <w:trHeight w:val="189"/>
        </w:trPr>
        <w:tc>
          <w:tcPr>
            <w:tcW w:w="5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2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2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2,813.2</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175"/>
        </w:trPr>
        <w:tc>
          <w:tcPr>
            <w:tcW w:w="5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Investments used to hedge the supplemental savings plan</w:t>
            </w: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1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w:t>
            </w: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0" w:type="dxa"/>
            <w:vAlign w:val="bottom"/>
          </w:tcPr>
          <w:p>
            <w:pPr>
              <w:spacing w:after="0"/>
              <w:rPr>
                <w:sz w:val="1"/>
                <w:szCs w:val="1"/>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attributable to T. Rowe Price</w:t>
            </w:r>
          </w:p>
        </w:tc>
        <w:tc>
          <w:tcPr>
            <w:tcW w:w="1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5,502.5</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156"/>
        </w:trPr>
        <w:tc>
          <w:tcPr>
            <w:tcW w:w="51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condensed consolidated balance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2,480.2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6,083.3</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sheet at September 30, 2022</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180" w:right="60" w:hanging="172"/>
        <w:spacing w:after="0" w:line="243" w:lineRule="auto"/>
        <w:tabs>
          <w:tab w:leader="none" w:pos="158"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$13.0 million and the $643.0 million represent the total value at September 30, 2022 of our interest in the consolidated T. Rowe Price investment products. The total net assets of the T. Rowe Price investment products at September 30, 2022 of $1,236.8 million includes assets of $1,284.3 million, less liabilities of $47.5 million as reflected in our unaudited condensed consolidated balance sheets.</w:t>
      </w:r>
    </w:p>
    <w:p>
      <w:pPr>
        <w:spacing w:after="0" w:line="1" w:lineRule="exact"/>
        <w:rPr>
          <w:rFonts w:ascii="Arial" w:cs="Arial" w:eastAsia="Arial" w:hAnsi="Arial"/>
          <w:sz w:val="18"/>
          <w:szCs w:val="18"/>
          <w:i w:val="1"/>
          <w:iCs w:val="1"/>
          <w:color w:val="auto"/>
          <w:vertAlign w:val="superscript"/>
        </w:rPr>
      </w:pPr>
    </w:p>
    <w:p>
      <w:pPr>
        <w:ind w:left="180" w:right="20" w:hanging="172"/>
        <w:spacing w:after="0" w:line="222" w:lineRule="auto"/>
        <w:tabs>
          <w:tab w:leader="none" w:pos="172"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$207.0 million of non-controlling interests in consolidated entities and represents the portion of these investments, held by third parties, that we cannot sell in order to obtain cash for general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8" w:name="page39"/>
    <w:bookmarkEnd w:id="38"/>
    <w:p>
      <w:pPr>
        <w:jc w:val="both"/>
        <w:ind w:right="260"/>
        <w:spacing w:after="0" w:line="270" w:lineRule="auto"/>
        <w:rPr>
          <w:sz w:val="20"/>
          <w:szCs w:val="20"/>
          <w:color w:val="auto"/>
        </w:rPr>
      </w:pPr>
      <w:r>
        <w:rPr>
          <w:rFonts w:ascii="Arial" w:cs="Arial" w:eastAsia="Arial" w:hAnsi="Arial"/>
          <w:sz w:val="17"/>
          <w:szCs w:val="17"/>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2022 by 11.1% to $1.20 per common share from $1.08 per common share. Further, we expended $744.0 million in the first nine months of 2022 to repurchase 5.7 million shares, or 2.5% of our outstanding common stock, at an average price of $130.35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Since the end of 2019, we have returned nearly $6.5 billion to stockholders through stock repurchases, regular quarterly dividends, and a special dividend,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42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Special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52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42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Nine months ended 9/30/2022</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1,576.8</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2022 to be about $250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summarizes the cash flows for the nine months ended September 30, 2022 and 2021, that are attributable to T. Rowe Price, our consolidated T. Rowe Price investment products, and the related eliminations required in preparing the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9/30/2022</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9/30/2021</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7" w:lineRule="exact"/>
              <w:rPr>
                <w:sz w:val="20"/>
                <w:szCs w:val="20"/>
                <w:color w:val="auto"/>
              </w:rPr>
            </w:pPr>
            <w:r>
              <w:rPr>
                <w:rFonts w:ascii="Arial" w:cs="Arial" w:eastAsia="Arial" w:hAnsi="Arial"/>
                <w:sz w:val="14"/>
                <w:szCs w:val="14"/>
                <w:b w:val="1"/>
                <w:bCs w:val="1"/>
                <w:color w:val="auto"/>
              </w:rPr>
              <w:t>Cash flow</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112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T. Rowe Price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4"/>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5" w:lineRule="exact"/>
              <w:rPr>
                <w:sz w:val="20"/>
                <w:szCs w:val="20"/>
                <w:color w:val="auto"/>
              </w:rPr>
            </w:pPr>
            <w:r>
              <w:rPr>
                <w:rFonts w:ascii="Arial" w:cs="Arial" w:eastAsia="Arial" w:hAnsi="Arial"/>
                <w:sz w:val="14"/>
                <w:szCs w:val="14"/>
                <w:b w:val="1"/>
                <w:bCs w:val="1"/>
                <w:color w:val="auto"/>
              </w:rPr>
              <w:t>investment</w:t>
            </w:r>
          </w:p>
        </w:tc>
        <w:tc>
          <w:tcPr>
            <w:tcW w:w="7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1000" w:type="dxa"/>
            <w:vAlign w:val="bottom"/>
            <w:gridSpan w:val="2"/>
            <w:vMerge w:val="continue"/>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740" w:type="dxa"/>
            <w:vAlign w:val="bottom"/>
            <w:gridSpan w:val="2"/>
            <w:vMerge w:val="continue"/>
            <w:shd w:val="clear" w:color="auto" w:fill="CCEEFF"/>
          </w:tcPr>
          <w:p>
            <w:pPr>
              <w:spacing w:after="0"/>
              <w:rPr>
                <w:sz w:val="16"/>
                <w:szCs w:val="16"/>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0" w:type="dxa"/>
            <w:vAlign w:val="bottom"/>
          </w:tcPr>
          <w:p>
            <w:pPr>
              <w:spacing w:after="0"/>
              <w:rPr>
                <w:sz w:val="1"/>
                <w:szCs w:val="1"/>
                <w:color w:val="auto"/>
              </w:rPr>
            </w:pPr>
          </w:p>
        </w:tc>
      </w:tr>
      <w:tr>
        <w:trPr>
          <w:trHeight w:val="184"/>
        </w:trPr>
        <w:tc>
          <w:tcPr>
            <w:tcW w:w="3820" w:type="dxa"/>
            <w:vAlign w:val="bottom"/>
          </w:tcPr>
          <w:p>
            <w:pPr>
              <w:ind w:left="140"/>
              <w:spacing w:after="0" w:line="183" w:lineRule="exact"/>
              <w:rPr>
                <w:sz w:val="20"/>
                <w:szCs w:val="20"/>
                <w:color w:val="auto"/>
              </w:rPr>
            </w:pPr>
            <w:r>
              <w:rPr>
                <w:rFonts w:ascii="Arial" w:cs="Arial" w:eastAsia="Arial" w:hAnsi="Arial"/>
                <w:sz w:val="18"/>
                <w:szCs w:val="18"/>
                <w:color w:val="auto"/>
              </w:rPr>
              <w:t>Adjustments to reconcile net income (loss) to</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8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and amortization of property,</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and software</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Amortization of acquired assets and</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Fair value remeasurement of contingent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redemptions in T. Rowe Price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20"/>
              <w:spacing w:after="0" w:line="181" w:lineRule="exact"/>
              <w:rPr>
                <w:sz w:val="20"/>
                <w:szCs w:val="20"/>
                <w:color w:val="auto"/>
              </w:rPr>
            </w:pPr>
            <w:r>
              <w:rPr>
                <w:rFonts w:ascii="Arial" w:cs="Arial" w:eastAsia="Arial" w:hAnsi="Arial"/>
                <w:sz w:val="18"/>
                <w:szCs w:val="18"/>
                <w:color w:val="auto"/>
              </w:rPr>
              <w:t>investment products used to economically</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hedge supplemental savings plan liability</w:t>
            </w: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color w:val="auto"/>
              </w:rPr>
              <w:t>consolidated T. Rowe Price investment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2,494.6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(34.8)</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(1,554.9)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(1,616.7)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(1,913.8)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(1,891.1)</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0"/>
              <w:spacing w:after="0" w:line="181" w:lineRule="exact"/>
              <w:rPr>
                <w:sz w:val="20"/>
                <w:szCs w:val="20"/>
                <w:color w:val="auto"/>
              </w:rPr>
            </w:pPr>
            <w:r>
              <w:rPr>
                <w:rFonts w:ascii="Arial" w:cs="Arial" w:eastAsia="Arial" w:hAnsi="Arial"/>
                <w:sz w:val="18"/>
                <w:szCs w:val="18"/>
                <w:color w:val="auto"/>
                <w:w w:val="99"/>
              </w:rPr>
              <w:t>cash equivalents of consolidated T. Rowe Price</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products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1,624.2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2,151.7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2,256.5</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year</w:t>
            </w: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2,444.4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activities attributable to T. Rowe Price during the first nine months of 2022 provided cash flows of $2,452.8 million as compared to $3,072.6 million during the first nine months of 2021. Operating cash flows attributable to T. Rowe Price decreased $619.8 million, including a $1,050.4 million decrease in net income from the first nine months of 2021 and a decrease in timing differences primarily on the cash settlement of our assets and liabilities of $337.0 million. These decreases were partially offset by a higher add back of $ 761.9 million in non-cash adjustments, including unrealized investment gains/losses, depreciation, amortization of acquisition-related assets and retention arrangements, the fair value remeasurement of the contingent consideration liability, stock-based compensation expense, and other noncash items. The non-cash adjustments were primarily driven by $506.6 million in net investment losses in the first nine months of 2022 compared with $188.3 million in net investment gains in the first nine months of 2021. Additionally, in 2022, we had net proceeds of $33.8 million from certain investment products that economically hedge our supplemental savings plan liability compared to net proceeds of $28.1 million in the same period of 2021.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Net cash used in investing activities that are attributable to T. Rowe Price totaled $54.7 million in the first nine months of 2022 compared with $108.0 million of cash provided by investing activities in the 2021 period. During 2022, net proceeds from the sale of certain of our discretionary investments of $ 113.1 million were lower compared to $238.1 million during 2021. We also increased the level of seed capital provided to the T. Rowe Price consolidated investment products by $28.7 million. We eliminate our seed capital in those T. Rowe Price investment products we consolidate in preparing our unaudited condensed consolidated statement of cash flows. In addition, we decreased our property, equipment and software expenditures by $1.5 million. The remaining $6.9 million change in reported cash flows from investing activities is related to the net cash removed from our balance sheet from consolidating and deconsolidating investment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attributable to T. Rowe Price were $1,554.9 million in the first nine months of 2022 compared with</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$1,913.8 million in the 2021 period. During the first nine months of 2022, we used $744.0 million to repurchase 5.7 million shares compared to $526.6 million to repurchase 2.9 million shares in the first nine months of 2021. The $621.6 million decrease in dividends paid in 2022 is a result of a special cash dividend paid in July 2021 that did not recur in 2022, partially offset by the 11.1% increase in our quarterly dividend per share in 2022. In addition, $8.4 million in net distributions to non-controlling interests in consolidated entities increased net cash used in financing activities. The remaining change in reported cash flows from financing activities is primarily attributable to $61.8 million in net redemptions from redeemable non-controlling interest holders of our consolidated investment products during the first nine months of 2022 as compared to $22.7 million in net subscriptions received from redeemable non-controlling interest holders of our consolidated investment products during the first nine months of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the timing and expense related to the integration of OHA with and into our business;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the impact of the coronavirus pandemic,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2021.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including our establishment of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2" w:name="page43"/>
    <w:bookmarkEnd w:id="42"/>
    <w:p>
      <w:pPr>
        <w:ind w:right="380"/>
        <w:spacing w:after="0" w:line="262"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2022. Based on that evaluation, our principal executive and principal financial officers have concluded that our disclosure controls and procedures as of September 30, 2022,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2022, and has concluded that there was no change during the third quarter of 2022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2022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July</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65,723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11,693,640</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560,544</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11,133,096</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September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1,315,000</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9,818,096</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1,940,544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spacing w:after="0" w:line="287" w:lineRule="auto"/>
        <w:rPr>
          <w:sz w:val="20"/>
          <w:szCs w:val="20"/>
          <w:color w:val="auto"/>
        </w:rPr>
      </w:pPr>
      <w:r>
        <w:rPr>
          <w:rFonts w:ascii="Arial" w:cs="Arial" w:eastAsia="Arial" w:hAnsi="Arial"/>
          <w:sz w:val="18"/>
          <w:szCs w:val="18"/>
          <w:color w:val="auto"/>
        </w:rPr>
        <w:t>quarter of 2022, 13,480 were related to shares surrendered in connection with employee stock option exercises and no shares were withheld to cover tax withholdings associated with the vesting of restricted stock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420" w:type="dxa"/>
            <w:vAlign w:val="bottom"/>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2"/>
                <w:szCs w:val="12"/>
                <w:color w:val="auto"/>
              </w:rPr>
            </w:pPr>
          </w:p>
        </w:tc>
        <w:tc>
          <w:tcPr>
            <w:tcW w:w="1780" w:type="dxa"/>
            <w:vAlign w:val="bottom"/>
            <w:vMerge w:val="restart"/>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7/1/2022</w:t>
            </w:r>
          </w:p>
        </w:tc>
        <w:tc>
          <w:tcPr>
            <w:tcW w:w="100" w:type="dxa"/>
            <w:vAlign w:val="bottom"/>
            <w:shd w:val="clear" w:color="auto" w:fill="CCEEFF"/>
          </w:tcPr>
          <w:p>
            <w:pPr>
              <w:spacing w:after="0"/>
              <w:rPr>
                <w:sz w:val="12"/>
                <w:szCs w:val="12"/>
                <w:color w:val="auto"/>
              </w:rPr>
            </w:pP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9/30/2022</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11,758,640</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(1,940,544)</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9,818,096</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October 27, 2022, we issued an earnings release reporting our results of operations for the third quarter of 2022.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200"/>
          </w:cols>
          <w:pgMar w:left="320" w:top="890" w:right="37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80"/>
        <w:spacing w:after="0" w:line="256" w:lineRule="auto"/>
        <w:rPr>
          <w:rFonts w:ascii="Arial" w:cs="Arial" w:eastAsia="Arial" w:hAnsi="Arial"/>
          <w:sz w:val="18"/>
          <w:szCs w:val="18"/>
          <w:color w:val="auto"/>
        </w:rPr>
      </w:pPr>
      <w:hyperlink r:id="rId79">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79">
        <w:r>
          <w:rPr>
            <w:rFonts w:ascii="Arial" w:cs="Arial" w:eastAsia="Arial" w:hAnsi="Arial"/>
            <w:sz w:val="18"/>
            <w:szCs w:val="18"/>
            <w:color w:val="auto"/>
          </w:rPr>
          <w:t>reference from Form 10-Q Quarterly Report filed on July 25, 2018.)</w:t>
        </w:r>
      </w:hyperlink>
    </w:p>
    <w:p>
      <w:pPr>
        <w:spacing w:after="0" w:line="31" w:lineRule="exact"/>
        <w:rPr>
          <w:sz w:val="20"/>
          <w:szCs w:val="20"/>
          <w:color w:val="auto"/>
        </w:rPr>
      </w:pPr>
    </w:p>
    <w:p>
      <w:pPr>
        <w:ind w:right="40"/>
        <w:spacing w:after="0" w:line="256" w:lineRule="auto"/>
        <w:rPr>
          <w:rFonts w:ascii="Arial" w:cs="Arial" w:eastAsia="Arial" w:hAnsi="Arial"/>
          <w:sz w:val="18"/>
          <w:szCs w:val="18"/>
          <w:color w:val="auto"/>
        </w:rPr>
      </w:pPr>
      <w:hyperlink r:id="rId80">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80">
        <w:r>
          <w:rPr>
            <w:rFonts w:ascii="Arial" w:cs="Arial" w:eastAsia="Arial" w:hAnsi="Arial"/>
            <w:sz w:val="18"/>
            <w:szCs w:val="18"/>
            <w:color w:val="auto"/>
          </w:rPr>
          <w:t>Form 10-K Annual Report filed on February 11, 2021.)</w:t>
        </w:r>
      </w:hyperlink>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Earnings release issued October 27, 2022, reporting our results of operations for the third quarter of 2022.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series of unaudited XBRL-formatted documents are collectively included herewith as Exhibit 101. The financial</w:t>
      </w:r>
    </w:p>
    <w:p>
      <w:pPr>
        <w:spacing w:after="0" w:line="33" w:lineRule="exact"/>
        <w:rPr>
          <w:sz w:val="20"/>
          <w:szCs w:val="20"/>
          <w:color w:val="auto"/>
        </w:rPr>
      </w:pPr>
    </w:p>
    <w:p>
      <w:pPr>
        <w:sectPr>
          <w:pgSz w:w="11900" w:h="16838" w:orient="portrait"/>
          <w:cols w:equalWidth="0" w:num="2">
            <w:col w:w="1020" w:space="720"/>
            <w:col w:w="9460"/>
          </w:cols>
          <w:pgMar w:left="320" w:top="890" w:right="37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7"/>
          <w:szCs w:val="17"/>
          <w:color w:val="auto"/>
        </w:rPr>
        <w:t>information is extracted from T. Rowe Price Group’s unaudited condensed consolidated interim financial statements and notes that are included in this Form 10-Q Report.</w:t>
      </w:r>
    </w:p>
    <w:p>
      <w:pPr>
        <w:spacing w:after="0" w:line="6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20" w:space="720"/>
            <w:col w:w="9460"/>
          </w:cols>
          <w:pgMar w:left="320" w:top="890"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4" w:name="page45"/>
    <w:bookmarkEnd w:id="4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27,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120"/>
          </w:cols>
          <w:pgMar w:left="320" w:top="890" w:right="459" w:bottom="1440" w:gutter="0" w:footer="0" w:header="0"/>
        </w:sectPr>
      </w:pPr>
    </w:p>
    <w:bookmarkStart w:id="45" w:name="page46"/>
    <w:bookmarkEnd w:id="45"/>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8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890"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27, 2022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0" w:right="339" w:bottom="1440" w:gutter="0" w:footer="0" w:header="0"/>
          <w:type w:val="continuous"/>
        </w:sectPr>
      </w:pPr>
    </w:p>
    <w:bookmarkStart w:id="46" w:name="page47"/>
    <w:bookmarkEnd w:id="46"/>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October 27,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7" w:name="page48"/>
    <w:bookmarkEnd w:id="47"/>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October 27,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8" w:name="page49"/>
    <w:bookmarkEnd w:id="48"/>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of T. Rowe Price Group, Inc., that:</w:t>
      </w:r>
    </w:p>
    <w:p>
      <w:pPr>
        <w:spacing w:after="0" w:line="86" w:lineRule="exact"/>
        <w:rPr>
          <w:sz w:val="20"/>
          <w:szCs w:val="20"/>
          <w:color w:val="auto"/>
        </w:rPr>
      </w:pPr>
    </w:p>
    <w:p>
      <w:pPr>
        <w:ind w:right="620" w:firstLine="8"/>
        <w:spacing w:after="0" w:line="28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160"/>
          </w:cols>
          <w:pgMar w:left="320" w:top="985" w:right="4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THIRD QUARTER 2022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BALTIMORE (October 27, 2022) - T. Rowe Price Group, Inc. (NASDAQ-GS: TROW) today reported its results for the third quarter of 2022.</w:t>
      </w:r>
    </w:p>
    <w:p>
      <w:pPr>
        <w:spacing w:after="0" w:line="13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Quarter end assets under management of $1.23 trillion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outflows of $24.6 billion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$1.6 billion, including capital allocation-based income of $1.1 million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(EPS) of $1.66; Adjusted non-GAAP diluted EPS of $1.86</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Returned $500.9 million to stockholders in Q3 2022</w:t>
      </w:r>
      <w:r>
        <w:rPr>
          <w:rFonts w:ascii="Arial" w:cs="Arial" w:eastAsia="Arial" w:hAnsi="Arial"/>
          <w:sz w:val="18"/>
          <w:szCs w:val="18"/>
          <w:color w:val="auto"/>
        </w:rPr>
        <w:t>,</w:t>
      </w:r>
      <w:r>
        <w:rPr>
          <w:rFonts w:ascii="Arial" w:cs="Arial" w:eastAsia="Arial" w:hAnsi="Arial"/>
          <w:sz w:val="18"/>
          <w:szCs w:val="18"/>
          <w:b w:val="1"/>
          <w:bCs w:val="1"/>
          <w:color w:val="auto"/>
        </w:rPr>
        <w:t xml:space="preserve"> including $224.5 million of share repurchases</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Solid investment performance over longer time horizons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0" w:type="dxa"/>
            <w:vAlign w:val="bottom"/>
            <w:tcBorders>
              <w:top w:val="single" w:sz="8" w:color="auto"/>
              <w:left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9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2260" w:type="dxa"/>
            <w:vAlign w:val="bottom"/>
            <w:tcBorders>
              <w:top w:val="single" w:sz="8" w:color="auto"/>
              <w:bottom w:val="single" w:sz="8" w:color="auto"/>
              <w:right w:val="single" w:sz="8" w:color="CCEEFF"/>
            </w:tcBorders>
            <w:gridSpan w:val="4"/>
            <w:shd w:val="clear" w:color="auto" w:fill="CCEEFF"/>
          </w:tcPr>
          <w:p>
            <w:pPr>
              <w:ind w:left="860"/>
              <w:spacing w:after="0"/>
              <w:rPr>
                <w:sz w:val="20"/>
                <w:szCs w:val="20"/>
                <w:color w:val="auto"/>
              </w:rPr>
            </w:pPr>
            <w:r>
              <w:rPr>
                <w:rFonts w:ascii="Arial" w:cs="Arial" w:eastAsia="Arial" w:hAnsi="Arial"/>
                <w:sz w:val="14"/>
                <w:szCs w:val="14"/>
                <w:color w:val="auto"/>
              </w:rPr>
              <w:t>Three months ended</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98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(in millions, except per-share data)</w:t>
            </w:r>
          </w:p>
        </w:tc>
        <w:tc>
          <w:tcPr>
            <w:tcW w:w="200" w:type="dxa"/>
            <w:vAlign w:val="bottom"/>
          </w:tcPr>
          <w:p>
            <w:pPr>
              <w:spacing w:after="0"/>
              <w:rPr>
                <w:sz w:val="18"/>
                <w:szCs w:val="18"/>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color w:val="auto"/>
              </w:rPr>
              <w:t>9/30/2022</w:t>
            </w:r>
            <w:r>
              <w:rPr>
                <w:rFonts w:ascii="Arial" w:cs="Arial" w:eastAsia="Arial" w:hAnsi="Arial"/>
                <w:sz w:val="9"/>
                <w:szCs w:val="9"/>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44"/>
              <w:spacing w:after="0"/>
              <w:rPr>
                <w:sz w:val="20"/>
                <w:szCs w:val="20"/>
                <w:color w:val="auto"/>
              </w:rPr>
            </w:pPr>
            <w:r>
              <w:rPr>
                <w:rFonts w:ascii="Arial" w:cs="Arial" w:eastAsia="Arial" w:hAnsi="Arial"/>
                <w:sz w:val="14"/>
                <w:szCs w:val="14"/>
                <w:color w:val="auto"/>
              </w:rPr>
              <w:t>9/30/2021</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color w:val="auto"/>
              </w:rPr>
              <w:t>% change</w:t>
            </w:r>
          </w:p>
        </w:tc>
        <w:tc>
          <w:tcPr>
            <w:tcW w:w="180" w:type="dxa"/>
            <w:vAlign w:val="bottom"/>
          </w:tcPr>
          <w:p>
            <w:pPr>
              <w:spacing w:after="0"/>
              <w:rPr>
                <w:sz w:val="18"/>
                <w:szCs w:val="18"/>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color w:val="auto"/>
              </w:rPr>
              <w:t>6/30/2022</w:t>
            </w:r>
            <w:r>
              <w:rPr>
                <w:rFonts w:ascii="Arial" w:cs="Arial" w:eastAsia="Arial" w:hAnsi="Arial"/>
                <w:sz w:val="9"/>
                <w:szCs w:val="9"/>
                <w:color w:val="auto"/>
              </w:rPr>
              <w:t>(1)</w:t>
            </w:r>
          </w:p>
        </w:tc>
        <w:tc>
          <w:tcPr>
            <w:tcW w:w="100" w:type="dxa"/>
            <w:vAlign w:val="bottom"/>
          </w:tcPr>
          <w:p>
            <w:pPr>
              <w:spacing w:after="0"/>
              <w:rPr>
                <w:sz w:val="18"/>
                <w:szCs w:val="18"/>
                <w:color w:val="auto"/>
              </w:rPr>
            </w:pPr>
          </w:p>
        </w:tc>
        <w:tc>
          <w:tcPr>
            <w:tcW w:w="1020" w:type="dxa"/>
            <w:vAlign w:val="bottom"/>
            <w:tcBorders>
              <w:right w:val="single" w:sz="8" w:color="auto"/>
            </w:tcBorders>
          </w:tcPr>
          <w:p>
            <w:pPr>
              <w:jc w:val="right"/>
              <w:ind w:right="12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2"/>
        </w:trPr>
        <w:tc>
          <w:tcPr>
            <w:tcW w:w="4980" w:type="dxa"/>
            <w:vAlign w:val="bottom"/>
            <w:tcBorders>
              <w:top w:val="single" w:sz="8" w:color="CCEEFF"/>
              <w:left w:val="single" w:sz="8" w:color="auto"/>
            </w:tcBorders>
            <w:gridSpan w:val="6"/>
          </w:tcPr>
          <w:p>
            <w:pPr>
              <w:ind w:left="40"/>
              <w:spacing w:after="0" w:line="162" w:lineRule="exact"/>
              <w:rPr>
                <w:sz w:val="20"/>
                <w:szCs w:val="20"/>
                <w:color w:val="auto"/>
              </w:rPr>
            </w:pPr>
            <w:r>
              <w:rPr>
                <w:rFonts w:ascii="Arial" w:cs="Arial" w:eastAsia="Arial" w:hAnsi="Arial"/>
                <w:sz w:val="15"/>
                <w:szCs w:val="15"/>
                <w:b w:val="1"/>
                <w:bCs w:val="1"/>
                <w:color w:val="auto"/>
              </w:rPr>
              <w:t>U.S. GAAP basis</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Investment advisory fees</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1,813.4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1,496.7</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1"/>
        </w:trPr>
        <w:tc>
          <w:tcPr>
            <w:tcW w:w="498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Capital allocation-based income</w:t>
            </w:r>
            <w:r>
              <w:rPr>
                <w:rFonts w:ascii="Arial" w:cs="Arial" w:eastAsia="Arial" w:hAnsi="Arial"/>
                <w:sz w:val="9"/>
                <w:szCs w:val="9"/>
                <w:color w:val="auto"/>
              </w:rPr>
              <w:t>(2)(3)</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gridSpan w:val="2"/>
          </w:tcPr>
          <w:p>
            <w:pPr>
              <w:ind w:left="700"/>
              <w:spacing w:after="0"/>
              <w:rPr>
                <w:sz w:val="20"/>
                <w:szCs w:val="20"/>
                <w:color w:val="auto"/>
              </w:rPr>
            </w:pPr>
            <w:r>
              <w:rPr>
                <w:rFonts w:ascii="Arial" w:cs="Arial" w:eastAsia="Arial" w:hAnsi="Arial"/>
                <w:sz w:val="15"/>
                <w:szCs w:val="15"/>
                <w:color w:val="auto"/>
              </w:rPr>
              <w:t>n/m</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(126.3)</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4"/>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revenues</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1,513.0</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r>
        <w:trPr>
          <w:trHeight w:val="201"/>
        </w:trPr>
        <w:tc>
          <w:tcPr>
            <w:tcW w:w="498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1,013.6</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957.9</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5.8 %</w:t>
            </w:r>
          </w:p>
        </w:tc>
        <w:tc>
          <w:tcPr>
            <w:tcW w:w="120" w:type="dxa"/>
            <w:vAlign w:val="bottom"/>
            <w:tcBorders>
              <w:right w:val="single" w:sz="8" w:color="auto"/>
            </w:tcBorders>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844.4</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20.0 %</w:t>
            </w:r>
          </w:p>
        </w:tc>
        <w:tc>
          <w:tcPr>
            <w:tcW w:w="0" w:type="dxa"/>
            <w:vAlign w:val="bottom"/>
          </w:tcPr>
          <w:p>
            <w:pPr>
              <w:spacing w:after="0"/>
              <w:rPr>
                <w:sz w:val="1"/>
                <w:szCs w:val="1"/>
                <w:color w:val="auto"/>
              </w:rPr>
            </w:pPr>
          </w:p>
        </w:tc>
      </w:tr>
      <w:tr>
        <w:trPr>
          <w:trHeight w:val="204"/>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operating income</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668.6</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1"/>
        </w:trPr>
        <w:tc>
          <w:tcPr>
            <w:tcW w:w="498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Non-operating income (loss)</w:t>
            </w:r>
            <w:r>
              <w:rPr>
                <w:rFonts w:ascii="Arial" w:cs="Arial" w:eastAsia="Arial" w:hAnsi="Arial"/>
                <w:sz w:val="9"/>
                <w:szCs w:val="9"/>
                <w:color w:val="auto"/>
              </w:rPr>
              <w:t>(3)</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(82.8)</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7"/>
                <w:szCs w:val="17"/>
                <w:color w:val="auto"/>
              </w:rPr>
            </w:pPr>
          </w:p>
        </w:tc>
        <w:tc>
          <w:tcPr>
            <w:tcW w:w="1100" w:type="dxa"/>
            <w:vAlign w:val="bottom"/>
            <w:tcBorders>
              <w:right w:val="single" w:sz="8" w:color="auto"/>
            </w:tcBorders>
            <w:gridSpan w:val="2"/>
          </w:tcPr>
          <w:p>
            <w:pPr>
              <w:ind w:left="700"/>
              <w:spacing w:after="0"/>
              <w:rPr>
                <w:sz w:val="20"/>
                <w:szCs w:val="20"/>
                <w:color w:val="auto"/>
              </w:rPr>
            </w:pPr>
            <w:r>
              <w:rPr>
                <w:rFonts w:ascii="Arial" w:cs="Arial" w:eastAsia="Arial" w:hAnsi="Arial"/>
                <w:sz w:val="15"/>
                <w:szCs w:val="15"/>
                <w:color w:val="auto"/>
              </w:rPr>
              <w:t>n/m</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(279.9)</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4"/>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339.6</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13.2 %</w:t>
            </w:r>
          </w:p>
        </w:tc>
        <w:tc>
          <w:tcPr>
            <w:tcW w:w="0" w:type="dxa"/>
            <w:vAlign w:val="bottom"/>
          </w:tcPr>
          <w:p>
            <w:pPr>
              <w:spacing w:after="0"/>
              <w:rPr>
                <w:sz w:val="1"/>
                <w:szCs w:val="1"/>
                <w:color w:val="auto"/>
              </w:rPr>
            </w:pPr>
          </w:p>
        </w:tc>
      </w:tr>
      <w:tr>
        <w:trPr>
          <w:trHeight w:val="201"/>
        </w:trPr>
        <w:tc>
          <w:tcPr>
            <w:tcW w:w="498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Diluted earnings per common share</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3.31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(49.8)%</w:t>
            </w:r>
          </w:p>
        </w:tc>
        <w:tc>
          <w:tcPr>
            <w:tcW w:w="120" w:type="dxa"/>
            <w:vAlign w:val="bottom"/>
            <w:tcBorders>
              <w:right w:val="single" w:sz="8" w:color="auto"/>
            </w:tcBorders>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13.7 %</w:t>
            </w:r>
          </w:p>
        </w:tc>
        <w:tc>
          <w:tcPr>
            <w:tcW w:w="0" w:type="dxa"/>
            <w:vAlign w:val="bottom"/>
          </w:tcPr>
          <w:p>
            <w:pPr>
              <w:spacing w:after="0"/>
              <w:rPr>
                <w:sz w:val="1"/>
                <w:szCs w:val="1"/>
                <w:color w:val="auto"/>
              </w:rPr>
            </w:pPr>
          </w:p>
        </w:tc>
      </w:tr>
      <w:tr>
        <w:trPr>
          <w:trHeight w:val="204"/>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 assuming dilution</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227.9</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Adjusted non-GAAP basis</w:t>
            </w:r>
            <w:r>
              <w:rPr>
                <w:rFonts w:ascii="Arial" w:cs="Arial" w:eastAsia="Arial" w:hAnsi="Arial"/>
                <w:sz w:val="9"/>
                <w:szCs w:val="9"/>
                <w:b w:val="1"/>
                <w:bCs w:val="1"/>
                <w:color w:val="auto"/>
              </w:rPr>
              <w:t>(4)</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8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1,028.2</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957.2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7.4 %</w:t>
            </w:r>
          </w:p>
        </w:tc>
        <w:tc>
          <w:tcPr>
            <w:tcW w:w="120" w:type="dxa"/>
            <w:vAlign w:val="bottom"/>
            <w:tcBorders>
              <w:right w:val="single" w:sz="8" w:color="auto"/>
            </w:tcBorders>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947.3</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8.5 %</w:t>
            </w:r>
          </w:p>
        </w:tc>
        <w:tc>
          <w:tcPr>
            <w:tcW w:w="0" w:type="dxa"/>
            <w:vAlign w:val="bottom"/>
          </w:tcPr>
          <w:p>
            <w:pPr>
              <w:spacing w:after="0"/>
              <w:rPr>
                <w:sz w:val="1"/>
                <w:szCs w:val="1"/>
                <w:color w:val="auto"/>
              </w:rPr>
            </w:pPr>
          </w:p>
        </w:tc>
      </w:tr>
      <w:tr>
        <w:trPr>
          <w:trHeight w:val="204"/>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operating income</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579.7</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1"/>
        </w:trPr>
        <w:tc>
          <w:tcPr>
            <w:tcW w:w="498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Non-operating income (loss)</w:t>
            </w:r>
            <w:r>
              <w:rPr>
                <w:rFonts w:ascii="Arial" w:cs="Arial" w:eastAsia="Arial" w:hAnsi="Arial"/>
                <w:sz w:val="9"/>
                <w:szCs w:val="9"/>
                <w:color w:val="auto"/>
              </w:rPr>
              <w:t>(3)</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100" w:type="dxa"/>
            <w:vAlign w:val="bottom"/>
            <w:tcBorders>
              <w:right w:val="single" w:sz="8" w:color="auto"/>
            </w:tcBorders>
            <w:gridSpan w:val="2"/>
          </w:tcPr>
          <w:p>
            <w:pPr>
              <w:ind w:left="700"/>
              <w:spacing w:after="0"/>
              <w:rPr>
                <w:sz w:val="20"/>
                <w:szCs w:val="20"/>
                <w:color w:val="auto"/>
              </w:rPr>
            </w:pPr>
            <w:r>
              <w:rPr>
                <w:rFonts w:ascii="Arial" w:cs="Arial" w:eastAsia="Arial" w:hAnsi="Arial"/>
                <w:sz w:val="15"/>
                <w:szCs w:val="15"/>
                <w:color w:val="auto"/>
              </w:rPr>
              <w:t>n/m</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4"/>
        </w:trPr>
        <w:tc>
          <w:tcPr>
            <w:tcW w:w="498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417.7</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4"/>
                <w:szCs w:val="14"/>
                <w:color w:val="auto"/>
              </w:rPr>
              <w:t>Diluted earnings per common share</w:t>
            </w:r>
          </w:p>
        </w:tc>
        <w:tc>
          <w:tcPr>
            <w:tcW w:w="2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(43.1)%</w:t>
            </w:r>
          </w:p>
        </w:tc>
        <w:tc>
          <w:tcPr>
            <w:tcW w:w="120" w:type="dxa"/>
            <w:vAlign w:val="bottom"/>
            <w:tcBorders>
              <w:bottom w:val="single" w:sz="8" w:color="CCEEFF"/>
              <w:right w:val="single" w:sz="8" w:color="auto"/>
            </w:tcBorders>
          </w:tcPr>
          <w:p>
            <w:pPr>
              <w:spacing w:after="0"/>
              <w:rPr>
                <w:sz w:val="20"/>
                <w:szCs w:val="20"/>
                <w:color w:val="auto"/>
              </w:rPr>
            </w:pPr>
          </w:p>
        </w:tc>
        <w:tc>
          <w:tcPr>
            <w:tcW w:w="18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5"/>
                <w:szCs w:val="15"/>
                <w:color w:val="auto"/>
              </w:rPr>
              <w:t>3.9 %</w:t>
            </w:r>
          </w:p>
        </w:tc>
        <w:tc>
          <w:tcPr>
            <w:tcW w:w="0" w:type="dxa"/>
            <w:vAlign w:val="bottom"/>
          </w:tcPr>
          <w:p>
            <w:pPr>
              <w:spacing w:after="0"/>
              <w:rPr>
                <w:sz w:val="1"/>
                <w:szCs w:val="1"/>
                <w:color w:val="auto"/>
              </w:rPr>
            </w:pPr>
          </w:p>
        </w:tc>
      </w:tr>
      <w:tr>
        <w:trPr>
          <w:trHeight w:val="122"/>
        </w:trPr>
        <w:tc>
          <w:tcPr>
            <w:tcW w:w="1920" w:type="dxa"/>
            <w:vAlign w:val="bottom"/>
            <w:tcBorders>
              <w:left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Assets under Management</w:t>
            </w:r>
          </w:p>
        </w:tc>
        <w:tc>
          <w:tcPr>
            <w:tcW w:w="1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b w:val="1"/>
                <w:bCs w:val="1"/>
                <w:color w:val="auto"/>
                <w:w w:val="72"/>
              </w:rPr>
              <w:t>(5)</w:t>
            </w:r>
          </w:p>
        </w:tc>
        <w:tc>
          <w:tcPr>
            <w:tcW w:w="2960" w:type="dxa"/>
            <w:vAlign w:val="bottom"/>
            <w:vMerge w:val="restart"/>
          </w:tcPr>
          <w:p>
            <w:pPr>
              <w:ind w:left="40"/>
              <w:spacing w:after="0"/>
              <w:rPr>
                <w:sz w:val="20"/>
                <w:szCs w:val="20"/>
                <w:color w:val="auto"/>
              </w:rPr>
            </w:pPr>
            <w:r>
              <w:rPr>
                <w:rFonts w:ascii="Arial" w:cs="Arial" w:eastAsia="Arial" w:hAnsi="Arial"/>
                <w:sz w:val="14"/>
                <w:szCs w:val="14"/>
                <w:color w:val="auto"/>
              </w:rPr>
              <w:t>(in billions)</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tcBorders>
              <w:left w:val="single" w:sz="8" w:color="auto"/>
            </w:tcBorders>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shd w:val="clear" w:color="auto" w:fill="CCEEFF"/>
          </w:tcPr>
          <w:p>
            <w:pPr>
              <w:spacing w:after="0"/>
              <w:rPr>
                <w:sz w:val="17"/>
                <w:szCs w:val="17"/>
                <w:color w:val="auto"/>
              </w:rPr>
            </w:pPr>
          </w:p>
        </w:tc>
        <w:tc>
          <w:tcPr>
            <w:tcW w:w="494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Average assets under management</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1,648.7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1,407.1</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CCEEFF"/>
            </w:tcBorders>
          </w:tcPr>
          <w:p>
            <w:pPr>
              <w:spacing w:after="0"/>
              <w:rPr>
                <w:sz w:val="20"/>
                <w:szCs w:val="20"/>
                <w:color w:val="auto"/>
              </w:rPr>
            </w:pPr>
          </w:p>
        </w:tc>
        <w:tc>
          <w:tcPr>
            <w:tcW w:w="4940" w:type="dxa"/>
            <w:vAlign w:val="bottom"/>
            <w:tcBorders>
              <w:bottom w:val="single" w:sz="8" w:color="CCEEFF"/>
            </w:tcBorders>
            <w:gridSpan w:val="5"/>
          </w:tcPr>
          <w:p>
            <w:pPr>
              <w:ind w:left="100"/>
              <w:spacing w:after="0"/>
              <w:rPr>
                <w:sz w:val="20"/>
                <w:szCs w:val="20"/>
                <w:color w:val="auto"/>
              </w:rPr>
            </w:pPr>
            <w:r>
              <w:rPr>
                <w:rFonts w:ascii="Arial" w:cs="Arial" w:eastAsia="Arial" w:hAnsi="Arial"/>
                <w:sz w:val="14"/>
                <w:szCs w:val="14"/>
                <w:color w:val="auto"/>
              </w:rPr>
              <w:t>Ending assets under management</w:t>
            </w:r>
          </w:p>
        </w:tc>
        <w:tc>
          <w:tcPr>
            <w:tcW w:w="2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1,230.0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jc w:val="right"/>
              <w:ind w:right="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1,612.3</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(23.7)%</w:t>
            </w:r>
          </w:p>
        </w:tc>
        <w:tc>
          <w:tcPr>
            <w:tcW w:w="120" w:type="dxa"/>
            <w:vAlign w:val="bottom"/>
            <w:tcBorders>
              <w:bottom w:val="single" w:sz="8" w:color="CCEEFF"/>
              <w:right w:val="single" w:sz="8" w:color="auto"/>
            </w:tcBorders>
          </w:tcPr>
          <w:p>
            <w:pPr>
              <w:spacing w:after="0"/>
              <w:rPr>
                <w:sz w:val="20"/>
                <w:szCs w:val="20"/>
                <w:color w:val="auto"/>
              </w:rPr>
            </w:pPr>
          </w:p>
        </w:tc>
        <w:tc>
          <w:tcPr>
            <w:tcW w:w="18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1,309.7</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1"/>
        </w:trPr>
        <w:tc>
          <w:tcPr>
            <w:tcW w:w="498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4"/>
                <w:szCs w:val="14"/>
                <w:color w:val="auto"/>
              </w:rPr>
              <w:t>Investment advisory effective fee rate (in bps)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firm's Q2 and Q3 2022 operating results include the results of OHA following its acquisition on December 29, 2021.</w:t>
      </w:r>
    </w:p>
    <w:p>
      <w:pPr>
        <w:ind w:left="140" w:hanging="132"/>
        <w:spacing w:after="0" w:line="193" w:lineRule="auto"/>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Capital allocation-based income fluctuates period to period as it reflects the adjustment to accrued carried interest. The realization of accrued carried interest occurs over a number of years.</w:t>
      </w:r>
    </w:p>
    <w:p>
      <w:pPr>
        <w:ind w:left="140" w:hanging="132"/>
        <w:spacing w:after="0" w:line="200" w:lineRule="auto"/>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is not meaningful (n/m).</w:t>
      </w:r>
    </w:p>
    <w:p>
      <w:pPr>
        <w:spacing w:after="0" w:line="8" w:lineRule="exact"/>
        <w:rPr>
          <w:rFonts w:ascii="Arial" w:cs="Arial" w:eastAsia="Arial" w:hAnsi="Arial"/>
          <w:sz w:val="16"/>
          <w:szCs w:val="16"/>
          <w:i w:val="1"/>
          <w:iCs w:val="1"/>
          <w:color w:val="auto"/>
          <w:vertAlign w:val="superscript"/>
        </w:rPr>
      </w:pPr>
    </w:p>
    <w:p>
      <w:pPr>
        <w:ind w:left="180" w:right="60" w:hanging="172"/>
        <w:spacing w:after="0" w:line="225" w:lineRule="auto"/>
        <w:tabs>
          <w:tab w:leader="none" w:pos="153"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Adjusts the U.S. GAAP basis for the impact of consolidated T. Rowe Price investment products, the impact of market movements on the supplemental savings plan liability and related economic hedges, investment income related to certain other investments, acquisition-related amortization and costs, and certain nonrecurring charges and gains, if any. The firm believes the non-GAAP financial measures provide relevant and meaningful information to investors about its core operating results. See the reconciliation to the comparable U.S. GAAP measures at the end of this earnings release.</w:t>
      </w:r>
    </w:p>
    <w:p>
      <w:pPr>
        <w:spacing w:after="0" w:line="1" w:lineRule="exact"/>
        <w:rPr>
          <w:rFonts w:ascii="Arial" w:cs="Arial" w:eastAsia="Arial" w:hAnsi="Arial"/>
          <w:sz w:val="16"/>
          <w:szCs w:val="16"/>
          <w:i w:val="1"/>
          <w:iCs w:val="1"/>
          <w:color w:val="auto"/>
          <w:vertAlign w:val="superscript"/>
        </w:rPr>
      </w:pPr>
    </w:p>
    <w:p>
      <w:pPr>
        <w:ind w:left="140" w:hanging="132"/>
        <w:spacing w:after="0" w:line="200" w:lineRule="auto"/>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Assets under management for the 2021 period do not include the acquired fee-basis assets under management related to the OHA acquisition.</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 Commentary</w:t>
      </w:r>
    </w:p>
    <w:p>
      <w:pPr>
        <w:spacing w:after="0" w:line="77" w:lineRule="exact"/>
        <w:rPr>
          <w:sz w:val="20"/>
          <w:szCs w:val="20"/>
          <w:color w:val="auto"/>
        </w:rPr>
      </w:pPr>
    </w:p>
    <w:p>
      <w:pPr>
        <w:spacing w:after="0" w:line="320" w:lineRule="auto"/>
        <w:rPr>
          <w:sz w:val="20"/>
          <w:szCs w:val="20"/>
          <w:color w:val="auto"/>
        </w:rPr>
      </w:pPr>
      <w:r>
        <w:rPr>
          <w:rFonts w:ascii="Arial" w:cs="Arial" w:eastAsia="Arial" w:hAnsi="Arial"/>
          <w:sz w:val="18"/>
          <w:szCs w:val="18"/>
          <w:color w:val="auto"/>
        </w:rPr>
        <w:t>Rob Sharps, chief executive officer and president, commented, “Global equity markets were lower in the third quarter with overseas returns for U.S. investors further pressured by a steep decline in major currencies against the dollar. Bond returns were also negative as the Bloomberg U.S. Aggregate Index closed out the quarter with its worst month since 1980. The third quarter began on a note of optimism as signs emerged that the Fed was making progress in tamping down inflation without causing too much harm to the economy. Hopes that 'peak inflation' would result in a 'soft landing' appeared to evaporate in the middle of the quarter, however, as investors reacted to a rebound in core inflation in the U.S. and some weak economic readings, particularly overseas.</w:t>
      </w:r>
    </w:p>
    <w:p>
      <w:pPr>
        <w:spacing w:after="0" w:line="207" w:lineRule="exact"/>
        <w:rPr>
          <w:sz w:val="20"/>
          <w:szCs w:val="20"/>
          <w:color w:val="auto"/>
        </w:rPr>
      </w:pPr>
    </w:p>
    <w:p>
      <w:pPr>
        <w:jc w:val="both"/>
        <w:ind w:right="200"/>
        <w:spacing w:after="0" w:line="331" w:lineRule="auto"/>
        <w:rPr>
          <w:sz w:val="20"/>
          <w:szCs w:val="20"/>
          <w:color w:val="auto"/>
        </w:rPr>
      </w:pPr>
      <w:r>
        <w:rPr>
          <w:rFonts w:ascii="Arial" w:cs="Arial" w:eastAsia="Arial" w:hAnsi="Arial"/>
          <w:sz w:val="18"/>
          <w:szCs w:val="18"/>
          <w:color w:val="auto"/>
        </w:rPr>
        <w:t>“Our assets under management ended the quarter at $1.23 trillion, down 6% from June 30. Average assets under management were down 4% and quarterly investment advisory revenues of $1.4 billion were down 4% from the prior quarter and down 20% from third quarter 2021. Expenses, which include OHA in 2022, were up 6% on a GAAP basis and up 7% on a non-GAAP basis over third quarter 2021.</w:t>
      </w:r>
    </w:p>
    <w:p>
      <w:pPr>
        <w:spacing w:after="0" w:line="197" w:lineRule="exact"/>
        <w:rPr>
          <w:sz w:val="20"/>
          <w:szCs w:val="20"/>
          <w:color w:val="auto"/>
        </w:rPr>
      </w:pPr>
    </w:p>
    <w:p>
      <w:pPr>
        <w:ind w:right="220"/>
        <w:spacing w:after="0" w:line="331" w:lineRule="auto"/>
        <w:rPr>
          <w:sz w:val="20"/>
          <w:szCs w:val="20"/>
          <w:color w:val="auto"/>
        </w:rPr>
      </w:pPr>
      <w:r>
        <w:rPr>
          <w:rFonts w:ascii="Arial" w:cs="Arial" w:eastAsia="Arial" w:hAnsi="Arial"/>
          <w:sz w:val="18"/>
          <w:szCs w:val="18"/>
          <w:color w:val="auto"/>
        </w:rPr>
        <w:t>“Throughout this year, we have taken steps to slow our expense growth, including focusing on our highest priority initiatives, slowing hiring, and reducing planned third party spend. We continue to evaluate market conditions and will consider other levers as needed to manage expense growth and support our ability to invest in strategic initiatives.</w:t>
      </w:r>
    </w:p>
    <w:p>
      <w:pPr>
        <w:spacing w:after="0" w:line="197" w:lineRule="exact"/>
        <w:rPr>
          <w:sz w:val="20"/>
          <w:szCs w:val="20"/>
          <w:color w:val="auto"/>
        </w:rPr>
      </w:pPr>
    </w:p>
    <w:p>
      <w:pPr>
        <w:jc w:val="both"/>
        <w:ind w:right="300"/>
        <w:spacing w:after="0" w:line="331" w:lineRule="auto"/>
        <w:rPr>
          <w:sz w:val="20"/>
          <w:szCs w:val="20"/>
          <w:color w:val="auto"/>
        </w:rPr>
      </w:pPr>
      <w:r>
        <w:rPr>
          <w:rFonts w:ascii="Arial" w:cs="Arial" w:eastAsia="Arial" w:hAnsi="Arial"/>
          <w:sz w:val="18"/>
          <w:szCs w:val="18"/>
          <w:color w:val="auto"/>
        </w:rPr>
        <w:t>“Our cash position remains strong, ending the quarter with $2.8 billion in cash and discretionary investments on the balance sheet. During the quarter, we paid our $1.20 regular dividend and repurchased 1.9 million shares, reducing our shares outstanding by 5.7 million shares year to date.</w:t>
      </w:r>
    </w:p>
    <w:p>
      <w:pPr>
        <w:spacing w:after="0" w:line="197" w:lineRule="exact"/>
        <w:rPr>
          <w:sz w:val="20"/>
          <w:szCs w:val="20"/>
          <w:color w:val="auto"/>
        </w:rPr>
      </w:pPr>
    </w:p>
    <w:p>
      <w:pPr>
        <w:jc w:val="both"/>
        <w:ind w:right="100"/>
        <w:spacing w:after="0" w:line="346" w:lineRule="auto"/>
        <w:rPr>
          <w:sz w:val="20"/>
          <w:szCs w:val="20"/>
          <w:color w:val="auto"/>
        </w:rPr>
      </w:pPr>
      <w:r>
        <w:rPr>
          <w:rFonts w:ascii="Arial" w:cs="Arial" w:eastAsia="Arial" w:hAnsi="Arial"/>
          <w:sz w:val="18"/>
          <w:szCs w:val="18"/>
          <w:color w:val="auto"/>
        </w:rPr>
        <w:t>“Many of our equity and fixed income strategies have performed well during recent market volatility. However, certain of our equity strategies have posted weaker returns which do not meet the high standards we strive to deliver for our clients. We continue to believe that our robust research resources and fundamental investment processes will allow us to deliver strong, long-term performance across our broad range of strategies, despite these recent performance challenges.</w:t>
      </w:r>
    </w:p>
    <w:p>
      <w:pPr>
        <w:spacing w:after="0" w:line="183" w:lineRule="exact"/>
        <w:rPr>
          <w:sz w:val="20"/>
          <w:szCs w:val="20"/>
          <w:color w:val="auto"/>
        </w:rPr>
      </w:pPr>
    </w:p>
    <w:p>
      <w:pPr>
        <w:spacing w:after="0" w:line="322" w:lineRule="auto"/>
        <w:rPr>
          <w:sz w:val="20"/>
          <w:szCs w:val="20"/>
          <w:color w:val="auto"/>
        </w:rPr>
      </w:pPr>
      <w:r>
        <w:rPr>
          <w:rFonts w:ascii="Arial" w:cs="Arial" w:eastAsia="Arial" w:hAnsi="Arial"/>
          <w:sz w:val="18"/>
          <w:szCs w:val="18"/>
          <w:color w:val="auto"/>
        </w:rPr>
        <w:t>“Outflows of $24.6 billion in the quarter continue to be largely driven by a handful of growth-oriented equity strategies, amplified in this quarter with redemptions from a few large institutional clients. Fixed income outflows were $2.4 billion in the quarter. We saw inflows this quarter to our target date franchise, our U.S. equity research product, and our full-service defined contribution channel. We remain confident that a combination of improved investment performance and our ongoing investments in new capabilities will allow us to return to positive flows over time as market conditions stabilize.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on our strategic priorities to position the business for long-term success and are proud of several milestones.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Q3 include:</w:t>
      </w:r>
    </w:p>
    <w:p>
      <w:pPr>
        <w:spacing w:after="0" w:line="333" w:lineRule="exact"/>
        <w:rPr>
          <w:sz w:val="20"/>
          <w:szCs w:val="20"/>
          <w:color w:val="auto"/>
        </w:rPr>
      </w:pPr>
    </w:p>
    <w:p>
      <w:pPr>
        <w:ind w:left="660" w:right="120" w:hanging="328"/>
        <w:spacing w:after="0" w:line="305"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18"/>
          <w:szCs w:val="18"/>
          <w:color w:val="auto"/>
        </w:rPr>
        <w:t>At the end of September, we celebrated the 20th anniversary of the launch of our first retirement funds, the start of what is now our $312 billion target date retirement franchise. All four anniversary vintages rank first in their respective Morningstar categories for the 20-year period.</w:t>
      </w:r>
    </w:p>
    <w:p>
      <w:pPr>
        <w:spacing w:after="0" w:line="18" w:lineRule="exact"/>
        <w:rPr>
          <w:rFonts w:ascii="Arial" w:cs="Arial" w:eastAsia="Arial" w:hAnsi="Arial"/>
          <w:sz w:val="20"/>
          <w:szCs w:val="20"/>
          <w:color w:val="auto"/>
        </w:rPr>
      </w:pPr>
    </w:p>
    <w:p>
      <w:pPr>
        <w:ind w:left="660" w:right="140" w:hanging="328"/>
        <w:spacing w:after="0" w:line="323"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18"/>
          <w:szCs w:val="18"/>
          <w:color w:val="auto"/>
        </w:rPr>
        <w:t>T. Rowe Price Investment Management, Inc. (TRPIM) filed its first disaggregated holdings, a final step in the process of establishing our separate SEC-registered U.S. investment adviser.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9" w:right="339" w:bottom="1440" w:gutter="0" w:footer="0" w:header="0"/>
        </w:sectPr>
      </w:pPr>
    </w:p>
    <w:bookmarkStart w:id="51" w:name="page52"/>
    <w:bookmarkEnd w:id="51"/>
    <w:p>
      <w:pPr>
        <w:ind w:left="660" w:right="100" w:hanging="328"/>
        <w:spacing w:after="0" w:line="356" w:lineRule="auto"/>
        <w:tabs>
          <w:tab w:leader="none" w:pos="648" w:val="left"/>
        </w:tabs>
        <w:numPr>
          <w:ilvl w:val="0"/>
          <w:numId w:val="26"/>
        </w:numPr>
        <w:rPr>
          <w:rFonts w:ascii="Arial" w:cs="Arial" w:eastAsia="Arial" w:hAnsi="Arial"/>
          <w:sz w:val="19"/>
          <w:szCs w:val="19"/>
          <w:color w:val="auto"/>
        </w:rPr>
      </w:pPr>
      <w:r>
        <w:rPr>
          <w:rFonts w:ascii="Arial" w:cs="Arial" w:eastAsia="Arial" w:hAnsi="Arial"/>
          <w:sz w:val="17"/>
          <w:szCs w:val="17"/>
          <w:color w:val="auto"/>
        </w:rPr>
        <w:t>We were honored to be named to several of Forbes’ ‘Best Employer’ award lists, including: World’s Best Employers 2022, America’s Best Employers for Women 2022, and Best-in-State Employers 2022, ranking second in Maryland and in the top 25 in Colorado.</w:t>
      </w:r>
    </w:p>
    <w:p>
      <w:pPr>
        <w:spacing w:after="0" w:line="209" w:lineRule="exact"/>
        <w:rPr>
          <w:sz w:val="20"/>
          <w:szCs w:val="20"/>
          <w:color w:val="auto"/>
        </w:rPr>
      </w:pPr>
    </w:p>
    <w:p>
      <w:pPr>
        <w:jc w:val="both"/>
        <w:ind w:right="40"/>
        <w:spacing w:after="0" w:line="339" w:lineRule="auto"/>
        <w:rPr>
          <w:sz w:val="20"/>
          <w:szCs w:val="20"/>
          <w:color w:val="auto"/>
        </w:rPr>
      </w:pPr>
      <w:r>
        <w:rPr>
          <w:rFonts w:ascii="Arial" w:cs="Arial" w:eastAsia="Arial" w:hAnsi="Arial"/>
          <w:sz w:val="18"/>
          <w:szCs w:val="18"/>
          <w:color w:val="auto"/>
        </w:rPr>
        <w:t>“We have a strong culture and a history of delivering solid, long-term investments results and world-class client service. We are committed to preserving these attributes while adapting to the needs of our clients and evolving our priorities thoughtfully to meet that demand. I would like to thank our associates whose hard work make all of this possible.”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04" w:lineRule="exact"/>
        <w:rPr>
          <w:sz w:val="20"/>
          <w:szCs w:val="20"/>
          <w:color w:val="auto"/>
        </w:rPr>
      </w:pPr>
    </w:p>
    <w:p>
      <w:pPr>
        <w:ind w:right="60"/>
        <w:spacing w:after="0" w:line="404" w:lineRule="auto"/>
        <w:rPr>
          <w:sz w:val="20"/>
          <w:szCs w:val="20"/>
          <w:color w:val="auto"/>
        </w:rPr>
      </w:pPr>
      <w:r>
        <w:rPr>
          <w:rFonts w:ascii="Arial" w:cs="Arial" w:eastAsia="Arial" w:hAnsi="Arial"/>
          <w:sz w:val="17"/>
          <w:szCs w:val="17"/>
          <w:color w:val="auto"/>
        </w:rPr>
        <w:t>During Q3 2022, assets under management (AUM) decreased $79.7 billion to $1.23 trillion. Market depreciation, along with net distributions not reinvested, of $55.1 billion and net cash outflows of $24.6 billion reduced the firm's AUM during Q3 2022. Clients transferred $3.3 billion in net assets from the U.S. mutual funds primarily to collective investment trusts and other investment products, of which $2.2 billion transferred into the retirement date trusts. The components of the change in AUM, by vehicle and asset class, are shown in the tables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6"/>
            <w:shd w:val="clear" w:color="auto" w:fill="CCEEFF"/>
          </w:tcPr>
          <w:p>
            <w:pPr>
              <w:ind w:left="340"/>
              <w:spacing w:after="0"/>
              <w:rPr>
                <w:sz w:val="20"/>
                <w:szCs w:val="20"/>
                <w:color w:val="auto"/>
              </w:rPr>
            </w:pPr>
            <w:r>
              <w:rPr>
                <w:rFonts w:ascii="Arial" w:cs="Arial" w:eastAsia="Arial" w:hAnsi="Arial"/>
                <w:sz w:val="14"/>
                <w:szCs w:val="14"/>
                <w:color w:val="auto"/>
              </w:rPr>
              <w:t>Three months ended 9/30/2022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2" w:lineRule="exact"/>
              <w:rPr>
                <w:sz w:val="20"/>
                <w:szCs w:val="20"/>
                <w:color w:val="auto"/>
              </w:rPr>
            </w:pPr>
            <w:r>
              <w:rPr>
                <w:rFonts w:ascii="Arial" w:cs="Arial" w:eastAsia="Arial" w:hAnsi="Arial"/>
                <w:sz w:val="14"/>
                <w:szCs w:val="14"/>
                <w:color w:val="auto"/>
              </w:rPr>
              <w:t>Subadvised funds</w:t>
            </w:r>
          </w:p>
        </w:tc>
        <w:tc>
          <w:tcPr>
            <w:tcW w:w="20" w:type="dxa"/>
            <w:vAlign w:val="bottom"/>
          </w:tcPr>
          <w:p>
            <w:pPr>
              <w:spacing w:after="0"/>
              <w:rPr>
                <w:sz w:val="12"/>
                <w:szCs w:val="12"/>
                <w:color w:val="auto"/>
              </w:rPr>
            </w:pPr>
          </w:p>
        </w:tc>
        <w:tc>
          <w:tcPr>
            <w:tcW w:w="1520" w:type="dxa"/>
            <w:vAlign w:val="bottom"/>
            <w:gridSpan w:val="3"/>
          </w:tcPr>
          <w:p>
            <w:pPr>
              <w:jc w:val="center"/>
              <w:ind w:right="80"/>
              <w:spacing w:after="0" w:line="142" w:lineRule="exact"/>
              <w:rPr>
                <w:sz w:val="20"/>
                <w:szCs w:val="20"/>
                <w:color w:val="auto"/>
              </w:rPr>
            </w:pPr>
            <w:r>
              <w:rPr>
                <w:rFonts w:ascii="Arial" w:cs="Arial" w:eastAsia="Arial" w:hAnsi="Arial"/>
                <w:sz w:val="14"/>
                <w:szCs w:val="14"/>
                <w:color w:val="auto"/>
              </w:rPr>
              <w:t>Collective investment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4"/>
            <w:vMerge w:val="restart"/>
          </w:tcPr>
          <w:p>
            <w:pPr>
              <w:ind w:left="100"/>
              <w:spacing w:after="0"/>
              <w:rPr>
                <w:sz w:val="20"/>
                <w:szCs w:val="20"/>
                <w:color w:val="auto"/>
              </w:rPr>
            </w:pPr>
            <w:r>
              <w:rPr>
                <w:rFonts w:ascii="Arial" w:cs="Arial" w:eastAsia="Arial" w:hAnsi="Arial"/>
                <w:sz w:val="14"/>
                <w:szCs w:val="14"/>
                <w:color w:val="auto"/>
              </w:rPr>
              <w:t>U.S. mutual funds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rPr>
              <w:t>and separate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39" w:lineRule="exact"/>
              <w:rPr>
                <w:sz w:val="20"/>
                <w:szCs w:val="20"/>
                <w:color w:val="auto"/>
              </w:rPr>
            </w:pPr>
            <w:r>
              <w:rPr>
                <w:rFonts w:ascii="Arial" w:cs="Arial" w:eastAsia="Arial" w:hAnsi="Arial"/>
                <w:sz w:val="14"/>
                <w:szCs w:val="14"/>
                <w:color w:val="auto"/>
              </w:rPr>
              <w:t>trusts and other</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4"/>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accounts</w:t>
            </w:r>
          </w:p>
        </w:tc>
        <w:tc>
          <w:tcPr>
            <w:tcW w:w="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332.8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Client transfers</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September 30, 2022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306.5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5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0" w:type="dxa"/>
            <w:vAlign w:val="bottom"/>
            <w:tcBorders>
              <w:bottom w:val="single" w:sz="8" w:color="auto"/>
            </w:tcBorders>
            <w:gridSpan w:val="11"/>
            <w:shd w:val="clear" w:color="auto" w:fill="CCEEFF"/>
          </w:tcPr>
          <w:p>
            <w:pPr>
              <w:ind w:left="1080"/>
              <w:spacing w:after="0"/>
              <w:rPr>
                <w:sz w:val="20"/>
                <w:szCs w:val="20"/>
                <w:color w:val="auto"/>
              </w:rPr>
            </w:pPr>
            <w:r>
              <w:rPr>
                <w:rFonts w:ascii="Arial" w:cs="Arial" w:eastAsia="Arial" w:hAnsi="Arial"/>
                <w:sz w:val="14"/>
                <w:szCs w:val="14"/>
                <w:color w:val="auto"/>
              </w:rPr>
              <w:t>Three months ended 9/30/2022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200"/>
              <w:spacing w:after="0" w:line="151" w:lineRule="exact"/>
              <w:rPr>
                <w:sz w:val="20"/>
                <w:szCs w:val="20"/>
                <w:color w:val="auto"/>
              </w:rPr>
            </w:pPr>
            <w:r>
              <w:rPr>
                <w:rFonts w:ascii="Arial" w:cs="Arial" w:eastAsia="Arial" w:hAnsi="Arial"/>
                <w:sz w:val="14"/>
                <w:szCs w:val="14"/>
                <w:color w:val="auto"/>
              </w:rPr>
              <w:t>Fixed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rPr>
              <w:t>including money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7"/>
              </w:rPr>
              <w:t>Multi-asset</w:t>
            </w:r>
            <w:r>
              <w:rPr>
                <w:rFonts w:ascii="Arial" w:cs="Arial" w:eastAsia="Arial" w:hAnsi="Arial"/>
                <w:sz w:val="18"/>
                <w:szCs w:val="18"/>
                <w:color w:val="auto"/>
                <w:w w:val="97"/>
                <w:vertAlign w:val="superscript"/>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Alternatives</w:t>
            </w:r>
            <w:r>
              <w:rPr>
                <w:rFonts w:ascii="Arial" w:cs="Arial" w:eastAsia="Arial" w:hAnsi="Arial"/>
                <w:sz w:val="18"/>
                <w:szCs w:val="18"/>
                <w:color w:val="auto"/>
                <w:vertAlign w:val="superscript"/>
              </w:rPr>
              <w:t>(2)</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color w:val="auto"/>
              </w:rPr>
              <w:t>market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depreciation and losses</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Assets under management at September 30, 2022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ind w:left="180" w:right="180" w:hanging="172"/>
        <w:spacing w:after="0" w:line="229" w:lineRule="auto"/>
        <w:tabs>
          <w:tab w:leader="none" w:pos="140" w:val="left"/>
        </w:tabs>
        <w:numPr>
          <w:ilvl w:val="0"/>
          <w:numId w:val="2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or have absolute return as its investment objective. Generally, only those strategies with longer than daily liquidity are included.</w:t>
      </w:r>
    </w:p>
    <w:p>
      <w:pPr>
        <w:ind w:left="140" w:hanging="132"/>
        <w:spacing w:after="0" w:line="200" w:lineRule="auto"/>
        <w:tabs>
          <w:tab w:leader="none" w:pos="140" w:val="left"/>
        </w:tabs>
        <w:numPr>
          <w:ilvl w:val="0"/>
          <w:numId w:val="2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00" w:lineRule="exact"/>
        <w:rPr>
          <w:sz w:val="20"/>
          <w:szCs w:val="20"/>
          <w:color w:val="auto"/>
        </w:rPr>
      </w:pPr>
    </w:p>
    <w:p>
      <w:pPr>
        <w:spacing w:after="0" w:line="322" w:lineRule="exact"/>
        <w:rPr>
          <w:sz w:val="20"/>
          <w:szCs w:val="20"/>
          <w:color w:val="auto"/>
        </w:rPr>
      </w:pPr>
    </w:p>
    <w:p>
      <w:pPr>
        <w:ind w:right="60"/>
        <w:spacing w:after="0" w:line="386" w:lineRule="auto"/>
        <w:rPr>
          <w:sz w:val="20"/>
          <w:szCs w:val="20"/>
          <w:color w:val="auto"/>
        </w:rPr>
      </w:pPr>
      <w:r>
        <w:rPr>
          <w:rFonts w:ascii="Arial" w:cs="Arial" w:eastAsia="Arial" w:hAnsi="Arial"/>
          <w:sz w:val="18"/>
          <w:szCs w:val="18"/>
          <w:color w:val="auto"/>
        </w:rPr>
        <w:t>AUM in the firm's target date retirement products, which are reported as part of the multi-asset column in the table above, were $311.5 billion at September 30, 2022, compared with $327.1 billion at June 30, 2022. These portfolios experienced net cash inflows of $3.5 billion for Q3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6" w:right="339" w:bottom="1440" w:gutter="0" w:footer="0" w:header="0"/>
        </w:sectPr>
      </w:pPr>
    </w:p>
    <w:bookmarkStart w:id="52" w:name="page53"/>
    <w:bookmarkEnd w:id="52"/>
    <w:p>
      <w:pPr>
        <w:ind w:right="420"/>
        <w:spacing w:after="0" w:line="396" w:lineRule="auto"/>
        <w:rPr>
          <w:sz w:val="20"/>
          <w:szCs w:val="20"/>
          <w:color w:val="auto"/>
        </w:rPr>
      </w:pPr>
      <w:r>
        <w:rPr>
          <w:rFonts w:ascii="Arial" w:cs="Arial" w:eastAsia="Arial" w:hAnsi="Arial"/>
          <w:sz w:val="18"/>
          <w:szCs w:val="18"/>
          <w:color w:val="auto"/>
        </w:rPr>
        <w:t>Investors domiciled outside the United States accounted for 9.0% of the firm's AUM at September 30, 2022, 9.4% at June 30, 2022, and 9.9% at December 31, 2021.</w:t>
      </w:r>
    </w:p>
    <w:p>
      <w:pPr>
        <w:spacing w:after="0" w:line="181" w:lineRule="exact"/>
        <w:rPr>
          <w:sz w:val="20"/>
          <w:szCs w:val="20"/>
          <w:color w:val="auto"/>
        </w:rPr>
      </w:pPr>
    </w:p>
    <w:p>
      <w:pPr>
        <w:jc w:val="both"/>
        <w:ind w:right="80"/>
        <w:spacing w:after="0" w:line="386" w:lineRule="auto"/>
        <w:rPr>
          <w:sz w:val="20"/>
          <w:szCs w:val="20"/>
          <w:color w:val="auto"/>
        </w:rPr>
      </w:pPr>
      <w:r>
        <w:rPr>
          <w:rFonts w:ascii="Arial" w:cs="Arial" w:eastAsia="Arial" w:hAnsi="Arial"/>
          <w:sz w:val="18"/>
          <w:szCs w:val="18"/>
          <w:color w:val="auto"/>
        </w:rPr>
        <w:t>The firm provides participant accounting and plan administration for defined contribution retirement plans that invest in the firm's U.S. mutual funds and collective investment trusts, as well as funds managed outside of the firm's complex. As of September 30, 2022, the firm's assets under administration were $206 billion, of which $125 billion were assets we manage.</w:t>
      </w:r>
    </w:p>
    <w:p>
      <w:pPr>
        <w:spacing w:after="0" w:line="189" w:lineRule="exact"/>
        <w:rPr>
          <w:sz w:val="20"/>
          <w:szCs w:val="20"/>
          <w:color w:val="auto"/>
        </w:rPr>
      </w:pPr>
    </w:p>
    <w:p>
      <w:pPr>
        <w:jc w:val="both"/>
        <w:ind w:right="140"/>
        <w:spacing w:after="0" w:line="365" w:lineRule="auto"/>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 implement. The firm records the revenue earned on these services in administrative fees. The assets under advisement in these portfolios, predominantly in the United States, were $7 billion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71" w:lineRule="exact"/>
        <w:rPr>
          <w:sz w:val="20"/>
          <w:szCs w:val="20"/>
          <w:color w:val="auto"/>
        </w:rPr>
      </w:pPr>
    </w:p>
    <w:p>
      <w:pPr>
        <w:ind w:right="200"/>
        <w:spacing w:after="0" w:line="407"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earned in Q3 2022 were $1.6 billion, a decrease of 18.7% from Q3 2021. Average AUM in Q3 2022 were $1.35 trillion, a</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of 18.3% from Q3 2021. The firm did not waive money market investment advisory fees in Q3 2022 and does not expect to waive any fees for the remainder of the year. In Q3 2021, the firm voluntarily waived money market investment advisory fees of $13.7 million.</w:t>
      </w:r>
    </w:p>
    <w:p>
      <w:pPr>
        <w:spacing w:after="0" w:line="86" w:lineRule="exact"/>
        <w:rPr>
          <w:sz w:val="20"/>
          <w:szCs w:val="20"/>
          <w:color w:val="auto"/>
        </w:rPr>
      </w:pPr>
    </w:p>
    <w:p>
      <w:pPr>
        <w:ind w:left="660" w:right="240" w:hanging="328"/>
        <w:spacing w:after="0" w:line="374" w:lineRule="auto"/>
        <w:tabs>
          <w:tab w:leader="none" w:pos="656"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Investment advisory revenues earned in Q3 2022 from the firm's U.S. mutual funds were $841.7 million, a decrease of 25.2% from Q3 2021. Average AUM in these funds decreased 23.1% to $677.6 billion in Q3 2022 from Q3 2021.</w:t>
      </w:r>
    </w:p>
    <w:p>
      <w:pPr>
        <w:spacing w:after="0" w:line="268" w:lineRule="exact"/>
        <w:rPr>
          <w:rFonts w:ascii="Arial" w:cs="Arial" w:eastAsia="Arial" w:hAnsi="Arial"/>
          <w:sz w:val="22"/>
          <w:szCs w:val="22"/>
          <w:color w:val="40AEFF"/>
        </w:rPr>
      </w:pPr>
    </w:p>
    <w:p>
      <w:pPr>
        <w:ind w:left="660" w:right="120" w:hanging="328"/>
        <w:spacing w:after="0" w:line="356" w:lineRule="auto"/>
        <w:tabs>
          <w:tab w:leader="none" w:pos="656"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Investment advisory revenues earned in Q3 2022 from subadvised funds, separate accounts, collective investment trusts and other investment products were $600.3 million, a decrease of 12.7% from Q3 2021. Average AUM for these products decreased 12.7% to $669.9 billion in Q3 2022 from Q3 2021. Investment advisory revenues and average AUM in Q3 2022 reflect OHA's revenue and related average AUM.</w:t>
      </w:r>
    </w:p>
    <w:p>
      <w:pPr>
        <w:spacing w:after="0" w:line="269" w:lineRule="exact"/>
        <w:rPr>
          <w:rFonts w:ascii="Arial" w:cs="Arial" w:eastAsia="Arial" w:hAnsi="Arial"/>
          <w:sz w:val="22"/>
          <w:szCs w:val="22"/>
          <w:color w:val="40AEFF"/>
        </w:rPr>
      </w:pPr>
    </w:p>
    <w:p>
      <w:pPr>
        <w:ind w:left="660" w:hanging="328"/>
        <w:spacing w:after="0" w:line="357" w:lineRule="auto"/>
        <w:tabs>
          <w:tab w:leader="none" w:pos="656"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The investment advisory fee annualized effective fee rate of 42.5 basis points in Q3 2022 decreased from 42.7 basis points earned in Q2 2022 and 43.6 basis points earned in Q3 2021. In comparison to Q2 2022, the annualized effective fee rate was primarily driven by a mix shift toward lower fee asset classes and vehicles as a result of market declines and net flows. In comparison to Q3 2021, these changes were slightly offset by the higher-than-average effective fee rate earned on the firm's alternative asset class and lower money market fee waivers. Over time, the firm's effective fee rate can be impacted by market or cash flow related shifts among asset and share classes, price changes in existing products, and asset level changes in products with tiered-fee structures.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6" w:right="339" w:bottom="1440" w:gutter="0" w:footer="0" w:header="0"/>
        </w:sectPr>
      </w:pPr>
    </w:p>
    <w:bookmarkStart w:id="53" w:name="page54"/>
    <w:bookmarkEnd w:id="53"/>
    <w:p>
      <w:pPr>
        <w:ind w:left="660" w:right="40" w:hanging="328"/>
        <w:spacing w:after="0" w:line="368" w:lineRule="auto"/>
        <w:tabs>
          <w:tab w:leader="none" w:pos="663" w:val="left"/>
        </w:tabs>
        <w:numPr>
          <w:ilvl w:val="0"/>
          <w:numId w:val="29"/>
        </w:numPr>
        <w:rPr>
          <w:rFonts w:ascii="Arial" w:cs="Arial" w:eastAsia="Arial" w:hAnsi="Arial"/>
          <w:sz w:val="20"/>
          <w:szCs w:val="20"/>
          <w:color w:val="40AEFF"/>
        </w:rPr>
      </w:pPr>
      <w:r>
        <w:rPr>
          <w:rFonts w:ascii="Arial" w:cs="Arial" w:eastAsia="Arial" w:hAnsi="Arial"/>
          <w:sz w:val="18"/>
          <w:szCs w:val="18"/>
          <w:color w:val="auto"/>
        </w:rPr>
        <w:t>Capital allocation-based income in Q3 2022 increased net revenues by $1.1 million. Capital allocation-based income will fluctuate quarter-to-quarter to reflect the adjustment to accrued carried interest for the change in value of the affiliated funds' underlying investments assuming the value was realized as of the end of the period, regardless of whether the funds' underlying investments have been realized. The realization of accrued carried interest occurs over a number of years. The Q3 2022 amount represents an increase of $14.3 million in accrued carried interest, substantially offset by $13.2 million in non-cash amortization associated with the difference in the closing date fair value and carrying value of investments acquired as part of the OHA acquisition. For detail of the change in accrued carried interest, which is reported as investments on the condensed consolidated balance sheet, from the end of 2021, including realized carry distributions, see the applicable table at the end of this release.</w:t>
      </w:r>
    </w:p>
    <w:p>
      <w:pPr>
        <w:spacing w:after="0" w:line="247" w:lineRule="exact"/>
        <w:rPr>
          <w:rFonts w:ascii="Arial" w:cs="Arial" w:eastAsia="Arial" w:hAnsi="Arial"/>
          <w:sz w:val="20"/>
          <w:szCs w:val="20"/>
          <w:color w:val="40AEFF"/>
        </w:rPr>
      </w:pPr>
    </w:p>
    <w:p>
      <w:pPr>
        <w:ind w:left="660" w:right="40" w:hanging="328"/>
        <w:spacing w:after="0" w:line="379" w:lineRule="auto"/>
        <w:tabs>
          <w:tab w:leader="none" w:pos="656" w:val="left"/>
        </w:tabs>
        <w:numPr>
          <w:ilvl w:val="0"/>
          <w:numId w:val="29"/>
        </w:numPr>
        <w:rPr>
          <w:rFonts w:ascii="Arial" w:cs="Arial" w:eastAsia="Arial" w:hAnsi="Arial"/>
          <w:sz w:val="21"/>
          <w:szCs w:val="21"/>
          <w:color w:val="40AEFF"/>
        </w:rPr>
      </w:pPr>
      <w:r>
        <w:rPr>
          <w:rFonts w:ascii="Arial" w:cs="Arial" w:eastAsia="Arial" w:hAnsi="Arial"/>
          <w:sz w:val="17"/>
          <w:szCs w:val="17"/>
          <w:color w:val="auto"/>
        </w:rPr>
        <w:t>Administrative, distribution, and servicing fees in Q3 2022 were $145.1 million, an increase of 3.1% from Q3 2021. The increase was primarily attributable to higher transfer agent servicing activities provided to the T. Rowe Price mutual funds for retail shareholders and higher trustee services revenue, partially offset by lower 12b-1 fees earned from certain share classes of the U.S. mutual funds.</w:t>
      </w:r>
    </w:p>
    <w:p>
      <w:pPr>
        <w:spacing w:after="0" w:line="203" w:lineRule="exact"/>
        <w:rPr>
          <w:sz w:val="20"/>
          <w:szCs w:val="20"/>
          <w:color w:val="auto"/>
        </w:rPr>
      </w:pPr>
    </w:p>
    <w:p>
      <w:pPr>
        <w:ind w:right="180"/>
        <w:spacing w:after="0" w:line="360"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Q3 2022 were $1,013.6 million, an increase of 5.8% compared to Q3 2021 and an increase of 20.0%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Q2 2022. On a non-GAAP basis, the firm's operating expenses in Q3 2022 were</w:t>
      </w:r>
    </w:p>
    <w:p>
      <w:pPr>
        <w:jc w:val="both"/>
        <w:ind w:right="40"/>
        <w:spacing w:after="0" w:line="377" w:lineRule="auto"/>
        <w:rPr>
          <w:sz w:val="20"/>
          <w:szCs w:val="20"/>
          <w:color w:val="auto"/>
        </w:rPr>
      </w:pPr>
      <w:r>
        <w:rPr>
          <w:rFonts w:ascii="Arial" w:cs="Arial" w:eastAsia="Arial" w:hAnsi="Arial"/>
          <w:sz w:val="18"/>
          <w:szCs w:val="18"/>
          <w:color w:val="auto"/>
        </w:rPr>
        <w:t>$1,028.2 million, a 7.4% increase over Q3 2021 and an increase of 8.5% compared to Q2 2022. The firm's 2022 operating expenses include OHA's operating expenses, including the accrued carried interest compensation associated with the capital allocation-based income. OHA's operating expenses primarily impact compensation expense; technology, occupancy, and facility costs; and general, administrative and other costs. The accrued carried interest compensation is reported in non-controlling interest in the condensed consolidated balance sheet.</w:t>
      </w:r>
    </w:p>
    <w:p>
      <w:pPr>
        <w:spacing w:after="0" w:line="198"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Approximately 63% of the increase in the firm's non-GAAP operating expenses compared to Q2 2022 was attributable to the accrued carried interest compensation associated with the increase in capital allocation-based income recognized in Q3 2022 compared to Q2 2022. In comparison to Q3 2021, the increase in non-GAAP operating expenses was primarily attributable to salaries and benefits, including non-cash stock-based compensation expense; the addition of OHA operating expenses; and higher costs related to the ongoing investment in the firm's technology capabilities. These increases were mostly offset by lower distribution and servicing costs and a lower interim bonus accrual.</w:t>
      </w:r>
    </w:p>
    <w:p>
      <w:pPr>
        <w:spacing w:after="0" w:line="241" w:lineRule="exact"/>
        <w:rPr>
          <w:sz w:val="20"/>
          <w:szCs w:val="20"/>
          <w:color w:val="auto"/>
        </w:rPr>
      </w:pPr>
    </w:p>
    <w:p>
      <w:pPr>
        <w:ind w:left="660" w:right="240" w:hanging="328"/>
        <w:spacing w:after="0" w:line="357"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on a U.S. GAAP basis were $588.1 million in Q3 2022, an increase of $23.5 million, or 4.2%,</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Q3 2021 and an increase of $124.7 million, or 26.9%, from Q2 2022. Compensation and related costs, excluding the impact of the supplemental savings plan, accrued carried interest compensation, and non-cash amortization of certain acquisition-related retention arrangements, were $595.6 million in Q3 2022, an increase of 5.4% compared to Q3 2021. The third quarter of 2022 includes higher salaries and benefits from increased average headcount and base salary increases made in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66" w:right="359" w:bottom="1440" w:gutter="0" w:footer="0" w:header="0"/>
        </w:sectPr>
      </w:pPr>
    </w:p>
    <w:bookmarkStart w:id="54" w:name="page55"/>
    <w:bookmarkEnd w:id="54"/>
    <w:p>
      <w:pPr>
        <w:ind w:left="328" w:right="160"/>
        <w:spacing w:after="0" w:line="396" w:lineRule="auto"/>
        <w:rPr>
          <w:sz w:val="20"/>
          <w:szCs w:val="20"/>
          <w:color w:val="auto"/>
        </w:rPr>
      </w:pPr>
      <w:r>
        <w:rPr>
          <w:rFonts w:ascii="Arial" w:cs="Arial" w:eastAsia="Arial" w:hAnsi="Arial"/>
          <w:sz w:val="18"/>
          <w:szCs w:val="18"/>
          <w:color w:val="auto"/>
        </w:rPr>
        <w:t>January and July 2022, the inclusion of OHA compensation expenses, and a lower interim bonus accrual. The firm employed 7,990 associates at September 30, 2022, an increase of 6.1% from the end of 2021.</w:t>
      </w:r>
    </w:p>
    <w:p>
      <w:pPr>
        <w:spacing w:after="0" w:line="221" w:lineRule="exact"/>
        <w:rPr>
          <w:sz w:val="20"/>
          <w:szCs w:val="20"/>
          <w:color w:val="auto"/>
        </w:rPr>
      </w:pPr>
    </w:p>
    <w:p>
      <w:pPr>
        <w:ind w:left="328" w:hanging="328"/>
        <w:spacing w:after="0" w:line="360" w:lineRule="auto"/>
        <w:tabs>
          <w:tab w:leader="none" w:pos="324" w:val="left"/>
        </w:tabs>
        <w:numPr>
          <w:ilvl w:val="0"/>
          <w:numId w:val="31"/>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$69.9 million in Q3 2022, a decrease of $26.1 million, or 27.2% from the $96.0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Q3 2021 and a decrease of $5.8 million, or 7.7%, from Q2 2022. The decrease from Q3 2021 was primarily driven from lower average AUM of certain share classes of the U.S. mutual funds and of the firm's international products, including the Japanese Investment Trusts (ITMs) and certain SICAV share classes. These distribution costs are offset entirely in net revenues. For the ITMs and SICAVs, the related revenue is recognized in investment advisory revenues.</w:t>
      </w:r>
    </w:p>
    <w:p>
      <w:pPr>
        <w:spacing w:after="0" w:line="255" w:lineRule="exact"/>
        <w:rPr>
          <w:rFonts w:ascii="Arial" w:cs="Arial" w:eastAsia="Arial" w:hAnsi="Arial"/>
          <w:sz w:val="22"/>
          <w:szCs w:val="22"/>
          <w:color w:val="40AEFF"/>
        </w:rPr>
      </w:pPr>
    </w:p>
    <w:p>
      <w:pPr>
        <w:ind w:left="328" w:right="180" w:hanging="328"/>
        <w:spacing w:after="0" w:line="354" w:lineRule="auto"/>
        <w:tabs>
          <w:tab w:leader="none" w:pos="324" w:val="left"/>
        </w:tabs>
        <w:numPr>
          <w:ilvl w:val="0"/>
          <w:numId w:val="31"/>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$24.3 million in Q3 2022, an increase of $2.2 million, or 10.0%, from Q3 2021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$2.9 million, or 13.6% from Q2 2022. The increase from Q3 2021 was primarily driven by an increase in sponsorships and promotion-related costs during the 2022 quarter.</w:t>
      </w:r>
    </w:p>
    <w:p>
      <w:pPr>
        <w:spacing w:after="0" w:line="258" w:lineRule="exact"/>
        <w:rPr>
          <w:rFonts w:ascii="Arial" w:cs="Arial" w:eastAsia="Arial" w:hAnsi="Arial"/>
          <w:sz w:val="22"/>
          <w:szCs w:val="22"/>
          <w:color w:val="40AEFF"/>
        </w:rPr>
      </w:pPr>
    </w:p>
    <w:p>
      <w:pPr>
        <w:ind w:left="328" w:right="20" w:hanging="328"/>
        <w:spacing w:after="0" w:line="384" w:lineRule="auto"/>
        <w:tabs>
          <w:tab w:leader="none" w:pos="324" w:val="left"/>
        </w:tabs>
        <w:numPr>
          <w:ilvl w:val="0"/>
          <w:numId w:val="31"/>
        </w:numPr>
        <w:rPr>
          <w:rFonts w:ascii="Arial" w:cs="Arial" w:eastAsia="Arial" w:hAnsi="Arial"/>
          <w:sz w:val="21"/>
          <w:szCs w:val="21"/>
          <w:color w:val="40AEFF"/>
        </w:rPr>
      </w:pPr>
      <w:r>
        <w:rPr>
          <w:rFonts w:ascii="Arial" w:cs="Arial" w:eastAsia="Arial" w:hAnsi="Arial"/>
          <w:sz w:val="17"/>
          <w:szCs w:val="17"/>
          <w:b w:val="1"/>
          <w:bCs w:val="1"/>
          <w:color w:val="auto"/>
        </w:rPr>
        <w:t xml:space="preserve">Product and recordkeeping related expenses </w:t>
      </w:r>
      <w:r>
        <w:rPr>
          <w:rFonts w:ascii="Arial" w:cs="Arial" w:eastAsia="Arial" w:hAnsi="Arial"/>
          <w:sz w:val="17"/>
          <w:szCs w:val="17"/>
          <w:color w:val="auto"/>
        </w:rPr>
        <w:t>were $75.6 million in Q3 2022, an increase of $5.3 million, or 7.5%, from Q3 2021</w:t>
      </w:r>
      <w:r>
        <w:rPr>
          <w:rFonts w:ascii="Arial" w:cs="Arial" w:eastAsia="Arial" w:hAnsi="Arial"/>
          <w:sz w:val="17"/>
          <w:szCs w:val="17"/>
          <w:b w:val="1"/>
          <w:bCs w:val="1"/>
          <w:color w:val="auto"/>
        </w:rPr>
        <w:t xml:space="preserve"> </w:t>
      </w:r>
      <w:r>
        <w:rPr>
          <w:rFonts w:ascii="Arial" w:cs="Arial" w:eastAsia="Arial" w:hAnsi="Arial"/>
          <w:sz w:val="17"/>
          <w:szCs w:val="17"/>
          <w:color w:val="auto"/>
        </w:rPr>
        <w:t>and a decrease of $.7 million, or .9% from Q2 2022. Approximately 60% of the increase from Q3 2021 was driven by increased recordkeeping costs incurred as part of the expanded relationship with Fidelity National Information Services, Inc. (FIS) that began in August 2021. These recordkeeping costs are being partially offset by lower compensation expenses related to the approximately 800 associates who transitioned to FIS in August 2021. These compensation expenses are recorded in compensation and related costs.</w:t>
      </w:r>
    </w:p>
    <w:p>
      <w:pPr>
        <w:spacing w:after="0" w:line="239" w:lineRule="exact"/>
        <w:rPr>
          <w:rFonts w:ascii="Arial" w:cs="Arial" w:eastAsia="Arial" w:hAnsi="Arial"/>
          <w:sz w:val="21"/>
          <w:szCs w:val="21"/>
          <w:color w:val="40AEFF"/>
        </w:rPr>
      </w:pPr>
    </w:p>
    <w:p>
      <w:pPr>
        <w:ind w:left="328" w:right="180" w:hanging="328"/>
        <w:spacing w:after="0" w:line="356" w:lineRule="auto"/>
        <w:tabs>
          <w:tab w:leader="none" w:pos="324" w:val="left"/>
        </w:tabs>
        <w:numPr>
          <w:ilvl w:val="0"/>
          <w:numId w:val="31"/>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$143.6 million in Q3 2022, an increase of $20.5 million, or 16.7%, from Q3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 an increase of $9.3 million, or 6.9%, from Q2 2022. The increase from Q3 2021 was primarily due to increased office facility costs, primarily related to higher rent expense; ongoing investment in the firm's technology capabilities, including hosted solution licenses; and related depreciation.</w:t>
      </w:r>
    </w:p>
    <w:p>
      <w:pPr>
        <w:spacing w:after="0" w:line="256" w:lineRule="exact"/>
        <w:rPr>
          <w:rFonts w:ascii="Arial" w:cs="Arial" w:eastAsia="Arial" w:hAnsi="Arial"/>
          <w:sz w:val="22"/>
          <w:szCs w:val="22"/>
          <w:color w:val="40AEFF"/>
        </w:rPr>
      </w:pPr>
    </w:p>
    <w:p>
      <w:pPr>
        <w:ind w:left="328" w:right="140" w:hanging="328"/>
        <w:spacing w:after="0" w:line="360" w:lineRule="auto"/>
        <w:tabs>
          <w:tab w:leader="none" w:pos="324" w:val="left"/>
        </w:tabs>
        <w:numPr>
          <w:ilvl w:val="0"/>
          <w:numId w:val="31"/>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$112.1 million in Q3 2022, an increase of $30.3 million, or 37.0%,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$81.8 million recognized in Q3 2021 and an increase of $38.8 million, or 52.9%, from Q2 2022. The increase from Q3 2021 was primarily related to higher travel and information services as well as certain nonrecurring costs incurred during Q3 2022. The Q3 2022 results also include a net favorable impact of $2.8 million as the acquisition-related amortization was more than offset by the reduction in the fair value of the contingent consideration liability.</w:t>
      </w: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1066" w:right="339" w:bottom="1440" w:gutter="0" w:footer="0" w:header="0"/>
        </w:sectPr>
      </w:pPr>
    </w:p>
    <w:bookmarkStart w:id="55" w:name="page56"/>
    <w:bookmarkEnd w:id="55"/>
    <w:p>
      <w:pPr>
        <w:ind w:right="200"/>
        <w:spacing w:after="0" w:line="377" w:lineRule="auto"/>
        <w:rPr>
          <w:sz w:val="20"/>
          <w:szCs w:val="20"/>
          <w:color w:val="auto"/>
        </w:rPr>
      </w:pPr>
      <w:r>
        <w:rPr>
          <w:rFonts w:ascii="Arial" w:cs="Arial" w:eastAsia="Arial" w:hAnsi="Arial"/>
          <w:sz w:val="18"/>
          <w:szCs w:val="18"/>
          <w:color w:val="auto"/>
        </w:rPr>
        <w:t>The firm continues to expect its forecasted 2022 non-GAAP operating expenses growth to be in the range of 4% to 7%. The range reflects lower market-related expenses and continued efforts to manage expense growth. The addition of OHA's operating expenses, since the acquisition at the end of 2021, is driving nearly all of the 2022 forecasted expense growth. The firm could elect to further adjust its expense growth should unforeseen circumstances arise, including significant market movements.</w:t>
      </w:r>
    </w:p>
    <w:p>
      <w:pPr>
        <w:spacing w:after="0" w:line="198" w:lineRule="exact"/>
        <w:rPr>
          <w:sz w:val="20"/>
          <w:szCs w:val="20"/>
          <w:color w:val="auto"/>
        </w:rPr>
      </w:pPr>
    </w:p>
    <w:p>
      <w:pPr>
        <w:spacing w:after="0" w:line="372"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loss was $82.8 million in Q3 2022, as compared to non-operating loss of $11.5 million in Q3</w:t>
      </w:r>
      <w:r>
        <w:rPr>
          <w:rFonts w:ascii="Arial" w:cs="Arial" w:eastAsia="Arial" w:hAnsi="Arial"/>
          <w:sz w:val="18"/>
          <w:szCs w:val="18"/>
          <w:b w:val="1"/>
          <w:bCs w:val="1"/>
          <w:color w:val="auto"/>
        </w:rPr>
        <w:t xml:space="preserve"> </w:t>
      </w:r>
      <w:r>
        <w:rPr>
          <w:rFonts w:ascii="Arial" w:cs="Arial" w:eastAsia="Arial" w:hAnsi="Arial"/>
          <w:sz w:val="18"/>
          <w:szCs w:val="18"/>
          <w:color w:val="auto"/>
        </w:rPr>
        <w:t>2021. The firm's consolidated products and the supplemental savings plan hedge portfolio comprised approximately 82% of the net losses recognized during Q3 2022. The cash and discretionary investment portfolio also experienced net investment losses of $3.7 million during Q3 2022. The components of non-operating income (loss) for Q3 2022 and Q3 2021 are included in the tables at the end of this release.</w:t>
      </w:r>
    </w:p>
    <w:p>
      <w:pPr>
        <w:spacing w:after="0" w:line="215" w:lineRule="exact"/>
        <w:rPr>
          <w:sz w:val="20"/>
          <w:szCs w:val="20"/>
          <w:color w:val="auto"/>
        </w:rPr>
      </w:pPr>
    </w:p>
    <w:p>
      <w:pPr>
        <w:ind w:right="2260"/>
        <w:spacing w:after="0" w:line="39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following reconciles the statutory federal income tax rate to the firm's effective tax rate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and the first nine months of 2022 and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shd w:val="clear" w:color="auto" w:fill="CCEEFF"/>
          </w:tcPr>
          <w:p>
            <w:pPr>
              <w:spacing w:after="0"/>
              <w:rPr>
                <w:sz w:val="17"/>
                <w:szCs w:val="17"/>
                <w:color w:val="auto"/>
              </w:rPr>
            </w:pPr>
          </w:p>
        </w:tc>
        <w:tc>
          <w:tcPr>
            <w:tcW w:w="3040" w:type="dxa"/>
            <w:vAlign w:val="bottom"/>
            <w:tcBorders>
              <w:right w:val="single" w:sz="8" w:color="auto"/>
            </w:tcBorders>
            <w:gridSpan w:val="4"/>
            <w:shd w:val="clear" w:color="auto" w:fill="CCEEFF"/>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line="162" w:lineRule="exact"/>
              <w:rPr>
                <w:sz w:val="20"/>
                <w:szCs w:val="20"/>
                <w:color w:val="auto"/>
              </w:rPr>
            </w:pPr>
            <w:r>
              <w:rPr>
                <w:rFonts w:ascii="Arial" w:cs="Arial" w:eastAsia="Arial" w:hAnsi="Arial"/>
                <w:sz w:val="16"/>
                <w:szCs w:val="16"/>
                <w:color w:val="auto"/>
              </w:rPr>
              <w:t>State income taxes for current year, net of federal income tax</w:t>
            </w:r>
          </w:p>
        </w:tc>
        <w:tc>
          <w:tcPr>
            <w:tcW w:w="1400" w:type="dxa"/>
            <w:vAlign w:val="bottom"/>
            <w:vMerge w:val="restart"/>
          </w:tcPr>
          <w:p>
            <w:pPr>
              <w:jc w:val="right"/>
              <w:ind w:right="12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1400" w:type="dxa"/>
            <w:vAlign w:val="bottom"/>
            <w:vMerge w:val="restart"/>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500" w:type="dxa"/>
            <w:vAlign w:val="bottom"/>
            <w:vMerge w:val="restart"/>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Net (income) losses attributable to redeemable</w:t>
            </w:r>
          </w:p>
        </w:tc>
        <w:tc>
          <w:tcPr>
            <w:tcW w:w="14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non-controlling interests</w:t>
            </w:r>
            <w:r>
              <w:rPr>
                <w:rFonts w:ascii="Arial" w:cs="Arial" w:eastAsia="Arial" w:hAnsi="Arial"/>
                <w:sz w:val="21"/>
                <w:szCs w:val="21"/>
                <w:color w:val="auto"/>
                <w:vertAlign w:val="superscript"/>
              </w:rPr>
              <w:t>(2)</w:t>
            </w: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line="162" w:lineRule="exact"/>
              <w:rPr>
                <w:sz w:val="20"/>
                <w:szCs w:val="20"/>
                <w:color w:val="auto"/>
              </w:rPr>
            </w:pPr>
            <w:r>
              <w:rPr>
                <w:rFonts w:ascii="Arial" w:cs="Arial" w:eastAsia="Arial" w:hAnsi="Arial"/>
                <w:sz w:val="16"/>
                <w:szCs w:val="16"/>
                <w:color w:val="auto"/>
              </w:rPr>
              <w:t>Net excess tax benefits from stock-based compensation plans</w:t>
            </w:r>
          </w:p>
        </w:tc>
        <w:tc>
          <w:tcPr>
            <w:tcW w:w="1400" w:type="dxa"/>
            <w:vAlign w:val="bottom"/>
            <w:vMerge w:val="restart"/>
          </w:tcPr>
          <w:p>
            <w:pPr>
              <w:jc w:val="right"/>
              <w:ind w:right="8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color w:val="auto"/>
              </w:rPr>
              <w:t>(1.6)</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8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500" w:type="dxa"/>
            <w:vAlign w:val="bottom"/>
            <w:vMerge w:val="restart"/>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activity</w:t>
            </w: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4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48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27.2 %</w:t>
            </w:r>
          </w:p>
        </w:tc>
        <w:tc>
          <w:tcPr>
            <w:tcW w:w="12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25.6 %</w:t>
            </w:r>
          </w:p>
        </w:tc>
        <w:tc>
          <w:tcPr>
            <w:tcW w:w="12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spacing w:after="0" w:line="3" w:lineRule="exact"/>
        <w:rPr>
          <w:rFonts w:ascii="Arial" w:cs="Arial" w:eastAsia="Arial" w:hAnsi="Arial"/>
          <w:sz w:val="16"/>
          <w:szCs w:val="16"/>
          <w:i w:val="1"/>
          <w:iCs w:val="1"/>
          <w:color w:val="auto"/>
          <w:vertAlign w:val="superscript"/>
        </w:rPr>
      </w:pPr>
    </w:p>
    <w:p>
      <w:pPr>
        <w:ind w:left="180" w:right="100" w:hanging="172"/>
        <w:spacing w:after="0" w:line="229" w:lineRule="auto"/>
        <w:tabs>
          <w:tab w:leader="none" w:pos="158"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 the firm despite being included in pre-tax income.</w:t>
      </w:r>
    </w:p>
    <w:p>
      <w:pPr>
        <w:spacing w:after="0" w:line="273" w:lineRule="exact"/>
        <w:rPr>
          <w:sz w:val="20"/>
          <w:szCs w:val="20"/>
          <w:color w:val="auto"/>
        </w:rPr>
      </w:pPr>
    </w:p>
    <w:p>
      <w:pPr>
        <w:ind w:right="200"/>
        <w:spacing w:after="0" w:line="369"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redeemable non-controlling interests. The firm's non-GAAP effective tax rate was 24.4% for Q3 2022 compared with 23.1% for Q3 2021. The increase in the non-GAAP tax rate compared with Q3 2021 is primarily attributable to the unfavorable impact of a reduction in the discrete tax benefits associated with the settlement of stock-based awards. The majority of the reduction in discrete tax benefits is due to a lower level of option and restricted stock settlements during Q3 2022 as compared to Q3 2021.</w:t>
      </w:r>
    </w:p>
    <w:p>
      <w:pPr>
        <w:spacing w:after="0" w:line="218"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The firm estimates that its effective tax rate for the full year 2022 will be in the range of 24% to 27%, on a U.S. GAAP basis, and 24% to 26%, on a non-GAAP basis.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6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Capital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9/30/2022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2,077.2</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30"/>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2"/>
          <w:szCs w:val="22"/>
          <w:color w:val="40AEFF"/>
        </w:rPr>
      </w:pPr>
      <w:r>
        <w:rPr>
          <w:rFonts w:ascii="Arial" w:cs="Arial" w:eastAsia="Arial" w:hAnsi="Arial"/>
          <w:sz w:val="18"/>
          <w:szCs w:val="18"/>
          <w:color w:val="auto"/>
        </w:rPr>
        <w:t>The firm's common shares outstanding were 223.9 million at September 30, 2022, compared to 229.2 million at the end of 2021.</w:t>
      </w:r>
    </w:p>
    <w:p>
      <w:pPr>
        <w:spacing w:after="0" w:line="139" w:lineRule="exact"/>
        <w:rPr>
          <w:rFonts w:ascii="Arial" w:cs="Arial" w:eastAsia="Arial" w:hAnsi="Arial"/>
          <w:sz w:val="22"/>
          <w:szCs w:val="22"/>
          <w:color w:val="40AEFF"/>
        </w:rPr>
      </w:pPr>
    </w:p>
    <w:p>
      <w:pPr>
        <w:ind w:left="340" w:right="200" w:hanging="332"/>
        <w:spacing w:after="0" w:line="341" w:lineRule="auto"/>
        <w:tabs>
          <w:tab w:leader="none" w:pos="336" w:val="left"/>
        </w:tabs>
        <w:numPr>
          <w:ilvl w:val="0"/>
          <w:numId w:val="33"/>
        </w:numPr>
        <w:rPr>
          <w:rFonts w:ascii="Arial" w:cs="Arial" w:eastAsia="Arial" w:hAnsi="Arial"/>
          <w:sz w:val="22"/>
          <w:szCs w:val="22"/>
          <w:color w:val="40AEFF"/>
        </w:rPr>
      </w:pPr>
      <w:r>
        <w:rPr>
          <w:rFonts w:ascii="Arial" w:cs="Arial" w:eastAsia="Arial" w:hAnsi="Arial"/>
          <w:sz w:val="18"/>
          <w:szCs w:val="18"/>
          <w:color w:val="auto"/>
        </w:rPr>
        <w:t>In the first nine months of 2022, the firm expended $744.0 million to repurchase 5.7 million shares, or 2.5%, of its outstanding common shares at an average price of $130.35, including $224.5 million to repurchase 1.9 million shares during Q3 2022.</w:t>
      </w:r>
    </w:p>
    <w:p>
      <w:pPr>
        <w:spacing w:after="0" w:line="34" w:lineRule="exact"/>
        <w:rPr>
          <w:rFonts w:ascii="Arial" w:cs="Arial" w:eastAsia="Arial" w:hAnsi="Arial"/>
          <w:sz w:val="22"/>
          <w:szCs w:val="22"/>
          <w:color w:val="40AEFF"/>
        </w:rPr>
      </w:pPr>
    </w:p>
    <w:p>
      <w:pPr>
        <w:ind w:left="340" w:right="280" w:hanging="332"/>
        <w:spacing w:after="0" w:line="379" w:lineRule="auto"/>
        <w:tabs>
          <w:tab w:leader="none" w:pos="336" w:val="left"/>
        </w:tabs>
        <w:numPr>
          <w:ilvl w:val="0"/>
          <w:numId w:val="33"/>
        </w:numPr>
        <w:rPr>
          <w:rFonts w:ascii="Arial" w:cs="Arial" w:eastAsia="Arial" w:hAnsi="Arial"/>
          <w:sz w:val="21"/>
          <w:szCs w:val="21"/>
          <w:color w:val="40AEFF"/>
        </w:rPr>
      </w:pPr>
      <w:r>
        <w:rPr>
          <w:rFonts w:ascii="Arial" w:cs="Arial" w:eastAsia="Arial" w:hAnsi="Arial"/>
          <w:sz w:val="17"/>
          <w:szCs w:val="17"/>
          <w:color w:val="auto"/>
        </w:rPr>
        <w:t>The firm invested $177.2 million during the first nine months of 2022 in capitalized facilities and technology. The firm currently expects capital expenditures, including internal labor capitalization, for 2022 to be about $250 million, of which more than three-quarters is planned for technology initiatives. These expenditures are expected to continue to be funded from the firm's operating resources.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066"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Investment Performance</w:t>
      </w:r>
      <w:r>
        <w:rPr>
          <w:rFonts w:ascii="Arial" w:cs="Arial" w:eastAsia="Arial" w:hAnsi="Arial"/>
          <w:sz w:val="23"/>
          <w:szCs w:val="23"/>
          <w:b w:val="1"/>
          <w:bCs w:val="1"/>
          <w:color w:val="auto"/>
          <w:vertAlign w:val="superscript"/>
        </w:rPr>
        <w:t>(1)</w:t>
      </w:r>
    </w:p>
    <w:p>
      <w:pPr>
        <w:spacing w:after="0" w:line="54" w:lineRule="exact"/>
        <w:rPr>
          <w:sz w:val="20"/>
          <w:szCs w:val="20"/>
          <w:color w:val="auto"/>
        </w:rPr>
      </w:pPr>
    </w:p>
    <w:p>
      <w:pPr>
        <w:ind w:right="80"/>
        <w:spacing w:after="0" w:line="384" w:lineRule="auto"/>
        <w:rPr>
          <w:sz w:val="20"/>
          <w:szCs w:val="20"/>
          <w:color w:val="auto"/>
        </w:rPr>
      </w:pPr>
      <w:r>
        <w:rPr>
          <w:rFonts w:ascii="Arial" w:cs="Arial" w:eastAsia="Arial" w:hAnsi="Arial"/>
          <w:sz w:val="18"/>
          <w:szCs w:val="18"/>
          <w:color w:val="auto"/>
        </w:rPr>
        <w:t>The following table presents investment performance for specific asset classes and AUM-weighted performance, mutual fund performance against passive peers, and composite performance against benchmarks for the one-, three-, five-, and 10-years ended September 30, 2022. Past performance is no guarantee of future results.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18%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109"/>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72%</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24%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36%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21%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49"/>
        </w:trPr>
        <w:tc>
          <w:tcPr>
            <w:tcW w:w="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01"/>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18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218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84%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97%</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74%</w:t>
            </w:r>
          </w:p>
        </w:tc>
      </w:tr>
      <w:tr>
        <w:trPr>
          <w:trHeight w:val="109"/>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2180" w:type="dxa"/>
            <w:vAlign w:val="bottom"/>
            <w:gridSpan w:val="2"/>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36%</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70%</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14%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bl>
    <w:p>
      <w:pPr>
        <w:spacing w:after="0" w:line="3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of September 30, 2022, 73 of 124 (58.9%)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72%</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September 30, 2022 with an overall rating of 4 or 5 stars.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61" w:right="339" w:bottom="1440" w:gutter="0" w:footer="0" w:header="0"/>
        </w:sectPr>
      </w:pPr>
    </w:p>
    <w:bookmarkStart w:id="58" w:name="page59"/>
    <w:bookmarkEnd w:id="58"/>
    <w:p>
      <w:pPr>
        <w:ind w:left="140" w:hanging="132"/>
        <w:spacing w:after="0"/>
        <w:tabs>
          <w:tab w:leader="none" w:pos="140" w:val="left"/>
        </w:tabs>
        <w:numPr>
          <w:ilvl w:val="0"/>
          <w:numId w:val="3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left="140" w:hanging="132"/>
        <w:spacing w:after="0"/>
        <w:tabs>
          <w:tab w:leader="none" w:pos="140"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Source: © 2022 Morningstar, Inc. All rights reserved. The information contained herein: 1) is proprietary to Morningstar and/or its content providers; 2) may not be copied or</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right="40" w:firstLine="8"/>
        <w:spacing w:after="0" w:line="229" w:lineRule="auto"/>
        <w:tabs>
          <w:tab w:leader="none" w:pos="154" w:val="left"/>
        </w:tabs>
        <w:numPr>
          <w:ilvl w:val="0"/>
          <w:numId w:val="35"/>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$297B for 1 year, $297B for 3 years, $297B for 5 years, and $291B for 10 years.</w:t>
      </w:r>
    </w:p>
    <w:p>
      <w:pPr>
        <w:spacing w:after="0" w:line="1" w:lineRule="exact"/>
        <w:rPr>
          <w:rFonts w:ascii="Arial" w:cs="Arial" w:eastAsia="Arial" w:hAnsi="Arial"/>
          <w:sz w:val="17"/>
          <w:szCs w:val="17"/>
          <w:i w:val="1"/>
          <w:iCs w:val="1"/>
          <w:color w:val="auto"/>
          <w:vertAlign w:val="superscript"/>
        </w:rPr>
      </w:pPr>
    </w:p>
    <w:p>
      <w:pPr>
        <w:ind w:right="40" w:firstLine="8"/>
        <w:spacing w:after="0" w:line="229" w:lineRule="auto"/>
        <w:tabs>
          <w:tab w:leader="none" w:pos="154"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$281B for 1 year, $279B for 3 years, $278B for 5 years, and $261B for 10 years.</w:t>
      </w:r>
    </w:p>
    <w:p>
      <w:pPr>
        <w:spacing w:after="0" w:line="1" w:lineRule="exact"/>
        <w:rPr>
          <w:rFonts w:ascii="Arial" w:cs="Arial" w:eastAsia="Arial" w:hAnsi="Arial"/>
          <w:sz w:val="9"/>
          <w:szCs w:val="9"/>
          <w:i w:val="1"/>
          <w:iCs w:val="1"/>
          <w:color w:val="auto"/>
        </w:rPr>
      </w:pPr>
    </w:p>
    <w:p>
      <w:pPr>
        <w:ind w:right="220" w:firstLine="8"/>
        <w:spacing w:after="0" w:line="231" w:lineRule="auto"/>
        <w:tabs>
          <w:tab w:leader="none" w:pos="140" w:val="left"/>
        </w:tabs>
        <w:numPr>
          <w:ilvl w:val="0"/>
          <w:numId w:val="35"/>
        </w:numPr>
        <w:rPr>
          <w:rFonts w:ascii="Arial" w:cs="Arial" w:eastAsia="Arial" w:hAnsi="Arial"/>
          <w:sz w:val="9"/>
          <w:szCs w:val="9"/>
          <w:i w:val="1"/>
          <w:iCs w:val="1"/>
          <w:color w:val="auto"/>
        </w:rPr>
      </w:pP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$1,081B for 1 year, $1,077B for 3 years, $1,065B for 5 years, and $1,033B for 10 years.</w:t>
      </w:r>
    </w:p>
    <w:p>
      <w:pPr>
        <w:spacing w:after="0" w:line="1" w:lineRule="exact"/>
        <w:rPr>
          <w:rFonts w:ascii="Arial" w:cs="Arial" w:eastAsia="Arial" w:hAnsi="Arial"/>
          <w:sz w:val="9"/>
          <w:szCs w:val="9"/>
          <w:i w:val="1"/>
          <w:iCs w:val="1"/>
          <w:color w:val="auto"/>
        </w:rPr>
      </w:pPr>
    </w:p>
    <w:p>
      <w:pPr>
        <w:ind w:right="80" w:firstLine="8"/>
        <w:spacing w:after="0" w:line="241" w:lineRule="auto"/>
        <w:tabs>
          <w:tab w:leader="none" w:pos="154" w:val="left"/>
        </w:tabs>
        <w:numPr>
          <w:ilvl w:val="0"/>
          <w:numId w:val="35"/>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ind w:right="460"/>
        <w:spacing w:after="0" w:line="367"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third quarter of 2022 with the U.S. Securities and Exchange Commission later today. The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10-Q will include additional information on the firm's unaudited consolidated financial statements at September 30, 2022.</w:t>
      </w:r>
    </w:p>
    <w:p>
      <w:pPr>
        <w:spacing w:after="0" w:line="347" w:lineRule="exact"/>
        <w:rPr>
          <w:sz w:val="20"/>
          <w:szCs w:val="20"/>
          <w:color w:val="auto"/>
        </w:rPr>
      </w:pPr>
    </w:p>
    <w:p>
      <w:pPr>
        <w:spacing w:after="0" w:line="368"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the timing and expense related to the integration of OHA with and into our business, general economic conditions, government actions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2021 Annual Report on Form 10-K.</w:t>
      </w:r>
    </w:p>
    <w:p>
      <w:pPr>
        <w:spacing w:after="0" w:line="208" w:lineRule="exact"/>
        <w:rPr>
          <w:sz w:val="20"/>
          <w:szCs w:val="20"/>
          <w:color w:val="auto"/>
        </w:rPr>
      </w:pPr>
    </w:p>
    <w:p>
      <w:pPr>
        <w:ind w:right="120"/>
        <w:spacing w:after="0" w:line="377"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29"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47"/>
        </w:trPr>
        <w:tc>
          <w:tcPr>
            <w:tcW w:w="410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5000" w:type="dxa"/>
            <w:vAlign w:val="bottom"/>
            <w:gridSpan w:val="3"/>
          </w:tcPr>
          <w:p>
            <w:pPr>
              <w:ind w:left="2280"/>
              <w:spacing w:after="0"/>
              <w:rPr>
                <w:sz w:val="20"/>
                <w:szCs w:val="20"/>
                <w:color w:val="auto"/>
              </w:rPr>
            </w:pPr>
            <w:r>
              <w:rPr>
                <w:rFonts w:ascii="Arial" w:cs="Arial" w:eastAsia="Arial" w:hAnsi="Arial"/>
                <w:sz w:val="18"/>
                <w:szCs w:val="18"/>
                <w:b w:val="1"/>
                <w:bCs w:val="1"/>
                <w:color w:val="054C70"/>
              </w:rPr>
              <w:t>Investor Relations</w:t>
            </w:r>
          </w:p>
        </w:tc>
      </w:tr>
      <w:tr>
        <w:trPr>
          <w:trHeight w:val="245"/>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6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Linsley Carruth</w:t>
            </w:r>
          </w:p>
        </w:tc>
        <w:tc>
          <w:tcPr>
            <w:tcW w:w="1160" w:type="dxa"/>
            <w:vAlign w:val="bottom"/>
          </w:tcPr>
          <w:p>
            <w:pPr>
              <w:spacing w:after="0"/>
              <w:rPr>
                <w:sz w:val="21"/>
                <w:szCs w:val="21"/>
                <w:color w:val="auto"/>
              </w:rPr>
            </w:pP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3B3B3B"/>
              </w:rPr>
              <w:t>410-345-2242</w:t>
            </w:r>
          </w:p>
        </w:tc>
        <w:tc>
          <w:tcPr>
            <w:tcW w:w="2680" w:type="dxa"/>
            <w:vAlign w:val="bottom"/>
          </w:tcPr>
          <w:p>
            <w:pPr>
              <w:spacing w:after="0"/>
              <w:rPr>
                <w:sz w:val="19"/>
                <w:szCs w:val="19"/>
                <w:color w:val="auto"/>
              </w:rPr>
            </w:pPr>
          </w:p>
        </w:tc>
        <w:tc>
          <w:tcPr>
            <w:tcW w:w="3840" w:type="dxa"/>
            <w:vAlign w:val="bottom"/>
            <w:gridSpan w:val="2"/>
          </w:tcPr>
          <w:p>
            <w:pPr>
              <w:ind w:left="2280"/>
              <w:spacing w:after="0"/>
              <w:rPr>
                <w:sz w:val="20"/>
                <w:szCs w:val="20"/>
                <w:color w:val="auto"/>
              </w:rPr>
            </w:pPr>
            <w:r>
              <w:rPr>
                <w:rFonts w:ascii="Arial" w:cs="Arial" w:eastAsia="Arial" w:hAnsi="Arial"/>
                <w:sz w:val="18"/>
                <w:szCs w:val="18"/>
                <w:color w:val="3B3B3B"/>
              </w:rPr>
              <w:t>410-345-3717</w:t>
            </w:r>
          </w:p>
        </w:tc>
        <w:tc>
          <w:tcPr>
            <w:tcW w:w="1160" w:type="dxa"/>
            <w:vAlign w:val="bottom"/>
          </w:tcPr>
          <w:p>
            <w:pPr>
              <w:spacing w:after="0"/>
              <w:rPr>
                <w:sz w:val="19"/>
                <w:szCs w:val="19"/>
                <w:color w:val="auto"/>
              </w:rPr>
            </w:pPr>
          </w:p>
        </w:tc>
      </w:tr>
      <w:tr>
        <w:trPr>
          <w:trHeight w:val="247"/>
        </w:trPr>
        <w:tc>
          <w:tcPr>
            <w:tcW w:w="20" w:type="dxa"/>
            <w:vAlign w:val="bottom"/>
          </w:tcPr>
          <w:p>
            <w:pPr>
              <w:spacing w:after="0"/>
              <w:rPr>
                <w:sz w:val="21"/>
                <w:szCs w:val="21"/>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5000" w:type="dxa"/>
            <w:vAlign w:val="bottom"/>
            <w:gridSpan w:val="3"/>
          </w:tcPr>
          <w:p>
            <w:pPr>
              <w:ind w:left="2280"/>
              <w:spacing w:after="0"/>
              <w:rPr>
                <w:sz w:val="20"/>
                <w:szCs w:val="20"/>
                <w:color w:val="auto"/>
              </w:rPr>
            </w:pPr>
            <w:r>
              <w:rPr>
                <w:rFonts w:ascii="Arial" w:cs="Arial" w:eastAsia="Arial" w:hAnsi="Arial"/>
                <w:sz w:val="18"/>
                <w:szCs w:val="18"/>
                <w:b w:val="1"/>
                <w:bCs w:val="1"/>
                <w:color w:val="054C70"/>
                <w:w w:val="98"/>
              </w:rPr>
              <w:t>linsley.carruth@troweprice.com</w:t>
            </w:r>
          </w:p>
        </w:tc>
      </w:tr>
      <w:tr>
        <w:trPr>
          <w:trHeight w:val="361"/>
        </w:trPr>
        <w:tc>
          <w:tcPr>
            <w:tcW w:w="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Kyle White</w:t>
            </w:r>
          </w:p>
        </w:tc>
        <w:tc>
          <w:tcPr>
            <w:tcW w:w="2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410-345-3797</w:t>
            </w:r>
          </w:p>
        </w:tc>
        <w:tc>
          <w:tcPr>
            <w:tcW w:w="2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7"/>
        </w:trPr>
        <w:tc>
          <w:tcPr>
            <w:tcW w:w="20" w:type="dxa"/>
            <w:vAlign w:val="bottom"/>
          </w:tcPr>
          <w:p>
            <w:pPr>
              <w:spacing w:after="0"/>
              <w:rPr>
                <w:sz w:val="21"/>
                <w:szCs w:val="21"/>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054C70"/>
              </w:rPr>
              <w:t>kyle.white@troweprice.com</w:t>
            </w:r>
          </w:p>
        </w:tc>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73"/>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80" w:type="dxa"/>
            <w:vAlign w:val="bottom"/>
          </w:tcPr>
          <w:p>
            <w:pPr>
              <w:jc w:val="right"/>
              <w:ind w:right="570"/>
              <w:spacing w:after="0"/>
              <w:rPr>
                <w:sz w:val="20"/>
                <w:szCs w:val="20"/>
                <w:color w:val="auto"/>
              </w:rPr>
            </w:pPr>
            <w:r>
              <w:rPr>
                <w:rFonts w:ascii="Arial" w:cs="Arial" w:eastAsia="Arial" w:hAnsi="Arial"/>
                <w:sz w:val="18"/>
                <w:szCs w:val="18"/>
                <w:color w:val="auto"/>
              </w:rPr>
              <w:t>11</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139"/>
          </w:cols>
          <w:pgMar w:left="320" w:top="1066"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4"/>
            <w:shd w:val="clear" w:color="auto" w:fill="CCEEFF"/>
          </w:tcPr>
          <w:p>
            <w:pPr>
              <w:ind w:left="80"/>
              <w:spacing w:after="0"/>
              <w:rPr>
                <w:sz w:val="20"/>
                <w:szCs w:val="20"/>
                <w:color w:val="auto"/>
              </w:rPr>
            </w:pPr>
            <w:r>
              <w:rPr>
                <w:rFonts w:ascii="Arial" w:cs="Arial" w:eastAsia="Arial" w:hAnsi="Arial"/>
                <w:sz w:val="14"/>
                <w:szCs w:val="14"/>
                <w:color w:val="auto"/>
              </w:rPr>
              <w:t>Three months ended</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4"/>
            <w:shd w:val="clear" w:color="auto" w:fill="CCEEFF"/>
          </w:tcPr>
          <w:p>
            <w:pPr>
              <w:jc w:val="right"/>
              <w:ind w:right="4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9/30/2022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9/30/2021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6/30/2022</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9/30/2022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9/30/2021</w:t>
            </w: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Investment advisory fees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1,442.0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1,496.7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5,288.4</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Capital allocation-based income</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Administrative, distribution, and servicing fees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421.8</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Arial" w:cs="Arial" w:eastAsia="Arial" w:hAnsi="Arial"/>
                <w:sz w:val="14"/>
                <w:szCs w:val="14"/>
                <w:b w:val="1"/>
                <w:bCs w:val="1"/>
                <w:color w:val="auto"/>
              </w:rPr>
              <w:t>Net revenues</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1,588.2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1,954.1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1,513.0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4,964.2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5,710.2</w:t>
            </w:r>
          </w:p>
        </w:tc>
        <w:tc>
          <w:tcPr>
            <w:tcW w:w="0" w:type="dxa"/>
            <w:vAlign w:val="bottom"/>
          </w:tcPr>
          <w:p>
            <w:pPr>
              <w:spacing w:after="0"/>
              <w:rPr>
                <w:sz w:val="1"/>
                <w:szCs w:val="1"/>
                <w:color w:val="auto"/>
              </w:rPr>
            </w:pPr>
          </w:p>
        </w:tc>
      </w:tr>
      <w:tr>
        <w:trPr>
          <w:trHeight w:val="95"/>
        </w:trPr>
        <w:tc>
          <w:tcPr>
            <w:tcW w:w="4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680" w:type="dxa"/>
            <w:vAlign w:val="bottom"/>
            <w:shd w:val="clear" w:color="auto" w:fill="CCEEFF"/>
          </w:tcPr>
          <w:p>
            <w:pPr>
              <w:ind w:left="220"/>
              <w:spacing w:after="0" w:line="154" w:lineRule="exact"/>
              <w:rPr>
                <w:sz w:val="20"/>
                <w:szCs w:val="20"/>
                <w:color w:val="auto"/>
              </w:rPr>
            </w:pPr>
            <w:r>
              <w:rPr>
                <w:rFonts w:ascii="Arial" w:cs="Arial" w:eastAsia="Arial" w:hAnsi="Arial"/>
                <w:sz w:val="14"/>
                <w:szCs w:val="14"/>
                <w:color w:val="auto"/>
              </w:rPr>
              <w:t>Compensation and related costs, excluding acquisition-related</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8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retention agreements, capital allocation-based income compensation,</w:t>
            </w:r>
          </w:p>
        </w:tc>
        <w:tc>
          <w:tcPr>
            <w:tcW w:w="2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595.6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589.8</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1,692.3</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supplemental savings plan</w:t>
            </w: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20"/>
              <w:spacing w:after="0"/>
              <w:rPr>
                <w:sz w:val="20"/>
                <w:szCs w:val="20"/>
                <w:color w:val="auto"/>
              </w:rPr>
            </w:pPr>
            <w:r>
              <w:rPr>
                <w:rFonts w:ascii="Arial" w:cs="Arial" w:eastAsia="Arial" w:hAnsi="Arial"/>
                <w:sz w:val="14"/>
                <w:szCs w:val="14"/>
                <w:color w:val="auto"/>
              </w:rPr>
              <w:t>Acquisition-related retention agreements</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allocation-based income compensation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Supplemental savings plan</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 and related costs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588.1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1,751.9</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Distribution and servicing</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75.7</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Advertising and promotion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Product and recordkeeping related costs</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76.3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 occupancy, and facility costs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0" w:type="dxa"/>
            <w:vAlign w:val="bottom"/>
          </w:tcPr>
          <w:p>
            <w:pPr>
              <w:spacing w:after="0"/>
              <w:rPr>
                <w:sz w:val="1"/>
                <w:szCs w:val="1"/>
                <w:color w:val="auto"/>
              </w:rPr>
            </w:pPr>
          </w:p>
        </w:tc>
      </w:tr>
      <w:tr>
        <w:trPr>
          <w:trHeight w:val="198"/>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1,013.6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957.9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844.4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2,843.6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2,862.7</w:t>
            </w:r>
          </w:p>
        </w:tc>
        <w:tc>
          <w:tcPr>
            <w:tcW w:w="0" w:type="dxa"/>
            <w:vAlign w:val="bottom"/>
          </w:tcPr>
          <w:p>
            <w:pPr>
              <w:spacing w:after="0"/>
              <w:rPr>
                <w:sz w:val="1"/>
                <w:szCs w:val="1"/>
                <w:color w:val="auto"/>
              </w:rPr>
            </w:pPr>
          </w:p>
        </w:tc>
      </w:tr>
      <w:tr>
        <w:trPr>
          <w:trHeight w:val="75"/>
        </w:trPr>
        <w:tc>
          <w:tcPr>
            <w:tcW w:w="4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668.6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2,847.5</w:t>
            </w:r>
          </w:p>
        </w:tc>
        <w:tc>
          <w:tcPr>
            <w:tcW w:w="0" w:type="dxa"/>
            <w:vAlign w:val="bottom"/>
          </w:tcPr>
          <w:p>
            <w:pPr>
              <w:spacing w:after="0"/>
              <w:rPr>
                <w:sz w:val="1"/>
                <w:szCs w:val="1"/>
                <w:color w:val="auto"/>
              </w:rPr>
            </w:pPr>
          </w:p>
        </w:tc>
      </w:tr>
      <w:tr>
        <w:trPr>
          <w:trHeight w:val="95"/>
        </w:trPr>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140"/>
              <w:spacing w:after="0"/>
              <w:rPr>
                <w:sz w:val="20"/>
                <w:szCs w:val="20"/>
                <w:color w:val="auto"/>
              </w:rPr>
            </w:pPr>
            <w:r>
              <w:rPr>
                <w:rFonts w:ascii="Arial" w:cs="Arial" w:eastAsia="Arial" w:hAnsi="Arial"/>
                <w:sz w:val="14"/>
                <w:szCs w:val="14"/>
                <w:color w:val="auto"/>
              </w:rPr>
              <w:t>Net gains (losses) on investments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(169.9)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99"/>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(loss)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234.5</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3,082.0</w:t>
            </w:r>
          </w:p>
        </w:tc>
        <w:tc>
          <w:tcPr>
            <w:tcW w:w="0" w:type="dxa"/>
            <w:vAlign w:val="bottom"/>
          </w:tcPr>
          <w:p>
            <w:pPr>
              <w:spacing w:after="0"/>
              <w:rPr>
                <w:sz w:val="1"/>
                <w:szCs w:val="1"/>
                <w:color w:val="auto"/>
              </w:rPr>
            </w:pPr>
          </w:p>
        </w:tc>
      </w:tr>
      <w:tr>
        <w:trPr>
          <w:trHeight w:val="19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100.9</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717.1</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2,364.9</w:t>
            </w:r>
          </w:p>
        </w:tc>
        <w:tc>
          <w:tcPr>
            <w:tcW w:w="0" w:type="dxa"/>
            <w:vAlign w:val="bottom"/>
          </w:tcPr>
          <w:p>
            <w:pPr>
              <w:spacing w:after="0"/>
              <w:rPr>
                <w:sz w:val="1"/>
                <w:szCs w:val="1"/>
                <w:color w:val="auto"/>
              </w:rPr>
            </w:pPr>
          </w:p>
        </w:tc>
      </w:tr>
      <w:tr>
        <w:trPr>
          <w:trHeight w:val="153"/>
        </w:trPr>
        <w:tc>
          <w:tcPr>
            <w:tcW w:w="4680" w:type="dxa"/>
            <w:vAlign w:val="bottom"/>
          </w:tcPr>
          <w:p>
            <w:pPr>
              <w:ind w:left="100"/>
              <w:spacing w:after="0" w:line="153" w:lineRule="exact"/>
              <w:rPr>
                <w:sz w:val="20"/>
                <w:szCs w:val="20"/>
                <w:color w:val="auto"/>
              </w:rPr>
            </w:pPr>
            <w:r>
              <w:rPr>
                <w:rFonts w:ascii="Arial" w:cs="Arial" w:eastAsia="Arial" w:hAnsi="Arial"/>
                <w:sz w:val="14"/>
                <w:szCs w:val="14"/>
                <w:color w:val="auto"/>
              </w:rPr>
              <w:t>Less: net income (loss) attributable to redeemable non-controlling</w:t>
            </w: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5"/>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 Rowe Price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339.6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2,342.3</w:t>
            </w:r>
          </w:p>
        </w:tc>
        <w:tc>
          <w:tcPr>
            <w:tcW w:w="0" w:type="dxa"/>
            <w:vAlign w:val="bottom"/>
          </w:tcPr>
          <w:p>
            <w:pPr>
              <w:spacing w:after="0"/>
              <w:rPr>
                <w:sz w:val="1"/>
                <w:szCs w:val="1"/>
                <w:color w:val="auto"/>
              </w:rPr>
            </w:pPr>
          </w:p>
        </w:tc>
      </w:tr>
      <w:tr>
        <w:trPr>
          <w:trHeight w:val="153"/>
        </w:trPr>
        <w:tc>
          <w:tcPr>
            <w:tcW w:w="4680" w:type="dxa"/>
            <w:vAlign w:val="bottom"/>
          </w:tcPr>
          <w:p>
            <w:pPr>
              <w:ind w:left="100"/>
              <w:spacing w:after="0" w:line="153" w:lineRule="exact"/>
              <w:rPr>
                <w:sz w:val="20"/>
                <w:szCs w:val="20"/>
                <w:color w:val="auto"/>
              </w:rPr>
            </w:pPr>
            <w:r>
              <w:rPr>
                <w:rFonts w:ascii="Arial" w:cs="Arial" w:eastAsia="Arial" w:hAnsi="Arial"/>
                <w:sz w:val="14"/>
                <w:szCs w:val="14"/>
                <w:color w:val="auto"/>
              </w:rPr>
              <w:t>Less: net income allocated to outstanding restricted stock and stock</w:t>
            </w:r>
          </w:p>
        </w:tc>
        <w:tc>
          <w:tcPr>
            <w:tcW w:w="22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85"/>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unit holders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allocated to T. Rowe Price common stockholders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375.2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332.2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2,280.7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Diluted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common shares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rPr>
                <w:sz w:val="20"/>
                <w:szCs w:val="20"/>
                <w:color w:val="auto"/>
              </w:rPr>
            </w:pPr>
            <w:r>
              <w:rPr>
                <w:rFonts w:ascii="Arial" w:cs="Arial" w:eastAsia="Arial" w:hAnsi="Arial"/>
                <w:sz w:val="14"/>
                <w:szCs w:val="14"/>
                <w:color w:val="auto"/>
              </w:rPr>
              <w:t>Outstanding</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226.7</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 assuming dilution</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3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presents investment advisory revenues for the three and nine months ended September 30,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5"/>
            <w:shd w:val="clear" w:color="auto" w:fill="CCEEFF"/>
          </w:tcPr>
          <w:p>
            <w:pPr>
              <w:jc w:val="center"/>
              <w:ind w:right="200"/>
              <w:spacing w:after="0"/>
              <w:rPr>
                <w:sz w:val="20"/>
                <w:szCs w:val="20"/>
                <w:color w:val="auto"/>
              </w:rPr>
            </w:pPr>
            <w:r>
              <w:rPr>
                <w:rFonts w:ascii="Arial" w:cs="Arial" w:eastAsia="Arial" w:hAnsi="Arial"/>
                <w:sz w:val="14"/>
                <w:szCs w:val="14"/>
                <w:color w:val="auto"/>
              </w:rPr>
              <w:t>Three months ended</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gridSpan w:val="7"/>
            <w:shd w:val="clear" w:color="auto" w:fill="CCEEFF"/>
          </w:tcPr>
          <w:p>
            <w:pPr>
              <w:ind w:left="460"/>
              <w:spacing w:after="0"/>
              <w:rPr>
                <w:sz w:val="20"/>
                <w:szCs w:val="20"/>
                <w:color w:val="auto"/>
              </w:rPr>
            </w:pPr>
            <w:r>
              <w:rPr>
                <w:rFonts w:ascii="Arial" w:cs="Arial" w:eastAsia="Arial" w:hAnsi="Arial"/>
                <w:sz w:val="14"/>
                <w:szCs w:val="14"/>
                <w:color w:val="auto"/>
              </w:rPr>
              <w:t>Nine months ended</w:t>
            </w:r>
          </w:p>
        </w:tc>
      </w:tr>
      <w:tr>
        <w:trPr>
          <w:trHeight w:val="192"/>
        </w:trPr>
        <w:tc>
          <w:tcPr>
            <w:tcW w:w="6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9/30/2022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9/30/2021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9/30/2022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9/30/2021</w:t>
            </w:r>
          </w:p>
        </w:tc>
        <w:tc>
          <w:tcPr>
            <w:tcW w:w="40" w:type="dxa"/>
            <w:vAlign w:val="bottom"/>
            <w:tcBorders>
              <w:bottom w:val="single" w:sz="8" w:color="auto"/>
            </w:tcBorders>
          </w:tcPr>
          <w:p>
            <w:pPr>
              <w:spacing w:after="0"/>
              <w:rPr>
                <w:sz w:val="16"/>
                <w:szCs w:val="16"/>
                <w:color w:val="auto"/>
              </w:rPr>
            </w:pPr>
          </w:p>
        </w:tc>
      </w:tr>
      <w:tr>
        <w:trPr>
          <w:trHeight w:val="187"/>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580.1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813.0</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1,876.5</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2,310.8</w:t>
            </w:r>
          </w:p>
        </w:tc>
        <w:tc>
          <w:tcPr>
            <w:tcW w:w="40" w:type="dxa"/>
            <w:vAlign w:val="bottom"/>
          </w:tcPr>
          <w:p>
            <w:pPr>
              <w:spacing w:after="0"/>
              <w:rPr>
                <w:sz w:val="17"/>
                <w:szCs w:val="17"/>
                <w:color w:val="auto"/>
              </w:rPr>
            </w:pPr>
          </w:p>
        </w:tc>
      </w:tr>
      <w:tr>
        <w:trPr>
          <w:trHeight w:val="206"/>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40" w:type="dxa"/>
            <w:vAlign w:val="bottom"/>
            <w:shd w:val="clear" w:color="auto" w:fill="CCEEFF"/>
          </w:tcPr>
          <w:p>
            <w:pPr>
              <w:spacing w:after="0"/>
              <w:rPr>
                <w:sz w:val="17"/>
                <w:szCs w:val="17"/>
                <w:color w:val="auto"/>
              </w:rPr>
            </w:pPr>
          </w:p>
        </w:tc>
      </w:tr>
      <w:tr>
        <w:trPr>
          <w:trHeight w:val="199"/>
        </w:trPr>
        <w:tc>
          <w:tcPr>
            <w:tcW w:w="6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778.7</w:t>
            </w:r>
          </w:p>
        </w:tc>
        <w:tc>
          <w:tcPr>
            <w:tcW w:w="40" w:type="dxa"/>
            <w:vAlign w:val="bottom"/>
            <w:tcBorders>
              <w:bottom w:val="single" w:sz="8" w:color="auto"/>
            </w:tcBorders>
          </w:tcPr>
          <w:p>
            <w:pPr>
              <w:spacing w:after="0"/>
              <w:rPr>
                <w:sz w:val="17"/>
                <w:szCs w:val="17"/>
                <w:color w:val="auto"/>
              </w:rPr>
            </w:pPr>
          </w:p>
        </w:tc>
      </w:tr>
      <w:tr>
        <w:trPr>
          <w:trHeight w:val="200"/>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3,273.2</w:t>
            </w:r>
          </w:p>
        </w:tc>
        <w:tc>
          <w:tcPr>
            <w:tcW w:w="40" w:type="dxa"/>
            <w:vAlign w:val="bottom"/>
            <w:tcBorders>
              <w:bottom w:val="single" w:sz="8" w:color="auto"/>
            </w:tcBorders>
            <w:shd w:val="clear" w:color="auto" w:fill="CCEEFF"/>
          </w:tcPr>
          <w:p>
            <w:pPr>
              <w:spacing w:after="0"/>
              <w:rPr>
                <w:sz w:val="17"/>
                <w:szCs w:val="17"/>
                <w:color w:val="auto"/>
              </w:rPr>
            </w:pPr>
          </w:p>
        </w:tc>
      </w:tr>
      <w:tr>
        <w:trPr>
          <w:trHeight w:val="133"/>
        </w:trPr>
        <w:tc>
          <w:tcPr>
            <w:tcW w:w="6000" w:type="dxa"/>
            <w:vAlign w:val="bottom"/>
            <w:gridSpan w:val="8"/>
          </w:tcPr>
          <w:p>
            <w:pPr>
              <w:ind w:left="20"/>
              <w:spacing w:after="0" w:line="133" w:lineRule="exact"/>
              <w:rPr>
                <w:sz w:val="20"/>
                <w:szCs w:val="20"/>
                <w:color w:val="auto"/>
              </w:rPr>
            </w:pPr>
            <w:r>
              <w:rPr>
                <w:rFonts w:ascii="Arial" w:cs="Arial" w:eastAsia="Arial" w:hAnsi="Arial"/>
                <w:sz w:val="14"/>
                <w:szCs w:val="14"/>
                <w:color w:val="auto"/>
              </w:rPr>
              <w:t>Subadvised funds, separate accounts, collective investment trusts, and other investment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5"/>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458.8</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1,329.0</w:t>
            </w:r>
          </w:p>
        </w:tc>
        <w:tc>
          <w:tcPr>
            <w:tcW w:w="40" w:type="dxa"/>
            <w:vAlign w:val="bottom"/>
            <w:shd w:val="clear" w:color="auto" w:fill="CCEEFF"/>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119.6</w:t>
            </w:r>
          </w:p>
        </w:tc>
        <w:tc>
          <w:tcPr>
            <w:tcW w:w="40" w:type="dxa"/>
            <w:vAlign w:val="bottom"/>
          </w:tcPr>
          <w:p>
            <w:pPr>
              <w:spacing w:after="0"/>
              <w:rPr>
                <w:sz w:val="17"/>
                <w:szCs w:val="17"/>
                <w:color w:val="auto"/>
              </w:rPr>
            </w:pPr>
          </w:p>
        </w:tc>
      </w:tr>
      <w:tr>
        <w:trPr>
          <w:trHeight w:val="207"/>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w:t>
            </w:r>
          </w:p>
        </w:tc>
        <w:tc>
          <w:tcPr>
            <w:tcW w:w="40" w:type="dxa"/>
            <w:vAlign w:val="bottom"/>
            <w:shd w:val="clear" w:color="auto" w:fill="CCEEFF"/>
          </w:tcPr>
          <w:p>
            <w:pPr>
              <w:spacing w:after="0"/>
              <w:rPr>
                <w:sz w:val="17"/>
                <w:szCs w:val="17"/>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Alternatives</w:t>
            </w: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6"/>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1,906.4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2,015.2</w:t>
            </w:r>
          </w:p>
        </w:tc>
        <w:tc>
          <w:tcPr>
            <w:tcW w:w="40" w:type="dxa"/>
            <w:vAlign w:val="bottom"/>
            <w:tcBorders>
              <w:bottom w:val="single" w:sz="8" w:color="auto"/>
            </w:tcBorders>
            <w:shd w:val="clear" w:color="auto" w:fill="CCEEFF"/>
          </w:tcPr>
          <w:p>
            <w:pPr>
              <w:spacing w:after="0"/>
              <w:rPr>
                <w:sz w:val="17"/>
                <w:szCs w:val="17"/>
                <w:color w:val="auto"/>
              </w:rPr>
            </w:pPr>
          </w:p>
        </w:tc>
      </w:tr>
      <w:tr>
        <w:trPr>
          <w:trHeight w:val="240"/>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Total investment advisory revenues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1,813.4</w:t>
            </w:r>
          </w:p>
        </w:tc>
        <w:tc>
          <w:tcPr>
            <w:tcW w:w="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4,600.8</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5,288.4</w:t>
            </w:r>
          </w:p>
        </w:tc>
        <w:tc>
          <w:tcPr>
            <w:tcW w:w="40" w:type="dxa"/>
            <w:vAlign w:val="bottom"/>
            <w:tcBorders>
              <w:bottom w:val="single" w:sz="8" w:color="auto"/>
            </w:tcBorders>
          </w:tcPr>
          <w:p>
            <w:pPr>
              <w:spacing w:after="0"/>
              <w:rPr>
                <w:sz w:val="20"/>
                <w:szCs w:val="20"/>
                <w:color w:val="auto"/>
              </w:rPr>
            </w:pPr>
          </w:p>
        </w:tc>
      </w:tr>
      <w:tr>
        <w:trPr>
          <w:trHeight w:val="332"/>
        </w:trPr>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3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420" w:type="dxa"/>
            <w:vAlign w:val="bottom"/>
            <w:tcBorders>
              <w:bottom w:val="single" w:sz="8" w:color="auto"/>
            </w:tcBorders>
            <w:gridSpan w:val="6"/>
            <w:shd w:val="clear" w:color="auto" w:fill="CCEEFF"/>
          </w:tcPr>
          <w:p>
            <w:pPr>
              <w:ind w:left="560"/>
              <w:spacing w:after="0"/>
              <w:rPr>
                <w:sz w:val="20"/>
                <w:szCs w:val="20"/>
                <w:color w:val="auto"/>
              </w:rPr>
            </w:pPr>
            <w:r>
              <w:rPr>
                <w:rFonts w:ascii="Arial" w:cs="Arial" w:eastAsia="Arial" w:hAnsi="Arial"/>
                <w:sz w:val="14"/>
                <w:szCs w:val="14"/>
                <w:color w:val="auto"/>
              </w:rPr>
              <w:t>Average during</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color w:val="auto"/>
              </w:rPr>
              <w:t>Nine months ended</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5"/>
          </w:tcPr>
          <w:p>
            <w:pPr>
              <w:jc w:val="right"/>
              <w:spacing w:after="0"/>
              <w:rPr>
                <w:sz w:val="20"/>
                <w:szCs w:val="20"/>
                <w:color w:val="auto"/>
              </w:rPr>
            </w:pPr>
            <w:r>
              <w:rPr>
                <w:rFonts w:ascii="Arial" w:cs="Arial" w:eastAsia="Arial" w:hAnsi="Arial"/>
                <w:sz w:val="14"/>
                <w:szCs w:val="14"/>
                <w:color w:val="auto"/>
              </w:rPr>
              <w:t>As of</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0"/>
        </w:trPr>
        <w:tc>
          <w:tcPr>
            <w:tcW w:w="6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9/30/2022</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9/30/2021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9/30/2022</w:t>
            </w: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9/30/2021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9/30/2022</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12/31/2021</w:t>
            </w:r>
          </w:p>
        </w:tc>
        <w:tc>
          <w:tcPr>
            <w:tcW w:w="40" w:type="dxa"/>
            <w:vAlign w:val="bottom"/>
          </w:tcPr>
          <w:p>
            <w:pPr>
              <w:spacing w:after="0"/>
              <w:rPr>
                <w:sz w:val="17"/>
                <w:szCs w:val="17"/>
                <w:color w:val="auto"/>
              </w:rPr>
            </w:pPr>
          </w:p>
        </w:tc>
      </w:tr>
      <w:tr>
        <w:trPr>
          <w:trHeight w:val="178"/>
        </w:trPr>
        <w:tc>
          <w:tcPr>
            <w:tcW w:w="6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7"/>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534.0</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365.2</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553.9</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85.6</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228.5</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232.2</w:t>
            </w:r>
          </w:p>
        </w:tc>
        <w:tc>
          <w:tcPr>
            <w:tcW w:w="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848.1</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614.5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871.4</w:t>
            </w:r>
          </w:p>
        </w:tc>
        <w:tc>
          <w:tcPr>
            <w:tcW w:w="40" w:type="dxa"/>
            <w:vAlign w:val="bottom"/>
          </w:tcPr>
          <w:p>
            <w:pPr>
              <w:spacing w:after="0"/>
              <w:rPr>
                <w:sz w:val="17"/>
                <w:szCs w:val="17"/>
                <w:color w:val="auto"/>
              </w:rPr>
            </w:pPr>
          </w:p>
        </w:tc>
      </w:tr>
      <w:tr>
        <w:trPr>
          <w:trHeight w:val="79"/>
        </w:trPr>
        <w:tc>
          <w:tcPr>
            <w:tcW w:w="60" w:type="dxa"/>
            <w:vAlign w:val="bottom"/>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148"/>
        </w:trPr>
        <w:tc>
          <w:tcPr>
            <w:tcW w:w="60" w:type="dxa"/>
            <w:vAlign w:val="bottom"/>
          </w:tcPr>
          <w:p>
            <w:pPr>
              <w:spacing w:after="0"/>
              <w:rPr>
                <w:sz w:val="12"/>
                <w:szCs w:val="12"/>
                <w:color w:val="auto"/>
              </w:rPr>
            </w:pPr>
          </w:p>
        </w:tc>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Subadvised funds, separate accounts, collective</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6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investment trusts, and other investment products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427.3</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438.8</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92.1</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7"/>
                <w:szCs w:val="17"/>
                <w:color w:val="auto"/>
              </w:rPr>
            </w:pPr>
          </w:p>
        </w:tc>
      </w:tr>
      <w:tr>
        <w:trPr>
          <w:trHeight w:val="207"/>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213.8</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245.5</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Alternatives</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708.6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615.5</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816.4</w:t>
            </w:r>
          </w:p>
        </w:tc>
        <w:tc>
          <w:tcPr>
            <w:tcW w:w="40" w:type="dxa"/>
            <w:vAlign w:val="bottom"/>
          </w:tcPr>
          <w:p>
            <w:pPr>
              <w:spacing w:after="0"/>
              <w:rPr>
                <w:sz w:val="17"/>
                <w:szCs w:val="17"/>
                <w:color w:val="auto"/>
              </w:rPr>
            </w:pPr>
          </w:p>
        </w:tc>
      </w:tr>
      <w:tr>
        <w:trPr>
          <w:trHeight w:val="240"/>
        </w:trPr>
        <w:tc>
          <w:tcPr>
            <w:tcW w:w="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Total assets under management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1,347.5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1,581.3</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1,687.8</w:t>
            </w:r>
          </w:p>
        </w:tc>
        <w:tc>
          <w:tcPr>
            <w:tcW w:w="4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annualized effective fee rates for the 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p>
      <w:pPr>
        <w:spacing w:after="0" w:line="302" w:lineRule="exact"/>
        <w:rPr>
          <w:sz w:val="20"/>
          <w:szCs w:val="20"/>
          <w:color w:val="auto"/>
        </w:rPr>
      </w:pPr>
    </w:p>
    <w:p>
      <w:pPr>
        <w:ind w:left="20" w:right="900"/>
        <w:spacing w:after="0" w:line="273" w:lineRule="auto"/>
        <w:rPr>
          <w:sz w:val="20"/>
          <w:szCs w:val="20"/>
          <w:color w:val="auto"/>
        </w:rPr>
      </w:pPr>
      <w:r>
        <w:rPr>
          <w:rFonts w:ascii="Arial" w:cs="Arial" w:eastAsia="Arial" w:hAnsi="Arial"/>
          <w:sz w:val="14"/>
          <w:szCs w:val="14"/>
          <w:b w:val="1"/>
          <w:bCs w:val="1"/>
          <w:color w:val="auto"/>
        </w:rPr>
        <w:t>Annualized effective fee rates (in basis points)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advisory fee rate</w:t>
      </w:r>
    </w:p>
    <w:p>
      <w:pPr>
        <w:spacing w:after="0" w:line="42" w:lineRule="exact"/>
        <w:rPr>
          <w:sz w:val="20"/>
          <w:szCs w:val="20"/>
          <w:color w:val="auto"/>
        </w:rPr>
      </w:pPr>
    </w:p>
    <w:p>
      <w:pPr>
        <w:ind w:left="20"/>
        <w:spacing w:after="0" w:line="264" w:lineRule="auto"/>
        <w:rPr>
          <w:sz w:val="20"/>
          <w:szCs w:val="20"/>
          <w:color w:val="auto"/>
        </w:rPr>
      </w:pPr>
      <w:r>
        <w:rPr>
          <w:rFonts w:ascii="Arial" w:cs="Arial" w:eastAsia="Arial" w:hAnsi="Arial"/>
          <w:sz w:val="14"/>
          <w:szCs w:val="14"/>
          <w:color w:val="auto"/>
        </w:rPr>
        <w:t>Investment advisory fee rate, including capital allocation-based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color w:val="auto"/>
              </w:rPr>
              <w:t>Three months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color w:val="auto"/>
              </w:rPr>
              <w:t>Nine months ended</w:t>
            </w:r>
          </w:p>
        </w:tc>
        <w:tc>
          <w:tcPr>
            <w:tcW w:w="820" w:type="dxa"/>
            <w:vAlign w:val="bottom"/>
            <w:tcBorders>
              <w:bottom w:val="single" w:sz="8" w:color="auto"/>
            </w:tcBorders>
          </w:tcPr>
          <w:p>
            <w:pPr>
              <w:spacing w:after="0"/>
              <w:rPr>
                <w:sz w:val="16"/>
                <w:szCs w:val="16"/>
                <w:color w:val="auto"/>
              </w:rPr>
            </w:pPr>
          </w:p>
        </w:tc>
      </w:tr>
      <w:tr>
        <w:trPr>
          <w:trHeight w:val="196"/>
        </w:trPr>
        <w:tc>
          <w:tcPr>
            <w:tcW w:w="960" w:type="dxa"/>
            <w:vAlign w:val="bottom"/>
          </w:tcPr>
          <w:p>
            <w:pPr>
              <w:jc w:val="right"/>
              <w:ind w:right="85"/>
              <w:spacing w:after="0"/>
              <w:rPr>
                <w:sz w:val="20"/>
                <w:szCs w:val="20"/>
                <w:color w:val="auto"/>
              </w:rPr>
            </w:pPr>
            <w:r>
              <w:rPr>
                <w:rFonts w:ascii="Arial" w:cs="Arial" w:eastAsia="Arial" w:hAnsi="Arial"/>
                <w:sz w:val="14"/>
                <w:szCs w:val="14"/>
                <w:color w:val="auto"/>
              </w:rPr>
              <w:t>9/30/2022</w:t>
            </w:r>
          </w:p>
        </w:tc>
        <w:tc>
          <w:tcPr>
            <w:tcW w:w="80" w:type="dxa"/>
            <w:vAlign w:val="bottom"/>
          </w:tcPr>
          <w:p>
            <w:pPr>
              <w:spacing w:after="0"/>
              <w:rPr>
                <w:sz w:val="17"/>
                <w:szCs w:val="17"/>
                <w:color w:val="auto"/>
              </w:rPr>
            </w:pPr>
          </w:p>
        </w:tc>
        <w:tc>
          <w:tcPr>
            <w:tcW w:w="960" w:type="dxa"/>
            <w:vAlign w:val="bottom"/>
          </w:tcPr>
          <w:p>
            <w:pPr>
              <w:jc w:val="right"/>
              <w:ind w:right="86"/>
              <w:spacing w:after="0"/>
              <w:rPr>
                <w:sz w:val="20"/>
                <w:szCs w:val="20"/>
                <w:color w:val="auto"/>
              </w:rPr>
            </w:pPr>
            <w:r>
              <w:rPr>
                <w:rFonts w:ascii="Arial" w:cs="Arial" w:eastAsia="Arial" w:hAnsi="Arial"/>
                <w:sz w:val="14"/>
                <w:szCs w:val="14"/>
                <w:color w:val="auto"/>
              </w:rPr>
              <w:t>9/30/2021</w:t>
            </w:r>
          </w:p>
        </w:tc>
        <w:tc>
          <w:tcPr>
            <w:tcW w:w="100" w:type="dxa"/>
            <w:vAlign w:val="bottom"/>
          </w:tcPr>
          <w:p>
            <w:pPr>
              <w:spacing w:after="0"/>
              <w:rPr>
                <w:sz w:val="17"/>
                <w:szCs w:val="17"/>
                <w:color w:val="auto"/>
              </w:rPr>
            </w:pPr>
          </w:p>
        </w:tc>
        <w:tc>
          <w:tcPr>
            <w:tcW w:w="100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7"/>
                <w:szCs w:val="17"/>
                <w:color w:val="auto"/>
              </w:rPr>
            </w:pPr>
          </w:p>
        </w:tc>
        <w:tc>
          <w:tcPr>
            <w:tcW w:w="820" w:type="dxa"/>
            <w:vAlign w:val="bottom"/>
          </w:tcPr>
          <w:p>
            <w:pPr>
              <w:jc w:val="right"/>
              <w:ind w:right="65"/>
              <w:spacing w:after="0"/>
              <w:rPr>
                <w:sz w:val="20"/>
                <w:szCs w:val="20"/>
                <w:color w:val="auto"/>
              </w:rPr>
            </w:pPr>
            <w:r>
              <w:rPr>
                <w:rFonts w:ascii="Arial" w:cs="Arial" w:eastAsia="Arial" w:hAnsi="Arial"/>
                <w:sz w:val="14"/>
                <w:szCs w:val="14"/>
                <w:color w:val="auto"/>
              </w:rPr>
              <w:t>6/30/2022</w:t>
            </w:r>
          </w:p>
        </w:tc>
        <w:tc>
          <w:tcPr>
            <w:tcW w:w="100" w:type="dxa"/>
            <w:vAlign w:val="bottom"/>
          </w:tcPr>
          <w:p>
            <w:pPr>
              <w:spacing w:after="0"/>
              <w:rPr>
                <w:sz w:val="17"/>
                <w:szCs w:val="17"/>
                <w:color w:val="auto"/>
              </w:rPr>
            </w:pPr>
          </w:p>
        </w:tc>
        <w:tc>
          <w:tcPr>
            <w:tcW w:w="100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 change</w:t>
            </w:r>
          </w:p>
        </w:tc>
        <w:tc>
          <w:tcPr>
            <w:tcW w:w="940" w:type="dxa"/>
            <w:vAlign w:val="bottom"/>
          </w:tcPr>
          <w:p>
            <w:pPr>
              <w:jc w:val="right"/>
              <w:ind w:right="86"/>
              <w:spacing w:after="0"/>
              <w:rPr>
                <w:sz w:val="20"/>
                <w:szCs w:val="20"/>
                <w:color w:val="auto"/>
              </w:rPr>
            </w:pPr>
            <w:r>
              <w:rPr>
                <w:rFonts w:ascii="Arial" w:cs="Arial" w:eastAsia="Arial" w:hAnsi="Arial"/>
                <w:sz w:val="14"/>
                <w:szCs w:val="14"/>
                <w:color w:val="auto"/>
              </w:rPr>
              <w:t>9/30/2022</w:t>
            </w:r>
          </w:p>
        </w:tc>
        <w:tc>
          <w:tcPr>
            <w:tcW w:w="100" w:type="dxa"/>
            <w:vAlign w:val="bottom"/>
          </w:tcPr>
          <w:p>
            <w:pPr>
              <w:spacing w:after="0"/>
              <w:rPr>
                <w:sz w:val="17"/>
                <w:szCs w:val="17"/>
                <w:color w:val="auto"/>
              </w:rPr>
            </w:pPr>
          </w:p>
        </w:tc>
        <w:tc>
          <w:tcPr>
            <w:tcW w:w="960" w:type="dxa"/>
            <w:vAlign w:val="bottom"/>
          </w:tcPr>
          <w:p>
            <w:pPr>
              <w:jc w:val="right"/>
              <w:ind w:right="85"/>
              <w:spacing w:after="0"/>
              <w:rPr>
                <w:sz w:val="20"/>
                <w:szCs w:val="20"/>
                <w:color w:val="auto"/>
              </w:rPr>
            </w:pPr>
            <w:r>
              <w:rPr>
                <w:rFonts w:ascii="Arial" w:cs="Arial" w:eastAsia="Arial" w:hAnsi="Arial"/>
                <w:sz w:val="14"/>
                <w:szCs w:val="14"/>
                <w:color w:val="auto"/>
              </w:rPr>
              <w:t>9/30/2021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color w:val="auto"/>
              </w:rPr>
              <w:t>% change</w:t>
            </w:r>
          </w:p>
        </w:tc>
      </w:tr>
      <w:tr>
        <w:trPr>
          <w:trHeight w:val="198"/>
        </w:trPr>
        <w:tc>
          <w:tcPr>
            <w:tcW w:w="9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42.5</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43.6</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2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20" w:type="dxa"/>
            <w:vAlign w:val="bottom"/>
            <w:tcBorders>
              <w:right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w:t>
            </w:r>
          </w:p>
        </w:tc>
      </w:tr>
      <w:tr>
        <w:trPr>
          <w:trHeight w:val="340"/>
        </w:trPr>
        <w:tc>
          <w:tcPr>
            <w:tcW w:w="960" w:type="dxa"/>
            <w:vAlign w:val="bottom"/>
          </w:tcPr>
          <w:p>
            <w:pPr>
              <w:jc w:val="right"/>
              <w:ind w:right="5"/>
              <w:spacing w:after="0"/>
              <w:rPr>
                <w:sz w:val="20"/>
                <w:szCs w:val="20"/>
                <w:color w:val="auto"/>
              </w:rPr>
            </w:pPr>
            <w:r>
              <w:rPr>
                <w:rFonts w:ascii="Arial" w:cs="Arial" w:eastAsia="Arial" w:hAnsi="Arial"/>
                <w:sz w:val="15"/>
                <w:szCs w:val="15"/>
                <w:color w:val="auto"/>
              </w:rPr>
              <w:t>42.5</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43.6</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39.1</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8.7 %</w:t>
            </w:r>
          </w:p>
        </w:tc>
        <w:tc>
          <w:tcPr>
            <w:tcW w:w="120" w:type="dxa"/>
            <w:vAlign w:val="bottom"/>
            <w:tcBorders>
              <w:right w:val="single" w:sz="8" w:color="auto"/>
            </w:tcBorders>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24"/>
                <w:szCs w:val="24"/>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-351155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940" w:space="180"/>
            <w:col w:w="8120"/>
          </w:cols>
          <w:pgMar w:left="320" w:top="10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066" w:right="339" w:bottom="1440" w:gutter="0" w:footer="0" w:header="0"/>
          <w:type w:val="continuous"/>
        </w:sectPr>
      </w:pPr>
    </w:p>
    <w:bookmarkStart w:id="62" w:name="page63"/>
    <w:bookmarkEnd w:id="62"/>
    <w:p>
      <w:pPr>
        <w:ind w:right="120"/>
        <w:spacing w:after="0" w:line="355" w:lineRule="auto"/>
        <w:rPr>
          <w:sz w:val="20"/>
          <w:szCs w:val="20"/>
          <w:color w:val="auto"/>
        </w:rPr>
      </w:pPr>
      <w:r>
        <w:rPr>
          <w:rFonts w:ascii="Arial" w:cs="Arial" w:eastAsia="Arial" w:hAnsi="Arial"/>
          <w:sz w:val="18"/>
          <w:szCs w:val="18"/>
          <w:color w:val="auto"/>
        </w:rPr>
        <w:t>The components of the change in assets under management, by vehicle and asset class, are shown in the tables below for the nine months ended September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6"/>
            <w:shd w:val="clear" w:color="auto" w:fill="CCEEFF"/>
          </w:tcPr>
          <w:p>
            <w:pPr>
              <w:ind w:left="380"/>
              <w:spacing w:after="0"/>
              <w:rPr>
                <w:sz w:val="20"/>
                <w:szCs w:val="20"/>
                <w:color w:val="auto"/>
              </w:rPr>
            </w:pPr>
            <w:r>
              <w:rPr>
                <w:rFonts w:ascii="Arial" w:cs="Arial" w:eastAsia="Arial" w:hAnsi="Arial"/>
                <w:sz w:val="14"/>
                <w:szCs w:val="14"/>
                <w:color w:val="auto"/>
              </w:rPr>
              <w:t>Nine months ended 9/30/2022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Subadvised funds</w:t>
            </w:r>
          </w:p>
        </w:tc>
        <w:tc>
          <w:tcPr>
            <w:tcW w:w="20" w:type="dxa"/>
            <w:vAlign w:val="bottom"/>
          </w:tcPr>
          <w:p>
            <w:pPr>
              <w:spacing w:after="0"/>
              <w:rPr>
                <w:sz w:val="12"/>
                <w:szCs w:val="12"/>
                <w:color w:val="auto"/>
              </w:rPr>
            </w:pPr>
          </w:p>
        </w:tc>
        <w:tc>
          <w:tcPr>
            <w:tcW w:w="1520" w:type="dxa"/>
            <w:vAlign w:val="bottom"/>
            <w:gridSpan w:val="3"/>
          </w:tcPr>
          <w:p>
            <w:pPr>
              <w:jc w:val="center"/>
              <w:ind w:right="80"/>
              <w:spacing w:after="0" w:line="147" w:lineRule="exact"/>
              <w:rPr>
                <w:sz w:val="20"/>
                <w:szCs w:val="20"/>
                <w:color w:val="auto"/>
              </w:rPr>
            </w:pPr>
            <w:r>
              <w:rPr>
                <w:rFonts w:ascii="Arial" w:cs="Arial" w:eastAsia="Arial" w:hAnsi="Arial"/>
                <w:sz w:val="14"/>
                <w:szCs w:val="14"/>
                <w:color w:val="auto"/>
              </w:rPr>
              <w:t>Collective investment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4"/>
            <w:vMerge w:val="restart"/>
          </w:tcPr>
          <w:p>
            <w:pPr>
              <w:ind w:left="100"/>
              <w:spacing w:after="0"/>
              <w:rPr>
                <w:sz w:val="20"/>
                <w:szCs w:val="20"/>
                <w:color w:val="auto"/>
              </w:rPr>
            </w:pPr>
            <w:r>
              <w:rPr>
                <w:rFonts w:ascii="Arial" w:cs="Arial" w:eastAsia="Arial" w:hAnsi="Arial"/>
                <w:sz w:val="14"/>
                <w:szCs w:val="14"/>
                <w:color w:val="auto"/>
              </w:rPr>
              <w:t>U.S. mutual funds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and separate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rPr>
              <w:t>trusts and other</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accounts</w:t>
            </w:r>
          </w:p>
        </w:tc>
        <w:tc>
          <w:tcPr>
            <w:tcW w:w="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437.1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Client transfers</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(412.4)</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(130.6)</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8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(457.8)</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September 30, 2022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306.5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gridSpan w:val="9"/>
            <w:shd w:val="clear" w:color="auto" w:fill="CCEEFF"/>
          </w:tcPr>
          <w:p>
            <w:pPr>
              <w:jc w:val="right"/>
              <w:spacing w:after="0"/>
              <w:rPr>
                <w:sz w:val="20"/>
                <w:szCs w:val="20"/>
                <w:color w:val="auto"/>
              </w:rPr>
            </w:pPr>
            <w:r>
              <w:rPr>
                <w:rFonts w:ascii="Arial" w:cs="Arial" w:eastAsia="Arial" w:hAnsi="Arial"/>
                <w:sz w:val="14"/>
                <w:szCs w:val="14"/>
                <w:color w:val="auto"/>
              </w:rPr>
              <w:t>Nine months ended 9/30/2022</w:t>
            </w:r>
          </w:p>
        </w:tc>
        <w:tc>
          <w:tcPr>
            <w:tcW w:w="12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200"/>
              <w:spacing w:after="0" w:line="151" w:lineRule="exact"/>
              <w:rPr>
                <w:sz w:val="20"/>
                <w:szCs w:val="20"/>
                <w:color w:val="auto"/>
              </w:rPr>
            </w:pPr>
            <w:r>
              <w:rPr>
                <w:rFonts w:ascii="Arial" w:cs="Arial" w:eastAsia="Arial" w:hAnsi="Arial"/>
                <w:sz w:val="14"/>
                <w:szCs w:val="14"/>
                <w:color w:val="auto"/>
              </w:rPr>
              <w:t>Fixed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rPr>
              <w:t>including money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rPr>
              <w:t>Multi-asset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rPr>
              <w:t>Alternatives</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color w:val="auto"/>
              </w:rPr>
              <w:t>market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(457.8)</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Assets under management at September 30, 2022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components of net cash flows after client transfers, by vehicle and asset class, are shown in the table below for the three and nine months ended September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rPr>
              <w:t>Three months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85"/>
        </w:trPr>
        <w:tc>
          <w:tcPr>
            <w:tcW w:w="8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ended</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9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billions)</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color w:val="auto"/>
              </w:rPr>
              <w:t>9/30/2022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rPr>
              <w:t>9/30/2022</w:t>
            </w:r>
          </w:p>
        </w:tc>
        <w:tc>
          <w:tcPr>
            <w:tcW w:w="0" w:type="dxa"/>
            <w:vAlign w:val="bottom"/>
          </w:tcPr>
          <w:p>
            <w:pPr>
              <w:spacing w:after="0"/>
              <w:rPr>
                <w:sz w:val="1"/>
                <w:szCs w:val="1"/>
                <w:color w:val="auto"/>
              </w:rPr>
            </w:pPr>
          </w:p>
        </w:tc>
      </w:tr>
      <w:tr>
        <w:trPr>
          <w:trHeight w:val="184"/>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Equity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0"/>
        </w:trPr>
        <w:tc>
          <w:tcPr>
            <w:tcW w:w="8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78"/>
        </w:trPr>
        <w:tc>
          <w:tcPr>
            <w:tcW w:w="8720" w:type="dxa"/>
            <w:vAlign w:val="bottom"/>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Alternatives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0"/>
        </w:trPr>
        <w:tc>
          <w:tcPr>
            <w:tcW w:w="8720" w:type="dxa"/>
            <w:vAlign w:val="bottom"/>
          </w:tcPr>
          <w:p>
            <w:pPr>
              <w:ind w:left="20"/>
              <w:spacing w:after="0"/>
              <w:rPr>
                <w:sz w:val="20"/>
                <w:szCs w:val="20"/>
                <w:color w:val="auto"/>
              </w:rPr>
            </w:pPr>
            <w:r>
              <w:rPr>
                <w:rFonts w:ascii="Arial" w:cs="Arial" w:eastAsia="Arial" w:hAnsi="Arial"/>
                <w:sz w:val="14"/>
                <w:szCs w:val="14"/>
                <w:color w:val="auto"/>
              </w:rPr>
              <w:t>Total net cash flows after client transfers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6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 (in millions)</w:t>
            </w:r>
          </w:p>
        </w:tc>
        <w:tc>
          <w:tcPr>
            <w:tcW w:w="200" w:type="dxa"/>
            <w:vAlign w:val="bottom"/>
            <w:shd w:val="clear" w:color="auto" w:fill="CCEEFF"/>
          </w:tcPr>
          <w:p>
            <w:pPr>
              <w:spacing w:after="0"/>
              <w:rPr>
                <w:sz w:val="17"/>
                <w:szCs w:val="17"/>
                <w:color w:val="auto"/>
              </w:rPr>
            </w:pPr>
          </w:p>
        </w:tc>
        <w:tc>
          <w:tcPr>
            <w:tcW w:w="2440" w:type="dxa"/>
            <w:vAlign w:val="bottom"/>
            <w:tcBorders>
              <w:right w:val="single" w:sz="8" w:color="auto"/>
            </w:tcBorders>
            <w:gridSpan w:val="5"/>
            <w:shd w:val="clear" w:color="auto" w:fill="CCEEFF"/>
          </w:tcPr>
          <w:p>
            <w:pPr>
              <w:ind w:left="400"/>
              <w:spacing w:after="0"/>
              <w:rPr>
                <w:sz w:val="20"/>
                <w:szCs w:val="20"/>
                <w:color w:val="auto"/>
              </w:rPr>
            </w:pPr>
            <w:r>
              <w:rPr>
                <w:rFonts w:ascii="Arial" w:cs="Arial" w:eastAsia="Arial" w:hAnsi="Arial"/>
                <w:sz w:val="14"/>
                <w:szCs w:val="14"/>
                <w:color w:val="auto"/>
              </w:rPr>
              <w:t>Three months ended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20" w:type="dxa"/>
            <w:vAlign w:val="bottom"/>
            <w:gridSpan w:val="4"/>
            <w:shd w:val="clear" w:color="auto" w:fill="CCEEFF"/>
          </w:tcPr>
          <w:p>
            <w:pPr>
              <w:jc w:val="right"/>
              <w:ind w:right="568"/>
              <w:spacing w:after="0"/>
              <w:rPr>
                <w:sz w:val="20"/>
                <w:szCs w:val="20"/>
                <w:color w:val="auto"/>
              </w:rPr>
            </w:pPr>
            <w:r>
              <w:rPr>
                <w:rFonts w:ascii="Arial" w:cs="Arial" w:eastAsia="Arial" w:hAnsi="Arial"/>
                <w:sz w:val="14"/>
                <w:szCs w:val="14"/>
                <w:color w:val="auto"/>
              </w:rPr>
              <w:t>Nine months ended</w:t>
            </w:r>
          </w:p>
        </w:tc>
      </w:tr>
      <w:tr>
        <w:trPr>
          <w:trHeight w:val="192"/>
        </w:trPr>
        <w:tc>
          <w:tcPr>
            <w:tcW w:w="60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9/30/2022</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9/30/2021</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9/30/2022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9/30/2021</w:t>
            </w:r>
          </w:p>
        </w:tc>
      </w:tr>
      <w:tr>
        <w:trPr>
          <w:trHeight w:val="187"/>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8"/>
        </w:trPr>
        <w:tc>
          <w:tcPr>
            <w:tcW w:w="600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98"/>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200"/>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net gains (losses) from cash and discretionary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w:t>
            </w:r>
          </w:p>
        </w:tc>
      </w:tr>
      <w:tr>
        <w:trPr>
          <w:trHeight w:val="198"/>
        </w:trPr>
        <w:tc>
          <w:tcPr>
            <w:tcW w:w="600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6000" w:type="dxa"/>
            <w:vAlign w:val="bottom"/>
          </w:tcPr>
          <w:p>
            <w:pPr>
              <w:ind w:left="22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07"/>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recognized upon deconsolidation</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98"/>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r>
      <w:tr>
        <w:trPr>
          <w:trHeight w:val="20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117.5</w:t>
            </w:r>
          </w:p>
        </w:tc>
      </w:tr>
      <w:tr>
        <w:trPr>
          <w:trHeight w:val="198"/>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 income</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r>
      <w:tr>
        <w:trPr>
          <w:trHeight w:val="20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165.0</w:t>
            </w:r>
          </w:p>
        </w:tc>
      </w:tr>
      <w:tr>
        <w:trPr>
          <w:trHeight w:val="198"/>
        </w:trPr>
        <w:tc>
          <w:tcPr>
            <w:tcW w:w="600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portfolios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75.7</w:t>
            </w:r>
          </w:p>
        </w:tc>
      </w:t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 including foreign currency gains and losses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40"/>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(561.2)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42" w:lineRule="exact"/>
        <w:rPr>
          <w:sz w:val="20"/>
          <w:szCs w:val="20"/>
          <w:color w:val="auto"/>
        </w:rPr>
      </w:pPr>
    </w:p>
    <w:p>
      <w:pPr>
        <w:ind w:left="6380"/>
        <w:spacing w:after="0"/>
        <w:rPr>
          <w:sz w:val="20"/>
          <w:szCs w:val="20"/>
          <w:color w:val="auto"/>
        </w:rPr>
      </w:pPr>
      <w:r>
        <w:rPr>
          <w:rFonts w:ascii="Arial" w:cs="Arial" w:eastAsia="Arial" w:hAnsi="Arial"/>
          <w:sz w:val="14"/>
          <w:szCs w:val="14"/>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line="231" w:lineRule="auto"/>
        <w:rPr>
          <w:sz w:val="20"/>
          <w:szCs w:val="20"/>
          <w:color w:val="auto"/>
        </w:rPr>
      </w:pPr>
      <w:r>
        <w:rPr>
          <w:rFonts w:ascii="Arial" w:cs="Arial" w:eastAsia="Arial" w:hAnsi="Arial"/>
          <w:sz w:val="14"/>
          <w:szCs w:val="14"/>
          <w:color w:val="auto"/>
        </w:rPr>
        <w:t>Cash provided by (used in) operating activities, including $185.7 of stock-based</w:t>
      </w:r>
    </w:p>
    <w:p>
      <w:pPr>
        <w:spacing w:after="0" w:line="1" w:lineRule="exact"/>
        <w:rPr>
          <w:sz w:val="20"/>
          <w:szCs w:val="20"/>
          <w:color w:val="auto"/>
        </w:rPr>
      </w:pPr>
    </w:p>
    <w:p>
      <w:pPr>
        <w:ind w:left="20" w:right="500"/>
        <w:spacing w:after="0" w:line="211" w:lineRule="auto"/>
        <w:rPr>
          <w:sz w:val="20"/>
          <w:szCs w:val="20"/>
          <w:color w:val="auto"/>
        </w:rPr>
      </w:pPr>
      <w:r>
        <w:rPr>
          <w:rFonts w:ascii="Arial" w:cs="Arial" w:eastAsia="Arial" w:hAnsi="Arial"/>
          <w:sz w:val="14"/>
          <w:szCs w:val="14"/>
          <w:color w:val="auto"/>
        </w:rPr>
        <w:t>compensation expense, $166.0 of depreciation expense, $158.4 of</w:t>
      </w:r>
    </w:p>
    <w:p>
      <w:pPr>
        <w:ind w:left="20"/>
        <w:spacing w:after="0" w:line="222" w:lineRule="auto"/>
        <w:rPr>
          <w:sz w:val="20"/>
          <w:szCs w:val="20"/>
          <w:color w:val="auto"/>
        </w:rPr>
      </w:pPr>
      <w:r>
        <w:rPr>
          <w:rFonts w:ascii="Arial" w:cs="Arial" w:eastAsia="Arial" w:hAnsi="Arial"/>
          <w:sz w:val="14"/>
          <w:szCs w:val="14"/>
          <w:color w:val="auto"/>
        </w:rPr>
        <w:t>amortization of acquisition-related assets</w:t>
      </w:r>
    </w:p>
    <w:p>
      <w:pPr>
        <w:ind w:left="20"/>
        <w:spacing w:after="0" w:line="211" w:lineRule="auto"/>
        <w:rPr>
          <w:sz w:val="20"/>
          <w:szCs w:val="20"/>
          <w:color w:val="auto"/>
        </w:rPr>
      </w:pPr>
      <w:r>
        <w:rPr>
          <w:rFonts w:ascii="Arial" w:cs="Arial" w:eastAsia="Arial" w:hAnsi="Arial"/>
          <w:sz w:val="14"/>
          <w:szCs w:val="14"/>
          <w:color w:val="auto"/>
        </w:rPr>
        <w:t>and retention arrangements, and $(125.7) of a fair value remeasurement of the</w:t>
      </w:r>
    </w:p>
    <w:p>
      <w:pPr>
        <w:ind w:left="20"/>
        <w:spacing w:after="0"/>
        <w:rPr>
          <w:sz w:val="20"/>
          <w:szCs w:val="20"/>
          <w:color w:val="auto"/>
        </w:rPr>
      </w:pPr>
      <w:r>
        <w:rPr>
          <w:rFonts w:ascii="Arial" w:cs="Arial" w:eastAsia="Arial" w:hAnsi="Arial"/>
          <w:sz w:val="14"/>
          <w:szCs w:val="14"/>
          <w:color w:val="auto"/>
        </w:rPr>
        <w:t>contingent consideration liability in 2022</w:t>
      </w:r>
    </w:p>
    <w:p>
      <w:pPr>
        <w:spacing w:after="0" w:line="15" w:lineRule="exact"/>
        <w:rPr>
          <w:sz w:val="20"/>
          <w:szCs w:val="20"/>
          <w:color w:val="auto"/>
        </w:rPr>
      </w:pPr>
    </w:p>
    <w:p>
      <w:pPr>
        <w:ind w:left="20" w:right="60"/>
        <w:spacing w:after="0" w:line="230" w:lineRule="auto"/>
        <w:rPr>
          <w:sz w:val="20"/>
          <w:szCs w:val="20"/>
          <w:color w:val="auto"/>
        </w:rPr>
      </w:pPr>
      <w:r>
        <w:rPr>
          <w:rFonts w:ascii="Arial" w:cs="Arial" w:eastAsia="Arial" w:hAnsi="Arial"/>
          <w:sz w:val="14"/>
          <w:szCs w:val="14"/>
          <w:color w:val="auto"/>
        </w:rPr>
        <w:t>Cash provided by (used in) investing activities, including $(177.2) for additions</w:t>
      </w:r>
    </w:p>
    <w:p>
      <w:pPr>
        <w:spacing w:after="0" w:line="1" w:lineRule="exact"/>
        <w:rPr>
          <w:sz w:val="20"/>
          <w:szCs w:val="20"/>
          <w:color w:val="auto"/>
        </w:rPr>
      </w:pPr>
    </w:p>
    <w:p>
      <w:pPr>
        <w:ind w:left="20" w:right="40"/>
        <w:spacing w:after="0" w:line="211" w:lineRule="auto"/>
        <w:rPr>
          <w:sz w:val="20"/>
          <w:szCs w:val="20"/>
          <w:color w:val="auto"/>
        </w:rPr>
      </w:pPr>
      <w:r>
        <w:rPr>
          <w:rFonts w:ascii="Arial" w:cs="Arial" w:eastAsia="Arial" w:hAnsi="Arial"/>
          <w:sz w:val="14"/>
          <w:szCs w:val="14"/>
          <w:color w:val="auto"/>
        </w:rPr>
        <w:t>to property, equipment and software, net, $(47.7) of purchases and $160.8 of</w:t>
      </w:r>
    </w:p>
    <w:p>
      <w:pPr>
        <w:ind w:left="20" w:right="280"/>
        <w:spacing w:after="0" w:line="242" w:lineRule="auto"/>
        <w:rPr>
          <w:sz w:val="20"/>
          <w:szCs w:val="20"/>
          <w:color w:val="auto"/>
        </w:rPr>
      </w:pPr>
      <w:r>
        <w:rPr>
          <w:rFonts w:ascii="Arial" w:cs="Arial" w:eastAsia="Arial" w:hAnsi="Arial"/>
          <w:sz w:val="14"/>
          <w:szCs w:val="14"/>
          <w:color w:val="auto"/>
        </w:rPr>
        <w:t>dispositions in investment products in 2022</w:t>
      </w:r>
    </w:p>
    <w:p>
      <w:pPr>
        <w:ind w:left="20" w:right="320"/>
        <w:spacing w:after="0" w:line="230" w:lineRule="auto"/>
        <w:rPr>
          <w:sz w:val="20"/>
          <w:szCs w:val="20"/>
          <w:color w:val="auto"/>
        </w:rPr>
      </w:pPr>
      <w:r>
        <w:rPr>
          <w:rFonts w:ascii="Arial" w:cs="Arial" w:eastAsia="Arial" w:hAnsi="Arial"/>
          <w:sz w:val="14"/>
          <w:szCs w:val="14"/>
          <w:color w:val="auto"/>
        </w:rPr>
        <w:t>Cash provided by (used in) financing activities, including T. Rowe Price</w:t>
      </w:r>
    </w:p>
    <w:p>
      <w:pPr>
        <w:spacing w:after="0" w:line="1" w:lineRule="exact"/>
        <w:rPr>
          <w:sz w:val="20"/>
          <w:szCs w:val="20"/>
          <w:color w:val="auto"/>
        </w:rPr>
      </w:pPr>
    </w:p>
    <w:p>
      <w:pPr>
        <w:ind w:left="20" w:right="200"/>
        <w:spacing w:after="0" w:line="231" w:lineRule="auto"/>
        <w:rPr>
          <w:sz w:val="20"/>
          <w:szCs w:val="20"/>
          <w:color w:val="auto"/>
        </w:rPr>
      </w:pPr>
      <w:r>
        <w:rPr>
          <w:rFonts w:ascii="Arial" w:cs="Arial" w:eastAsia="Arial" w:hAnsi="Arial"/>
          <w:sz w:val="14"/>
          <w:szCs w:val="14"/>
          <w:color w:val="auto"/>
        </w:rPr>
        <w:t>common stock repurchases of $727.9* and dividends paid of $832.4 in 2022</w:t>
      </w:r>
    </w:p>
    <w:p>
      <w:pPr>
        <w:spacing w:after="0" w:line="14" w:lineRule="exact"/>
        <w:rPr>
          <w:sz w:val="20"/>
          <w:szCs w:val="20"/>
          <w:color w:val="auto"/>
        </w:rPr>
      </w:pPr>
    </w:p>
    <w:p>
      <w:pPr>
        <w:ind w:left="20" w:right="40"/>
        <w:spacing w:after="0" w:line="252"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 w:lineRule="exact"/>
        <w:rPr>
          <w:sz w:val="20"/>
          <w:szCs w:val="20"/>
          <w:color w:val="auto"/>
        </w:rPr>
      </w:pPr>
    </w:p>
    <w:p>
      <w:pPr>
        <w:ind w:left="20" w:right="40"/>
        <w:spacing w:after="0" w:line="263"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rPr>
              <w:t>9/30/2022</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rPr>
              <w:t>9/30/2021</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Cash flow</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Cash flow</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attributable to</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attributable to</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Cash flow</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Arial" w:cs="Arial" w:eastAsia="Arial" w:hAnsi="Arial"/>
                <w:sz w:val="14"/>
                <w:szCs w:val="14"/>
                <w:color w:val="auto"/>
              </w:rPr>
              <w:t>T. Rowe Price</w:t>
            </w:r>
          </w:p>
        </w:tc>
        <w:tc>
          <w:tcPr>
            <w:tcW w:w="140" w:type="dxa"/>
            <w:vAlign w:val="bottom"/>
          </w:tcPr>
          <w:p>
            <w:pPr>
              <w:spacing w:after="0"/>
              <w:rPr>
                <w:sz w:val="12"/>
                <w:szCs w:val="12"/>
                <w:color w:val="auto"/>
              </w:rPr>
            </w:pPr>
          </w:p>
        </w:tc>
        <w:tc>
          <w:tcPr>
            <w:tcW w:w="128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color w:val="auto"/>
              </w:rPr>
              <w:t>As reported 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39" w:lineRule="exact"/>
              <w:rPr>
                <w:sz w:val="20"/>
                <w:szCs w:val="20"/>
                <w:color w:val="auto"/>
              </w:rPr>
            </w:pPr>
            <w:r>
              <w:rPr>
                <w:rFonts w:ascii="Arial" w:cs="Arial" w:eastAsia="Arial" w:hAnsi="Arial"/>
                <w:sz w:val="14"/>
                <w:szCs w:val="14"/>
                <w:color w:val="auto"/>
              </w:rPr>
              <w:t>T. Rowe Price</w:t>
            </w:r>
          </w:p>
        </w:tc>
        <w:tc>
          <w:tcPr>
            <w:tcW w:w="140" w:type="dxa"/>
            <w:vAlign w:val="bottom"/>
          </w:tcPr>
          <w:p>
            <w:pPr>
              <w:spacing w:after="0"/>
              <w:rPr>
                <w:sz w:val="12"/>
                <w:szCs w:val="12"/>
                <w:color w:val="auto"/>
              </w:rPr>
            </w:pPr>
          </w:p>
        </w:tc>
        <w:tc>
          <w:tcPr>
            <w:tcW w:w="1160" w:type="dxa"/>
            <w:vAlign w:val="bottom"/>
            <w:vMerge w:val="restart"/>
          </w:tcPr>
          <w:p>
            <w:pPr>
              <w:jc w:val="center"/>
              <w:ind w:right="68"/>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attributable to T.</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products, net of</w:t>
            </w:r>
          </w:p>
        </w:tc>
        <w:tc>
          <w:tcPr>
            <w:tcW w:w="1420" w:type="dxa"/>
            <w:vAlign w:val="bottom"/>
            <w:tcBorders>
              <w:right w:val="single" w:sz="8" w:color="auto"/>
            </w:tcBorders>
            <w:gridSpan w:val="3"/>
          </w:tcPr>
          <w:p>
            <w:pPr>
              <w:jc w:val="center"/>
              <w:ind w:right="120"/>
              <w:spacing w:after="0" w:line="145" w:lineRule="exact"/>
              <w:rPr>
                <w:sz w:val="20"/>
                <w:szCs w:val="20"/>
                <w:color w:val="auto"/>
              </w:rPr>
            </w:pPr>
            <w:r>
              <w:rPr>
                <w:rFonts w:ascii="Arial" w:cs="Arial" w:eastAsia="Arial" w:hAnsi="Arial"/>
                <w:sz w:val="14"/>
                <w:szCs w:val="14"/>
                <w:color w:val="auto"/>
              </w:rPr>
              <w:t>statement of 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products, net of</w:t>
            </w: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color w:val="auto"/>
              </w:rPr>
              <w:t>statement of cash</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flows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color w:val="auto"/>
              </w:rPr>
              <w:t>flows</w:t>
            </w:r>
          </w:p>
        </w:tc>
        <w:tc>
          <w:tcPr>
            <w:tcW w:w="0" w:type="dxa"/>
            <w:vAlign w:val="bottom"/>
          </w:tcPr>
          <w:p>
            <w:pPr>
              <w:spacing w:after="0"/>
              <w:rPr>
                <w:sz w:val="1"/>
                <w:szCs w:val="1"/>
                <w:color w:val="auto"/>
              </w:rPr>
            </w:pPr>
          </w:p>
        </w:tc>
      </w:tr>
      <w:tr>
        <w:trPr>
          <w:trHeight w:val="1180"/>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2,452.8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2,494.6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3,072.6</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3,090.7</w:t>
            </w:r>
          </w:p>
        </w:tc>
        <w:tc>
          <w:tcPr>
            <w:tcW w:w="0" w:type="dxa"/>
            <w:vAlign w:val="bottom"/>
          </w:tcPr>
          <w:p>
            <w:pPr>
              <w:spacing w:after="0"/>
              <w:rPr>
                <w:sz w:val="1"/>
                <w:szCs w:val="1"/>
                <w:color w:val="auto"/>
              </w:rPr>
            </w:pPr>
          </w:p>
        </w:tc>
      </w:tr>
      <w:tr>
        <w:trPr>
          <w:trHeight w:val="918"/>
        </w:trPr>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(69.5)</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635"/>
        </w:trPr>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(1,554.9)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(1,616.7)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(1,913.8)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(1,891.1)</w:t>
            </w: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3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843.2</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820.2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1,266.8</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-2193925</wp:posOffset>
            </wp:positionV>
            <wp:extent cx="7132320" cy="762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76263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-848360</wp:posOffset>
            </wp:positionV>
            <wp:extent cx="7132320" cy="403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-231140</wp:posOffset>
            </wp:positionV>
            <wp:extent cx="713232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680" w:space="60"/>
            <w:col w:w="8500"/>
          </w:cols>
          <w:pgMar w:left="320" w:top="1058"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58" w:right="339" w:bottom="1440" w:gutter="0" w:footer="0" w:header="0"/>
          <w:type w:val="continuous"/>
        </w:sectPr>
      </w:pPr>
    </w:p>
    <w:bookmarkStart w:id="64" w:name="page65"/>
    <w:bookmarkEnd w:id="64"/>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Unaudited Condensed Consolidated Balance Sheet Information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23495</wp:posOffset>
            </wp:positionV>
            <wp:extent cx="17913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8940" w:space="720"/>
            <w:col w:w="1560"/>
          </w:cols>
          <w:pgMar w:left="320" w:top="1062" w:right="35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 of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and intangible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Contingent consideration</w:t>
      </w:r>
    </w:p>
    <w:p>
      <w:pPr>
        <w:spacing w:after="0" w:line="42"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Total other liabilities, includes $47.5 at September 30, 2022, and $51.5 at December 31, 2021, from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Non-controlling interests*</w:t>
      </w:r>
    </w:p>
    <w:p>
      <w:pPr>
        <w:spacing w:after="0" w:line="40" w:lineRule="exact"/>
        <w:rPr>
          <w:sz w:val="20"/>
          <w:szCs w:val="20"/>
          <w:color w:val="auto"/>
        </w:rPr>
      </w:pPr>
    </w:p>
    <w:p>
      <w:pPr>
        <w:ind w:left="20" w:right="1780"/>
        <w:spacing w:after="0" w:line="264" w:lineRule="auto"/>
        <w:rPr>
          <w:sz w:val="20"/>
          <w:szCs w:val="20"/>
          <w:color w:val="auto"/>
        </w:rPr>
      </w:pPr>
      <w:r>
        <w:rPr>
          <w:rFonts w:ascii="Arial" w:cs="Arial" w:eastAsia="Arial" w:hAnsi="Arial"/>
          <w:sz w:val="14"/>
          <w:szCs w:val="14"/>
          <w:color w:val="auto"/>
        </w:rPr>
        <w:t>Stockholders' equity attributable to T. Rowe Price Group, Inc., 223.9 common shares outstanding at September 30, 2022 and 229.2 common shares outstanding at December 31, 2021</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This includes both redeemable and non-redeemable non-controlling interest in consolidated entities.</w:t>
      </w:r>
    </w:p>
    <w:p>
      <w:pPr>
        <w:spacing w:after="0" w:line="20" w:lineRule="exact"/>
        <w:rPr>
          <w:sz w:val="20"/>
          <w:szCs w:val="20"/>
          <w:color w:val="auto"/>
        </w:rPr>
      </w:pPr>
      <w:r>
        <w:rPr>
          <w:sz w:val="20"/>
          <w:szCs w:val="20"/>
          <w:color w:val="auto"/>
        </w:rPr>
        <w:br w:type="column"/>
      </w:r>
    </w:p>
    <w:p>
      <w:pPr>
        <w:ind w:left="324"/>
        <w:spacing w:after="0"/>
        <w:rPr>
          <w:sz w:val="20"/>
          <w:szCs w:val="20"/>
          <w:color w:val="auto"/>
        </w:rPr>
      </w:pPr>
      <w:r>
        <w:rPr>
          <w:rFonts w:ascii="Arial" w:cs="Arial" w:eastAsia="Arial" w:hAnsi="Arial"/>
          <w:sz w:val="14"/>
          <w:szCs w:val="14"/>
          <w:color w:val="auto"/>
        </w:rPr>
        <w:t>9/30/2022</w:t>
      </w:r>
    </w:p>
    <w:p>
      <w:pPr>
        <w:spacing w:after="0" w:line="55" w:lineRule="exact"/>
        <w:rPr>
          <w:sz w:val="20"/>
          <w:szCs w:val="20"/>
          <w:color w:val="auto"/>
        </w:rPr>
      </w:pPr>
    </w:p>
    <w:p>
      <w:pPr>
        <w:ind w:left="764" w:hanging="764"/>
        <w:spacing w:after="0"/>
        <w:tabs>
          <w:tab w:leader="none" w:pos="764" w:val="left"/>
        </w:tabs>
        <w:numPr>
          <w:ilvl w:val="0"/>
          <w:numId w:val="36"/>
        </w:numPr>
        <w:rPr>
          <w:rFonts w:ascii="Arial" w:cs="Arial" w:eastAsia="Arial" w:hAnsi="Arial"/>
          <w:sz w:val="14"/>
          <w:szCs w:val="14"/>
          <w:color w:val="auto"/>
        </w:rPr>
      </w:pPr>
      <w:r>
        <w:rPr>
          <w:rFonts w:ascii="Arial" w:cs="Arial" w:eastAsia="Arial" w:hAnsi="Arial"/>
          <w:sz w:val="14"/>
          <w:szCs w:val="14"/>
          <w:color w:val="auto"/>
        </w:rPr>
        <w:t>2,366.3</w:t>
      </w:r>
    </w:p>
    <w:p>
      <w:pPr>
        <w:spacing w:after="0" w:line="41"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741.4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2,480.2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1,284.3</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282.8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752.8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3,484.4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601.0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11,993.2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676.9</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131.3</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1,489.7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401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30" w:lineRule="exact"/>
        <w:rPr>
          <w:sz w:val="20"/>
          <w:szCs w:val="20"/>
          <w:color w:val="auto"/>
        </w:rPr>
      </w:pPr>
    </w:p>
    <w:p>
      <w:pPr>
        <w:ind w:left="764" w:hanging="764"/>
        <w:spacing w:after="0"/>
        <w:tabs>
          <w:tab w:leader="none" w:pos="764" w:val="left"/>
        </w:tabs>
        <w:numPr>
          <w:ilvl w:val="0"/>
          <w:numId w:val="37"/>
        </w:numPr>
        <w:rPr>
          <w:rFonts w:ascii="Arial" w:cs="Arial" w:eastAsia="Arial" w:hAnsi="Arial"/>
          <w:sz w:val="14"/>
          <w:szCs w:val="14"/>
          <w:color w:val="auto"/>
        </w:rPr>
      </w:pPr>
      <w:r>
        <w:rPr>
          <w:rFonts w:ascii="Arial" w:cs="Arial" w:eastAsia="Arial" w:hAnsi="Arial"/>
          <w:sz w:val="14"/>
          <w:szCs w:val="14"/>
          <w:color w:val="auto"/>
        </w:rPr>
        <w:t>8,907.5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401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401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6"/>
        <w:spacing w:after="0"/>
        <w:rPr>
          <w:sz w:val="20"/>
          <w:szCs w:val="20"/>
          <w:color w:val="auto"/>
        </w:rPr>
      </w:pPr>
      <w:r>
        <w:rPr>
          <w:rFonts w:ascii="Arial" w:cs="Arial" w:eastAsia="Arial" w:hAnsi="Arial"/>
          <w:sz w:val="14"/>
          <w:szCs w:val="14"/>
          <w:color w:val="auto"/>
        </w:rPr>
        <w:t>12/31/2021</w:t>
      </w:r>
    </w:p>
    <w:p>
      <w:pPr>
        <w:spacing w:after="0" w:line="55" w:lineRule="exact"/>
        <w:rPr>
          <w:sz w:val="20"/>
          <w:szCs w:val="20"/>
          <w:color w:val="auto"/>
        </w:rPr>
      </w:pPr>
    </w:p>
    <w:p>
      <w:pPr>
        <w:ind w:left="846" w:hanging="846"/>
        <w:spacing w:after="0"/>
        <w:tabs>
          <w:tab w:leader="none" w:pos="8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1,523.1</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1,058.3</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2,975.5</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1,962.8</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201.2</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736.2</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3,606.6</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445.3</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12,509.0</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882.6</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306.3</w:t>
      </w:r>
    </w:p>
    <w:p>
      <w:pPr>
        <w:spacing w:after="0" w:line="17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1,066.4</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1,231.0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30" w:lineRule="exact"/>
        <w:rPr>
          <w:sz w:val="20"/>
          <w:szCs w:val="20"/>
          <w:color w:val="auto"/>
        </w:rPr>
      </w:pPr>
    </w:p>
    <w:p>
      <w:pPr>
        <w:ind w:left="846" w:hanging="846"/>
        <w:spacing w:after="0"/>
        <w:tabs>
          <w:tab w:leader="none" w:pos="8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9,022.7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19" w:lineRule="exact"/>
        <w:rPr>
          <w:sz w:val="20"/>
          <w:szCs w:val="20"/>
          <w:color w:val="auto"/>
        </w:rPr>
      </w:pPr>
    </w:p>
    <w:p>
      <w:pPr>
        <w:sectPr>
          <w:pgSz w:w="11900" w:h="16838" w:orient="portrait"/>
          <w:cols w:equalWidth="0" w:num="3">
            <w:col w:w="8120" w:space="316"/>
            <w:col w:w="1244" w:space="174"/>
            <w:col w:w="1366"/>
          </w:cols>
          <w:pgMar w:left="320" w:top="1062" w:right="359" w:bottom="1440" w:gutter="0" w:footer="0" w:header="0"/>
          <w:type w:val="continuous"/>
        </w:sectPr>
      </w:pP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Net assets of</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Rowe Price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3"/>
                <w:szCs w:val="13"/>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discretionary investments</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2,813.2</w:t>
            </w:r>
          </w:p>
        </w:tc>
        <w:tc>
          <w:tcPr>
            <w:tcW w:w="0" w:type="dxa"/>
            <w:vAlign w:val="bottom"/>
          </w:tcPr>
          <w:p>
            <w:pPr>
              <w:spacing w:after="0"/>
              <w:rPr>
                <w:sz w:val="1"/>
                <w:szCs w:val="1"/>
                <w:color w:val="auto"/>
              </w:rPr>
            </w:pPr>
          </w:p>
        </w:tc>
      </w:tr>
      <w:tr>
        <w:trPr>
          <w:trHeight w:val="199"/>
        </w:trPr>
        <w:tc>
          <w:tcPr>
            <w:tcW w:w="5500" w:type="dxa"/>
            <w:vAlign w:val="bottom"/>
          </w:tcPr>
          <w:p>
            <w:pPr>
              <w:spacing w:after="0"/>
              <w:rPr>
                <w:sz w:val="20"/>
                <w:szCs w:val="20"/>
                <w:color w:val="auto"/>
              </w:rPr>
            </w:pPr>
            <w:r>
              <w:rPr>
                <w:rFonts w:ascii="Arial" w:cs="Arial" w:eastAsia="Arial" w:hAnsi="Arial"/>
                <w:sz w:val="14"/>
                <w:szCs w:val="14"/>
                <w:color w:val="auto"/>
              </w:rPr>
              <w:t>Seed capital 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643.0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975.0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redeemable investments in T. Rowe Price products</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2,366.3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1,435.4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656.0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4,457.7</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Arial" w:cs="Arial" w:eastAsia="Arial" w:hAnsi="Arial"/>
                <w:sz w:val="14"/>
                <w:szCs w:val="14"/>
                <w:color w:val="auto"/>
              </w:rPr>
              <w:t>Investments in affiliates</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20"/>
                <w:szCs w:val="20"/>
                <w:color w:val="auto"/>
              </w:rPr>
            </w:pPr>
            <w:r>
              <w:rPr>
                <w:rFonts w:ascii="Arial" w:cs="Arial" w:eastAsia="Arial" w:hAnsi="Arial"/>
                <w:sz w:val="14"/>
                <w:szCs w:val="14"/>
                <w:color w:val="auto"/>
              </w:rPr>
              <w:t>Investments in CLOs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 in UTI and other investments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investments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2,366.3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2,480.2</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656.0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5,502.5</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580.8</w:t>
            </w:r>
          </w:p>
        </w:tc>
        <w:tc>
          <w:tcPr>
            <w:tcW w:w="0" w:type="dxa"/>
            <w:vAlign w:val="bottom"/>
          </w:tcPr>
          <w:p>
            <w:pPr>
              <w:spacing w:after="0"/>
              <w:rPr>
                <w:sz w:val="1"/>
                <w:szCs w:val="1"/>
                <w:color w:val="auto"/>
              </w:rPr>
            </w:pPr>
          </w:p>
        </w:tc>
      </w:tr>
      <w:tr>
        <w:trPr>
          <w:trHeight w:val="133"/>
        </w:trPr>
        <w:tc>
          <w:tcPr>
            <w:tcW w:w="5500" w:type="dxa"/>
            <w:vAlign w:val="bottom"/>
          </w:tcPr>
          <w:p>
            <w:pPr>
              <w:spacing w:after="0" w:line="133" w:lineRule="exact"/>
              <w:rPr>
                <w:sz w:val="20"/>
                <w:szCs w:val="20"/>
                <w:color w:val="auto"/>
              </w:rPr>
            </w:pPr>
            <w:r>
              <w:rPr>
                <w:rFonts w:ascii="Arial" w:cs="Arial" w:eastAsia="Arial" w:hAnsi="Arial"/>
                <w:sz w:val="14"/>
                <w:szCs w:val="14"/>
                <w:b w:val="1"/>
                <w:bCs w:val="1"/>
                <w:color w:val="auto"/>
              </w:rPr>
              <w:t>As reported on unaudited condensed consolidated balance sheet at September</w:t>
            </w:r>
          </w:p>
        </w:tc>
        <w:tc>
          <w:tcPr>
            <w:tcW w:w="2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2,366.3</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2,480.2</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1,236.8</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6,083.3</w:t>
            </w:r>
          </w:p>
        </w:tc>
        <w:tc>
          <w:tcPr>
            <w:tcW w:w="0" w:type="dxa"/>
            <w:vAlign w:val="bottom"/>
          </w:tcPr>
          <w:p>
            <w:pPr>
              <w:spacing w:after="0"/>
              <w:rPr>
                <w:sz w:val="1"/>
                <w:szCs w:val="1"/>
                <w:color w:val="auto"/>
              </w:rPr>
            </w:pPr>
          </w:p>
        </w:tc>
      </w:tr>
      <w:tr>
        <w:trPr>
          <w:trHeight w:val="163"/>
        </w:trPr>
        <w:tc>
          <w:tcPr>
            <w:tcW w:w="5500" w:type="dxa"/>
            <w:vAlign w:val="bottom"/>
          </w:tcPr>
          <w:p>
            <w:pPr>
              <w:spacing w:after="0" w:line="158" w:lineRule="exact"/>
              <w:rPr>
                <w:sz w:val="20"/>
                <w:szCs w:val="20"/>
                <w:color w:val="auto"/>
              </w:rPr>
            </w:pPr>
            <w:r>
              <w:rPr>
                <w:rFonts w:ascii="Arial" w:cs="Arial" w:eastAsia="Arial" w:hAnsi="Arial"/>
                <w:sz w:val="14"/>
                <w:szCs w:val="14"/>
                <w:b w:val="1"/>
                <w:bCs w:val="1"/>
                <w:color w:val="auto"/>
              </w:rPr>
              <w:t>30, 2022</w:t>
            </w:r>
          </w:p>
        </w:tc>
        <w:tc>
          <w:tcPr>
            <w:tcW w:w="240" w:type="dxa"/>
            <w:vAlign w:val="bottom"/>
            <w:tcBorders>
              <w:bottom w:val="single" w:sz="8" w:color="auto"/>
            </w:tcBorders>
            <w:gridSpan w:val="2"/>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$13.0 million and $643.0 million represent the total value at September 30, 2022, of T. Rowe Price's interest in the consolidated T. Rowe Price investment products. The total net assets of</w:t>
      </w:r>
    </w:p>
    <w:p>
      <w:pPr>
        <w:ind w:left="180"/>
        <w:spacing w:after="0"/>
        <w:rPr>
          <w:sz w:val="20"/>
          <w:szCs w:val="20"/>
          <w:color w:val="auto"/>
        </w:rPr>
      </w:pPr>
      <w:r>
        <w:rPr>
          <w:rFonts w:ascii="Arial" w:cs="Arial" w:eastAsia="Arial" w:hAnsi="Arial"/>
          <w:sz w:val="12"/>
          <w:szCs w:val="12"/>
          <w:i w:val="1"/>
          <w:iCs w:val="1"/>
          <w:color w:val="auto"/>
        </w:rPr>
        <w:t>$1,236.8 million at September 30, 2022, includes assets of $1,284.3 million less liabilities of $47.5 million as reflected in the unaudited condensed consolidated balance sheet information table above.</w:t>
      </w:r>
    </w:p>
    <w:p>
      <w:pPr>
        <w:spacing w:after="0" w:line="10" w:lineRule="exact"/>
        <w:rPr>
          <w:sz w:val="20"/>
          <w:szCs w:val="20"/>
          <w:color w:val="auto"/>
        </w:rPr>
      </w:pPr>
    </w:p>
    <w:p>
      <w:pPr>
        <w:ind w:left="180" w:right="80" w:hanging="172"/>
        <w:spacing w:after="0" w:line="218" w:lineRule="auto"/>
        <w:tabs>
          <w:tab w:leader="none" w:pos="152"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i w:val="1"/>
          <w:iCs w:val="1"/>
          <w:color w:val="auto"/>
        </w:rPr>
        <w:t>Includes $207.0 million of non-controlling interests in consolidated entities and represents the portion of these investments, held by third parties, that we cannot sell in order to obtain cash for general operations.</w:t>
      </w:r>
    </w:p>
    <w:p>
      <w:pPr>
        <w:spacing w:after="0" w:line="373" w:lineRule="exact"/>
        <w:rPr>
          <w:sz w:val="20"/>
          <w:szCs w:val="20"/>
          <w:color w:val="auto"/>
        </w:rPr>
      </w:pPr>
    </w:p>
    <w:p>
      <w:pPr>
        <w:ind w:right="140"/>
        <w:spacing w:after="0" w:line="355" w:lineRule="auto"/>
        <w:rPr>
          <w:sz w:val="20"/>
          <w:szCs w:val="20"/>
          <w:color w:val="auto"/>
        </w:rPr>
      </w:pPr>
      <w:r>
        <w:rPr>
          <w:rFonts w:ascii="Arial" w:cs="Arial" w:eastAsia="Arial" w:hAnsi="Arial"/>
          <w:sz w:val="18"/>
          <w:szCs w:val="18"/>
          <w:color w:val="auto"/>
        </w:rPr>
        <w:t>The following tables details changes in our investments in affiliated private investment funds - carried interest and non-controlling interest in consolidated entities for the three and nine months ended September 30, 2022.</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78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14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Nine months ended</w:t>
            </w:r>
          </w:p>
        </w:tc>
      </w:tr>
      <w:tr>
        <w:trPr>
          <w:trHeight w:val="19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Investments in affiliated private investment funds - carried interest</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9/30/2022</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609.8</w:t>
            </w:r>
          </w:p>
        </w:tc>
      </w:tr>
      <w:tr>
        <w:trPr>
          <w:trHeight w:val="199"/>
        </w:trPr>
        <w:tc>
          <w:tcPr>
            <w:tcW w:w="7820" w:type="dxa"/>
            <w:vAlign w:val="bottom"/>
          </w:tcPr>
          <w:p>
            <w:pPr>
              <w:ind w:left="20"/>
              <w:spacing w:after="0"/>
              <w:rPr>
                <w:sz w:val="20"/>
                <w:szCs w:val="20"/>
                <w:color w:val="auto"/>
              </w:rPr>
            </w:pPr>
            <w:r>
              <w:rPr>
                <w:rFonts w:ascii="Arial" w:cs="Arial" w:eastAsia="Arial" w:hAnsi="Arial"/>
                <w:sz w:val="14"/>
                <w:szCs w:val="14"/>
                <w:color w:val="auto"/>
              </w:rPr>
              <w:t>Capital allocation-based income:</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6"/>
        </w:trPr>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accrued carried interest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198"/>
        </w:trPr>
        <w:tc>
          <w:tcPr>
            <w:tcW w:w="7820" w:type="dxa"/>
            <w:vAlign w:val="bottom"/>
          </w:tcPr>
          <w:p>
            <w:pPr>
              <w:ind w:left="200"/>
              <w:spacing w:after="0"/>
              <w:rPr>
                <w:sz w:val="20"/>
                <w:szCs w:val="20"/>
                <w:color w:val="auto"/>
              </w:rPr>
            </w:pPr>
            <w:r>
              <w:rPr>
                <w:rFonts w:ascii="Arial" w:cs="Arial" w:eastAsia="Arial" w:hAnsi="Arial"/>
                <w:sz w:val="14"/>
                <w:szCs w:val="14"/>
                <w:color w:val="auto"/>
              </w:rPr>
              <w:t>Acquisition related amortization</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distributions</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00"/>
        </w:trPr>
        <w:tc>
          <w:tcPr>
            <w:tcW w:w="782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508.3</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062" w:right="359" w:bottom="1440" w:gutter="0" w:footer="0" w:header="0"/>
          <w:type w:val="continuous"/>
        </w:sectPr>
      </w:pPr>
    </w:p>
    <w:bookmarkStart w:id="65" w:name="page66"/>
    <w:bookmarkEnd w:id="65"/>
    <w:tbl>
      <w:tblPr>
        <w:tblLayout w:type="fixed"/>
        <w:tblInd w:w="160" w:type="dxa"/>
        <w:tblCellMar>
          <w:top w:w="0" w:type="dxa"/>
          <w:left w:w="0" w:type="dxa"/>
          <w:bottom w:w="0" w:type="dxa"/>
          <w:right w:w="0" w:type="dxa"/>
        </w:tblCellMar>
      </w:tblPr>
      <w:tr>
        <w:trPr>
          <w:trHeight w:val="203"/>
        </w:trPr>
        <w:tc>
          <w:tcPr>
            <w:tcW w:w="78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14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Nine months ended</w:t>
            </w:r>
          </w:p>
        </w:tc>
      </w:tr>
      <w:tr>
        <w:trPr>
          <w:trHeight w:val="19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Non-controlling interests (NCI) in consolidated entities</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9/30/2022</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248.7</w:t>
            </w: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Capital allocation-based income compensation:</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allocation-based income compensation</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98"/>
        </w:trPr>
        <w:tc>
          <w:tcPr>
            <w:tcW w:w="7820" w:type="dxa"/>
            <w:vAlign w:val="bottom"/>
          </w:tcPr>
          <w:p>
            <w:pPr>
              <w:ind w:left="200"/>
              <w:spacing w:after="0"/>
              <w:rPr>
                <w:sz w:val="20"/>
                <w:szCs w:val="20"/>
                <w:color w:val="auto"/>
              </w:rPr>
            </w:pPr>
            <w:r>
              <w:rPr>
                <w:rFonts w:ascii="Arial" w:cs="Arial" w:eastAsia="Arial" w:hAnsi="Arial"/>
                <w:sz w:val="14"/>
                <w:szCs w:val="14"/>
                <w:color w:val="auto"/>
              </w:rPr>
              <w:t>Acquisition related amortization</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distributions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00"/>
        </w:trPr>
        <w:tc>
          <w:tcPr>
            <w:tcW w:w="782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207.0</w:t>
            </w:r>
          </w:p>
        </w:tc>
      </w:tr>
      <w:tr>
        <w:trPr>
          <w:trHeight w:val="21"/>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47" w:lineRule="exact"/>
        <w:rPr>
          <w:sz w:val="20"/>
          <w:szCs w:val="20"/>
          <w:color w:val="auto"/>
        </w:rPr>
      </w:pPr>
    </w:p>
    <w:p>
      <w:pPr>
        <w:ind w:right="80"/>
        <w:spacing w:after="0" w:line="373" w:lineRule="auto"/>
        <w:rPr>
          <w:sz w:val="20"/>
          <w:szCs w:val="20"/>
          <w:color w:val="auto"/>
        </w:rPr>
      </w:pPr>
      <w:r>
        <w:rPr>
          <w:rFonts w:ascii="Arial" w:cs="Arial" w:eastAsia="Arial" w:hAnsi="Arial"/>
          <w:sz w:val="18"/>
          <w:szCs w:val="18"/>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01" w:lineRule="exact"/>
        <w:rPr>
          <w:sz w:val="20"/>
          <w:szCs w:val="20"/>
          <w:color w:val="auto"/>
        </w:rPr>
      </w:pPr>
    </w:p>
    <w:p>
      <w:pPr>
        <w:ind w:right="180"/>
        <w:spacing w:after="0" w:line="396" w:lineRule="auto"/>
        <w:rPr>
          <w:sz w:val="20"/>
          <w:szCs w:val="20"/>
          <w:color w:val="auto"/>
        </w:rPr>
      </w:pPr>
      <w:r>
        <w:rPr>
          <w:rFonts w:ascii="Arial" w:cs="Arial" w:eastAsia="Arial" w:hAnsi="Arial"/>
          <w:sz w:val="18"/>
          <w:szCs w:val="18"/>
          <w:color w:val="auto"/>
        </w:rPr>
        <w:t>The following schedules reconcile U.S. GAAP financial measures to non-GAAP financial measures for the three months ended September 30, 2022 and 2021 and June 30, 2022.</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9/30/2022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Revenues and Compensation and related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058" w:right="3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Three months ended 9/30/2021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998.7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Three months ended 6/30/2022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Revenues and Compensation and related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80" w:top="1058"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 September 30, 2022 and 2021.</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Revenues and Compensation and related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2,862.7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2,847.5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2,342.3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2,916.2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686.1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2,258.6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hanging="332"/>
        <w:spacing w:after="0" w:line="241" w:lineRule="auto"/>
        <w:tabs>
          <w:tab w:leader="none" w:pos="341"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the firm's core operating results and to increase comparability period to period.</w:t>
      </w:r>
    </w:p>
    <w:p>
      <w:pPr>
        <w:spacing w:after="0" w:line="231" w:lineRule="exact"/>
        <w:rPr>
          <w:rFonts w:ascii="Arial" w:cs="Arial" w:eastAsia="Arial" w:hAnsi="Arial"/>
          <w:sz w:val="22"/>
          <w:szCs w:val="22"/>
          <w:color w:val="auto"/>
          <w:vertAlign w:val="superscript"/>
        </w:rPr>
      </w:pPr>
    </w:p>
    <w:p>
      <w:pPr>
        <w:ind w:left="340" w:right="20" w:hanging="332"/>
        <w:spacing w:after="0" w:line="227" w:lineRule="auto"/>
        <w:tabs>
          <w:tab w:leader="none" w:pos="322"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the transactions costs incurred related to the acquisition of OHA. Management believes adjusting for these charges helps the reader's ability to understand the firm's core operating results and to increase comparability period to period.</w:t>
      </w:r>
    </w:p>
    <w:p>
      <w:pPr>
        <w:spacing w:after="0" w:line="218" w:lineRule="exact"/>
        <w:rPr>
          <w:rFonts w:ascii="Arial" w:cs="Arial" w:eastAsia="Arial" w:hAnsi="Arial"/>
          <w:sz w:val="21"/>
          <w:szCs w:val="21"/>
          <w:color w:val="auto"/>
          <w:vertAlign w:val="superscript"/>
        </w:rPr>
      </w:pPr>
    </w:p>
    <w:p>
      <w:pPr>
        <w:ind w:left="340" w:hanging="332"/>
        <w:spacing w:after="0" w:line="246" w:lineRule="auto"/>
        <w:tabs>
          <w:tab w:leader="none" w:pos="341"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12" w:right="339" w:bottom="1440" w:gutter="0" w:footer="0" w:header="0"/>
        </w:sectPr>
      </w:pPr>
    </w:p>
    <w:bookmarkStart w:id="68" w:name="page69"/>
    <w:bookmarkEnd w:id="68"/>
    <w:p>
      <w:pPr>
        <w:ind w:left="340" w:right="120"/>
        <w:spacing w:after="0" w:line="286" w:lineRule="auto"/>
        <w:rPr>
          <w:sz w:val="20"/>
          <w:szCs w:val="20"/>
          <w:color w:val="auto"/>
        </w:rPr>
      </w:pPr>
      <w:r>
        <w:rPr>
          <w:rFonts w:ascii="Arial" w:cs="Arial" w:eastAsia="Arial" w:hAnsi="Arial"/>
          <w:sz w:val="16"/>
          <w:szCs w:val="16"/>
          <w:color w:val="auto"/>
        </w:rPr>
        <w:t>on the economic hedges against the related compensation expense and remove the net impact to help the reader's ability to understand the firm's core operating results and to increase comparability period to period.</w:t>
      </w:r>
    </w:p>
    <w:p>
      <w:pPr>
        <w:spacing w:after="0" w:line="196" w:lineRule="exact"/>
        <w:rPr>
          <w:sz w:val="20"/>
          <w:szCs w:val="20"/>
          <w:color w:val="auto"/>
        </w:rPr>
      </w:pPr>
    </w:p>
    <w:p>
      <w:pPr>
        <w:ind w:left="340" w:right="100" w:hanging="332"/>
        <w:spacing w:after="0" w:line="246" w:lineRule="auto"/>
        <w:tabs>
          <w:tab w:leader="none" w:pos="341"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215" w:lineRule="exact"/>
        <w:rPr>
          <w:rFonts w:ascii="Arial" w:cs="Arial" w:eastAsia="Arial" w:hAnsi="Arial"/>
          <w:sz w:val="22"/>
          <w:szCs w:val="22"/>
          <w:color w:val="auto"/>
          <w:vertAlign w:val="superscript"/>
        </w:rPr>
      </w:pPr>
    </w:p>
    <w:p>
      <w:pPr>
        <w:ind w:left="340" w:right="40" w:hanging="332"/>
        <w:spacing w:after="0" w:line="244" w:lineRule="auto"/>
        <w:tabs>
          <w:tab w:leader="none" w:pos="341"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14" w:lineRule="exact"/>
        <w:rPr>
          <w:rFonts w:ascii="Arial" w:cs="Arial" w:eastAsia="Arial" w:hAnsi="Arial"/>
          <w:sz w:val="22"/>
          <w:szCs w:val="22"/>
          <w:color w:val="auto"/>
          <w:vertAlign w:val="superscript"/>
        </w:rPr>
      </w:pPr>
    </w:p>
    <w:p>
      <w:pPr>
        <w:ind w:left="340" w:hanging="332"/>
        <w:spacing w:after="0" w:line="239" w:lineRule="auto"/>
        <w:tabs>
          <w:tab w:leader="none" w:pos="341"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24.2% for 2022 and 23.4% for 2021. As such, the non-GAAP effective tax rate for three months ended September 30, 2022 and 2021 was 24.4% and 23.1%, respectively. The firm estimates that its effective tax rate for the full-year 2022 on a non-GAAP basis will be in the range of 24% to 26%.</w:t>
      </w:r>
    </w:p>
    <w:p>
      <w:pPr>
        <w:spacing w:after="0" w:line="218" w:lineRule="exact"/>
        <w:rPr>
          <w:rFonts w:ascii="Arial" w:cs="Arial" w:eastAsia="Arial" w:hAnsi="Arial"/>
          <w:sz w:val="22"/>
          <w:szCs w:val="22"/>
          <w:color w:val="auto"/>
          <w:vertAlign w:val="superscript"/>
        </w:rPr>
      </w:pPr>
    </w:p>
    <w:p>
      <w:pPr>
        <w:ind w:left="340" w:right="280" w:hanging="332"/>
        <w:spacing w:after="0" w:line="239" w:lineRule="auto"/>
        <w:tabs>
          <w:tab w:leader="none" w:pos="341"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3"/>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9/30/2022</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9/30/2021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6/30/2022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9/30/2022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9/30/2021</w:t>
            </w: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2,258.6</w:t>
            </w:r>
          </w:p>
        </w:tc>
      </w:tr>
      <w:tr>
        <w:trPr>
          <w:trHeight w:val="162"/>
        </w:trPr>
        <w:tc>
          <w:tcPr>
            <w:tcW w:w="5620" w:type="dxa"/>
            <w:vAlign w:val="bottom"/>
          </w:tcPr>
          <w:p>
            <w:pPr>
              <w:ind w:left="20"/>
              <w:spacing w:after="0" w:line="162" w:lineRule="exact"/>
              <w:rPr>
                <w:sz w:val="20"/>
                <w:szCs w:val="20"/>
                <w:color w:val="auto"/>
              </w:rPr>
            </w:pPr>
            <w:r>
              <w:rPr>
                <w:rFonts w:ascii="Arial" w:cs="Arial" w:eastAsia="Arial" w:hAnsi="Arial"/>
                <w:sz w:val="16"/>
                <w:szCs w:val="16"/>
                <w:color w:val="auto"/>
              </w:rPr>
              <w:t>Less: adjusted net income allocated to outstanding restricted stock and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 holders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3"/>
    </w:lvl>
  </w:abstractNum>
  <w:abstractNum w:abstractNumId="10">
    <w:nsid w:val="54E49EB4"/>
    <w:multiLevelType w:val="hybridMultilevel"/>
    <w:lvl w:ilvl="0">
      <w:lvlJc w:val="left"/>
      <w:lvlText w:val="(%1)"/>
      <w:numFmt w:val="decimal"/>
      <w:start w:val="6"/>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3"/>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79" Type="http://schemas.openxmlformats.org/officeDocument/2006/relationships/hyperlink" Target="http://www.sec.gov/Archives/edgar/data/1113169/000111316918000018/articlesofrestatementfin.htm" TargetMode="External"/><Relationship Id="rId80"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2022-10-27T12:08:50Z</dcterms:created>
  <dcterms:modified xsi:type="dcterms:W3CDTF">2022-10-27T12:08:50Z</dcterms:modified>
</cp:coreProperties>
</file>