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801" w:right="299" w:bottom="1440" w:gutter="0" w:footer="0" w:header="0"/>
        </w:sectPr>
      </w:pPr>
    </w:p>
    <w:p>
      <w:pPr>
        <w:spacing w:after="0" w:line="16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460" w:space="720"/>
            <w:col w:w="3180"/>
          </w:cols>
          <w:pgMar w:left="240" w:top="801" w:right="299" w:bottom="1440" w:gutter="0" w:footer="0" w:header="0"/>
          <w:type w:val="continuous"/>
        </w:sectPr>
      </w:pPr>
    </w:p>
    <w:p>
      <w:pPr>
        <w:ind w:left="20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00" w:space="720"/>
            <w:col w:w="3840"/>
          </w:cols>
          <w:pgMar w:left="240" w:top="801"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801"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60" w:space="720"/>
            <w:col w:w="5380"/>
          </w:cols>
          <w:pgMar w:left="240" w:top="801"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380"/>
          </w:cols>
          <w:pgMar w:left="240" w:top="801"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22, 2013, is 260,907,929</w:t>
      </w:r>
      <w:r>
        <w:rPr>
          <w:rFonts w:ascii="Arial" w:cs="Arial" w:eastAsia="Arial" w:hAnsi="Arial"/>
          <w:sz w:val="16"/>
          <w:szCs w:val="16"/>
          <w:b w:val="1"/>
          <w:bCs w:val="1"/>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801"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12/31/2012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9/30/2013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365.6</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1,307.8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567.5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87.8</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4,202.8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5,126.8</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312.7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Customer deposits at savings bank subsidiary</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132.9</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586.2</w:t>
            </w:r>
          </w:p>
        </w:tc>
      </w:tr>
      <w:tr>
        <w:trPr>
          <w:trHeight w:val="318"/>
        </w:trPr>
        <w:tc>
          <w:tcPr>
            <w:tcW w:w="8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$.20 par value - authorized 750,000,000; issued 257,018,000 shares in 2012 and 260,872,000 in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824.8</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168.9</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4,540.6</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4,202.8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5,126.8</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364"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9/30/2012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9/30/2013</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9/30/2013</w:t>
            </w: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Investment advisory fees</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661.4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1,914.4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2,210.9</w:t>
            </w: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fees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258.1</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Distribution and servicing fees</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84.8</w:t>
            </w: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 of savings bank subsidiary</w:t>
            </w: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Net revenues</w:t>
            </w:r>
          </w:p>
        </w:tc>
        <w:tc>
          <w:tcPr>
            <w:tcW w:w="6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2,554.4</w:t>
            </w:r>
          </w:p>
        </w:tc>
      </w:tr>
      <w:tr>
        <w:trPr>
          <w:trHeight w:val="27"/>
        </w:trPr>
        <w:tc>
          <w:tcPr>
            <w:tcW w:w="49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9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Compensation and related costs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858.7</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Advertising and promotion</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 and servicing costs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and equipment</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65.5</w:t>
            </w: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Occupancy and facility costs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187.2</w:t>
            </w:r>
          </w:p>
        </w:tc>
      </w:tr>
      <w:tr>
        <w:trPr>
          <w:trHeight w:val="27"/>
        </w:trPr>
        <w:tc>
          <w:tcPr>
            <w:tcW w:w="49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1,357.1</w:t>
            </w:r>
          </w:p>
        </w:tc>
      </w:tr>
      <w:tr>
        <w:trPr>
          <w:trHeight w:val="318"/>
        </w:trPr>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1,197.3</w:t>
            </w:r>
          </w:p>
        </w:tc>
      </w:tr>
      <w:tr>
        <w:trPr>
          <w:trHeight w:val="324"/>
        </w:trPr>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investment income</w:t>
            </w: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r>
      <w:tr>
        <w:trPr>
          <w:trHeight w:val="318"/>
        </w:trPr>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1,228.6</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468.6</w:t>
            </w:r>
          </w:p>
        </w:tc>
      </w:tr>
      <w:tr>
        <w:trPr>
          <w:trHeight w:val="27"/>
        </w:trPr>
        <w:tc>
          <w:tcPr>
            <w:tcW w:w="49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4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6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2.92</w:t>
            </w:r>
          </w:p>
        </w:tc>
      </w:tr>
      <w:tr>
        <w:trPr>
          <w:trHeight w:val="251"/>
        </w:trPr>
        <w:tc>
          <w:tcPr>
            <w:tcW w:w="4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8580" w:type="dxa"/>
            <w:vAlign w:val="bottom"/>
            <w:gridSpan w:val="8"/>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49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Page 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00" w:type="dxa"/>
            <w:vAlign w:val="bottom"/>
            <w:gridSpan w:val="5"/>
            <w:shd w:val="clear" w:color="auto" w:fill="CCEEFF"/>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9/30/2012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9/30/2013</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9/30/2012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9/30/2013</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760.0</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holding gains (losses) 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holding gains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w w:val="98"/>
              </w:rPr>
              <w:t>Reclassification adjustment recognized in non-operating investment</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tcPr>
          <w:p>
            <w:pPr>
              <w:ind w:left="280"/>
              <w:spacing w:after="0"/>
              <w:rPr>
                <w:sz w:val="20"/>
                <w:szCs w:val="20"/>
                <w:color w:val="auto"/>
              </w:rPr>
            </w:pPr>
            <w:r>
              <w:rPr>
                <w:rFonts w:ascii="Arial" w:cs="Arial" w:eastAsia="Arial" w:hAnsi="Arial"/>
                <w:sz w:val="18"/>
                <w:szCs w:val="18"/>
                <w:color w:val="auto"/>
              </w:rPr>
              <w:t>income: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8"/>
              </w:rPr>
              <w:t>Net gains realized on dispositions, determined using average cost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 held by savings bank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3"/>
              </w:rPr>
              <w:t>Proportionate share of net unrealized holding gains (losses) on securities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held by UTI Asset Management Company Limited</w:t>
            </w:r>
          </w:p>
        </w:tc>
        <w:tc>
          <w:tcPr>
            <w:tcW w:w="2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unrealized holding gains recognized in other comprehensive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deferred tax benefits (income taxes)</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797.0</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364" w:right="239" w:bottom="1440" w:gutter="0" w:footer="0" w:header="0"/>
        </w:sectPr>
      </w:pPr>
    </w:p>
    <w:bookmarkStart w:id="4" w:name="page5"/>
    <w:bookmarkEnd w:id="4"/>
    <w:p>
      <w:pPr>
        <w:ind w:right="4860"/>
        <w:spacing w:after="0" w:line="282"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9/30/2013</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760.0</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65.5</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Realized gains on dispositions of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Net losses on investments of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securities held by consolidated sponsored investment portfolios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289.5</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1,158.3</w:t>
            </w: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Dispositions of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Investments in debt securities held by savings bank subsidiary</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debt securities held by savings bank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r>
      <w:tr>
        <w:trPr>
          <w:trHeight w:val="237"/>
        </w:trPr>
        <w:tc>
          <w:tcPr>
            <w:tcW w:w="856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101.2</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 plans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Dividends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(297.1)</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savings bank subsidiary deposits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7"/>
        </w:trPr>
        <w:tc>
          <w:tcPr>
            <w:tcW w:w="8560" w:type="dxa"/>
            <w:vAlign w:val="bottom"/>
          </w:tcPr>
          <w:p>
            <w:pPr>
              <w:ind w:left="2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814.2</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At beginning of year</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879.1</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1,693.3</w:t>
            </w: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364"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capital in</w:t>
            </w: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w:t>
            </w:r>
          </w:p>
        </w:tc>
        <w:tc>
          <w:tcPr>
            <w:tcW w:w="24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excess of</w:t>
            </w:r>
          </w:p>
        </w:tc>
        <w:tc>
          <w:tcPr>
            <w:tcW w:w="24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7"/>
              </w:rPr>
              <w:t>stock</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1"/>
              </w:rPr>
              <w:t>par value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Balances at December 31, 2012</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257,018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3,031.8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3,846.1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Common stock-based compensation plans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activity</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issued upon option exercises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w w:val="97"/>
              </w:rPr>
              <w:t>Restricted shares issued, net of shares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withheld for taxes</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Shares issued upon vesting of restricted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units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Forfeiture of restricted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tax benefits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Restricted stock units issued as dividend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equivalents</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2013</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260,872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3,494.7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4,540.6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items have been reclassed to conform to current year presentation.</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2012 Annual Report.</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the second quarter of 2013, we determined that we no longer had a controlling financial interest in certain of the sponsored investment portfolios that were consolidated at December 31, 2012. Accordingly, we deconsolidated the carrying value of their assets and liabilities, and recorded our remaining equity interest at its fair value. Given that our consolidated investment portfolios were carried at fair value, we did not recognize any gain or loss in our condensed consolidated statement of income upon deconsolidation. Our residual interest in these sponsored investment portfolios is accounted for under the equity method of accounting. The impact of the deconsolidation on our condensed consolidated balance sheet was immaterial.</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 2013, we adopted new financial reporting guidance that requires the disclosure of information about significant items reclassified out of accumulated other comprehensive income, including the line item of our condensed consolidated income statements to which such items were reclassified. The required information could be presented either on the face of the financial statements or in the notes. We elected to present these disclosures in Note 10 to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$184.0 million at December 31, 2012, and $201.8 million at September 30,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40" w:type="dxa"/>
            <w:vAlign w:val="bottom"/>
            <w:gridSpan w:val="5"/>
            <w:shd w:val="clear" w:color="auto" w:fill="CCEEFF"/>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720" w:type="dxa"/>
            <w:vAlign w:val="bottom"/>
            <w:gridSpan w:val="4"/>
            <w:shd w:val="clear" w:color="auto" w:fill="CCEEFF"/>
          </w:tcPr>
          <w:p>
            <w:pPr>
              <w:jc w:val="right"/>
              <w:ind w:right="79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0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9/30/2012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9/30/2013</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9/30/2012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9/30/2013</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mutual funds in the U.S.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1,059.6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1,276.3</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w:t>
            </w:r>
          </w:p>
        </w:tc>
      </w:tr>
      <w:tr>
        <w:trPr>
          <w:trHeight w:val="237"/>
        </w:trPr>
        <w:tc>
          <w:tcPr>
            <w:tcW w:w="50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541.3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1,318.3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1,551.3</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538.1</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w:t>
            </w:r>
          </w:p>
        </w:tc>
      </w:tr>
      <w:tr>
        <w:trPr>
          <w:trHeight w:val="237"/>
        </w:trPr>
        <w:tc>
          <w:tcPr>
            <w:tcW w:w="50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659.6</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1,914.4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2,210.9</w:t>
            </w: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36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Average during</w:t>
            </w: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gridSpan w:val="6"/>
            <w:shd w:val="clear" w:color="auto" w:fill="CCEEFF"/>
          </w:tcPr>
          <w:p>
            <w:pPr>
              <w:jc w:val="center"/>
              <w:ind w:left="714"/>
              <w:spacing w:after="0"/>
              <w:rPr>
                <w:sz w:val="20"/>
                <w:szCs w:val="20"/>
                <w:color w:val="auto"/>
              </w:rPr>
            </w:pPr>
            <w:r>
              <w:rPr>
                <w:rFonts w:ascii="Arial" w:cs="Arial" w:eastAsia="Arial" w:hAnsi="Arial"/>
                <w:sz w:val="14"/>
                <w:szCs w:val="14"/>
                <w:b w:val="1"/>
                <w:bCs w:val="1"/>
                <w:color w:val="auto"/>
                <w:w w:val="93"/>
              </w:rPr>
              <w:t>Average during</w:t>
            </w:r>
          </w:p>
        </w:tc>
        <w:tc>
          <w:tcPr>
            <w:tcW w:w="10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third quarter of</w:t>
            </w: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4"/>
                <w:szCs w:val="14"/>
                <w:b w:val="1"/>
                <w:bCs w:val="1"/>
                <w:color w:val="auto"/>
                <w:w w:val="91"/>
              </w:rPr>
              <w:t>the first nine months of</w:t>
            </w:r>
          </w:p>
        </w:tc>
        <w:tc>
          <w:tcPr>
            <w:tcW w:w="20" w:type="dxa"/>
            <w:vAlign w:val="bottom"/>
          </w:tcPr>
          <w:p>
            <w:pPr>
              <w:spacing w:after="0"/>
              <w:rPr>
                <w:sz w:val="22"/>
                <w:szCs w:val="22"/>
                <w:color w:val="auto"/>
              </w:rPr>
            </w:pPr>
          </w:p>
        </w:tc>
      </w:tr>
      <w:tr>
        <w:trPr>
          <w:trHeight w:val="270"/>
        </w:trPr>
        <w:tc>
          <w:tcPr>
            <w:tcW w:w="5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4"/>
                <w:szCs w:val="14"/>
                <w:b w:val="1"/>
                <w:bCs w:val="1"/>
                <w:color w:val="auto"/>
              </w:rPr>
              <w:t>2012</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3"/>
                <w:szCs w:val="23"/>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mutual funds in the U.S.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640" w:type="dxa"/>
            <w:vAlign w:val="bottom"/>
            <w:tcBorders>
              <w:bottom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289.5</w:t>
            </w:r>
          </w:p>
        </w:tc>
        <w:tc>
          <w:tcPr>
            <w:tcW w:w="20" w:type="dxa"/>
            <w:vAlign w:val="bottom"/>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332.5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381.3</w:t>
            </w:r>
          </w:p>
        </w:tc>
        <w:tc>
          <w:tcPr>
            <w:tcW w:w="20" w:type="dxa"/>
            <w:vAlign w:val="bottom"/>
          </w:tcPr>
          <w:p>
            <w:pPr>
              <w:spacing w:after="0"/>
              <w:rPr>
                <w:sz w:val="22"/>
                <w:szCs w:val="2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225.3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w:t>
            </w:r>
          </w:p>
        </w:tc>
        <w:tc>
          <w:tcPr>
            <w:tcW w:w="20" w:type="dxa"/>
            <w:vAlign w:val="bottom"/>
          </w:tcPr>
          <w:p>
            <w:pPr>
              <w:spacing w:after="0"/>
              <w:rPr>
                <w:sz w:val="22"/>
                <w:szCs w:val="22"/>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557.8</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4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620.9</w:t>
            </w:r>
          </w:p>
        </w:tc>
        <w:tc>
          <w:tcPr>
            <w:tcW w:w="20" w:type="dxa"/>
            <w:vAlign w:val="bottom"/>
          </w:tcPr>
          <w:p>
            <w:pPr>
              <w:spacing w:after="0"/>
              <w:rPr>
                <w:sz w:val="22"/>
                <w:szCs w:val="22"/>
                <w:color w:val="auto"/>
              </w:rPr>
            </w:pP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5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0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12/31/2012</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3"/>
              </w:rPr>
              <w:t>9/30/2013</w:t>
            </w:r>
          </w:p>
        </w:tc>
        <w:tc>
          <w:tcPr>
            <w:tcW w:w="20" w:type="dxa"/>
            <w:vAlign w:val="bottom"/>
            <w:tcBorders>
              <w:bottom w:val="single" w:sz="8" w:color="auto"/>
            </w:tcBorders>
          </w:tcPr>
          <w:p>
            <w:pPr>
              <w:spacing w:after="0"/>
              <w:rPr>
                <w:sz w:val="22"/>
                <w:szCs w:val="2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mutual funds in the U.S.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6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256.9</w:t>
            </w:r>
          </w:p>
        </w:tc>
        <w:tc>
          <w:tcPr>
            <w:tcW w:w="6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Bond and money market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403.8</w:t>
            </w:r>
          </w:p>
        </w:tc>
        <w:tc>
          <w:tcPr>
            <w:tcW w:w="20" w:type="dxa"/>
            <w:vAlign w:val="bottom"/>
            <w:tcBorders>
              <w:top w:val="single" w:sz="8" w:color="auto"/>
            </w:tcBorders>
          </w:tcPr>
          <w:p>
            <w:pPr>
              <w:spacing w:after="0"/>
              <w:rPr>
                <w:sz w:val="20"/>
                <w:szCs w:val="20"/>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portfolios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6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181.4</w:t>
            </w:r>
          </w:p>
        </w:tc>
        <w:tc>
          <w:tcPr>
            <w:tcW w:w="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20" w:type="dxa"/>
            <w:vAlign w:val="bottom"/>
            <w:tcBorders>
              <w:top w:val="single" w:sz="8" w:color="auto"/>
            </w:tcBorders>
          </w:tcPr>
          <w:p>
            <w:pPr>
              <w:spacing w:after="0"/>
              <w:rPr>
                <w:sz w:val="20"/>
                <w:szCs w:val="20"/>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6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20" w:type="dxa"/>
            <w:vAlign w:val="bottom"/>
            <w:shd w:val="clear" w:color="auto" w:fill="CCEEFF"/>
          </w:tcPr>
          <w:p>
            <w:pPr>
              <w:spacing w:after="0"/>
              <w:rPr>
                <w:sz w:val="22"/>
                <w:szCs w:val="22"/>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about 7% of our assets under management at September 30, 2013.</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Fees for advisory-related administrative services provided to our sponsored mutual funds in the U.S. during the first nine months of the year were $193.6 million in 2012 and $199.1 million in 2013. Fees for these services during the third quarter were $64.8 million in 2012 and $65.3 million in 2013. Distribution and other servicing fees earned from certain classes of our sponsored mutual funds in the U.S. during the first nine months of the year were $70.3 million in 2012 and $84.8 million in 2013. Such fees during the third quarter were $24.4 million in 2012 and $30.5 million in 2013.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INVESTMENTS IN SPONSORED FUNDS - AVAILABLE-FOR-SALE.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make investments in our sponsored funds for general corporate investment purposes or to provide seed capital for newly formed funds. These sponsored funds (in millions) are voting interest entities and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Aggregate</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Unrealized holding</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vMerge w:val="restart"/>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gains</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losses</w:t>
            </w: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cost</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1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2012</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336.9</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570.9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907.8</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September 30, 2013</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348.8</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994.8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1,307.8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unrealized holding losses at September 30, 2013, are attributable to four fund holdings with an aggregate fair value of $155.8 million and are considered temporary.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SAVINGS BANK SUBSIDIARY.</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May 23, 2013, we entered into an agreement to sell 100% of the capital stock of our savings bank subsidiary to Jacob M. Safra for cash equal to the bank's net book value on the closing date plus $500,000. The transaction is subject to requisite regulatory approval from the Office of the Comptroller of the Currency and other customary closing conditions. We expect the transaction to close in the fourth quarter of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and liabilities (in millions) held for sale in our condensed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9/30/2013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held for sale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held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DEBT SECURITIES HELD BY SAVINGS BANK SUBSIDIARY.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gridSpan w:val="3"/>
            <w:shd w:val="clear" w:color="auto" w:fill="CCEEFF"/>
          </w:tcPr>
          <w:p>
            <w:pPr>
              <w:jc w:val="right"/>
              <w:ind w:right="784"/>
              <w:spacing w:after="0"/>
              <w:rPr>
                <w:sz w:val="20"/>
                <w:szCs w:val="20"/>
                <w:color w:val="auto"/>
              </w:rPr>
            </w:pPr>
            <w:r>
              <w:rPr>
                <w:rFonts w:ascii="Arial" w:cs="Arial" w:eastAsia="Arial" w:hAnsi="Arial"/>
                <w:sz w:val="14"/>
                <w:szCs w:val="14"/>
                <w:b w:val="1"/>
                <w:bCs w:val="1"/>
                <w:color w:val="auto"/>
              </w:rPr>
              <w:t>12/31/2012</w:t>
            </w: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9/30/2013</w:t>
            </w:r>
          </w:p>
        </w:tc>
        <w:tc>
          <w:tcPr>
            <w:tcW w:w="11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284"/>
              <w:spacing w:after="0" w:line="153" w:lineRule="exact"/>
              <w:rPr>
                <w:sz w:val="20"/>
                <w:szCs w:val="20"/>
                <w:color w:val="auto"/>
              </w:rPr>
            </w:pPr>
            <w:r>
              <w:rPr>
                <w:rFonts w:ascii="Arial" w:cs="Arial" w:eastAsia="Arial" w:hAnsi="Arial"/>
                <w:sz w:val="14"/>
                <w:szCs w:val="14"/>
                <w:b w:val="1"/>
                <w:bCs w:val="1"/>
                <w:color w:val="auto"/>
                <w:w w:val="95"/>
              </w:rPr>
              <w:t>Unrealized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center"/>
              <w:ind w:right="258"/>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0"/>
              </w:rPr>
              <w:t>holding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holding</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284"/>
              <w:spacing w:after="0" w:line="149" w:lineRule="exact"/>
              <w:rPr>
                <w:sz w:val="20"/>
                <w:szCs w:val="20"/>
                <w:color w:val="auto"/>
              </w:rPr>
            </w:pPr>
            <w:r>
              <w:rPr>
                <w:rFonts w:ascii="Arial" w:cs="Arial" w:eastAsia="Arial" w:hAnsi="Arial"/>
                <w:sz w:val="14"/>
                <w:szCs w:val="14"/>
                <w:b w:val="1"/>
                <w:bCs w:val="1"/>
                <w:color w:val="auto"/>
                <w:w w:val="87"/>
              </w:rPr>
              <w:t>gains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83"/>
              </w:rPr>
              <w:t>(losses)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temporary impairment (0 securities in 2013) of</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Less than 12 months</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24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12 months or more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unrealized holding gains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128.6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3"/>
              </w:rPr>
              <w:t>136.0</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2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3.2</w:t>
            </w:r>
          </w:p>
        </w:tc>
        <w:tc>
          <w:tcPr>
            <w:tcW w:w="10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125.0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cost</w:t>
            </w: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unrealized losses in these investments at December 31, 2012 totaled $35,000 and were generally caused by changes in interest rates and market liquidity, and not by changes in credit quality. We intended to hold these securities to their maturities and believed it was more-likely-than-not that we would not be required to sell any of these securities before recovery of their amortized cost. Accordingly, impairment of these investments was considered temporary at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9/30/2013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 interest in Daiwa SB Investments Ltd. (Japan)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126.2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Sponsored fund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Sponsored fund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held by consolidated sponsored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314.1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securities held by consolidated sponsored investment portfolios relate to investment portfolios in which we provided initial seed capital at the time of its formation. We have determined at December 31, 2012 and September 30, 2013, that these investment portfolios are voting interest entities in which we have a controlling financial interest.</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During the second quarter of 2013, we deconsolidated certain sponsored investment portfolios in which we provided initial seed capital at the time of its formation as we no longer had a controlling financial interest. Accordingly, we deconsolidated the carrying value of the investments held as trading, which was $80.1 million at the time, and are reporting our residual interest in these sponsored investment portfolios as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1300" w:right="400" w:hanging="323"/>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1300" w:right="180" w:hanging="323"/>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in or out of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3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2012</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136.0</w:t>
            </w: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1,891.0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213.2</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83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September 30, 2013</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8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1,494.8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12.8</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w:t>
            </w:r>
          </w:p>
        </w:tc>
      </w:tr>
      <w:tr>
        <w:trPr>
          <w:trHeight w:val="25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2,836.1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137.8</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Customer deposits at our savings bank subsidiary are not measured at fair value in our condensed consolidated balance sheets. At December 31, 2012, the estimated fair value of these deposits, based on discounting expected cash outflows at maturity dates that range up to five years using current interest rates offered for deposits with the same dates of maturity, was $157.8 million. At September 30, 2013, the carrying value of these deposits approximates fair value. The fair value was based on the price to transfer the customer deposit obligation to a market participant as evidenced in the agreement to sell our savings bank subsidiary. These fair values were determined using Level 2 inputs.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nine months of 2013.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beginning of year</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34,622,435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3,559,375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hire and reload grants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14,025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(4,048,323)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(610,566)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(1,217)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33,539,929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Exercisable at end of period</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17,187,492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nine months of 2013.</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beginning of year</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1,161,164</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597,042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to employees and directors - time-based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1,093,606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392,623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 to employees - performance-based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62,250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(69,703)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(19,254)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end of period</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2,195,473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1,021,373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nonvested totals at the end of the period include 48,000 performance-based restricted shares and 133,125 performance-based restricted stock units. The performance period has lapsed and the performance threshold has been met for 24,000 restricted shares and 70,875 restricted stock units that were outstanding at the end of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September 30, 2013. Estimated future compensation expense will change to reflect future option grants, including reloads; future awards of unrestricted shares, restricted shares, and restricted stock units; changes in estimated forfeitures; changes in the probability of performance thresholds being met; and adjustments for actual forfeitures.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2013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105.2</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through 2018</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249.2</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36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9– EARNINGS PER SHARE CALCULATIONS.</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9/30/2012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9/30/2012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Less: net income allocated to outstanding restricted stock and stock</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unit holders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753.6</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257.9</w:t>
            </w:r>
          </w:p>
        </w:tc>
      </w:tr>
      <w:tr>
        <w:trPr>
          <w:trHeight w:val="251"/>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assuming dilution</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700" w:type="dxa"/>
            <w:vAlign w:val="bottom"/>
            <w:tcBorders>
              <w:bottom w:val="single" w:sz="8" w:color="auto"/>
            </w:tcBorders>
            <w:gridSpan w:val="4"/>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60" w:type="dxa"/>
            <w:vAlign w:val="bottom"/>
            <w:tcBorders>
              <w:bottom w:val="single" w:sz="8" w:color="auto"/>
            </w:tcBorders>
            <w:gridSpan w:val="3"/>
            <w:shd w:val="clear" w:color="auto" w:fill="CCEEFF"/>
          </w:tcPr>
          <w:p>
            <w:pPr>
              <w:jc w:val="right"/>
              <w:ind w:right="83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9/30/2012</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9/30/2012</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9/30/2013</w:t>
            </w:r>
          </w:p>
        </w:tc>
      </w:tr>
      <w:tr>
        <w:trPr>
          <w:trHeight w:val="263"/>
        </w:trPr>
        <w:tc>
          <w:tcPr>
            <w:tcW w:w="6260" w:type="dxa"/>
            <w:vAlign w:val="bottom"/>
            <w:gridSpan w:val="2"/>
            <w:shd w:val="clear" w:color="auto" w:fill="CCEEFF"/>
          </w:tcPr>
          <w:p>
            <w:pPr>
              <w:jc w:val="right"/>
              <w:ind w:right="2268"/>
              <w:spacing w:after="0"/>
              <w:rPr>
                <w:sz w:val="20"/>
                <w:szCs w:val="20"/>
                <w:color w:val="auto"/>
              </w:rPr>
            </w:pPr>
            <w:r>
              <w:rPr>
                <w:rFonts w:ascii="Arial" w:cs="Arial" w:eastAsia="Arial" w:hAnsi="Arial"/>
                <w:sz w:val="18"/>
                <w:szCs w:val="18"/>
                <w:color w:val="auto"/>
                <w:w w:val="90"/>
              </w:rPr>
              <w:t>Weighted-average outstanding stock options excluded</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deferred tax benefit (income tax) impact of the components (in millions) of other comprehensive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9/30/2012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9/30/2012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 (income taxes) 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unrealized holding gains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adjustment recognized in non-operating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income: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9"/>
        </w:trPr>
        <w:tc>
          <w:tcPr>
            <w:tcW w:w="5160" w:type="dxa"/>
            <w:vAlign w:val="bottom"/>
          </w:tcPr>
          <w:p>
            <w:pPr>
              <w:ind w:left="540"/>
              <w:spacing w:after="0"/>
              <w:rPr>
                <w:sz w:val="20"/>
                <w:szCs w:val="20"/>
                <w:color w:val="auto"/>
              </w:rPr>
            </w:pPr>
            <w:r>
              <w:rPr>
                <w:rFonts w:ascii="Arial" w:cs="Arial" w:eastAsia="Arial" w:hAnsi="Arial"/>
                <w:sz w:val="18"/>
                <w:szCs w:val="18"/>
                <w:color w:val="auto"/>
                <w:w w:val="94"/>
              </w:rPr>
              <w:t>Net gains realized on dispositions, determined using average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540"/>
              <w:spacing w:after="0"/>
              <w:rPr>
                <w:sz w:val="20"/>
                <w:szCs w:val="20"/>
                <w:color w:val="auto"/>
              </w:rPr>
            </w:pPr>
            <w:r>
              <w:rPr>
                <w:rFonts w:ascii="Arial" w:cs="Arial" w:eastAsia="Arial" w:hAnsi="Arial"/>
                <w:sz w:val="18"/>
                <w:szCs w:val="18"/>
                <w:color w:val="auto"/>
              </w:rPr>
              <w:t>cost</w:t>
            </w:r>
          </w:p>
        </w:tc>
        <w:tc>
          <w:tcPr>
            <w:tcW w:w="2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Deferred income taxes on net unrealized holding gains recognized in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tax benefit on currency translation adjustment</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benefit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changes in accumulated other comprehensive income (in millions), by component, for the first nine months of 2013,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12/31/2012</w:t>
            </w:r>
          </w:p>
        </w:tc>
        <w:tc>
          <w:tcPr>
            <w:tcW w:w="10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Other comprehensive</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9/30/2013</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0"/>
              </w:rPr>
              <w:t>income, net of tax</w:t>
            </w:r>
          </w:p>
        </w:tc>
        <w:tc>
          <w:tcPr>
            <w:tcW w:w="2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unrealized holding gains (losses) on:</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sponsored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Debt securities held by savings bank subsidiary</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Proportionate share of investments held by UTI</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unrealized holding gains, net of taxes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 net of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net of taxes, related to our net unrealized holding gains for the nine months ended September 30, 2012 and 2013, includes</w:t>
      </w:r>
    </w:p>
    <w:p>
      <w:pPr>
        <w:spacing w:after="0" w:line="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$33.7 million and $11.5 million, respectively, in gains realized on dispositions that were reclassified from accumulated other comprehensive income to non-operating investment income. The income taxes related to these gains of $13.1 million and $4.5 million, respectively, were reclassified from accumulated other comprehensive income to our provision for income taxes.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3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2013, the related condensed consolidated statements of income and comprehensive income for the three- and nine-month periods ended September 30, 2013 and 2012, the related condensed consolidated statements of cash flows for the nine-month periods ended September 30, 2013 and 2012 and the related condensed consolidated statement of stockholders’ equity for the nine-month period ended September 30, 2013. These condensed consolidated financial statements are the responsibility of the Company’s management.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2012, and the related consolidated statements of income, comprehensive income, stockholders’ equity, and cash flows for the year then ended (not presented herein); and in our report dated February 5, 2013, we expressed an unqualified opinion on those consolidated financial statements. In our opinion, the information set forth in the accompanying condensed consolidated balance sheet as of December 31, 2012,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U.S. sponsored mutual funds and other investment portfolios. The other investment portfolios include separately managed accounts, subadvised funds, and other sponsored investment portfolios including common trust funds, target-date retirement trusts, and mutual funds offered to investors outside the U.S. and through variable annuity life insurance plans. Investment advisory clients domiciled outside the U.S. account for about 7% of our assets under management at September 30, 2013.</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remain debt-free with substantial liquidity and resources that allow us to take advantage of attractive growth opportunities, invest in key capabilities including investment professionals and technologies and, most importantly, provide our clients with strong investment management expertise and service both now and in the future. In the coming quarters, we expect to increase funding for long-term initiatives to sustain and deepen our investment talent, broaden our distribution reach in the U.S. and internationally, and expand capabilities through enhanced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Led by small-cap stocks, U.S. equity markets rose in the third quarter of 2013 extending this year’s equity market rally despite moderating corporate fundamentals and sluggish revenue growth. The market also overcame an increase in long-term interest rates, which was driven by expectations that the Federal Reserve would begin reducing its asset purchases after its September monetary policy meeting. However, the central bank surprised many investors by deciding to delay the tapering of asset purchases until it receives “more evidence” of a "sustained" economic recovery. During the quarter, the Federal Reserve continued to purchase $40 billion in agency mortgage-backed securities and $45 billion in Treasuries every month, and kept the fed funds target rate in the 0.00% to 0.25% range to stimulate the economy.</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Developed non-U.S. stock markets also generated strong returns during the third quarter of 2013. Emerging markets equities advanced but were hindered by concerns about slowing growth, rising interest rates across developed markets, the potential for reduced global liquidity when the Federal Reserve decides to reduce its asset purchases, and currency weakness in several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three- and nine-month periods ended September 30, 2013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spacing w:after="0"/>
              <w:rPr>
                <w:sz w:val="22"/>
                <w:szCs w:val="22"/>
                <w:color w:val="auto"/>
              </w:rPr>
            </w:pPr>
          </w:p>
        </w:tc>
        <w:tc>
          <w:tcPr>
            <w:tcW w:w="250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40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9/30/2013</w:t>
            </w:r>
          </w:p>
        </w:tc>
        <w:tc>
          <w:tcPr>
            <w:tcW w:w="100" w:type="dxa"/>
            <w:vAlign w:val="bottom"/>
            <w:tcBorders>
              <w:bottom w:val="single" w:sz="8" w:color="CCEEFF"/>
            </w:tcBorders>
          </w:tcPr>
          <w:p>
            <w:pPr>
              <w:spacing w:after="0"/>
              <w:rPr>
                <w:sz w:val="21"/>
                <w:szCs w:val="21"/>
                <w:color w:val="auto"/>
              </w:rPr>
            </w:pP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19.8%</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10.8%</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24.9%</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2400" w:type="dxa"/>
            <w:vAlign w:val="bottom"/>
          </w:tcPr>
          <w:p>
            <w:pPr>
              <w:jc w:val="center"/>
              <w:spacing w:after="0"/>
              <w:rPr>
                <w:sz w:val="20"/>
                <w:szCs w:val="20"/>
                <w:color w:val="auto"/>
              </w:rPr>
            </w:pPr>
            <w:r>
              <w:rPr>
                <w:rFonts w:ascii="Arial" w:cs="Arial" w:eastAsia="Arial" w:hAnsi="Arial"/>
                <w:sz w:val="18"/>
                <w:szCs w:val="18"/>
                <w:color w:val="auto"/>
                <w:w w:val="86"/>
              </w:rPr>
              <w:t>11.6%</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16.6%</w:t>
            </w:r>
          </w:p>
        </w:tc>
      </w:tr>
      <w:tr>
        <w:trPr>
          <w:trHeight w:val="27"/>
        </w:trPr>
        <w:tc>
          <w:tcPr>
            <w:tcW w:w="6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w:t>
            </w:r>
          </w:p>
        </w:tc>
      </w:tr>
      <w:tr>
        <w:trPr>
          <w:trHeight w:val="329"/>
        </w:trPr>
        <w:tc>
          <w:tcPr>
            <w:tcW w:w="6520" w:type="dxa"/>
            <w:vAlign w:val="bottom"/>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Global bond returns were mostly positive in the third quarter of 2013. In the U.S., high yield bonds outperformed investment-grade issues while long-term Treasuries declined. For most of the quarter, the fixed income market featured rising yields and an aversion to securities with significant interest rate risk, as investors widely expected that the Federal Reserve would begin to taper its asset purchases in September. Long-term Treasury interest rates rose to two-year highs in early September in anticipation of lower demand from the Fed and stronger economic growth. However, yields started to fall shortly thereafter, and the decline accelerated after the Fed’s decision to delay the tapering of asset purchases. The 10-year yield ended September 2013 at 2.64%, which was well below its early-September peak, but 12 basis points higher than its June 30 closing level of 2.52%.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364" w:right="239" w:bottom="1440" w:gutter="0" w:footer="0" w:header="0"/>
        </w:sectPr>
      </w:pPr>
    </w:p>
    <w:bookmarkStart w:id="16" w:name="page17"/>
    <w:bookmarkEnd w:id="16"/>
    <w:p>
      <w:pPr>
        <w:ind w:right="180"/>
        <w:spacing w:after="0" w:line="277" w:lineRule="auto"/>
        <w:rPr>
          <w:sz w:val="20"/>
          <w:szCs w:val="20"/>
          <w:color w:val="auto"/>
        </w:rPr>
      </w:pPr>
      <w:r>
        <w:rPr>
          <w:rFonts w:ascii="Arial" w:cs="Arial" w:eastAsia="Arial" w:hAnsi="Arial"/>
          <w:sz w:val="18"/>
          <w:szCs w:val="18"/>
          <w:color w:val="auto"/>
        </w:rPr>
        <w:t>Government bonds in developed non-U.S. markets produced strong returns in U.S. dollar terms, rebounding from a weak second quarter. Emerging markets bond returns in aggregate were mostly flat in U.S. dollar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nine-month periods ended September 30, 2013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spacing w:after="0"/>
              <w:rPr>
                <w:sz w:val="22"/>
                <w:szCs w:val="22"/>
                <w:color w:val="auto"/>
              </w:rPr>
            </w:pPr>
          </w:p>
        </w:tc>
        <w:tc>
          <w:tcPr>
            <w:tcW w:w="250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40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9/30/2013</w:t>
            </w:r>
          </w:p>
        </w:tc>
        <w:tc>
          <w:tcPr>
            <w:tcW w:w="100" w:type="dxa"/>
            <w:vAlign w:val="bottom"/>
            <w:tcBorders>
              <w:bottom w:val="single" w:sz="8" w:color="CCEEFF"/>
            </w:tcBorders>
          </w:tcPr>
          <w:p>
            <w:pPr>
              <w:spacing w:after="0"/>
              <w:rPr>
                <w:sz w:val="21"/>
                <w:szCs w:val="21"/>
                <w:color w:val="auto"/>
              </w:rPr>
            </w:pP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U.S. Aggregate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Credit Suisse High Yield Index</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3.9%</w:t>
            </w:r>
          </w:p>
        </w:tc>
      </w:tr>
      <w:tr>
        <w:trPr>
          <w:trHeight w:val="27"/>
        </w:trPr>
        <w:tc>
          <w:tcPr>
            <w:tcW w:w="6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Municipal Bond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-2.4%</w:t>
            </w:r>
          </w:p>
        </w:tc>
      </w:tr>
      <w:tr>
        <w:trPr>
          <w:trHeight w:val="27"/>
        </w:trPr>
        <w:tc>
          <w:tcPr>
            <w:tcW w:w="6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JPMorgan Emerging Markets Index Plus</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-8.9%</w:t>
            </w:r>
          </w:p>
        </w:tc>
      </w:tr>
      <w:tr>
        <w:trPr>
          <w:trHeight w:val="27"/>
        </w:trPr>
        <w:tc>
          <w:tcPr>
            <w:tcW w:w="65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 (in billions) at the end of 2012 and each quarter of 2013 as well as changes during 2013 are detailed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shd w:val="clear" w:color="auto" w:fill="CCEEFF"/>
          </w:tcPr>
          <w:p>
            <w:pPr>
              <w:spacing w:after="0"/>
              <w:rPr>
                <w:sz w:val="14"/>
                <w:szCs w:val="14"/>
                <w:color w:val="auto"/>
              </w:rPr>
            </w:pPr>
          </w:p>
        </w:tc>
        <w:tc>
          <w:tcPr>
            <w:tcW w:w="172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Quarter ended 3/31/2013</w:t>
            </w:r>
          </w:p>
        </w:tc>
        <w:tc>
          <w:tcPr>
            <w:tcW w:w="170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Quarter ended 6/30/2013</w:t>
            </w:r>
          </w:p>
        </w:tc>
        <w:tc>
          <w:tcPr>
            <w:tcW w:w="170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Quarter ended 9/30/2013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First nine months ended</w:t>
            </w: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spacing w:after="0"/>
              <w:rPr>
                <w:sz w:val="16"/>
                <w:szCs w:val="16"/>
                <w:color w:val="auto"/>
              </w:rPr>
            </w:pPr>
          </w:p>
        </w:tc>
        <w:tc>
          <w:tcPr>
            <w:tcW w:w="1720" w:type="dxa"/>
            <w:vAlign w:val="bottom"/>
            <w:gridSpan w:val="3"/>
            <w:vMerge w:val="continue"/>
            <w:shd w:val="clear" w:color="auto" w:fill="CCEEFF"/>
          </w:tcPr>
          <w:p>
            <w:pPr>
              <w:spacing w:after="0"/>
              <w:rPr>
                <w:sz w:val="16"/>
                <w:szCs w:val="16"/>
                <w:color w:val="auto"/>
              </w:rPr>
            </w:pPr>
          </w:p>
        </w:tc>
        <w:tc>
          <w:tcPr>
            <w:tcW w:w="1700" w:type="dxa"/>
            <w:vAlign w:val="bottom"/>
            <w:gridSpan w:val="3"/>
            <w:vMerge w:val="continue"/>
            <w:shd w:val="clear" w:color="auto" w:fill="CCEEFF"/>
          </w:tcPr>
          <w:p>
            <w:pPr>
              <w:spacing w:after="0"/>
              <w:rPr>
                <w:sz w:val="16"/>
                <w:szCs w:val="16"/>
                <w:color w:val="auto"/>
              </w:rPr>
            </w:pPr>
          </w:p>
        </w:tc>
        <w:tc>
          <w:tcPr>
            <w:tcW w:w="1700" w:type="dxa"/>
            <w:vAlign w:val="bottom"/>
            <w:gridSpan w:val="3"/>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9/30/2013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1"/>
                <w:szCs w:val="21"/>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1"/>
                <w:szCs w:val="21"/>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Sponsored mutual funds in the U.S.</w:t>
            </w:r>
          </w:p>
        </w:tc>
        <w:tc>
          <w:tcPr>
            <w:tcW w:w="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portfolios</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valuation changes and income</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Change during the period</w:t>
            </w:r>
          </w:p>
        </w:tc>
        <w:tc>
          <w:tcPr>
            <w:tcW w:w="6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end of period</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Assets under management transferred from sponsored mutual</w:t>
            </w:r>
          </w:p>
        </w:tc>
        <w:tc>
          <w:tcPr>
            <w:tcW w:w="6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to other portfolios</w:t>
            </w: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gridSpan w:val="3"/>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12/31/2012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9/30/2013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mutual funds in the U.S.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portfolios</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portfolios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Fixed income portfolios</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Total cash flows for the three- and nine- month periods ended September 30, 2013 include $1.2 billion and $7.6 billion, respectively, in net cash inflows sourced from our target-date retirement portfolios. The target-date retirement portfolios in turn invest in a broadly diversified portfolio of other Price funds or Price trust funds, and automatically rebalance to maintain their specific asset allocation weightings. Assets under management in these retirement portfolios at September 30, 2013, totaled $109.5 billion, including $94.9 billion in target-date retirement funds and $14.6 billion in target-date retirement trusts.</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quarter of 2013 versus third quarter of 2012.</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Investment advisory revenues were up 16.2%, or $106.9 million, to $768.3 million in the third quarter of 2013, as average assets under our management increased $78.5 billion to $636.3 billion. The average annualized effective fee rate earned on our assets under management was 47.9 basis points during the third quarter of 2013, up from the 47.2 basis points earned during the full-year 2012, due primarily to asset growth in higher than average fee rate strategies. We waived $13.9 million in money market advisory fees in the third quarter of 2013, an increase of $5.0 million from the comparable 2012 quarter, in order to maintain a positive yield for fund investors. These fee waivers represent about 2% of total investment advisory revenues earned during the third quarter of 2013. We have waived fees from each of our money market mutual funds and trusts, which have combined net assets of $16.8 billion at September 30, 2013. We expect that these fee waivers will continue in the fourth quarter of 2013 and into 2014.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$114.7 million, or 14.9%, to $884.4 million in the third quarter of 2013. Operating expenses were $458.5 million in the third quarter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2013, an increase of $47.7 million or 11.6%. Overall, net operating income for the third quarter of 2013 increased $67.0 million to $425.9 million.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 our average assets under management and corresponding investment advisory revenues from higher market valuations and the growth in assets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than average fee rate strategies lifted our operating margin in the third quarter of 2013 to 48.2% compared to 46.6% in the 2012 period. 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$23.0 million, or 9.3%, to $270.3 million, in the third quarter of 2013 and our diluted earnings per share on our common stock increased 6.4%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from the $.94 earned in the third quarter of 2012. The net income in the third quarter of 2012 included realized gains of $31.2 million, or $.07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income taxes, from the sale of certain of our sponsored fund holdings.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Investment advisory revenues earned from the T. Rowe Price mutual funds distributed in the U.S. were $541.3 million, an increase of $83.2 million, or 18.2%, on higher average assets under management. Average mutual fund assets under management in the third quarter of 2013 were $396.2 billion, an increase of 19.2% from the average in the third quarter of 2012. Mutual fund assets at September 30, 2013, were $403.8 billion, an increase of $24.3 billion from June 30, 2013.</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third quarter of 2013, market appreciation and income of $25.3 billion earned by our mutual funds was offset in part by net cash outflows of $1.0 billion. Our money market funds had net cash inflows of $.9 billion while the stock and blended asset funds and bond funds had net cash outflows of $1.1 billion and $.8 billion, respectively. These cash flow amounts for the third quarter of 2013 include $2.5 billion in assets that clients transferred from our mutual funds to our other investment portfolios, primarily our target-date retirement trusts. Without these transfers, the mutual funds would have had net cash inflows of $1.5 billion in the third quarter of 2013.</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Investment advisory revenues earned in the third quarter of 2013 on our other investment portfolios increased $23.7 million compared to the 2012 quarter to $227.0 million, as average assets under management increased $14.8 billion, or 6.6%, to $240.1 billion. Ending assets in these portfolios at September 30, 2013, were $243.4 billion, an increase of $8.9 billion from June 30, 2013. Market appreciation and income of $15.3 billion was partially offset by net cash outflows of $6.4 billion during the third quarter of 2013. This net cash outflow amount is presented net of the $2.5 billion in assets that clients transferred from the mutual funds in the third quarter of 2013. The majority of the net cash outflows for the third quarter of 2013 were concentrated among certain institutional and intermediary clients that changed their investment objectives or repositioned their strategy allocations during the quarter.</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Administrative fee revenues increased $2.0 million to $85.4 million in the third quarter of 2013. The increase is primarily attributable to transfer agent servicing activities provided to the mutual funds and their investors. Changes in administrative fee revenues are generally offset by similar changes in related operating expenses that are incurred to provide services to the funds and their investors.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class shares of our sponsored funds and portfolios increased $6.1 million from the third quarter of 2012 on greater average assets under management in these share classes. The 12b-1 fees earned are offset entirely by the costs paid to third-party intermediaries who source these assets. These costs are reported as distribution and servicing costs on the face of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60"/>
          </w:cols>
          <w:pgMar w:left="240" w:top="584"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Compensation and related costs were $291.3 million in the third quarter of 2013, an increase of $27.5 million, or 10.4%, compared to the third quarter of 2012. The largest part of the change is attributable to a $15.0 million increase in the interim accrual for our annual variable compensation programs and $8.0 million in higher salaries and related benefits, which results from a modest increase in salaries at the beginning of 2013 combined with a 4.4% increase in our average staff size from the third quarter of 2012. The balance of the change from the 2012 quarter is attributable to an increase in non-cash stock-based compensation expense, an increase in temporary personnel to support our business growth and higher other employee-related costs. At September 30, 2013, we employed 5,554 associates.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Occupancy and facility costs, together with depreciation and amortization expense, were $55.0 million in the third quarter of 2013, up $3.4 million compared to the third quarter of 2012. The change includes the added costs to expand our international facilities as well as update our technology capabilities, including related maintenance programs, to meet increasing business demands. We expect that these costs in the fourth quarter of 2013 will be up about 10% over the third quarter of 2013 as two new buildings located at our Owings Mills, Maryland campus are placed in service.</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Other operating expenses in the third quarter of 2013 were up $12.8 million from the comparable 2012 quarter as increased business demands and our continued investment in capabilities have increased costs. These costs include consulting and professional fees, information and other third-party services, and costs related to our defined contribution recordkeeping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non-operating investment income in the third quarter of 2013 of $11.6 million decreased $29.8 million from the 2012 quarter primarily due to the $31.2 million in realized gains recognized from the sale of certain sponsored fund holdings sold in the third quarter of 2012 that did not reoccur in the 2013 quarter. The third quarter of 2013 also includes $3.4 million in higher gains recognized from our other investment holdings.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effective tax rate for the third quarter of 2013 of 38.2% is unchanged from the effective rate for the third quarter of 2012 and the same as the effective rate we currently estimate for the full year 2013. Our effective income tax rate reflects the relative contribution of pre-tax income generated by our non-U.S. subsidiaries that are subject to tax rates which are lower than our U.S. rates. Changes in the relative contribution of pre-tax income from U.S. and non-U.S. sources or changes in tax rates in the U.S. or relevant non-U.S. jurisdictions may affect our effective income tax rate and overall net income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2013 versus first nine months of 2012.</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Investment advisory revenues were up 15.5%, or $296.5 million, to about $2.2 billion in the first nine months of 2013, as average assets under our management increased $78.7 billion to $620.9 billion. The average annualized fee rate earned on our assets under management was 47.6 basis points in the first nine months of 2013, up from the 47.2 basis points earned in the full-year 2012. We waived $36.8 million in money market advisory fees in the first nine months of 2013, an increase of $11.2 million from the $25.6 million waived in the 2012 period. The fee waivers in the first nine months of 2013 represent about 2% of our total investment advisory revenues earned during the same period.</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revenues increased $319.2 million, or 14.3%, to nearly $2.6 billion. Operating expenses were nearly $1.4 billion in the first nine months of 2013, an increase of $125.0 million, or 10.1%. Overall, net operating income for the first nine months of 2013 increased $194.2 million to nearly $1.2 billion. Our operating margin in the first nine months of 2013 was 46.9% compared to 44.9% in the 2012 period. Non-operating investment income for the first nine months of 2013 was $31.3 million, a decrease of $22.6 million from the 2012 period as we sold fewer sponsored fund holdings in the 2013 year-to-date period resulting in lower realized gains. Net income increased $108.4 million to $760.0 million for the first nine months of 2013, and our diluted earnings per share on our common stock increased 14.1% to $2.83.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Investment advisory revenues earned from the T. Rowe Price mutual funds distributed in the U.S. increased 17.7%, or $233.0 million, to $1.6 billion, on higher average mutual fund assets. Average mutual fund assets in the first nine months of 2013 were $381.3 billion, an increase of 18.7% from the average for the comparable 2012 period. Mutual fund assets of $403.8 billion at September 30, 2013, increased $56.9 billion from $346.9 billion at the end of 2012.</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368" w:right="239" w:bottom="1440" w:gutter="0" w:footer="0" w:header="0"/>
        </w:sectPr>
      </w:pPr>
    </w:p>
    <w:bookmarkStart w:id="19" w:name="page20"/>
    <w:bookmarkEnd w:id="19"/>
    <w:p>
      <w:pPr>
        <w:jc w:val="both"/>
        <w:ind w:right="180"/>
        <w:spacing w:after="0" w:line="276" w:lineRule="auto"/>
        <w:rPr>
          <w:sz w:val="20"/>
          <w:szCs w:val="20"/>
          <w:color w:val="auto"/>
        </w:rPr>
      </w:pPr>
      <w:r>
        <w:rPr>
          <w:rFonts w:ascii="Arial" w:cs="Arial" w:eastAsia="Arial" w:hAnsi="Arial"/>
          <w:sz w:val="17"/>
          <w:szCs w:val="17"/>
          <w:color w:val="auto"/>
        </w:rPr>
        <w:t>Net cash inflows into our mutual funds were $6.4 billion during the first nine months of 2013, including $3.7 billion into the stock and blended asset funds, $1.3 billion into the bond funds, and $1.4 billion into the money market funds. These mutual fund net inflow amounts are presented net of $7.5 billion that clients transferred to the other investment portfolios, primarily our common trust funds and target-date retirement trusts. Without these transfers, the mutual funds would have had net cash inflows of $13.9 billion in the first nine months of 2013. Higher market appreciation and income in the first nine months of 2013 increased our mutual fund assets under management by $50.5 billion.</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Investment advisory revenues earned on the other investment portfolios for the first nine months of 2013 were $659.6 million, an increase of $63.5 million, or 10.7%, from the $596.1 million earned in the comparable 2012 period. Average assets in these portfolios were $239.6 billion during the first nine months of 2013, up $18.5 billion from the comparable 2012 period. Assets under management of $243.4 billion at September 30, 2013, increased $13.5 billion from the end of 2012. Market appreciation and income of $32.0 billion was offset in part by net outflows of $18.5 billion during the first nine months of 2013. Net outflows during the first nine months of 2013 are presented net of the $7.5 billion transferred from the mutual funds. The majority of the net cash outflows in the first nine months of 2013 were concentrated among certain institutional and intermediary clients that changed their investment objectives, repositioned their strategy allocations, or experienced relative investment performance challenges within their portfolio.</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Administrative fee revenues increased $9.1 million to $258.1 million in the first nine months of 2013. The increase is primarily attributable to our transfer agent servicing activities and defined contribution recordkeeping services for the mutual funds and their investors. As noted above, changes in administrative fee revenues are generally offset by similar changes in related operating expenses that are incurred to provide services to the funds and their investors.</w:t>
      </w:r>
    </w:p>
    <w:p>
      <w:pPr>
        <w:spacing w:after="0" w:line="14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Distribution and servicing fee revenues earned from 12b-1 plans of the Advisor, R, and variable annuity class shares of our sponsored portfolios were $84.8 million in the first nine months of 2013, an increase of $14.5 million from the comparable 2012 period on greater average assets under management in these share classes. The 12b-1 fees earned are offset entirely by the costs paid to third-party intermediaries who source these assets. These costs are reported as distribution and servicing costs on the face of the condensed consolidated income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Compensation and related costs were $858.7 million in the first nine months of 2013, an increase of $72.7 million, or 9.2%, compared to the 2012 period. The largest part of the increase is attributable to a $35.5 million increase in our interim accrual for our annual variable compensation program and a $25.4 million increase in salaries and related benefits. Our average staff size has increased 3.7% from the first nine months of 2012. Higher temporary staff expenses, non-cash stock-based compensation expense, and other employee costs account for the remainder of the increase in compensation and related costs in the 2013 period.</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Advertising and promotion costs were $59.9 million in the first nine months of 2013, a decrease of $3.2 million from the comparable 2012 period. The decrease in cost is primarily attributable to the timing of certain client communication mailings and process efficiencies realized through the realignment of certain marketing activities.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Occupancy and facility costs, together with depreciation expense, increased $14.4 million, or 9.5%, compared to the first nine months of 2012. The change includes costs of $3.5 million to terminate certain facility leases, as well as costs to expand our international facilities and update technology capabilities, including related maintenance programs, to meet increasing business demands.</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Other operating expenses were $187.2 million in the first nine months of 2013, an increase of $26.6 million from the comparable 2012 period as increased business demands and our continued investment in capabilities have increased costs. These costs include costs related to our defined contribution recordkeeping business, consulting and professional fees, information services, and other third-party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non-operating investment income, which includes the recognition of investment gains and losses, was down $22.6 million from the first nine months of 2012. The decrease is primarily due to the 2013 results including $11.5 million in gains realized on the sale of certain sponsored fund holdings compared with $33.7 million in gains realized in the comparable 2012 period.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00"/>
          </w:cols>
          <w:pgMar w:left="240" w:top="58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activities during the first nine months of 2013 provided cash flows of nearly $1.2 billion, up $297.3 million from the 2012 period, including a $108.4 million increase in net income and a $92.5 million increase in operating cash flows from timing differences in the cash settlement of our assets and liabilities. The increase from the first nine months of 2012 is also a result of a $63.6 million reduction in cash used to make net purchases of securities held by our consolidated sponsored investment portfolios and a $22.2 million reduction in the adjustment for gains realized from the sale of certain available-for-sale sponsored fund investments. Our interim operating cash flows do not include the cash impact of variable compensation that is accrued throughout the year before being substantially paid out in December.</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investing activities totaled $138.6 million in the first nine months of 2013, down $63.6 million from the comparable 2012 period. We made $101.1 million more net investments in our sponsored investment funds in the first nine months of 2012 than in the 2013 period. This decrease in cash used was offset by a $29.9 million reduction in net cash proceeds received from the debt securities held by our savings bank and a $18.9 million increase in property and equipment additions in the first nine months of 2013 compared to the 2012 period.</w:t>
      </w:r>
    </w:p>
    <w:p>
      <w:pPr>
        <w:spacing w:after="0" w:line="18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Net cash used in financing activities was $205.5 million in the first nine months of 2013, down $116.2 million from the comparable 2012 period. The first nine months of 2012 includes cash used of $135.2 million for stock repurchases compared to $14.1 million in the 2013 period. Cash proceeds from option exercises increased $48.9 million in the first nine months of 2013 compared to the comparative 2012 period as the higher market valuation that our common stock experienced in the 2013 period led our associates to exercise their options. These cash flow increases were partially offset by the change in customer deposits at our savings bank subsidiary during the first nine months of 2013 and the $37.4 million increase in dividends paid. The increase in dividends paid in the first nine months of 2013 is primarily due to the $.04 increase in our quarterly per-share dividend.</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cash and sponsored investment holdings at September 30, 2013 were $3.0 billion, and we have no debt. We anticipate property and equipment expenditures for the full year 2013 to be about $120 million and expect to fund them from our operating resources. We generally repurchase shares of our common stock over time to offset the dilution created by our equity-based compensation plans. Given the availability of our financial resources, we do not maintain an available external source of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that which we have not yet adopted. We do not believe that any such guidance will have a material effect on our financial position or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investments, capital expenditures,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report and our Form 10-K Annual Report for 2012.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00"/>
          </w:cols>
          <w:pgMar w:left="240" w:top="368" w:right="259" w:bottom="1440" w:gutter="0" w:footer="0" w:header="0"/>
        </w:sectPr>
      </w:pPr>
    </w:p>
    <w:bookmarkStart w:id="21" w:name="page22"/>
    <w:bookmarkEnd w:id="21"/>
    <w:p>
      <w:pPr>
        <w:ind w:right="80"/>
        <w:spacing w:after="0" w:line="259" w:lineRule="auto"/>
        <w:rPr>
          <w:sz w:val="20"/>
          <w:szCs w:val="20"/>
          <w:color w:val="auto"/>
        </w:rPr>
      </w:pPr>
      <w:r>
        <w:rPr>
          <w:rFonts w:ascii="Arial" w:cs="Arial" w:eastAsia="Arial" w:hAnsi="Arial"/>
          <w:sz w:val="18"/>
          <w:szCs w:val="18"/>
          <w:color w:val="auto"/>
        </w:rPr>
        <w:t>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and changes in their market valuations.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other incentive awards, changes in our employee count and mix, and competitive factors; any goodwill or investment impairment that may arise; fluctuation in foreign currency exchange rates applicable to our investment in and the costs of our international operations; changes in our effective tax rate;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September 30, 2013. Based on that evaluation, our principal executive and principal financial officers have concluded that our disclosure controls and procedures as of September 30, 2013,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2013, and has concluded that there was no change during the third quarter of 2013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36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the exception of the following additions or updates to the list of current and proposed legal or regulatory requirements discussed in Item 1A of our Form 10-K Annual Report for 2012 there have been no material changes in the risk factors previously provided.</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part of the debate in Washington, D.C. related to the economy and the U.S. deficit, there has been increasing focus on the framework of the U.S. retirement system. We could incur increased costs if new regulatory requirements are adopted since retirement plans are a significant part of our client base. Also, other types of retirement accounts invest in our mutual funds. In addition, changes to the current framework may impact our business in other ways. For example, proposals to reduce contributions to Individual Retirement Accounts and Defined Contribution plans for certain individuals, as well as potential changes to Defined Benefit plans, may result in increased plan terminations and reduce our opportunity to manage and service retirement assets.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Securities and Exchange Commission (the “SEC”) has proposed additional reforms to money market fund regulation. The proposal includes two basic alternatives that could be adopted alone or in combination. The first proposed alternative would require institutional non-government money market funds to operate with a floating net asset value (“NAV”) and the second proposed alternative would require non-government money market funds to impose liquidity fees and redemption gates under certain conditions. Regardless of whether either or both of these alternatives are adopted, the SEC proposal would institute other reforms for money market funds, including additional disclosure and reporting requirements, tightening of diversification requirements, and enhanced stress testing. Adoption of any such reforms could have a negative impact on the attractiveness of such funds to investors, or the willingness of the firm to sponsor such products. It would also subject us to additional regulatory requirements and costs to comply with any such requirements.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SEC has since adopted new municipal adviser registration rules as a result of The Dodd-Frank Wall Street Reform and Consumer Protection Act ("Dodd-Frank"). It is uncertain at this point what the full impact of these new rules will be on our business, but it is expected that certain affiliates may become subject to additional regulatory requirements and incur costs to ensure compliance with these requirements.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subject to various laws and regulations in the jurisdictions where we operate outside the U.S., including pan-European Directives, such as the Alternative Investment Fund Management Directive (“AIFMD”). The AIFMD has come into effect but interpretations of certain provisions are not yet final. It is expected that the AIFMD may impact remuneration policies, capital requirements and the manner in which affiliated entities provide services to funds covered by the Directive.</w:t>
      </w:r>
    </w:p>
    <w:p>
      <w:pPr>
        <w:spacing w:after="0" w:line="18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As previously noted, 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2013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July</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81,250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11,413,467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August</w:t>
            </w:r>
          </w:p>
        </w:tc>
        <w:tc>
          <w:tcPr>
            <w:tcW w:w="2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213,911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200,000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11,213,467</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September</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8,457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11,213,467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303,618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73.02</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payroll tax withholding obligation associated with the vesting of restricted stock awards. Of the total number of shares purchased during the third quarter of 2013, 101,978 were related to shares surrendered in connection with employee stock option exercises and 1,640 were related to shares withheld to cover payroll tax withholdings associated with the vesting of restricted stock awards.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maximum number of shares that may yet be purchased are available under the Board of Directors’ September 8, 2010 publicly announced authorization.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October 24, 2013, we issued a press release reporting our results of operations for the third quarter of 2013.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make available free of charge through our Internet web 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Securities and Exchange Commission. To obtain any of this information, access our web page at www.troweprice.com. We use our website as a channel of distribution for material company information.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4"/>
              </w:rPr>
              <w:t>Charter of T. Rowe Price Group, Inc., as Amended by Articles of Amendment dated April 10, 2008. (Incorporated by reference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3(i).1</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from Form 10-Q Report for the quarterly period ended June 30, 2008 filed on April 10, 2008; File No. 033-07012-99).</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1"/>
              </w:rPr>
              <w:t>Amended and Restated By-Laws of T. Rowe Price Group, Inc. as of February 12, 2009. (Incorporated by reference from Form 8-K</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3(ii)</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Current Report file on February 17, 2009; File No. 033-07012-99).</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89"/>
              </w:rPr>
              <w:t>Transfer Agency and Service Agreement as of January 1, 2013, between T. Rowe Price Services, Inc. and the T. Rowe Price Funds.</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10.03</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(Incorporated by reference from Form 485BPOS filed on April 26, 2013; File No. 033-38791).</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1"/>
              </w:rPr>
              <w:t>Agreement as of January 1, 2013, between T. Rowe Price Retirement Plan Services, Inc. and certain of the T. Rowe Price Funds.</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10.04</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(Incorporated by reference from Form 485BPOS filed on April 26, 2013; File No. 033-38791).</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0"/>
              </w:rPr>
              <w:t>Agreement as of January 1, 2013 between T. Rowe Price Associates, Inc. and the T. Rowe Price Funds. (Incorporated by reference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10.05</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from Form 485BPOS filed on April 26, 2013; File No. 033-38791).</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3"/>
              </w:rPr>
              <w:t>HM Revenue and Customs Approved Sub-Plan for UK Employees under the 2012 Long-Term Incentive Plan. (Incorporated by</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10.18.5</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8"/>
              </w:rPr>
              <w:t>reference from Form 10-Q for the quarterly period ended March 31, 2013 filed on April 24, 2013; File No. 033-07012-99).</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1"/>
              </w:rPr>
              <w:t>Forms of Agreement for Stock Options issued under the HM Revenue and Customs Approved Sub-Plan for UK Employees under</w:t>
            </w:r>
          </w:p>
        </w:tc>
      </w:tr>
      <w:tr>
        <w:trPr>
          <w:trHeight w:val="216"/>
        </w:trPr>
        <w:tc>
          <w:tcPr>
            <w:tcW w:w="1180" w:type="dxa"/>
            <w:vAlign w:val="bottom"/>
          </w:tcPr>
          <w:p>
            <w:pPr>
              <w:spacing w:after="0"/>
              <w:rPr>
                <w:sz w:val="18"/>
                <w:szCs w:val="18"/>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3"/>
              </w:rPr>
              <w:t>the 2012 Long-Term Incentive Plan. (Incorporated by reference from Form 10-Q for the quarterly period ended March 31, 2013</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10.18.6</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filed on April 24, 2013; File No. 033-07012-99).</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15</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31(i).1</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31(i).2</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32</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Section 1350 Certifications.</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99</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Press release issued October 24, 2013, reporting our results of operations for the third quarter of 2013.</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5"/>
              </w:rPr>
              <w:t>The following series of unaudited XBRL-formatted documents are collectively included herewith as Exhibit 101. The financial</w:t>
            </w:r>
          </w:p>
        </w:tc>
      </w:tr>
      <w:tr>
        <w:trPr>
          <w:trHeight w:val="216"/>
        </w:trPr>
        <w:tc>
          <w:tcPr>
            <w:tcW w:w="1180" w:type="dxa"/>
            <w:vAlign w:val="bottom"/>
          </w:tcPr>
          <w:p>
            <w:pPr>
              <w:spacing w:after="0"/>
              <w:rPr>
                <w:sz w:val="18"/>
                <w:szCs w:val="18"/>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0"/>
              </w:rPr>
              <w:t>information is extracted from T. Rowe Price Group’s unaudited condensed consolidated interim financial statements and notes that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are included in this Form 10-Q Report.</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101.INS</w:t>
            </w:r>
          </w:p>
        </w:tc>
        <w:tc>
          <w:tcPr>
            <w:tcW w:w="8380" w:type="dxa"/>
            <w:vAlign w:val="bottom"/>
          </w:tcPr>
          <w:p>
            <w:pPr>
              <w:ind w:left="400"/>
              <w:spacing w:after="0"/>
              <w:rPr>
                <w:sz w:val="20"/>
                <w:szCs w:val="20"/>
                <w:color w:val="auto"/>
              </w:rPr>
            </w:pPr>
            <w:r>
              <w:rPr>
                <w:rFonts w:ascii="Arial" w:cs="Arial" w:eastAsia="Arial" w:hAnsi="Arial"/>
                <w:sz w:val="18"/>
                <w:szCs w:val="18"/>
                <w:color w:val="auto"/>
              </w:rPr>
              <w:t>XBRL Instance Document (File name: trow-20130930.xml).</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101.SCH</w:t>
            </w:r>
          </w:p>
        </w:tc>
        <w:tc>
          <w:tcPr>
            <w:tcW w:w="838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 (File name: trow-20130930.xsd).</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101.CAL</w:t>
            </w:r>
          </w:p>
        </w:tc>
        <w:tc>
          <w:tcPr>
            <w:tcW w:w="8380" w:type="dxa"/>
            <w:vAlign w:val="bottom"/>
          </w:tcPr>
          <w:p>
            <w:pPr>
              <w:ind w:left="400"/>
              <w:spacing w:after="0"/>
              <w:rPr>
                <w:sz w:val="20"/>
                <w:szCs w:val="20"/>
                <w:color w:val="auto"/>
              </w:rPr>
            </w:pPr>
            <w:r>
              <w:rPr>
                <w:rFonts w:ascii="Arial" w:cs="Arial" w:eastAsia="Arial" w:hAnsi="Arial"/>
                <w:sz w:val="18"/>
                <w:szCs w:val="18"/>
                <w:color w:val="auto"/>
              </w:rPr>
              <w:t>XBRL Taxonomy Calculation Linkbase Document (File name: trow-20130930_cal.xml).</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101.LAB</w:t>
            </w:r>
          </w:p>
        </w:tc>
        <w:tc>
          <w:tcPr>
            <w:tcW w:w="8380" w:type="dxa"/>
            <w:vAlign w:val="bottom"/>
          </w:tcPr>
          <w:p>
            <w:pPr>
              <w:ind w:left="400"/>
              <w:spacing w:after="0"/>
              <w:rPr>
                <w:sz w:val="20"/>
                <w:szCs w:val="20"/>
                <w:color w:val="auto"/>
              </w:rPr>
            </w:pPr>
            <w:r>
              <w:rPr>
                <w:rFonts w:ascii="Arial" w:cs="Arial" w:eastAsia="Arial" w:hAnsi="Arial"/>
                <w:sz w:val="18"/>
                <w:szCs w:val="18"/>
                <w:color w:val="auto"/>
              </w:rPr>
              <w:t>XBRL Taxonomy Label Linkbase Document (File name: trow-20130930_lab.xml).</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101.PRE</w:t>
            </w:r>
          </w:p>
        </w:tc>
        <w:tc>
          <w:tcPr>
            <w:tcW w:w="8380" w:type="dxa"/>
            <w:vAlign w:val="bottom"/>
          </w:tcPr>
          <w:p>
            <w:pPr>
              <w:ind w:left="400"/>
              <w:spacing w:after="0"/>
              <w:rPr>
                <w:sz w:val="20"/>
                <w:szCs w:val="20"/>
                <w:color w:val="auto"/>
              </w:rPr>
            </w:pPr>
            <w:r>
              <w:rPr>
                <w:rFonts w:ascii="Arial" w:cs="Arial" w:eastAsia="Arial" w:hAnsi="Arial"/>
                <w:sz w:val="18"/>
                <w:szCs w:val="18"/>
                <w:color w:val="auto"/>
              </w:rPr>
              <w:t>XBRL Taxonomy Presentation Linkbase Document (File name: trow-20130930_pre.xml).</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101.DEF</w:t>
            </w:r>
          </w:p>
        </w:tc>
        <w:tc>
          <w:tcPr>
            <w:tcW w:w="8380" w:type="dxa"/>
            <w:vAlign w:val="bottom"/>
          </w:tcPr>
          <w:p>
            <w:pPr>
              <w:ind w:left="400"/>
              <w:spacing w:after="0"/>
              <w:rPr>
                <w:sz w:val="20"/>
                <w:szCs w:val="20"/>
                <w:color w:val="auto"/>
              </w:rPr>
            </w:pPr>
            <w:r>
              <w:rPr>
                <w:rFonts w:ascii="Arial" w:cs="Arial" w:eastAsia="Arial" w:hAnsi="Arial"/>
                <w:sz w:val="18"/>
                <w:szCs w:val="18"/>
                <w:color w:val="auto"/>
              </w:rPr>
              <w:t>XBRL Taxonomy Definition Linkbase Document (File name: trow-20130930_def.xml).</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340"/>
          </w:cols>
          <w:pgMar w:left="240" w:top="364" w:right="319" w:bottom="1440" w:gutter="0" w:footer="0" w:header="0"/>
        </w:sectPr>
      </w:pPr>
    </w:p>
    <w:bookmarkStart w:id="25" w:name="page26"/>
    <w:bookmarkEnd w:id="2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24,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220"/>
          </w:cols>
          <w:pgMar w:left="240" w:top="364" w:right="439" w:bottom="1440" w:gutter="0" w:footer="0" w:header="0"/>
        </w:sectPr>
      </w:pPr>
    </w:p>
    <w:bookmarkStart w:id="26" w:name="page27"/>
    <w:bookmarkEnd w:id="26"/>
    <w:p>
      <w:pPr>
        <w:ind w:left="1060" w:right="4040" w:hanging="2592"/>
        <w:spacing w:after="0" w:line="267" w:lineRule="auto"/>
        <w:tabs>
          <w:tab w:leader="none" w:pos="1040" w:val="left"/>
        </w:tabs>
        <w:rPr>
          <w:sz w:val="20"/>
          <w:szCs w:val="20"/>
          <w:color w:val="auto"/>
        </w:rPr>
      </w:pPr>
      <w:r>
        <w:rPr>
          <w:rFonts w:ascii="Arial" w:cs="Arial" w:eastAsia="Arial" w:hAnsi="Arial"/>
          <w:sz w:val="20"/>
          <w:szCs w:val="20"/>
          <w:b w:val="1"/>
          <w:bCs w:val="1"/>
          <w:color w:val="auto"/>
        </w:rPr>
        <w:t>Exhibit 15</w:t>
        <w:tab/>
        <w:t>Letter from KPMG LLP, independent registered public accounting firm, re unaudited interim financial information</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T. Rowe Price Group,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100 East Pratt Street</w:t>
      </w:r>
    </w:p>
    <w:p>
      <w:pPr>
        <w:spacing w:after="0"/>
        <w:rPr>
          <w:sz w:val="20"/>
          <w:szCs w:val="20"/>
          <w:color w:val="auto"/>
        </w:rPr>
      </w:pPr>
      <w:r>
        <w:rPr>
          <w:rFonts w:ascii="Arial" w:cs="Arial" w:eastAsia="Arial" w:hAnsi="Arial"/>
          <w:sz w:val="20"/>
          <w:szCs w:val="20"/>
          <w:color w:val="auto"/>
        </w:rPr>
        <w:t>Baltimore, Maryland 21202</w:t>
      </w:r>
    </w:p>
    <w:p>
      <w:pPr>
        <w:spacing w:after="0" w:line="200" w:lineRule="exact"/>
        <w:rPr>
          <w:sz w:val="20"/>
          <w:szCs w:val="20"/>
          <w:color w:val="auto"/>
        </w:rPr>
      </w:pPr>
    </w:p>
    <w:p>
      <w:pPr>
        <w:spacing w:after="0" w:line="21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Re: Registration Statements on Form S-8: No. 33-7012, No. 333-90967, No. 333-59714, No. 333-120882, No. 333-120883, No. 333-142092, No. 333-167317, and 333-180904.</w:t>
      </w:r>
    </w:p>
    <w:p>
      <w:pPr>
        <w:spacing w:after="0" w:line="393"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With respect to the subject registration statements, we acknowledge our awareness of the use therein of our report dated October 24, 2013 related to our review of interim financial information.</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Baltimore, Maryland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October 24, 2013</w:t>
      </w:r>
    </w:p>
    <w:p>
      <w:pPr>
        <w:sectPr>
          <w:pgSz w:w="11900" w:h="16838" w:orient="portrait"/>
          <w:cols w:equalWidth="0" w:num="1">
            <w:col w:w="11240"/>
          </w:cols>
          <w:pgMar w:left="240" w:top="576" w:right="419" w:bottom="1440" w:gutter="0" w:footer="0" w:header="0"/>
        </w:sectPr>
      </w:pPr>
    </w:p>
    <w:bookmarkStart w:id="27" w:name="page28"/>
    <w:bookmarkEnd w:id="27"/>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fiscal year ended September 30, 2013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24,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665" w:right="279" w:bottom="1440" w:gutter="0" w:footer="0" w:header="0"/>
        </w:sectPr>
      </w:pPr>
    </w:p>
    <w:bookmarkStart w:id="28" w:name="page29"/>
    <w:bookmarkEnd w:id="28"/>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fiscal year ended September 30, 2013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24,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29" w:name="page30"/>
    <w:bookmarkEnd w:id="29"/>
    <w:p>
      <w:pPr>
        <w:spacing w:after="0"/>
        <w:tabs>
          <w:tab w:leader="none" w:pos="25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We certify, to the best of our knowledge, based upon a review of the Form 10-Q Quarterly Report for the quarterly period ended September 30, 2013 of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Inc., that:</w:t>
      </w:r>
    </w:p>
    <w:p>
      <w:pPr>
        <w:spacing w:after="0" w:line="15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October 24, 2013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30" w:name="page31"/>
    <w:bookmarkEnd w:id="3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2019-12-07T00:22:19Z</dcterms:created>
  <dcterms:modified xsi:type="dcterms:W3CDTF">2019-12-07T00:22:19Z</dcterms:modified>
</cp:coreProperties>
</file>