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200660</wp:posOffset>
            </wp:positionH>
            <wp:positionV relativeFrom="page">
              <wp:posOffset>534670</wp:posOffset>
            </wp:positionV>
            <wp:extent cx="7169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wp:posOffset>
            </wp:positionH>
            <wp:positionV relativeFrom="paragraph">
              <wp:posOffset>-168275</wp:posOffset>
            </wp:positionV>
            <wp:extent cx="7169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6"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ind w:left="3780"/>
        <w:spacing w:after="0"/>
        <w:rPr>
          <w:sz w:val="20"/>
          <w:szCs w:val="20"/>
          <w:color w:val="auto"/>
        </w:rPr>
      </w:pPr>
      <w:r>
        <w:rPr>
          <w:rFonts w:ascii="Arial" w:cs="Arial" w:eastAsia="Arial" w:hAnsi="Arial"/>
          <w:sz w:val="18"/>
          <w:szCs w:val="18"/>
          <w:color w:val="auto"/>
        </w:rPr>
        <w:t>______________________________________</w:t>
      </w: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10-Q</w:t>
      </w:r>
    </w:p>
    <w:p>
      <w:pPr>
        <w:spacing w:after="0" w:line="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w:t>
      </w:r>
    </w:p>
    <w:p>
      <w:pPr>
        <w:spacing w:after="0" w:line="165" w:lineRule="exact"/>
        <w:rPr>
          <w:sz w:val="24"/>
          <w:szCs w:val="24"/>
          <w:color w:val="auto"/>
        </w:rPr>
      </w:pPr>
    </w:p>
    <w:p>
      <w:pPr>
        <w:ind w:left="720" w:hanging="449"/>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54" w:lineRule="exact"/>
        <w:rPr>
          <w:rFonts w:ascii="MS PGothic" w:cs="MS PGothic" w:eastAsia="MS PGothic" w:hAnsi="MS PGothic"/>
          <w:sz w:val="18"/>
          <w:szCs w:val="18"/>
          <w:color w:val="auto"/>
        </w:rPr>
      </w:pPr>
    </w:p>
    <w:p>
      <w:pPr>
        <w:ind w:left="35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September 30, 2019</w:t>
      </w:r>
    </w:p>
    <w:p>
      <w:pPr>
        <w:spacing w:after="0" w:line="28"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OR</w:t>
      </w:r>
    </w:p>
    <w:p>
      <w:pPr>
        <w:spacing w:after="0" w:line="189" w:lineRule="exact"/>
        <w:rPr>
          <w:sz w:val="24"/>
          <w:szCs w:val="24"/>
          <w:color w:val="auto"/>
        </w:rPr>
      </w:pPr>
    </w:p>
    <w:p>
      <w:pPr>
        <w:ind w:left="720" w:hanging="449"/>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6" w:lineRule="exact"/>
        <w:rPr>
          <w:rFonts w:ascii="MS PGothic" w:cs="MS PGothic" w:eastAsia="MS PGothic" w:hAnsi="MS PGothic"/>
          <w:sz w:val="18"/>
          <w:szCs w:val="18"/>
          <w:color w:val="auto"/>
        </w:rPr>
      </w:pPr>
    </w:p>
    <w:p>
      <w:pPr>
        <w:ind w:left="45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to</w:t>
      </w:r>
    </w:p>
    <w:p>
      <w:pPr>
        <w:spacing w:after="0" w:line="18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000-32191</w:t>
      </w:r>
    </w:p>
    <w:p>
      <w:pPr>
        <w:spacing w:after="0" w:line="33"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T. ROWE PRICE GROUP, INC.</w:t>
      </w:r>
    </w:p>
    <w:p>
      <w:pPr>
        <w:spacing w:after="0" w:line="5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60"/>
          </w:cols>
          <w:pgMar w:left="240" w:top="956" w:right="399" w:bottom="1440" w:gutter="0" w:footer="0" w:header="0"/>
        </w:sectPr>
      </w:pPr>
    </w:p>
    <w:p>
      <w:pPr>
        <w:spacing w:after="0" w:line="147" w:lineRule="exact"/>
        <w:rPr>
          <w:sz w:val="24"/>
          <w:szCs w:val="24"/>
          <w:color w:val="auto"/>
        </w:rPr>
      </w:pPr>
    </w:p>
    <w:p>
      <w:pPr>
        <w:ind w:left="2320"/>
        <w:spacing w:after="0"/>
        <w:rPr>
          <w:sz w:val="20"/>
          <w:szCs w:val="20"/>
          <w:color w:val="auto"/>
        </w:rPr>
      </w:pPr>
      <w:r>
        <w:rPr>
          <w:rFonts w:ascii="Arial" w:cs="Arial" w:eastAsia="Arial" w:hAnsi="Arial"/>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52-2264646</w:t>
      </w:r>
    </w:p>
    <w:p>
      <w:pPr>
        <w:spacing w:after="0" w:line="70" w:lineRule="exact"/>
        <w:rPr>
          <w:sz w:val="24"/>
          <w:szCs w:val="24"/>
          <w:color w:val="auto"/>
        </w:rPr>
      </w:pPr>
    </w:p>
    <w:p>
      <w:pPr>
        <w:sectPr>
          <w:pgSz w:w="11900" w:h="16838" w:orient="portrait"/>
          <w:cols w:equalWidth="0" w:num="2">
            <w:col w:w="7340" w:space="720"/>
            <w:col w:w="3200"/>
          </w:cols>
          <w:pgMar w:left="240" w:top="956" w:right="399" w:bottom="1440" w:gutter="0" w:footer="0" w:header="0"/>
          <w:type w:val="continuous"/>
        </w:sectPr>
      </w:pPr>
    </w:p>
    <w:p>
      <w:pPr>
        <w:ind w:left="192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81" w:lineRule="exact"/>
        <w:rPr>
          <w:sz w:val="24"/>
          <w:szCs w:val="24"/>
          <w:color w:val="auto"/>
        </w:rPr>
      </w:pPr>
    </w:p>
    <w:p>
      <w:pPr>
        <w:sectPr>
          <w:pgSz w:w="11900" w:h="16838" w:orient="portrait"/>
          <w:cols w:equalWidth="0" w:num="2">
            <w:col w:w="6640" w:space="720"/>
            <w:col w:w="3900"/>
          </w:cols>
          <w:pgMar w:left="240" w:top="956" w:right="399" w:bottom="1440" w:gutter="0" w:footer="0" w:header="0"/>
          <w:type w:val="continuous"/>
        </w:sectPr>
      </w:pPr>
    </w:p>
    <w:p>
      <w:pPr>
        <w:ind w:left="3660"/>
        <w:spacing w:after="0"/>
        <w:rPr>
          <w:sz w:val="20"/>
          <w:szCs w:val="20"/>
          <w:color w:val="auto"/>
        </w:rPr>
      </w:pPr>
      <w:r>
        <w:rPr>
          <w:rFonts w:ascii="Arial" w:cs="Arial" w:eastAsia="Arial" w:hAnsi="Arial"/>
          <w:sz w:val="17"/>
          <w:szCs w:val="17"/>
          <w:b w:val="1"/>
          <w:bCs w:val="1"/>
          <w:color w:val="auto"/>
        </w:rPr>
        <w:t>100 East Pratt Street, Baltimore, Maryland 21202</w:t>
      </w:r>
    </w:p>
    <w:p>
      <w:pPr>
        <w:spacing w:after="0" w:line="50" w:lineRule="exact"/>
        <w:rPr>
          <w:sz w:val="24"/>
          <w:szCs w:val="24"/>
          <w:color w:val="auto"/>
        </w:rPr>
      </w:pPr>
    </w:p>
    <w:p>
      <w:pPr>
        <w:ind w:left="3660"/>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3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(410) 345-2000</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1" w:lineRule="exact"/>
        <w:rPr>
          <w:sz w:val="24"/>
          <w:szCs w:val="24"/>
          <w:color w:val="auto"/>
        </w:rPr>
      </w:pPr>
    </w:p>
    <w:p>
      <w:pPr>
        <w:ind w:left="5080"/>
        <w:spacing w:after="0"/>
        <w:rPr>
          <w:sz w:val="20"/>
          <w:szCs w:val="20"/>
          <w:color w:val="auto"/>
        </w:rPr>
      </w:pPr>
      <w:r>
        <w:rPr>
          <w:rFonts w:ascii="Arial" w:cs="Arial" w:eastAsia="Arial" w:hAnsi="Arial"/>
          <w:sz w:val="14"/>
          <w:szCs w:val="14"/>
          <w:color w:val="auto"/>
        </w:rPr>
        <w:t>________________</w:t>
      </w:r>
    </w:p>
    <w:p>
      <w:pPr>
        <w:sectPr>
          <w:pgSz w:w="11900" w:h="16838" w:orient="portrait"/>
          <w:cols w:equalWidth="0" w:num="1">
            <w:col w:w="11260"/>
          </w:cols>
          <w:pgMar w:left="240" w:top="956" w:right="399" w:bottom="1440" w:gutter="0" w:footer="0" w:header="0"/>
          <w:type w:val="continuous"/>
        </w:sectPr>
      </w:pPr>
    </w:p>
    <w:p>
      <w:pPr>
        <w:spacing w:after="0" w:line="219" w:lineRule="exact"/>
        <w:rPr>
          <w:sz w:val="24"/>
          <w:szCs w:val="24"/>
          <w:color w:val="auto"/>
        </w:rPr>
      </w:pPr>
    </w:p>
    <w:p>
      <w:pPr>
        <w:ind w:left="680"/>
        <w:spacing w:after="0"/>
        <w:rPr>
          <w:sz w:val="20"/>
          <w:szCs w:val="20"/>
          <w:color w:val="auto"/>
        </w:rPr>
      </w:pPr>
      <w:r>
        <w:rPr>
          <w:rFonts w:ascii="Arial" w:cs="Arial" w:eastAsia="Arial" w:hAnsi="Arial"/>
          <w:sz w:val="18"/>
          <w:szCs w:val="18"/>
          <w:b w:val="1"/>
          <w:bCs w:val="1"/>
          <w:color w:val="auto"/>
        </w:rPr>
        <w:t>Common stock, $.20 par value per share</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TROW</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The NASDAQ Stock Market LLC</w:t>
      </w:r>
    </w:p>
    <w:p>
      <w:pPr>
        <w:spacing w:after="0" w:line="70" w:lineRule="exact"/>
        <w:rPr>
          <w:sz w:val="24"/>
          <w:szCs w:val="24"/>
          <w:color w:val="auto"/>
        </w:rPr>
      </w:pPr>
    </w:p>
    <w:p>
      <w:pPr>
        <w:sectPr>
          <w:pgSz w:w="11900" w:h="16838" w:orient="portrait"/>
          <w:cols w:equalWidth="0" w:num="3">
            <w:col w:w="4660" w:space="720"/>
            <w:col w:w="1500" w:space="720"/>
            <w:col w:w="3660"/>
          </w:cols>
          <w:pgMar w:left="240" w:top="956" w:right="399" w:bottom="1440" w:gutter="0" w:footer="0" w:header="0"/>
          <w:type w:val="continuous"/>
        </w:sectPr>
      </w:pPr>
    </w:p>
    <w:p>
      <w:pPr>
        <w:ind w:left="1840"/>
        <w:spacing w:after="0"/>
        <w:rPr>
          <w:sz w:val="20"/>
          <w:szCs w:val="20"/>
          <w:color w:val="auto"/>
        </w:rPr>
      </w:pPr>
      <w:r>
        <w:rPr>
          <w:rFonts w:ascii="Arial" w:cs="Arial" w:eastAsia="Arial" w:hAnsi="Arial"/>
          <w:sz w:val="14"/>
          <w:szCs w:val="14"/>
          <w:b w:val="1"/>
          <w:bCs w:val="1"/>
          <w:color w:val="auto"/>
        </w:rPr>
        <w:t>(title of security)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(ticker symbol)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(Name of exchange on which registered)</w:t>
      </w:r>
    </w:p>
    <w:p>
      <w:pPr>
        <w:spacing w:after="0" w:line="98" w:lineRule="exact"/>
        <w:rPr>
          <w:sz w:val="24"/>
          <w:szCs w:val="24"/>
          <w:color w:val="auto"/>
        </w:rPr>
      </w:pPr>
    </w:p>
    <w:p>
      <w:pPr>
        <w:sectPr>
          <w:pgSz w:w="11900" w:h="16838" w:orient="portrait"/>
          <w:cols w:equalWidth="0" w:num="3">
            <w:col w:w="4420" w:space="720"/>
            <w:col w:w="1720" w:space="720"/>
            <w:col w:w="3680"/>
          </w:cols>
          <w:pgMar w:left="240" w:top="956" w:right="399" w:bottom="1440" w:gutter="0" w:footer="0" w:header="0"/>
          <w:type w:val="continuous"/>
        </w:sectPr>
      </w:pPr>
    </w:p>
    <w:p>
      <w:pPr>
        <w:ind w:left="4840"/>
        <w:spacing w:after="0"/>
        <w:rPr>
          <w:sz w:val="20"/>
          <w:szCs w:val="20"/>
          <w:color w:val="auto"/>
        </w:rPr>
      </w:pPr>
      <w:r>
        <w:rPr>
          <w:rFonts w:ascii="Arial" w:cs="Arial" w:eastAsia="Arial" w:hAnsi="Arial"/>
          <w:sz w:val="14"/>
          <w:szCs w:val="14"/>
          <w:color w:val="auto"/>
        </w:rPr>
        <w:t>______________________</w:t>
      </w:r>
    </w:p>
    <w:p>
      <w:pPr>
        <w:sectPr>
          <w:pgSz w:w="11900" w:h="16838" w:orient="portrait"/>
          <w:cols w:equalWidth="0" w:num="1">
            <w:col w:w="11260"/>
          </w:cols>
          <w:pgMar w:left="240" w:top="956" w:right="399" w:bottom="1440" w:gutter="0" w:footer="0" w:header="0"/>
          <w:type w:val="continuous"/>
        </w:sectPr>
      </w:pPr>
    </w:p>
    <w:p>
      <w:pPr>
        <w:spacing w:after="0" w:line="64" w:lineRule="exact"/>
        <w:rPr>
          <w:sz w:val="24"/>
          <w:szCs w:val="24"/>
          <w:color w:val="auto"/>
        </w:rPr>
      </w:pPr>
    </w:p>
    <w:p>
      <w:pPr>
        <w:ind w:right="320"/>
        <w:spacing w:after="0" w:line="21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19" w:lineRule="exact"/>
        <w:rPr>
          <w:sz w:val="24"/>
          <w:szCs w:val="24"/>
          <w:color w:val="auto"/>
        </w:rPr>
      </w:pPr>
    </w:p>
    <w:p>
      <w:pPr>
        <w:ind w:right="500"/>
        <w:spacing w:after="0" w:line="21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19" w:lineRule="exact"/>
        <w:rPr>
          <w:sz w:val="24"/>
          <w:szCs w:val="24"/>
          <w:color w:val="auto"/>
        </w:rPr>
      </w:pPr>
    </w:p>
    <w:p>
      <w:pPr>
        <w:ind w:right="10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51"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5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6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374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86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5000" w:type="dxa"/>
            <w:vAlign w:val="bottom"/>
          </w:tcPr>
          <w:p>
            <w:pPr>
              <w:spacing w:after="0"/>
              <w:rPr>
                <w:sz w:val="24"/>
                <w:szCs w:val="24"/>
                <w:color w:val="auto"/>
              </w:rPr>
            </w:pPr>
          </w:p>
        </w:tc>
        <w:tc>
          <w:tcPr>
            <w:tcW w:w="6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3740" w:type="dxa"/>
            <w:vAlign w:val="bottom"/>
          </w:tcPr>
          <w:p>
            <w:pPr>
              <w:ind w:left="80"/>
              <w:spacing w:after="0"/>
              <w:rPr>
                <w:sz w:val="20"/>
                <w:szCs w:val="20"/>
                <w:color w:val="auto"/>
              </w:rPr>
            </w:pPr>
            <w:r>
              <w:rPr>
                <w:rFonts w:ascii="Arial" w:cs="Arial" w:eastAsia="Arial" w:hAnsi="Arial"/>
                <w:sz w:val="16"/>
                <w:szCs w:val="16"/>
                <w:color w:val="auto"/>
              </w:rPr>
              <w:t>Smaller reporting company</w:t>
            </w:r>
          </w:p>
        </w:tc>
        <w:tc>
          <w:tcPr>
            <w:tcW w:w="186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5000" w:type="dxa"/>
            <w:vAlign w:val="bottom"/>
          </w:tcPr>
          <w:p>
            <w:pPr>
              <w:spacing w:after="0"/>
              <w:rPr>
                <w:sz w:val="20"/>
                <w:szCs w:val="20"/>
                <w:color w:val="auto"/>
              </w:rPr>
            </w:pPr>
            <w:r>
              <w:rPr>
                <w:rFonts w:ascii="Arial" w:cs="Arial" w:eastAsia="Arial" w:hAnsi="Arial"/>
                <w:sz w:val="16"/>
                <w:szCs w:val="16"/>
                <w:color w:val="auto"/>
              </w:rPr>
              <w:t>Non-accelerated filer (do not check if smaller reporting company)</w:t>
            </w:r>
          </w:p>
        </w:tc>
        <w:tc>
          <w:tcPr>
            <w:tcW w:w="620" w:type="dxa"/>
            <w:vAlign w:val="bottom"/>
          </w:tcPr>
          <w:p>
            <w:pPr>
              <w:spacing w:after="0"/>
              <w:rPr>
                <w:sz w:val="23"/>
                <w:szCs w:val="23"/>
                <w:color w:val="auto"/>
              </w:rPr>
            </w:pPr>
          </w:p>
        </w:tc>
        <w:tc>
          <w:tcPr>
            <w:tcW w:w="3740" w:type="dxa"/>
            <w:vAlign w:val="bottom"/>
          </w:tcPr>
          <w:p>
            <w:pPr>
              <w:ind w:left="80"/>
              <w:spacing w:after="0"/>
              <w:rPr>
                <w:sz w:val="20"/>
                <w:szCs w:val="20"/>
                <w:color w:val="auto"/>
              </w:rPr>
            </w:pPr>
            <w:r>
              <w:rPr>
                <w:rFonts w:ascii="Arial" w:cs="Arial" w:eastAsia="Arial" w:hAnsi="Arial"/>
                <w:sz w:val="16"/>
                <w:szCs w:val="16"/>
                <w:color w:val="auto"/>
              </w:rPr>
              <w:t>Emerging growth company</w:t>
            </w:r>
          </w:p>
        </w:tc>
        <w:tc>
          <w:tcPr>
            <w:tcW w:w="186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9" w:lineRule="exact"/>
        <w:rPr>
          <w:sz w:val="24"/>
          <w:szCs w:val="24"/>
          <w:color w:val="auto"/>
        </w:rPr>
      </w:pPr>
    </w:p>
    <w:p>
      <w:pPr>
        <w:ind w:right="140"/>
        <w:spacing w:after="0" w:line="211"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16" w:lineRule="exact"/>
        <w:rPr>
          <w:sz w:val="24"/>
          <w:szCs w:val="24"/>
          <w:color w:val="auto"/>
        </w:rPr>
      </w:pPr>
    </w:p>
    <w:p>
      <w:pPr>
        <w:spacing w:after="0" w:line="184" w:lineRule="exact"/>
        <w:tabs>
          <w:tab w:leader="none" w:pos="88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0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($.20 par value), as of the latest practicable date, October 22, 2019, is 233,677,334.</w:t>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color w:val="auto"/>
        </w:rPr>
        <w:t>The exhibit index is at Item 6 on page 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69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69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ectPr>
          <w:pgSz w:w="11900" w:h="16838" w:orient="portrait"/>
          <w:cols w:equalWidth="0" w:num="1">
            <w:col w:w="11260"/>
          </w:cols>
          <w:pgMar w:left="240" w:top="956" w:right="3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b w:val="1"/>
                <w:bCs w:val="1"/>
                <w:color w:val="auto"/>
              </w:rPr>
              <w:t>9/30/2019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b w:val="1"/>
                <w:bCs w:val="1"/>
                <w:color w:val="auto"/>
              </w:rPr>
              <w:t>12/31/2018</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1"/>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2,213.2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1,425.2</w:t>
            </w:r>
          </w:p>
        </w:tc>
      </w:tr>
      <w:tr>
        <w:trPr>
          <w:trHeight w:val="265"/>
        </w:trPr>
        <w:tc>
          <w:tcPr>
            <w:tcW w:w="856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4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620.6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549.6</w:t>
            </w:r>
          </w:p>
        </w:tc>
      </w:tr>
      <w:tr>
        <w:trPr>
          <w:trHeight w:val="275"/>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2,605.9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2,453.4</w:t>
            </w:r>
          </w:p>
        </w:tc>
      </w:tr>
      <w:tr>
        <w:trPr>
          <w:trHeight w:val="207"/>
        </w:trPr>
        <w:tc>
          <w:tcPr>
            <w:tcW w:w="8560" w:type="dxa"/>
            <w:vAlign w:val="bottom"/>
          </w:tcPr>
          <w:p>
            <w:pPr>
              <w:ind w:left="40"/>
              <w:spacing w:after="0"/>
              <w:rPr>
                <w:sz w:val="20"/>
                <w:szCs w:val="20"/>
                <w:color w:val="auto"/>
              </w:rPr>
            </w:pPr>
            <w:r>
              <w:rPr>
                <w:rFonts w:ascii="Arial" w:cs="Arial" w:eastAsia="Arial" w:hAnsi="Arial"/>
                <w:sz w:val="18"/>
                <w:szCs w:val="18"/>
                <w:color w:val="auto"/>
              </w:rPr>
              <w:t>Assets of consolidated T. Rowe Price investment products ($1,983.7 million at September 30,</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8"/>
        </w:trPr>
        <w:tc>
          <w:tcPr>
            <w:tcW w:w="8560" w:type="dxa"/>
            <w:vAlign w:val="bottom"/>
          </w:tcPr>
          <w:p>
            <w:pPr>
              <w:ind w:left="40"/>
              <w:spacing w:after="0"/>
              <w:rPr>
                <w:sz w:val="20"/>
                <w:szCs w:val="20"/>
                <w:color w:val="auto"/>
              </w:rPr>
            </w:pPr>
            <w:r>
              <w:rPr>
                <w:rFonts w:ascii="Arial" w:cs="Arial" w:eastAsia="Arial" w:hAnsi="Arial"/>
                <w:sz w:val="18"/>
                <w:szCs w:val="18"/>
                <w:color w:val="auto"/>
              </w:rPr>
              <w:t>2019 and $1,392.6 million at December 31, 2018, related to variable interest entities)</w:t>
            </w:r>
          </w:p>
        </w:tc>
        <w:tc>
          <w:tcPr>
            <w:tcW w:w="2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2,247.4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1,680.4</w:t>
            </w:r>
          </w:p>
        </w:tc>
      </w:tr>
      <w:tr>
        <w:trPr>
          <w:trHeight w:val="275"/>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assets</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5"/>
        </w:trPr>
        <w:tc>
          <w:tcPr>
            <w:tcW w:w="85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678.8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661.3</w:t>
            </w:r>
          </w:p>
        </w:tc>
      </w:tr>
      <w:tr>
        <w:trPr>
          <w:trHeight w:val="275"/>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665.7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665.7</w:t>
            </w:r>
          </w:p>
        </w:tc>
      </w:tr>
      <w:tr>
        <w:trPr>
          <w:trHeight w:val="265"/>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254.9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253.7</w:t>
            </w:r>
          </w:p>
        </w:tc>
      </w:tr>
      <w:tr>
        <w:trPr>
          <w:trHeight w:val="25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9,397.8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7,689.3</w:t>
            </w: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5"/>
        </w:trPr>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5"/>
        </w:trPr>
        <w:tc>
          <w:tcPr>
            <w:tcW w:w="856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228.5</w:t>
            </w:r>
          </w:p>
        </w:tc>
      </w:tr>
      <w:tr>
        <w:trPr>
          <w:trHeight w:val="211"/>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 of consolidated T. Rowe Price investment products ($69.8 million at September 30,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2"/>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 and $22.7 million at December 31, 2018, related to variable interest entities)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38.7</w:t>
            </w:r>
          </w:p>
        </w:tc>
      </w:tr>
      <w:tr>
        <w:trPr>
          <w:trHeight w:val="265"/>
        </w:trPr>
        <w:tc>
          <w:tcPr>
            <w:tcW w:w="856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5"/>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534.0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123.3</w:t>
            </w:r>
          </w:p>
        </w:tc>
      </w:tr>
      <w:tr>
        <w:trPr>
          <w:trHeight w:val="265"/>
        </w:trPr>
        <w:tc>
          <w:tcPr>
            <w:tcW w:w="8560" w:type="dxa"/>
            <w:vAlign w:val="bottom"/>
          </w:tcPr>
          <w:p>
            <w:pPr>
              <w:ind w:left="180"/>
              <w:spacing w:after="0"/>
              <w:rPr>
                <w:sz w:val="20"/>
                <w:szCs w:val="20"/>
                <w:color w:val="auto"/>
              </w:rPr>
            </w:pPr>
            <w:r>
              <w:rPr>
                <w:rFonts w:ascii="Arial" w:cs="Arial" w:eastAsia="Arial" w:hAnsi="Arial"/>
                <w:sz w:val="18"/>
                <w:szCs w:val="18"/>
                <w:color w:val="auto"/>
              </w:rPr>
              <w:t>Supplemental savings plan liability</w:t>
            </w:r>
          </w:p>
        </w:tc>
        <w:tc>
          <w:tcPr>
            <w:tcW w:w="24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441.8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380.0</w:t>
            </w:r>
          </w:p>
        </w:tc>
      </w:tr>
      <w:tr>
        <w:trPr>
          <w:trHeight w:val="275"/>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54.2</w:t>
            </w:r>
          </w:p>
        </w:tc>
      </w:tr>
      <w:tr>
        <w:trPr>
          <w:trHeight w:val="245"/>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1,455.1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824.7</w:t>
            </w:r>
          </w:p>
        </w:tc>
      </w:tr>
      <w:tr>
        <w:trPr>
          <w:trHeight w:val="322"/>
        </w:trPr>
        <w:tc>
          <w:tcPr>
            <w:tcW w:w="85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5"/>
        </w:trPr>
        <w:tc>
          <w:tcPr>
            <w:tcW w:w="856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329"/>
        </w:trPr>
        <w:tc>
          <w:tcPr>
            <w:tcW w:w="85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5"/>
        </w:trPr>
        <w:tc>
          <w:tcPr>
            <w:tcW w:w="856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24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1,102.9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740.3</w:t>
            </w:r>
          </w:p>
        </w:tc>
      </w:tr>
      <w:tr>
        <w:trPr>
          <w:trHeight w:val="329"/>
        </w:trPr>
        <w:tc>
          <w:tcPr>
            <w:tcW w:w="85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9"/>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1"/>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7"/>
        </w:trPr>
        <w:tc>
          <w:tcPr>
            <w:tcW w:w="8560" w:type="dxa"/>
            <w:vAlign w:val="bottom"/>
          </w:tcPr>
          <w:p>
            <w:pPr>
              <w:ind w:left="180"/>
              <w:spacing w:after="0"/>
              <w:rPr>
                <w:sz w:val="20"/>
                <w:szCs w:val="20"/>
                <w:color w:val="auto"/>
              </w:rPr>
            </w:pPr>
            <w:r>
              <w:rPr>
                <w:rFonts w:ascii="Arial" w:cs="Arial" w:eastAsia="Arial" w:hAnsi="Arial"/>
                <w:sz w:val="18"/>
                <w:szCs w:val="18"/>
                <w:color w:val="auto"/>
              </w:rPr>
              <w:t>Common stock, $.20 par value—authorized 750,000,000; issued 234,702,000 shares at</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8"/>
        </w:trPr>
        <w:tc>
          <w:tcPr>
            <w:tcW w:w="8560" w:type="dxa"/>
            <w:vAlign w:val="bottom"/>
          </w:tcPr>
          <w:p>
            <w:pPr>
              <w:ind w:left="180"/>
              <w:spacing w:after="0"/>
              <w:rPr>
                <w:sz w:val="20"/>
                <w:szCs w:val="20"/>
                <w:color w:val="auto"/>
              </w:rPr>
            </w:pPr>
            <w:r>
              <w:rPr>
                <w:rFonts w:ascii="Arial" w:cs="Arial" w:eastAsia="Arial" w:hAnsi="Arial"/>
                <w:sz w:val="18"/>
                <w:szCs w:val="18"/>
                <w:color w:val="auto"/>
              </w:rPr>
              <w:t>September 30, 2019 and 238,069,000 at December 31, 2018</w:t>
            </w:r>
          </w:p>
        </w:tc>
        <w:tc>
          <w:tcPr>
            <w:tcW w:w="2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47.6</w:t>
            </w:r>
          </w:p>
        </w:tc>
      </w:tr>
      <w:tr>
        <w:trPr>
          <w:trHeight w:val="275"/>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654.6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654.6</w:t>
            </w:r>
          </w:p>
        </w:tc>
      </w:tr>
      <w:tr>
        <w:trPr>
          <w:trHeight w:val="265"/>
        </w:trPr>
        <w:tc>
          <w:tcPr>
            <w:tcW w:w="85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6,187.0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5,464.1</w:t>
            </w:r>
          </w:p>
        </w:tc>
      </w:tr>
      <w:tr>
        <w:trPr>
          <w:trHeight w:val="275"/>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45"/>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permanent stockholders’ equity</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6,839.8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6,124.3</w:t>
            </w:r>
          </w:p>
        </w:tc>
      </w:tr>
      <w:tr>
        <w:trPr>
          <w:trHeight w:val="25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9,397.8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7,689.3</w:t>
            </w: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574" w:right="239" w:bottom="1440" w:gutter="0" w:footer="0" w:header="0"/>
        </w:sectPr>
      </w:pPr>
    </w:p>
    <w:bookmarkStart w:id="2" w:name="page3"/>
    <w:bookmarkEnd w:id="2"/>
    <w:p>
      <w:pPr>
        <w:ind w:right="5360"/>
        <w:spacing w:after="0" w:line="303"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55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720" w:type="dxa"/>
            <w:vAlign w:val="bottom"/>
            <w:gridSpan w:val="5"/>
            <w:shd w:val="clear" w:color="auto" w:fill="CCEEFF"/>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CCEEFF"/>
          </w:tcPr>
          <w:p>
            <w:pPr>
              <w:spacing w:after="0"/>
              <w:rPr>
                <w:sz w:val="23"/>
                <w:szCs w:val="23"/>
                <w:color w:val="auto"/>
              </w:rPr>
            </w:pPr>
          </w:p>
        </w:tc>
        <w:tc>
          <w:tcPr>
            <w:tcW w:w="2620" w:type="dxa"/>
            <w:vAlign w:val="bottom"/>
            <w:gridSpan w:val="4"/>
            <w:shd w:val="clear" w:color="auto" w:fill="CCEEFF"/>
          </w:tcPr>
          <w:p>
            <w:pPr>
              <w:jc w:val="right"/>
              <w:ind w:right="671"/>
              <w:spacing w:after="0"/>
              <w:rPr>
                <w:sz w:val="20"/>
                <w:szCs w:val="20"/>
                <w:color w:val="auto"/>
              </w:rPr>
            </w:pPr>
            <w:r>
              <w:rPr>
                <w:rFonts w:ascii="Arial" w:cs="Arial" w:eastAsia="Arial" w:hAnsi="Arial"/>
                <w:sz w:val="14"/>
                <w:szCs w:val="14"/>
                <w:b w:val="1"/>
                <w:bCs w:val="1"/>
                <w:color w:val="auto"/>
              </w:rPr>
              <w:t>Nine months ended</w:t>
            </w:r>
          </w:p>
        </w:tc>
      </w:tr>
      <w:tr>
        <w:trPr>
          <w:trHeight w:val="250"/>
        </w:trPr>
        <w:tc>
          <w:tcPr>
            <w:tcW w:w="55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9/30/2019</w:t>
            </w:r>
          </w:p>
        </w:tc>
        <w:tc>
          <w:tcPr>
            <w:tcW w:w="1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9/30/2018</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9/30/2019</w:t>
            </w:r>
          </w:p>
        </w:tc>
        <w:tc>
          <w:tcPr>
            <w:tcW w:w="100" w:type="dxa"/>
            <w:vAlign w:val="bottom"/>
            <w:tcBorders>
              <w:top w:val="single" w:sz="8" w:color="auto"/>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9/30/2018</w:t>
            </w:r>
          </w:p>
        </w:tc>
      </w:tr>
      <w:tr>
        <w:trPr>
          <w:trHeight w:val="26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5"/>
        </w:trPr>
        <w:tc>
          <w:tcPr>
            <w:tcW w:w="5580" w:type="dxa"/>
            <w:vAlign w:val="bottom"/>
          </w:tcPr>
          <w:p>
            <w:pPr>
              <w:ind w:left="180"/>
              <w:spacing w:after="0"/>
              <w:rPr>
                <w:sz w:val="20"/>
                <w:szCs w:val="20"/>
                <w:color w:val="auto"/>
              </w:rPr>
            </w:pPr>
            <w:r>
              <w:rPr>
                <w:rFonts w:ascii="Arial" w:cs="Arial" w:eastAsia="Arial" w:hAnsi="Arial"/>
                <w:sz w:val="18"/>
                <w:szCs w:val="18"/>
                <w:color w:val="auto"/>
              </w:rPr>
              <w:t>Investment advisory fees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1,303.4</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1,263.3</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3,767.8</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3,666.9</w:t>
            </w:r>
          </w:p>
        </w:tc>
      </w:tr>
      <w:tr>
        <w:trPr>
          <w:trHeight w:val="275"/>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Administrative, distribution, and servicing fees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131.3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381.4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400.7</w:t>
            </w:r>
          </w:p>
        </w:tc>
      </w:tr>
      <w:tr>
        <w:trPr>
          <w:trHeight w:val="245"/>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1,426.7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1,394.6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4,149.2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4,067.6</w:t>
            </w:r>
          </w:p>
        </w:tc>
      </w:tr>
      <w:tr>
        <w:trPr>
          <w:trHeight w:val="322"/>
        </w:trPr>
        <w:tc>
          <w:tcPr>
            <w:tcW w:w="55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5"/>
        </w:trPr>
        <w:tc>
          <w:tcPr>
            <w:tcW w:w="5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and related costs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466.3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454.3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1,441.0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1,351.7</w:t>
            </w:r>
          </w:p>
        </w:tc>
      </w:tr>
      <w:tr>
        <w:trPr>
          <w:trHeight w:val="265"/>
        </w:trPr>
        <w:tc>
          <w:tcPr>
            <w:tcW w:w="5580" w:type="dxa"/>
            <w:vAlign w:val="bottom"/>
          </w:tcPr>
          <w:p>
            <w:pPr>
              <w:ind w:left="180"/>
              <w:spacing w:after="0"/>
              <w:rPr>
                <w:sz w:val="20"/>
                <w:szCs w:val="20"/>
                <w:color w:val="auto"/>
              </w:rPr>
            </w:pPr>
            <w:r>
              <w:rPr>
                <w:rFonts w:ascii="Arial" w:cs="Arial" w:eastAsia="Arial" w:hAnsi="Arial"/>
                <w:sz w:val="18"/>
                <w:szCs w:val="18"/>
                <w:color w:val="auto"/>
              </w:rPr>
              <w:t>Distribution and servicing</w:t>
            </w:r>
          </w:p>
        </w:tc>
        <w:tc>
          <w:tcPr>
            <w:tcW w:w="2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213.3</w:t>
            </w:r>
          </w:p>
        </w:tc>
      </w:tr>
      <w:tr>
        <w:trPr>
          <w:trHeight w:val="275"/>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 and promotion</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63.8</w:t>
            </w:r>
          </w:p>
        </w:tc>
      </w:tr>
      <w:tr>
        <w:trPr>
          <w:trHeight w:val="265"/>
        </w:trPr>
        <w:tc>
          <w:tcPr>
            <w:tcW w:w="5580" w:type="dxa"/>
            <w:vAlign w:val="bottom"/>
          </w:tcPr>
          <w:p>
            <w:pPr>
              <w:ind w:left="180"/>
              <w:spacing w:after="0"/>
              <w:rPr>
                <w:sz w:val="20"/>
                <w:szCs w:val="20"/>
                <w:color w:val="auto"/>
              </w:rPr>
            </w:pPr>
            <w:r>
              <w:rPr>
                <w:rFonts w:ascii="Arial" w:cs="Arial" w:eastAsia="Arial" w:hAnsi="Arial"/>
                <w:sz w:val="18"/>
                <w:szCs w:val="18"/>
                <w:color w:val="auto"/>
              </w:rPr>
              <w:t>Product-related costs</w:t>
            </w:r>
          </w:p>
        </w:tc>
        <w:tc>
          <w:tcPr>
            <w:tcW w:w="2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117.1</w:t>
            </w:r>
          </w:p>
        </w:tc>
      </w:tr>
      <w:tr>
        <w:trPr>
          <w:trHeight w:val="275"/>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 occupancy, and facility costs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309.5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283.8</w:t>
            </w:r>
          </w:p>
        </w:tc>
      </w:tr>
      <w:tr>
        <w:trPr>
          <w:trHeight w:val="265"/>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General, administrative, and other</w:t>
            </w: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75.2</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222.6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218.8</w:t>
            </w:r>
          </w:p>
        </w:tc>
      </w:tr>
      <w:tr>
        <w:trPr>
          <w:trHeight w:val="25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767.6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754.0</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2,342.5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2,248.5</w:t>
            </w:r>
          </w:p>
        </w:tc>
      </w:tr>
      <w:tr>
        <w:trPr>
          <w:trHeight w:val="322"/>
        </w:trPr>
        <w:tc>
          <w:tcPr>
            <w:tcW w:w="5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659.1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640.6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1,806.7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1,819.1</w:t>
            </w:r>
          </w:p>
        </w:tc>
      </w:tr>
      <w:tr>
        <w:trPr>
          <w:trHeight w:val="324"/>
        </w:trPr>
        <w:tc>
          <w:tcPr>
            <w:tcW w:w="5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Non-operating income</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5"/>
        </w:trPr>
        <w:tc>
          <w:tcPr>
            <w:tcW w:w="5580" w:type="dxa"/>
            <w:vAlign w:val="bottom"/>
          </w:tcPr>
          <w:p>
            <w:pPr>
              <w:ind w:left="180"/>
              <w:spacing w:after="0"/>
              <w:rPr>
                <w:sz w:val="20"/>
                <w:szCs w:val="20"/>
                <w:color w:val="auto"/>
              </w:rPr>
            </w:pPr>
            <w:r>
              <w:rPr>
                <w:rFonts w:ascii="Arial" w:cs="Arial" w:eastAsia="Arial" w:hAnsi="Arial"/>
                <w:sz w:val="18"/>
                <w:szCs w:val="18"/>
                <w:color w:val="auto"/>
              </w:rPr>
              <w:t>Net gains on investments</w:t>
            </w:r>
          </w:p>
        </w:tc>
        <w:tc>
          <w:tcPr>
            <w:tcW w:w="2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147.9</w:t>
            </w:r>
          </w:p>
        </w:tc>
      </w:tr>
      <w:tr>
        <w:trPr>
          <w:trHeight w:val="275"/>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gains on consolidated investment products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r>
      <w:tr>
        <w:trPr>
          <w:trHeight w:val="265"/>
        </w:trPr>
        <w:tc>
          <w:tcPr>
            <w:tcW w:w="5580" w:type="dxa"/>
            <w:vAlign w:val="bottom"/>
          </w:tcPr>
          <w:p>
            <w:pPr>
              <w:ind w:left="180"/>
              <w:spacing w:after="0"/>
              <w:rPr>
                <w:sz w:val="20"/>
                <w:szCs w:val="20"/>
                <w:color w:val="auto"/>
              </w:rPr>
            </w:pPr>
            <w:r>
              <w:rPr>
                <w:rFonts w:ascii="Arial" w:cs="Arial" w:eastAsia="Arial" w:hAnsi="Arial"/>
                <w:sz w:val="18"/>
                <w:szCs w:val="18"/>
                <w:color w:val="auto"/>
              </w:rPr>
              <w:t>Other income (loss)</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55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non-operating income</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43.0</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124.9</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370.3</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175.1</w:t>
            </w:r>
          </w:p>
        </w:tc>
      </w:tr>
      <w:tr>
        <w:trPr>
          <w:trHeight w:val="322"/>
        </w:trPr>
        <w:tc>
          <w:tcPr>
            <w:tcW w:w="5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702.1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765.5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2,177.0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1,994.2</w:t>
            </w:r>
          </w:p>
        </w:tc>
      </w:tr>
      <w:tr>
        <w:trPr>
          <w:trHeight w:val="265"/>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157.0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183.9</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522.0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497.5</w:t>
            </w:r>
          </w:p>
        </w:tc>
      </w:tr>
      <w:tr>
        <w:trPr>
          <w:trHeight w:val="25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545.1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581.6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1,655.0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1,496.7</w:t>
            </w:r>
          </w:p>
        </w:tc>
      </w:tr>
      <w:tr>
        <w:trPr>
          <w:trHeight w:val="207"/>
        </w:trPr>
        <w:tc>
          <w:tcPr>
            <w:tcW w:w="5580" w:type="dxa"/>
            <w:vAlign w:val="bottom"/>
          </w:tcPr>
          <w:p>
            <w:pPr>
              <w:ind w:left="180"/>
              <w:spacing w:after="0"/>
              <w:rPr>
                <w:sz w:val="20"/>
                <w:szCs w:val="20"/>
                <w:color w:val="auto"/>
              </w:rPr>
            </w:pPr>
            <w:r>
              <w:rPr>
                <w:rFonts w:ascii="Arial" w:cs="Arial" w:eastAsia="Arial" w:hAnsi="Arial"/>
                <w:sz w:val="18"/>
                <w:szCs w:val="18"/>
                <w:color w:val="auto"/>
              </w:rPr>
              <w:t>Less: net income (loss) attributable to redeemable non-controlling</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8"/>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w:t>
            </w:r>
          </w:p>
        </w:tc>
      </w:tr>
      <w:tr>
        <w:trPr>
          <w:trHeight w:val="255"/>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545.9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1,586.0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1,485.6</w:t>
            </w:r>
          </w:p>
        </w:tc>
      </w:tr>
      <w:tr>
        <w:trPr>
          <w:trHeight w:val="20"/>
        </w:trPr>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05"/>
        </w:trPr>
        <w:tc>
          <w:tcPr>
            <w:tcW w:w="5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 on common stock of T. Rowe Price Group</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97"/>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5.97</w:t>
            </w:r>
          </w:p>
        </w:tc>
      </w:tr>
      <w:tr>
        <w:trPr>
          <w:trHeight w:val="237"/>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5.85</w:t>
            </w:r>
          </w:p>
        </w:tc>
      </w:tr>
      <w:tr>
        <w:trPr>
          <w:trHeight w:val="20"/>
        </w:trPr>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574" w:right="239" w:bottom="1440" w:gutter="0" w:footer="0" w:header="0"/>
        </w:sectPr>
      </w:pPr>
    </w:p>
    <w:bookmarkStart w:id="3" w:name="page4"/>
    <w:bookmarkEnd w:id="3"/>
    <w:p>
      <w:pPr>
        <w:ind w:right="3740"/>
        <w:spacing w:after="0" w:line="303"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55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720" w:type="dxa"/>
            <w:vAlign w:val="bottom"/>
            <w:gridSpan w:val="5"/>
            <w:shd w:val="clear" w:color="auto" w:fill="CCEEFF"/>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CCEEFF"/>
          </w:tcPr>
          <w:p>
            <w:pPr>
              <w:spacing w:after="0"/>
              <w:rPr>
                <w:sz w:val="23"/>
                <w:szCs w:val="23"/>
                <w:color w:val="auto"/>
              </w:rPr>
            </w:pPr>
          </w:p>
        </w:tc>
        <w:tc>
          <w:tcPr>
            <w:tcW w:w="2620" w:type="dxa"/>
            <w:vAlign w:val="bottom"/>
            <w:gridSpan w:val="4"/>
            <w:shd w:val="clear" w:color="auto" w:fill="CCEEFF"/>
          </w:tcPr>
          <w:p>
            <w:pPr>
              <w:jc w:val="right"/>
              <w:ind w:right="671"/>
              <w:spacing w:after="0"/>
              <w:rPr>
                <w:sz w:val="20"/>
                <w:szCs w:val="20"/>
                <w:color w:val="auto"/>
              </w:rPr>
            </w:pPr>
            <w:r>
              <w:rPr>
                <w:rFonts w:ascii="Arial" w:cs="Arial" w:eastAsia="Arial" w:hAnsi="Arial"/>
                <w:sz w:val="14"/>
                <w:szCs w:val="14"/>
                <w:b w:val="1"/>
                <w:bCs w:val="1"/>
                <w:color w:val="auto"/>
              </w:rPr>
              <w:t>Nine months ended</w:t>
            </w:r>
          </w:p>
        </w:tc>
      </w:tr>
      <w:tr>
        <w:trPr>
          <w:trHeight w:val="250"/>
        </w:trPr>
        <w:tc>
          <w:tcPr>
            <w:tcW w:w="55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9/30/2019</w:t>
            </w:r>
          </w:p>
        </w:tc>
        <w:tc>
          <w:tcPr>
            <w:tcW w:w="1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9/30/2018</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9/30/2019</w:t>
            </w:r>
          </w:p>
        </w:tc>
        <w:tc>
          <w:tcPr>
            <w:tcW w:w="100" w:type="dxa"/>
            <w:vAlign w:val="bottom"/>
            <w:tcBorders>
              <w:top w:val="single" w:sz="8" w:color="auto"/>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9/30/2018</w:t>
            </w:r>
          </w:p>
        </w:tc>
      </w:tr>
      <w:tr>
        <w:trPr>
          <w:trHeight w:val="251"/>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545.1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581.6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1,655.0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1,496.7</w:t>
            </w:r>
          </w:p>
        </w:tc>
      </w:tr>
      <w:tr>
        <w:trPr>
          <w:trHeight w:val="259"/>
        </w:trPr>
        <w:tc>
          <w:tcPr>
            <w:tcW w:w="5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5"/>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07"/>
        </w:trPr>
        <w:tc>
          <w:tcPr>
            <w:tcW w:w="5580" w:type="dxa"/>
            <w:vAlign w:val="bottom"/>
          </w:tcPr>
          <w:p>
            <w:pPr>
              <w:ind w:left="280"/>
              <w:spacing w:after="0"/>
              <w:rPr>
                <w:sz w:val="20"/>
                <w:szCs w:val="20"/>
                <w:color w:val="auto"/>
              </w:rPr>
            </w:pPr>
            <w:r>
              <w:rPr>
                <w:rFonts w:ascii="Arial" w:cs="Arial" w:eastAsia="Arial" w:hAnsi="Arial"/>
                <w:sz w:val="18"/>
                <w:szCs w:val="18"/>
                <w:color w:val="auto"/>
              </w:rPr>
              <w:t>Consolidated T. Rowe Price investment products - variable</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8"/>
        </w:trPr>
        <w:tc>
          <w:tcPr>
            <w:tcW w:w="5580" w:type="dxa"/>
            <w:vAlign w:val="bottom"/>
          </w:tcPr>
          <w:p>
            <w:pPr>
              <w:ind w:left="280"/>
              <w:spacing w:after="0"/>
              <w:rPr>
                <w:sz w:val="20"/>
                <w:szCs w:val="20"/>
                <w:color w:val="auto"/>
              </w:rPr>
            </w:pPr>
            <w:r>
              <w:rPr>
                <w:rFonts w:ascii="Arial" w:cs="Arial" w:eastAsia="Arial" w:hAnsi="Arial"/>
                <w:sz w:val="18"/>
                <w:szCs w:val="18"/>
                <w:color w:val="auto"/>
              </w:rPr>
              <w:t>interest entities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11"/>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Reclassification gains recognized in non-operating income upon</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52"/>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deconsolidation of certain T. Rowe Price investment products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187"/>
        </w:trPr>
        <w:tc>
          <w:tcPr>
            <w:tcW w:w="5580" w:type="dxa"/>
            <w:vAlign w:val="bottom"/>
          </w:tcPr>
          <w:p>
            <w:pPr>
              <w:ind w:left="260"/>
              <w:spacing w:after="0" w:line="187" w:lineRule="exact"/>
              <w:rPr>
                <w:sz w:val="20"/>
                <w:szCs w:val="20"/>
                <w:color w:val="auto"/>
              </w:rPr>
            </w:pPr>
            <w:r>
              <w:rPr>
                <w:rFonts w:ascii="Arial" w:cs="Arial" w:eastAsia="Arial" w:hAnsi="Arial"/>
                <w:sz w:val="18"/>
                <w:szCs w:val="18"/>
                <w:color w:val="auto"/>
              </w:rPr>
              <w:t>Total currency translation adjustments of consolidated T. Rowe</w:t>
            </w: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48"/>
        </w:trPr>
        <w:tc>
          <w:tcPr>
            <w:tcW w:w="5580" w:type="dxa"/>
            <w:vAlign w:val="bottom"/>
          </w:tcPr>
          <w:p>
            <w:pPr>
              <w:ind w:left="260"/>
              <w:spacing w:after="0"/>
              <w:rPr>
                <w:sz w:val="20"/>
                <w:szCs w:val="20"/>
                <w:color w:val="auto"/>
              </w:rPr>
            </w:pPr>
            <w:r>
              <w:rPr>
                <w:rFonts w:ascii="Arial" w:cs="Arial" w:eastAsia="Arial" w:hAnsi="Arial"/>
                <w:sz w:val="18"/>
                <w:szCs w:val="18"/>
                <w:color w:val="auto"/>
              </w:rPr>
              <w:t>Price investment products - variable interest entities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75"/>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Equity method investments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5"/>
        </w:trPr>
        <w:tc>
          <w:tcPr>
            <w:tcW w:w="5580" w:type="dxa"/>
            <w:vAlign w:val="bottom"/>
          </w:tcPr>
          <w:p>
            <w:pPr>
              <w:ind w:left="40"/>
              <w:spacing w:after="0"/>
              <w:rPr>
                <w:sz w:val="20"/>
                <w:szCs w:val="20"/>
                <w:color w:val="auto"/>
              </w:rPr>
            </w:pPr>
            <w:r>
              <w:rPr>
                <w:rFonts w:ascii="Arial" w:cs="Arial" w:eastAsia="Arial" w:hAnsi="Arial"/>
                <w:sz w:val="18"/>
                <w:szCs w:val="18"/>
                <w:color w:val="auto"/>
              </w:rPr>
              <w:t>Other comprehensive income (loss) before income taxes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75"/>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tax benefits (income taxes)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r>
      <w:tr>
        <w:trPr>
          <w:trHeight w:val="245"/>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r>
      <w:tr>
        <w:trPr>
          <w:trHeight w:val="214"/>
        </w:trPr>
        <w:tc>
          <w:tcPr>
            <w:tcW w:w="5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65"/>
        </w:trPr>
        <w:tc>
          <w:tcPr>
            <w:tcW w:w="558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517.5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571.0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1,630.6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1,462.7</w:t>
            </w:r>
          </w:p>
        </w:tc>
      </w:tr>
      <w:tr>
        <w:trPr>
          <w:trHeight w:val="211"/>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comprehensive income (loss) attributable to redeemable non-</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8"/>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controlling interests</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55"/>
        </w:trPr>
        <w:tc>
          <w:tcPr>
            <w:tcW w:w="5580" w:type="dxa"/>
            <w:vAlign w:val="bottom"/>
          </w:tcPr>
          <w:p>
            <w:pPr>
              <w:ind w:left="40"/>
              <w:spacing w:after="0"/>
              <w:rPr>
                <w:sz w:val="20"/>
                <w:szCs w:val="20"/>
                <w:color w:val="auto"/>
              </w:rPr>
            </w:pPr>
            <w:r>
              <w:rPr>
                <w:rFonts w:ascii="Arial" w:cs="Arial" w:eastAsia="Arial" w:hAnsi="Arial"/>
                <w:sz w:val="18"/>
                <w:szCs w:val="18"/>
                <w:color w:val="auto"/>
              </w:rPr>
              <w:t>Total comprehensive income attributable to T. Rowe Price Group</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535.7</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575.7</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1,579.3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1,468.4</w:t>
            </w:r>
          </w:p>
        </w:tc>
      </w:tr>
      <w:tr>
        <w:trPr>
          <w:trHeight w:val="20"/>
        </w:trPr>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574" w:right="239" w:bottom="1440" w:gutter="0" w:footer="0" w:header="0"/>
        </w:sectPr>
      </w:pPr>
    </w:p>
    <w:bookmarkStart w:id="4" w:name="page5"/>
    <w:bookmarkEnd w:id="4"/>
    <w:p>
      <w:pPr>
        <w:ind w:right="4860"/>
        <w:spacing w:after="0" w:line="303" w:lineRule="auto"/>
        <w:rPr>
          <w:sz w:val="20"/>
          <w:szCs w:val="20"/>
          <w:color w:val="auto"/>
        </w:rPr>
      </w:pPr>
      <w:r>
        <w:rPr>
          <w:rFonts w:ascii="Arial" w:cs="Arial" w:eastAsia="Arial" w:hAnsi="Arial"/>
          <w:sz w:val="18"/>
          <w:szCs w:val="18"/>
          <w:b w:val="1"/>
          <w:bCs w:val="1"/>
          <w:color w:val="auto"/>
        </w:rPr>
        <w:t>UNAUDITED CONDENSED CONSOLIDATED STATEMENTS OF CASH FLOWS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gridSpan w:val="4"/>
            <w:shd w:val="clear" w:color="auto" w:fill="CCEEFF"/>
          </w:tcPr>
          <w:p>
            <w:pPr>
              <w:jc w:val="right"/>
              <w:ind w:right="6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3"/>
        </w:trPr>
        <w:tc>
          <w:tcPr>
            <w:tcW w:w="85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9/30/2019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9/30/2018</w:t>
            </w:r>
          </w:p>
        </w:tc>
        <w:tc>
          <w:tcPr>
            <w:tcW w:w="0" w:type="dxa"/>
            <w:vAlign w:val="bottom"/>
          </w:tcPr>
          <w:p>
            <w:pPr>
              <w:spacing w:after="0"/>
              <w:rPr>
                <w:sz w:val="1"/>
                <w:szCs w:val="1"/>
                <w:color w:val="auto"/>
              </w:rPr>
            </w:pPr>
          </w:p>
        </w:tc>
      </w:tr>
      <w:tr>
        <w:trPr>
          <w:trHeight w:val="265"/>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5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1,655.0</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1,496.7</w:t>
            </w:r>
          </w:p>
        </w:tc>
        <w:tc>
          <w:tcPr>
            <w:tcW w:w="0" w:type="dxa"/>
            <w:vAlign w:val="bottom"/>
          </w:tcPr>
          <w:p>
            <w:pPr>
              <w:spacing w:after="0"/>
              <w:rPr>
                <w:sz w:val="1"/>
                <w:szCs w:val="1"/>
                <w:color w:val="auto"/>
              </w:rPr>
            </w:pPr>
          </w:p>
        </w:tc>
      </w:tr>
      <w:tr>
        <w:trPr>
          <w:trHeight w:val="275"/>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52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2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75"/>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65"/>
        </w:trPr>
        <w:tc>
          <w:tcPr>
            <w:tcW w:w="8520" w:type="dxa"/>
            <w:vAlign w:val="bottom"/>
          </w:tcPr>
          <w:p>
            <w:pPr>
              <w:ind w:left="340"/>
              <w:spacing w:after="0"/>
              <w:rPr>
                <w:sz w:val="20"/>
                <w:szCs w:val="20"/>
                <w:color w:val="auto"/>
              </w:rPr>
            </w:pPr>
            <w:r>
              <w:rPr>
                <w:rFonts w:ascii="Arial" w:cs="Arial" w:eastAsia="Arial" w:hAnsi="Arial"/>
                <w:sz w:val="18"/>
                <w:szCs w:val="18"/>
                <w:color w:val="auto"/>
              </w:rPr>
              <w:t>Net gains recognized on investments</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1"/>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investments in T. Rowe Price investment products used to economically hedge supplemental</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savings plan liability</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65"/>
        </w:trPr>
        <w:tc>
          <w:tcPr>
            <w:tcW w:w="8520" w:type="dxa"/>
            <w:vAlign w:val="bottom"/>
          </w:tcPr>
          <w:p>
            <w:pPr>
              <w:ind w:left="340"/>
              <w:spacing w:after="0"/>
              <w:rPr>
                <w:sz w:val="20"/>
                <w:szCs w:val="20"/>
                <w:color w:val="auto"/>
              </w:rPr>
            </w:pPr>
            <w:r>
              <w:rPr>
                <w:rFonts w:ascii="Arial" w:cs="Arial" w:eastAsia="Arial" w:hAnsi="Arial"/>
                <w:sz w:val="18"/>
                <w:szCs w:val="18"/>
                <w:color w:val="auto"/>
              </w:rPr>
              <w:t>Net change in securities held by consolidated T. Rowe Price investment products</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(688.1)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(578.3)</w:t>
            </w:r>
          </w:p>
        </w:tc>
        <w:tc>
          <w:tcPr>
            <w:tcW w:w="0" w:type="dxa"/>
            <w:vAlign w:val="bottom"/>
          </w:tcPr>
          <w:p>
            <w:pPr>
              <w:spacing w:after="0"/>
              <w:rPr>
                <w:sz w:val="1"/>
                <w:szCs w:val="1"/>
                <w:color w:val="auto"/>
              </w:rPr>
            </w:pPr>
          </w:p>
        </w:tc>
      </w:tr>
      <w:tr>
        <w:trPr>
          <w:trHeight w:val="275"/>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423.8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438.4</w:t>
            </w:r>
          </w:p>
        </w:tc>
        <w:tc>
          <w:tcPr>
            <w:tcW w:w="0" w:type="dxa"/>
            <w:vAlign w:val="bottom"/>
          </w:tcPr>
          <w:p>
            <w:pPr>
              <w:spacing w:after="0"/>
              <w:rPr>
                <w:sz w:val="1"/>
                <w:szCs w:val="1"/>
                <w:color w:val="auto"/>
              </w:rPr>
            </w:pPr>
          </w:p>
        </w:tc>
      </w:tr>
      <w:tr>
        <w:trPr>
          <w:trHeight w:val="245"/>
        </w:trPr>
        <w:tc>
          <w:tcPr>
            <w:tcW w:w="8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1,500.7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1,486.4</w:t>
            </w:r>
          </w:p>
        </w:tc>
        <w:tc>
          <w:tcPr>
            <w:tcW w:w="0" w:type="dxa"/>
            <w:vAlign w:val="bottom"/>
          </w:tcPr>
          <w:p>
            <w:pPr>
              <w:spacing w:after="0"/>
              <w:rPr>
                <w:sz w:val="1"/>
                <w:szCs w:val="1"/>
                <w:color w:val="auto"/>
              </w:rPr>
            </w:pPr>
          </w:p>
        </w:tc>
      </w:tr>
      <w:tr>
        <w:trPr>
          <w:trHeight w:val="322"/>
        </w:trPr>
        <w:tc>
          <w:tcPr>
            <w:tcW w:w="8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5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T. Rowe Price investment products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(1,118.7)</w:t>
            </w:r>
          </w:p>
        </w:tc>
        <w:tc>
          <w:tcPr>
            <w:tcW w:w="0" w:type="dxa"/>
            <w:vAlign w:val="bottom"/>
          </w:tcPr>
          <w:p>
            <w:pPr>
              <w:spacing w:after="0"/>
              <w:rPr>
                <w:sz w:val="1"/>
                <w:szCs w:val="1"/>
                <w:color w:val="auto"/>
              </w:rPr>
            </w:pPr>
          </w:p>
        </w:tc>
      </w:tr>
      <w:tr>
        <w:trPr>
          <w:trHeight w:val="265"/>
        </w:trPr>
        <w:tc>
          <w:tcPr>
            <w:tcW w:w="8520" w:type="dxa"/>
            <w:vAlign w:val="bottom"/>
          </w:tcPr>
          <w:p>
            <w:pPr>
              <w:ind w:left="180"/>
              <w:spacing w:after="0"/>
              <w:rPr>
                <w:sz w:val="20"/>
                <w:szCs w:val="20"/>
                <w:color w:val="auto"/>
              </w:rPr>
            </w:pPr>
            <w:r>
              <w:rPr>
                <w:rFonts w:ascii="Arial" w:cs="Arial" w:eastAsia="Arial" w:hAnsi="Arial"/>
                <w:sz w:val="18"/>
                <w:szCs w:val="18"/>
                <w:color w:val="auto"/>
              </w:rPr>
              <w:t>Dispositions of T. Rowe Price investment products</w:t>
            </w:r>
          </w:p>
        </w:tc>
        <w:tc>
          <w:tcPr>
            <w:tcW w:w="2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75"/>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of T. Rowe Price investment products on consolidation (deconsolidation)</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65"/>
        </w:trPr>
        <w:tc>
          <w:tcPr>
            <w:tcW w:w="8520" w:type="dxa"/>
            <w:vAlign w:val="bottom"/>
          </w:tcPr>
          <w:p>
            <w:pPr>
              <w:ind w:left="18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75"/>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45"/>
        </w:trPr>
        <w:tc>
          <w:tcPr>
            <w:tcW w:w="8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(830.4)</w:t>
            </w:r>
          </w:p>
        </w:tc>
        <w:tc>
          <w:tcPr>
            <w:tcW w:w="0" w:type="dxa"/>
            <w:vAlign w:val="bottom"/>
          </w:tcPr>
          <w:p>
            <w:pPr>
              <w:spacing w:after="0"/>
              <w:rPr>
                <w:sz w:val="1"/>
                <w:szCs w:val="1"/>
                <w:color w:val="auto"/>
              </w:rPr>
            </w:pPr>
          </w:p>
        </w:tc>
      </w:tr>
      <w:tr>
        <w:trPr>
          <w:trHeight w:val="322"/>
        </w:trPr>
        <w:tc>
          <w:tcPr>
            <w:tcW w:w="8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5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0" w:type="dxa"/>
            <w:vAlign w:val="bottom"/>
          </w:tcPr>
          <w:p>
            <w:pPr>
              <w:spacing w:after="0"/>
              <w:rPr>
                <w:sz w:val="1"/>
                <w:szCs w:val="1"/>
                <w:color w:val="auto"/>
              </w:rPr>
            </w:pPr>
          </w:p>
        </w:tc>
      </w:tr>
      <w:tr>
        <w:trPr>
          <w:trHeight w:val="265"/>
        </w:trPr>
        <w:tc>
          <w:tcPr>
            <w:tcW w:w="8520" w:type="dxa"/>
            <w:vAlign w:val="bottom"/>
          </w:tcPr>
          <w:p>
            <w:pPr>
              <w:ind w:left="18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75"/>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 to common stockholders of T. Rowe Price Group</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0" w:type="dxa"/>
            <w:vAlign w:val="bottom"/>
          </w:tcPr>
          <w:p>
            <w:pPr>
              <w:spacing w:after="0"/>
              <w:rPr>
                <w:sz w:val="1"/>
                <w:szCs w:val="1"/>
                <w:color w:val="auto"/>
              </w:rPr>
            </w:pPr>
          </w:p>
        </w:tc>
      </w:tr>
      <w:tr>
        <w:trPr>
          <w:trHeight w:val="265"/>
        </w:trPr>
        <w:tc>
          <w:tcPr>
            <w:tcW w:w="8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subscriptions received from redeemable non-controlling interest holders</w:t>
            </w: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387.1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250"/>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322"/>
        </w:trPr>
        <w:tc>
          <w:tcPr>
            <w:tcW w:w="8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of consolidated</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2"/>
        </w:trPr>
        <w:tc>
          <w:tcPr>
            <w:tcW w:w="8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798.8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07"/>
        </w:trPr>
        <w:tc>
          <w:tcPr>
            <w:tcW w:w="85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 including $70.1 million at December 31, 2018, and</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$103.1 million at December 31, 2017, held by consolidated T. Rowe Price investment products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1,495.3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2,005.8</w:t>
            </w:r>
          </w:p>
        </w:tc>
        <w:tc>
          <w:tcPr>
            <w:tcW w:w="0" w:type="dxa"/>
            <w:vAlign w:val="bottom"/>
          </w:tcPr>
          <w:p>
            <w:pPr>
              <w:spacing w:after="0"/>
              <w:rPr>
                <w:sz w:val="1"/>
                <w:szCs w:val="1"/>
                <w:color w:val="auto"/>
              </w:rPr>
            </w:pPr>
          </w:p>
        </w:tc>
      </w:tr>
      <w:tr>
        <w:trPr>
          <w:trHeight w:val="191"/>
        </w:trPr>
        <w:tc>
          <w:tcPr>
            <w:tcW w:w="8520" w:type="dxa"/>
            <w:vAlign w:val="bottom"/>
            <w:shd w:val="clear" w:color="auto" w:fill="CCEEFF"/>
          </w:tcPr>
          <w:p>
            <w:pPr>
              <w:ind w:left="40"/>
              <w:spacing w:after="0" w:line="192" w:lineRule="exact"/>
              <w:rPr>
                <w:sz w:val="20"/>
                <w:szCs w:val="20"/>
                <w:color w:val="auto"/>
              </w:rPr>
            </w:pPr>
            <w:r>
              <w:rPr>
                <w:rFonts w:ascii="Arial" w:cs="Arial" w:eastAsia="Arial" w:hAnsi="Arial"/>
                <w:sz w:val="18"/>
                <w:szCs w:val="18"/>
                <w:color w:val="auto"/>
              </w:rPr>
              <w:t>Cash and cash equivalents at end of period, including $80.9 million at September 30, 2019, and $105.7</w:t>
            </w:r>
          </w:p>
        </w:tc>
        <w:tc>
          <w:tcPr>
            <w:tcW w:w="2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2,294.1</w:t>
            </w:r>
          </w:p>
        </w:tc>
        <w:tc>
          <w:tcPr>
            <w:tcW w:w="1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2,196.3</w:t>
            </w:r>
          </w:p>
        </w:tc>
        <w:tc>
          <w:tcPr>
            <w:tcW w:w="0" w:type="dxa"/>
            <w:vAlign w:val="bottom"/>
          </w:tcPr>
          <w:p>
            <w:pPr>
              <w:spacing w:after="0"/>
              <w:rPr>
                <w:sz w:val="1"/>
                <w:szCs w:val="1"/>
                <w:color w:val="auto"/>
              </w:rPr>
            </w:pPr>
          </w:p>
        </w:tc>
      </w:tr>
      <w:tr>
        <w:trPr>
          <w:trHeight w:val="239"/>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million at September 30, 2018, held by consolidated T. Rowe Price investment products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574" w:right="259" w:bottom="1440" w:gutter="0" w:footer="0" w:header="0"/>
        </w:sectPr>
      </w:pPr>
    </w:p>
    <w:bookmarkStart w:id="5" w:name="page6"/>
    <w:bookmarkEnd w:id="5"/>
    <w:p>
      <w:pPr>
        <w:ind w:right="3800"/>
        <w:spacing w:after="0" w:line="303" w:lineRule="auto"/>
        <w:rPr>
          <w:sz w:val="20"/>
          <w:szCs w:val="20"/>
          <w:color w:val="auto"/>
        </w:rPr>
      </w:pPr>
      <w:r>
        <w:rPr>
          <w:rFonts w:ascii="Arial" w:cs="Arial" w:eastAsia="Arial" w:hAnsi="Arial"/>
          <w:sz w:val="18"/>
          <w:szCs w:val="18"/>
          <w:b w:val="1"/>
          <w:bCs w:val="1"/>
          <w:color w:val="auto"/>
        </w:rPr>
        <w:t>UNAUDITED CONDENSED CONSOLIDATED STATEMENTS OF STOCKHOLDERS’ EQUITY (shares in thousands; 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5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gridSpan w:val="6"/>
            <w:shd w:val="clear" w:color="auto" w:fill="CCEEFF"/>
          </w:tcPr>
          <w:p>
            <w:pPr>
              <w:ind w:left="140"/>
              <w:spacing w:after="0"/>
              <w:rPr>
                <w:sz w:val="20"/>
                <w:szCs w:val="20"/>
                <w:color w:val="auto"/>
              </w:rPr>
            </w:pPr>
            <w:r>
              <w:rPr>
                <w:rFonts w:ascii="Arial" w:cs="Arial" w:eastAsia="Arial" w:hAnsi="Arial"/>
                <w:sz w:val="13"/>
                <w:szCs w:val="13"/>
                <w:b w:val="1"/>
                <w:bCs w:val="1"/>
                <w:color w:val="auto"/>
              </w:rPr>
              <w:t>Three months ended 9/30/2019</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5500" w:type="dxa"/>
            <w:vAlign w:val="bottom"/>
          </w:tcPr>
          <w:p>
            <w:pPr>
              <w:spacing w:after="0"/>
              <w:rPr>
                <w:sz w:val="11"/>
                <w:szCs w:val="11"/>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60"/>
              <w:spacing w:after="0" w:line="136" w:lineRule="exact"/>
              <w:rPr>
                <w:sz w:val="20"/>
                <w:szCs w:val="20"/>
                <w:color w:val="auto"/>
              </w:rPr>
            </w:pPr>
            <w:r>
              <w:rPr>
                <w:rFonts w:ascii="Arial" w:cs="Arial" w:eastAsia="Arial" w:hAnsi="Arial"/>
                <w:sz w:val="13"/>
                <w:szCs w:val="13"/>
                <w:b w:val="1"/>
                <w:bCs w:val="1"/>
                <w:color w:val="auto"/>
              </w:rPr>
              <w:t>Additional</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89"/>
              </w:rPr>
              <w:t>Total</w:t>
            </w:r>
          </w:p>
        </w:tc>
        <w:tc>
          <w:tcPr>
            <w:tcW w:w="90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5"/>
              </w:rPr>
              <w:t>Common</w:t>
            </w:r>
          </w:p>
        </w:tc>
        <w:tc>
          <w:tcPr>
            <w:tcW w:w="8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capital in</w:t>
            </w:r>
          </w:p>
        </w:tc>
        <w:tc>
          <w:tcPr>
            <w:tcW w:w="8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shares</w:t>
            </w:r>
          </w:p>
        </w:tc>
        <w:tc>
          <w:tcPr>
            <w:tcW w:w="820" w:type="dxa"/>
            <w:vAlign w:val="bottom"/>
            <w:gridSpan w:val="3"/>
            <w:vMerge w:val="continue"/>
          </w:tcPr>
          <w:p>
            <w:pPr>
              <w:spacing w:after="0"/>
              <w:rPr>
                <w:sz w:val="11"/>
                <w:szCs w:val="11"/>
                <w:color w:val="auto"/>
              </w:rPr>
            </w:pPr>
          </w:p>
        </w:tc>
        <w:tc>
          <w:tcPr>
            <w:tcW w:w="8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excess of</w:t>
            </w:r>
          </w:p>
        </w:tc>
        <w:tc>
          <w:tcPr>
            <w:tcW w:w="800" w:type="dxa"/>
            <w:vAlign w:val="bottom"/>
            <w:gridSpan w:val="2"/>
            <w:vMerge w:val="continue"/>
          </w:tcPr>
          <w:p>
            <w:pPr>
              <w:spacing w:after="0"/>
              <w:rPr>
                <w:sz w:val="11"/>
                <w:szCs w:val="11"/>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8"/>
                <w:szCs w:val="8"/>
                <w:b w:val="1"/>
                <w:bCs w:val="1"/>
                <w:color w:val="auto"/>
              </w:rPr>
              <w:t>(1)</w:t>
            </w:r>
          </w:p>
        </w:tc>
        <w:tc>
          <w:tcPr>
            <w:tcW w:w="100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stockholders’</w:t>
            </w:r>
          </w:p>
        </w:tc>
        <w:tc>
          <w:tcPr>
            <w:tcW w:w="120" w:type="dxa"/>
            <w:vAlign w:val="bottom"/>
          </w:tcPr>
          <w:p>
            <w:pPr>
              <w:spacing w:after="0"/>
              <w:rPr>
                <w:sz w:val="11"/>
                <w:szCs w:val="11"/>
                <w:color w:val="auto"/>
              </w:rPr>
            </w:pPr>
          </w:p>
        </w:tc>
        <w:tc>
          <w:tcPr>
            <w:tcW w:w="78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82"/>
        </w:trPr>
        <w:tc>
          <w:tcPr>
            <w:tcW w:w="550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outstanding</w:t>
            </w:r>
          </w:p>
        </w:tc>
        <w:tc>
          <w:tcPr>
            <w:tcW w:w="140" w:type="dxa"/>
            <w:vAlign w:val="bottom"/>
          </w:tcPr>
          <w:p>
            <w:pPr>
              <w:spacing w:after="0"/>
              <w:rPr>
                <w:sz w:val="15"/>
                <w:szCs w:val="15"/>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stock</w:t>
            </w:r>
          </w:p>
        </w:tc>
        <w:tc>
          <w:tcPr>
            <w:tcW w:w="8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8"/>
              </w:rPr>
              <w:t>par value</w:t>
            </w: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6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equity</w:t>
            </w:r>
          </w:p>
        </w:tc>
        <w:tc>
          <w:tcPr>
            <w:tcW w:w="120" w:type="dxa"/>
            <w:vAlign w:val="bottom"/>
          </w:tcPr>
          <w:p>
            <w:pPr>
              <w:spacing w:after="0"/>
              <w:rPr>
                <w:sz w:val="15"/>
                <w:szCs w:val="15"/>
                <w:color w:val="auto"/>
              </w:rPr>
            </w:pPr>
          </w:p>
        </w:tc>
        <w:tc>
          <w:tcPr>
            <w:tcW w:w="780" w:type="dxa"/>
            <w:vAlign w:val="bottom"/>
          </w:tcPr>
          <w:p>
            <w:pPr>
              <w:jc w:val="center"/>
              <w:ind w:right="3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254"/>
        </w:trPr>
        <w:tc>
          <w:tcPr>
            <w:tcW w:w="5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at June 30, 2019</w:t>
            </w:r>
          </w:p>
        </w:tc>
        <w:tc>
          <w:tcPr>
            <w:tcW w:w="8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235,518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47.1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654.6</w:t>
            </w: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$5,915.9</w:t>
            </w:r>
          </w:p>
        </w:tc>
        <w:tc>
          <w:tcPr>
            <w:tcW w:w="1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6,579.1</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1,012.3</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545.9</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545.9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4"/>
                <w:szCs w:val="14"/>
                <w:color w:val="auto"/>
              </w:rPr>
              <w:t>Dividends declared ($0.76 per share)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(182.7)</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782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4"/>
                <w:szCs w:val="14"/>
                <w:color w:val="auto"/>
              </w:rPr>
              <w:t>Restricted shares issued, net of shares withheld for taxes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4"/>
                <w:szCs w:val="14"/>
                <w:color w:val="auto"/>
              </w:rPr>
              <w:t>Forfeiture of restricted awards</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45.5</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4"/>
                <w:szCs w:val="14"/>
                <w:color w:val="auto"/>
              </w:rPr>
              <w:t>Restricted stock units issued as dividend equivalents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w:t>
            </w: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4"/>
                <w:szCs w:val="14"/>
                <w:color w:val="auto"/>
              </w:rPr>
              <w:t>Net subscriptions into T. Rowe Price investment products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181.1</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deconsolidations of T. Rowe Price investment products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0" w:type="dxa"/>
            <w:vAlign w:val="bottom"/>
          </w:tcPr>
          <w:p>
            <w:pPr>
              <w:spacing w:after="0"/>
              <w:rPr>
                <w:sz w:val="1"/>
                <w:szCs w:val="1"/>
                <w:color w:val="auto"/>
              </w:rPr>
            </w:pPr>
          </w:p>
        </w:tc>
      </w:tr>
      <w:tr>
        <w:trPr>
          <w:trHeight w:val="281"/>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Balances at September 30, 2019</w:t>
            </w: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234,702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46.9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654.6</w:t>
            </w:r>
          </w:p>
        </w:tc>
        <w:tc>
          <w:tcPr>
            <w:tcW w:w="120" w:type="dxa"/>
            <w:vAlign w:val="bottom"/>
            <w:tcBorders>
              <w:bottom w:val="single" w:sz="8" w:color="CCEEFF"/>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$6,187.0</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6,839.8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1,102.9</w:t>
            </w:r>
          </w:p>
        </w:tc>
        <w:tc>
          <w:tcPr>
            <w:tcW w:w="0" w:type="dxa"/>
            <w:vAlign w:val="bottom"/>
          </w:tcPr>
          <w:p>
            <w:pPr>
              <w:spacing w:after="0"/>
              <w:rPr>
                <w:sz w:val="1"/>
                <w:szCs w:val="1"/>
                <w:color w:val="auto"/>
              </w:rPr>
            </w:pPr>
          </w:p>
        </w:tc>
      </w:tr>
      <w:tr>
        <w:trPr>
          <w:trHeight w:val="318"/>
        </w:trPr>
        <w:tc>
          <w:tcPr>
            <w:tcW w:w="55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5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6"/>
          </w:tcPr>
          <w:p>
            <w:pPr>
              <w:ind w:left="140"/>
              <w:spacing w:after="0"/>
              <w:rPr>
                <w:sz w:val="20"/>
                <w:szCs w:val="20"/>
                <w:color w:val="auto"/>
              </w:rPr>
            </w:pPr>
            <w:r>
              <w:rPr>
                <w:rFonts w:ascii="Arial" w:cs="Arial" w:eastAsia="Arial" w:hAnsi="Arial"/>
                <w:sz w:val="13"/>
                <w:szCs w:val="13"/>
                <w:b w:val="1"/>
                <w:bCs w:val="1"/>
                <w:color w:val="auto"/>
              </w:rPr>
              <w:t>Three months ended 9/30/2018</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55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3"/>
                <w:szCs w:val="13"/>
                <w:b w:val="1"/>
                <w:bCs w:val="1"/>
                <w:color w:val="auto"/>
                <w:w w:val="95"/>
              </w:rPr>
              <w:t>Common</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center"/>
              <w:ind w:right="100"/>
              <w:spacing w:after="0" w:line="136" w:lineRule="exact"/>
              <w:rPr>
                <w:sz w:val="20"/>
                <w:szCs w:val="20"/>
                <w:color w:val="auto"/>
              </w:rPr>
            </w:pPr>
            <w:r>
              <w:rPr>
                <w:rFonts w:ascii="Arial" w:cs="Arial" w:eastAsia="Arial" w:hAnsi="Arial"/>
                <w:sz w:val="13"/>
                <w:szCs w:val="13"/>
                <w:b w:val="1"/>
                <w:bCs w:val="1"/>
                <w:color w:val="auto"/>
                <w:w w:val="94"/>
              </w:rPr>
              <w:t>Additional</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center"/>
              <w:ind w:right="320"/>
              <w:spacing w:after="0"/>
              <w:rPr>
                <w:sz w:val="20"/>
                <w:szCs w:val="20"/>
                <w:color w:val="auto"/>
              </w:rPr>
            </w:pPr>
            <w:r>
              <w:rPr>
                <w:rFonts w:ascii="Arial" w:cs="Arial" w:eastAsia="Arial" w:hAnsi="Arial"/>
                <w:sz w:val="13"/>
                <w:szCs w:val="13"/>
                <w:b w:val="1"/>
                <w:bCs w:val="1"/>
                <w:color w:val="auto"/>
                <w:w w:val="89"/>
              </w:rPr>
              <w:t>Total</w:t>
            </w:r>
          </w:p>
        </w:tc>
        <w:tc>
          <w:tcPr>
            <w:tcW w:w="900" w:type="dxa"/>
            <w:vAlign w:val="bottom"/>
            <w:gridSpan w:val="2"/>
            <w:shd w:val="clear" w:color="auto" w:fill="CCEEFF"/>
          </w:tcPr>
          <w:p>
            <w:pPr>
              <w:jc w:val="center"/>
              <w:spacing w:after="0" w:line="136" w:lineRule="exact"/>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550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820" w:type="dxa"/>
            <w:vAlign w:val="bottom"/>
            <w:gridSpan w:val="3"/>
            <w:vMerge w:val="restart"/>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95"/>
              </w:rPr>
              <w:t>Common</w:t>
            </w:r>
          </w:p>
        </w:tc>
        <w:tc>
          <w:tcPr>
            <w:tcW w:w="82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capital in</w:t>
            </w:r>
          </w:p>
        </w:tc>
        <w:tc>
          <w:tcPr>
            <w:tcW w:w="800" w:type="dxa"/>
            <w:vAlign w:val="bottom"/>
            <w:gridSpan w:val="2"/>
            <w:vMerge w:val="restart"/>
            <w:shd w:val="clear" w:color="auto" w:fill="CCEEFF"/>
          </w:tcPr>
          <w:p>
            <w:pPr>
              <w:ind w:left="80"/>
              <w:spacing w:after="0"/>
              <w:rPr>
                <w:sz w:val="20"/>
                <w:szCs w:val="20"/>
                <w:color w:val="auto"/>
              </w:rPr>
            </w:pPr>
            <w:r>
              <w:rPr>
                <w:rFonts w:ascii="Arial" w:cs="Arial" w:eastAsia="Arial" w:hAnsi="Arial"/>
                <w:sz w:val="13"/>
                <w:szCs w:val="13"/>
                <w:b w:val="1"/>
                <w:bCs w:val="1"/>
                <w:color w:val="auto"/>
              </w:rPr>
              <w:t>Retained</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center"/>
              <w:ind w:right="30"/>
              <w:spacing w:after="0" w:line="135"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35"/>
        </w:trPr>
        <w:tc>
          <w:tcPr>
            <w:tcW w:w="55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shares</w:t>
            </w:r>
          </w:p>
        </w:tc>
        <w:tc>
          <w:tcPr>
            <w:tcW w:w="820" w:type="dxa"/>
            <w:vAlign w:val="bottom"/>
            <w:gridSpan w:val="3"/>
            <w:vMerge w:val="continue"/>
            <w:shd w:val="clear" w:color="auto" w:fill="CCEEFF"/>
          </w:tcPr>
          <w:p>
            <w:pPr>
              <w:spacing w:after="0"/>
              <w:rPr>
                <w:sz w:val="11"/>
                <w:szCs w:val="11"/>
                <w:color w:val="auto"/>
              </w:rPr>
            </w:pPr>
          </w:p>
        </w:tc>
        <w:tc>
          <w:tcPr>
            <w:tcW w:w="82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excess of</w:t>
            </w:r>
          </w:p>
        </w:tc>
        <w:tc>
          <w:tcPr>
            <w:tcW w:w="800" w:type="dxa"/>
            <w:vAlign w:val="bottom"/>
            <w:gridSpan w:val="2"/>
            <w:vMerge w:val="continue"/>
            <w:shd w:val="clear" w:color="auto" w:fill="CCEEFF"/>
          </w:tcPr>
          <w:p>
            <w:pPr>
              <w:spacing w:after="0"/>
              <w:rPr>
                <w:sz w:val="11"/>
                <w:szCs w:val="11"/>
                <w:color w:val="auto"/>
              </w:rPr>
            </w:pPr>
          </w:p>
        </w:tc>
        <w:tc>
          <w:tcPr>
            <w:tcW w:w="660" w:type="dxa"/>
            <w:vAlign w:val="bottom"/>
            <w:gridSpan w:val="2"/>
            <w:vMerge w:val="restart"/>
            <w:shd w:val="clear" w:color="auto" w:fill="CCEEFF"/>
          </w:tcPr>
          <w:p>
            <w:pPr>
              <w:ind w:left="8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8"/>
                <w:szCs w:val="8"/>
                <w:b w:val="1"/>
                <w:bCs w:val="1"/>
                <w:color w:val="auto"/>
              </w:rPr>
              <w:t>(1)</w:t>
            </w:r>
          </w:p>
        </w:tc>
        <w:tc>
          <w:tcPr>
            <w:tcW w:w="100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b w:val="1"/>
                <w:bCs w:val="1"/>
                <w:color w:val="auto"/>
              </w:rPr>
              <w:t>stockholders’</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center"/>
              <w:ind w:right="50"/>
              <w:spacing w:after="0" w:line="135"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82"/>
        </w:trPr>
        <w:tc>
          <w:tcPr>
            <w:tcW w:w="55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96"/>
              </w:rPr>
              <w:t>outstanding</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stock</w:t>
            </w:r>
          </w:p>
        </w:tc>
        <w:tc>
          <w:tcPr>
            <w:tcW w:w="82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8"/>
              </w:rPr>
              <w:t>par value</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earnings</w:t>
            </w:r>
          </w:p>
        </w:tc>
        <w:tc>
          <w:tcPr>
            <w:tcW w:w="6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300"/>
              <w:spacing w:after="0"/>
              <w:rPr>
                <w:sz w:val="20"/>
                <w:szCs w:val="20"/>
                <w:color w:val="auto"/>
              </w:rPr>
            </w:pPr>
            <w:r>
              <w:rPr>
                <w:rFonts w:ascii="Arial" w:cs="Arial" w:eastAsia="Arial" w:hAnsi="Arial"/>
                <w:sz w:val="13"/>
                <w:szCs w:val="13"/>
                <w:b w:val="1"/>
                <w:bCs w:val="1"/>
                <w:color w:val="auto"/>
                <w:w w:val="99"/>
              </w:rPr>
              <w:t>equity</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right="3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250"/>
        </w:trPr>
        <w:tc>
          <w:tcPr>
            <w:tcW w:w="5500" w:type="dxa"/>
            <w:vAlign w:val="bottom"/>
          </w:tcPr>
          <w:p>
            <w:pPr>
              <w:ind w:left="40"/>
              <w:spacing w:after="0"/>
              <w:rPr>
                <w:sz w:val="20"/>
                <w:szCs w:val="20"/>
                <w:color w:val="auto"/>
              </w:rPr>
            </w:pPr>
            <w:r>
              <w:rPr>
                <w:rFonts w:ascii="Arial" w:cs="Arial" w:eastAsia="Arial" w:hAnsi="Arial"/>
                <w:sz w:val="14"/>
                <w:szCs w:val="14"/>
                <w:color w:val="auto"/>
              </w:rPr>
              <w:t>Balances at June 30, 2018</w:t>
            </w:r>
          </w:p>
        </w:tc>
        <w:tc>
          <w:tcPr>
            <w:tcW w:w="8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243,180</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21"/>
                <w:szCs w:val="21"/>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654.6</w:t>
            </w:r>
          </w:p>
        </w:tc>
        <w:tc>
          <w:tcPr>
            <w:tcW w:w="120" w:type="dxa"/>
            <w:vAlign w:val="bottom"/>
          </w:tcPr>
          <w:p>
            <w:pPr>
              <w:spacing w:after="0"/>
              <w:rPr>
                <w:sz w:val="21"/>
                <w:szCs w:val="21"/>
                <w:color w:val="auto"/>
              </w:rPr>
            </w:pPr>
          </w:p>
        </w:tc>
        <w:tc>
          <w:tcPr>
            <w:tcW w:w="7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$5,435.1</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21"/>
                <w:szCs w:val="21"/>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6,114.6</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739.2</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583.0</w:t>
            </w: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583.0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($0.70 per share)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w:t>
            </w: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4"/>
                <w:szCs w:val="14"/>
                <w:color w:val="auto"/>
              </w:rPr>
              <w:t>Forfeiture of restricted awards</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4"/>
                <w:szCs w:val="14"/>
                <w:color w:val="auto"/>
              </w:rPr>
              <w:t>Common shares repurchased</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(1,123)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(68.3)</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subscriptions into T. Rowe Price investment products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145.9</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4"/>
                <w:szCs w:val="14"/>
                <w:color w:val="auto"/>
              </w:rPr>
              <w:t>Net reconsolidations of T. Rowe Price investment products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41"/>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at September 30, 2018</w:t>
            </w:r>
          </w:p>
        </w:tc>
        <w:tc>
          <w:tcPr>
            <w:tcW w:w="8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242,599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654.5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$5,788.5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6,460.5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860.6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160" w:hanging="152"/>
        <w:spacing w:after="0"/>
        <w:tabs>
          <w:tab w:leader="none" w:pos="160" w:val="left"/>
        </w:tabs>
        <w:numPr>
          <w:ilvl w:val="0"/>
          <w:numId w:val="3"/>
        </w:numPr>
        <w:rPr>
          <w:rFonts w:ascii="Arial" w:cs="Arial" w:eastAsia="Arial" w:hAnsi="Arial"/>
          <w:sz w:val="9"/>
          <w:szCs w:val="9"/>
          <w:i w:val="1"/>
          <w:iCs w:val="1"/>
          <w:color w:val="auto"/>
        </w:rPr>
      </w:pPr>
      <w:r>
        <w:rPr>
          <w:rFonts w:ascii="Arial" w:cs="Arial" w:eastAsia="Arial" w:hAnsi="Arial"/>
          <w:sz w:val="13"/>
          <w:szCs w:val="13"/>
          <w:i w:val="1"/>
          <w:iCs w:val="1"/>
          <w:color w:val="auto"/>
        </w:rPr>
        <w:t>Accumulated other comprehensive income.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574" w:right="239" w:bottom="1440" w:gutter="0" w:footer="0" w:header="0"/>
        </w:sectPr>
      </w:pPr>
    </w:p>
    <w:bookmarkStart w:id="6" w:name="page7"/>
    <w:bookmarkEnd w:id="6"/>
    <w:p>
      <w:pPr>
        <w:ind w:right="3800"/>
        <w:spacing w:after="0" w:line="303" w:lineRule="auto"/>
        <w:rPr>
          <w:sz w:val="20"/>
          <w:szCs w:val="20"/>
          <w:color w:val="auto"/>
        </w:rPr>
      </w:pPr>
      <w:r>
        <w:rPr>
          <w:rFonts w:ascii="Arial" w:cs="Arial" w:eastAsia="Arial" w:hAnsi="Arial"/>
          <w:sz w:val="18"/>
          <w:szCs w:val="18"/>
          <w:b w:val="1"/>
          <w:bCs w:val="1"/>
          <w:color w:val="auto"/>
        </w:rPr>
        <w:t>UNAUDITED CONDENSED CONSOLIDATED STATEMENTS OF STOCKHOLDERS’ EQUITY (shares in thousands; dollars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5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2140" w:type="dxa"/>
            <w:vAlign w:val="bottom"/>
            <w:tcBorders>
              <w:bottom w:val="single" w:sz="8" w:color="auto"/>
            </w:tcBorders>
            <w:gridSpan w:val="6"/>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Nine months ended 9/30/2019</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5500" w:type="dxa"/>
            <w:vAlign w:val="bottom"/>
          </w:tcPr>
          <w:p>
            <w:pPr>
              <w:spacing w:after="0"/>
              <w:rPr>
                <w:sz w:val="11"/>
                <w:szCs w:val="11"/>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ind w:left="60"/>
              <w:spacing w:after="0" w:line="136" w:lineRule="exact"/>
              <w:rPr>
                <w:sz w:val="20"/>
                <w:szCs w:val="20"/>
                <w:color w:val="auto"/>
              </w:rPr>
            </w:pPr>
            <w:r>
              <w:rPr>
                <w:rFonts w:ascii="Arial" w:cs="Arial" w:eastAsia="Arial" w:hAnsi="Arial"/>
                <w:sz w:val="13"/>
                <w:szCs w:val="13"/>
                <w:b w:val="1"/>
                <w:bCs w:val="1"/>
                <w:color w:val="auto"/>
              </w:rPr>
              <w:t>Additional</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89"/>
              </w:rPr>
              <w:t>Total</w:t>
            </w:r>
          </w:p>
        </w:tc>
        <w:tc>
          <w:tcPr>
            <w:tcW w:w="90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5"/>
              </w:rPr>
              <w:t>Common</w:t>
            </w:r>
          </w:p>
        </w:tc>
        <w:tc>
          <w:tcPr>
            <w:tcW w:w="8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capital in</w:t>
            </w:r>
          </w:p>
        </w:tc>
        <w:tc>
          <w:tcPr>
            <w:tcW w:w="8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shares</w:t>
            </w:r>
          </w:p>
        </w:tc>
        <w:tc>
          <w:tcPr>
            <w:tcW w:w="820" w:type="dxa"/>
            <w:vAlign w:val="bottom"/>
            <w:gridSpan w:val="3"/>
            <w:vMerge w:val="continue"/>
          </w:tcPr>
          <w:p>
            <w:pPr>
              <w:spacing w:after="0"/>
              <w:rPr>
                <w:sz w:val="11"/>
                <w:szCs w:val="11"/>
                <w:color w:val="auto"/>
              </w:rPr>
            </w:pPr>
          </w:p>
        </w:tc>
        <w:tc>
          <w:tcPr>
            <w:tcW w:w="8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excess of</w:t>
            </w:r>
          </w:p>
        </w:tc>
        <w:tc>
          <w:tcPr>
            <w:tcW w:w="800" w:type="dxa"/>
            <w:vAlign w:val="bottom"/>
            <w:gridSpan w:val="2"/>
            <w:vMerge w:val="continue"/>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8"/>
                <w:szCs w:val="8"/>
                <w:b w:val="1"/>
                <w:bCs w:val="1"/>
                <w:color w:val="auto"/>
              </w:rPr>
              <w:t>(1)</w:t>
            </w:r>
          </w:p>
        </w:tc>
        <w:tc>
          <w:tcPr>
            <w:tcW w:w="100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stockholders’</w:t>
            </w:r>
          </w:p>
        </w:tc>
        <w:tc>
          <w:tcPr>
            <w:tcW w:w="120" w:type="dxa"/>
            <w:vAlign w:val="bottom"/>
          </w:tcPr>
          <w:p>
            <w:pPr>
              <w:spacing w:after="0"/>
              <w:rPr>
                <w:sz w:val="11"/>
                <w:szCs w:val="11"/>
                <w:color w:val="auto"/>
              </w:rPr>
            </w:pPr>
          </w:p>
        </w:tc>
        <w:tc>
          <w:tcPr>
            <w:tcW w:w="78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82"/>
        </w:trPr>
        <w:tc>
          <w:tcPr>
            <w:tcW w:w="550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outstanding</w:t>
            </w:r>
          </w:p>
        </w:tc>
        <w:tc>
          <w:tcPr>
            <w:tcW w:w="140" w:type="dxa"/>
            <w:vAlign w:val="bottom"/>
          </w:tcPr>
          <w:p>
            <w:pPr>
              <w:spacing w:after="0"/>
              <w:rPr>
                <w:sz w:val="15"/>
                <w:szCs w:val="15"/>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stock</w:t>
            </w:r>
          </w:p>
        </w:tc>
        <w:tc>
          <w:tcPr>
            <w:tcW w:w="8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8"/>
              </w:rPr>
              <w:t>par value</w:t>
            </w: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6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equity</w:t>
            </w:r>
          </w:p>
        </w:tc>
        <w:tc>
          <w:tcPr>
            <w:tcW w:w="120" w:type="dxa"/>
            <w:vAlign w:val="bottom"/>
          </w:tcPr>
          <w:p>
            <w:pPr>
              <w:spacing w:after="0"/>
              <w:rPr>
                <w:sz w:val="15"/>
                <w:szCs w:val="15"/>
                <w:color w:val="auto"/>
              </w:rPr>
            </w:pPr>
          </w:p>
        </w:tc>
        <w:tc>
          <w:tcPr>
            <w:tcW w:w="780" w:type="dxa"/>
            <w:vAlign w:val="bottom"/>
          </w:tcPr>
          <w:p>
            <w:pPr>
              <w:jc w:val="center"/>
              <w:ind w:right="29"/>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254"/>
        </w:trPr>
        <w:tc>
          <w:tcPr>
            <w:tcW w:w="5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at December 31, 2018</w:t>
            </w:r>
          </w:p>
        </w:tc>
        <w:tc>
          <w:tcPr>
            <w:tcW w:w="8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238,069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47.6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654.6</w:t>
            </w: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$5,464.1</w:t>
            </w:r>
          </w:p>
        </w:tc>
        <w:tc>
          <w:tcPr>
            <w:tcW w:w="1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6,124.3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740.3</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1,586.0</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1,586.0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4"/>
                <w:szCs w:val="14"/>
                <w:color w:val="auto"/>
              </w:rPr>
              <w:t>Dividends declared ($2.28 per share)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(549.9)</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(549.9)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2,277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118.9</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119.3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4"/>
                <w:szCs w:val="14"/>
                <w:color w:val="auto"/>
              </w:rPr>
              <w:t>Restricted shares issued, net of shares withheld for taxes</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upon vesting of restricted stock units, net of shares withheld for taxes</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4"/>
                <w:szCs w:val="14"/>
                <w:color w:val="auto"/>
              </w:rPr>
              <w:t>Forfeiture of restricted awards</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136.2</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136.2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4"/>
                <w:szCs w:val="14"/>
                <w:color w:val="auto"/>
              </w:rPr>
              <w:t>Restricted stock units issued as dividend equivalents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(5,692)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(252.5)</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(313.1)</w:t>
            </w: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4"/>
                <w:szCs w:val="14"/>
                <w:color w:val="auto"/>
              </w:rPr>
              <w:t>Net subscriptions into T. Rowe Price investment products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392.7</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deconsolidations of T. Rowe Price investment products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0" w:type="dxa"/>
            <w:vAlign w:val="bottom"/>
          </w:tcPr>
          <w:p>
            <w:pPr>
              <w:spacing w:after="0"/>
              <w:rPr>
                <w:sz w:val="1"/>
                <w:szCs w:val="1"/>
                <w:color w:val="auto"/>
              </w:rPr>
            </w:pPr>
          </w:p>
        </w:tc>
      </w:tr>
      <w:tr>
        <w:trPr>
          <w:trHeight w:val="281"/>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Balances at September 30, 2019</w:t>
            </w:r>
          </w:p>
        </w:tc>
        <w:tc>
          <w:tcPr>
            <w:tcW w:w="8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234,702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46.9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654.6</w:t>
            </w:r>
          </w:p>
        </w:tc>
        <w:tc>
          <w:tcPr>
            <w:tcW w:w="120" w:type="dxa"/>
            <w:vAlign w:val="bottom"/>
            <w:tcBorders>
              <w:bottom w:val="single" w:sz="8" w:color="CCEEFF"/>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$6,187.0</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6,839.8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1,102.9</w:t>
            </w:r>
          </w:p>
        </w:tc>
        <w:tc>
          <w:tcPr>
            <w:tcW w:w="0" w:type="dxa"/>
            <w:vAlign w:val="bottom"/>
          </w:tcPr>
          <w:p>
            <w:pPr>
              <w:spacing w:after="0"/>
              <w:rPr>
                <w:sz w:val="1"/>
                <w:szCs w:val="1"/>
                <w:color w:val="auto"/>
              </w:rPr>
            </w:pPr>
          </w:p>
        </w:tc>
      </w:tr>
      <w:tr>
        <w:trPr>
          <w:trHeight w:val="143"/>
        </w:trPr>
        <w:tc>
          <w:tcPr>
            <w:tcW w:w="5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55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3"/>
                <w:szCs w:val="13"/>
                <w:b w:val="1"/>
                <w:bCs w:val="1"/>
                <w:color w:val="auto"/>
              </w:rPr>
              <w:t>Nine months ended 9/30/2018</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55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3"/>
                <w:szCs w:val="13"/>
                <w:b w:val="1"/>
                <w:bCs w:val="1"/>
                <w:color w:val="auto"/>
                <w:w w:val="95"/>
              </w:rPr>
              <w:t>Common</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center"/>
              <w:ind w:right="100"/>
              <w:spacing w:after="0" w:line="136" w:lineRule="exact"/>
              <w:rPr>
                <w:sz w:val="20"/>
                <w:szCs w:val="20"/>
                <w:color w:val="auto"/>
              </w:rPr>
            </w:pPr>
            <w:r>
              <w:rPr>
                <w:rFonts w:ascii="Arial" w:cs="Arial" w:eastAsia="Arial" w:hAnsi="Arial"/>
                <w:sz w:val="13"/>
                <w:szCs w:val="13"/>
                <w:b w:val="1"/>
                <w:bCs w:val="1"/>
                <w:color w:val="auto"/>
                <w:w w:val="94"/>
              </w:rPr>
              <w:t>Additional</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center"/>
              <w:ind w:right="320"/>
              <w:spacing w:after="0"/>
              <w:rPr>
                <w:sz w:val="20"/>
                <w:szCs w:val="20"/>
                <w:color w:val="auto"/>
              </w:rPr>
            </w:pPr>
            <w:r>
              <w:rPr>
                <w:rFonts w:ascii="Arial" w:cs="Arial" w:eastAsia="Arial" w:hAnsi="Arial"/>
                <w:sz w:val="13"/>
                <w:szCs w:val="13"/>
                <w:b w:val="1"/>
                <w:bCs w:val="1"/>
                <w:color w:val="auto"/>
                <w:w w:val="89"/>
              </w:rPr>
              <w:t>Total</w:t>
            </w:r>
          </w:p>
        </w:tc>
        <w:tc>
          <w:tcPr>
            <w:tcW w:w="900" w:type="dxa"/>
            <w:vAlign w:val="bottom"/>
            <w:gridSpan w:val="2"/>
            <w:shd w:val="clear" w:color="auto" w:fill="CCEEFF"/>
          </w:tcPr>
          <w:p>
            <w:pPr>
              <w:jc w:val="center"/>
              <w:spacing w:after="0" w:line="136" w:lineRule="exact"/>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550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820" w:type="dxa"/>
            <w:vAlign w:val="bottom"/>
            <w:gridSpan w:val="3"/>
            <w:vMerge w:val="restart"/>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95"/>
              </w:rPr>
              <w:t>Common</w:t>
            </w:r>
          </w:p>
        </w:tc>
        <w:tc>
          <w:tcPr>
            <w:tcW w:w="82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capital in</w:t>
            </w:r>
          </w:p>
        </w:tc>
        <w:tc>
          <w:tcPr>
            <w:tcW w:w="800" w:type="dxa"/>
            <w:vAlign w:val="bottom"/>
            <w:gridSpan w:val="2"/>
            <w:vMerge w:val="restart"/>
            <w:shd w:val="clear" w:color="auto" w:fill="CCEEFF"/>
          </w:tcPr>
          <w:p>
            <w:pPr>
              <w:ind w:left="80"/>
              <w:spacing w:after="0"/>
              <w:rPr>
                <w:sz w:val="20"/>
                <w:szCs w:val="20"/>
                <w:color w:val="auto"/>
              </w:rPr>
            </w:pPr>
            <w:r>
              <w:rPr>
                <w:rFonts w:ascii="Arial" w:cs="Arial" w:eastAsia="Arial" w:hAnsi="Arial"/>
                <w:sz w:val="13"/>
                <w:szCs w:val="13"/>
                <w:b w:val="1"/>
                <w:bCs w:val="1"/>
                <w:color w:val="auto"/>
              </w:rPr>
              <w:t>Retained</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center"/>
              <w:ind w:right="29"/>
              <w:spacing w:after="0" w:line="135"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35"/>
        </w:trPr>
        <w:tc>
          <w:tcPr>
            <w:tcW w:w="55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shares</w:t>
            </w:r>
          </w:p>
        </w:tc>
        <w:tc>
          <w:tcPr>
            <w:tcW w:w="820" w:type="dxa"/>
            <w:vAlign w:val="bottom"/>
            <w:gridSpan w:val="3"/>
            <w:vMerge w:val="continue"/>
            <w:shd w:val="clear" w:color="auto" w:fill="CCEEFF"/>
          </w:tcPr>
          <w:p>
            <w:pPr>
              <w:spacing w:after="0"/>
              <w:rPr>
                <w:sz w:val="11"/>
                <w:szCs w:val="11"/>
                <w:color w:val="auto"/>
              </w:rPr>
            </w:pPr>
          </w:p>
        </w:tc>
        <w:tc>
          <w:tcPr>
            <w:tcW w:w="82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excess of</w:t>
            </w:r>
          </w:p>
        </w:tc>
        <w:tc>
          <w:tcPr>
            <w:tcW w:w="800" w:type="dxa"/>
            <w:vAlign w:val="bottom"/>
            <w:gridSpan w:val="2"/>
            <w:vMerge w:val="continue"/>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8"/>
                <w:szCs w:val="8"/>
                <w:b w:val="1"/>
                <w:bCs w:val="1"/>
                <w:color w:val="auto"/>
              </w:rPr>
              <w:t>(1)</w:t>
            </w:r>
          </w:p>
        </w:tc>
        <w:tc>
          <w:tcPr>
            <w:tcW w:w="100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b w:val="1"/>
                <w:bCs w:val="1"/>
                <w:color w:val="auto"/>
              </w:rPr>
              <w:t>stockholders’</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center"/>
              <w:ind w:right="49"/>
              <w:spacing w:after="0" w:line="135"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82"/>
        </w:trPr>
        <w:tc>
          <w:tcPr>
            <w:tcW w:w="55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96"/>
              </w:rPr>
              <w:t>outstanding</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stock</w:t>
            </w:r>
          </w:p>
        </w:tc>
        <w:tc>
          <w:tcPr>
            <w:tcW w:w="82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8"/>
              </w:rPr>
              <w:t>par value</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earnings</w:t>
            </w:r>
          </w:p>
        </w:tc>
        <w:tc>
          <w:tcPr>
            <w:tcW w:w="6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300"/>
              <w:spacing w:after="0"/>
              <w:rPr>
                <w:sz w:val="20"/>
                <w:szCs w:val="20"/>
                <w:color w:val="auto"/>
              </w:rPr>
            </w:pPr>
            <w:r>
              <w:rPr>
                <w:rFonts w:ascii="Arial" w:cs="Arial" w:eastAsia="Arial" w:hAnsi="Arial"/>
                <w:sz w:val="13"/>
                <w:szCs w:val="13"/>
                <w:b w:val="1"/>
                <w:bCs w:val="1"/>
                <w:color w:val="auto"/>
                <w:w w:val="99"/>
              </w:rPr>
              <w:t>equity</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right="29"/>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250"/>
        </w:trPr>
        <w:tc>
          <w:tcPr>
            <w:tcW w:w="5500" w:type="dxa"/>
            <w:vAlign w:val="bottom"/>
          </w:tcPr>
          <w:p>
            <w:pPr>
              <w:ind w:left="40"/>
              <w:spacing w:after="0"/>
              <w:rPr>
                <w:sz w:val="20"/>
                <w:szCs w:val="20"/>
                <w:color w:val="auto"/>
              </w:rPr>
            </w:pPr>
            <w:r>
              <w:rPr>
                <w:rFonts w:ascii="Arial" w:cs="Arial" w:eastAsia="Arial" w:hAnsi="Arial"/>
                <w:sz w:val="14"/>
                <w:szCs w:val="14"/>
                <w:color w:val="auto"/>
              </w:rPr>
              <w:t>Balances at December 31, 2017</w:t>
            </w:r>
          </w:p>
        </w:tc>
        <w:tc>
          <w:tcPr>
            <w:tcW w:w="8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245,111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21"/>
                <w:szCs w:val="21"/>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846.1</w:t>
            </w:r>
          </w:p>
        </w:tc>
        <w:tc>
          <w:tcPr>
            <w:tcW w:w="120" w:type="dxa"/>
            <w:vAlign w:val="bottom"/>
          </w:tcPr>
          <w:p>
            <w:pPr>
              <w:spacing w:after="0"/>
              <w:rPr>
                <w:sz w:val="21"/>
                <w:szCs w:val="21"/>
                <w:color w:val="auto"/>
              </w:rPr>
            </w:pPr>
          </w:p>
        </w:tc>
        <w:tc>
          <w:tcPr>
            <w:tcW w:w="7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$4,932.9</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(3.6)</w:t>
            </w:r>
          </w:p>
        </w:tc>
        <w:tc>
          <w:tcPr>
            <w:tcW w:w="100" w:type="dxa"/>
            <w:vAlign w:val="bottom"/>
          </w:tcPr>
          <w:p>
            <w:pPr>
              <w:spacing w:after="0"/>
              <w:rPr>
                <w:sz w:val="21"/>
                <w:szCs w:val="21"/>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5,824.4</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992.8</w:t>
            </w:r>
          </w:p>
        </w:tc>
        <w:tc>
          <w:tcPr>
            <w:tcW w:w="0" w:type="dxa"/>
            <w:vAlign w:val="bottom"/>
          </w:tcPr>
          <w:p>
            <w:pPr>
              <w:spacing w:after="0"/>
              <w:rPr>
                <w:sz w:val="1"/>
                <w:szCs w:val="1"/>
                <w:color w:val="auto"/>
              </w:rPr>
            </w:pPr>
          </w:p>
        </w:tc>
      </w:tr>
      <w:tr>
        <w:trPr>
          <w:trHeight w:val="180"/>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Cumulative effect adjustment upon adoption of financial instruments and AOCI</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guidance</w:t>
            </w:r>
            <w:r>
              <w:rPr>
                <w:rFonts w:ascii="Arial" w:cs="Arial" w:eastAsia="Arial" w:hAnsi="Arial"/>
                <w:sz w:val="17"/>
                <w:szCs w:val="17"/>
                <w:color w:val="auto"/>
                <w:vertAlign w:val="superscript"/>
              </w:rPr>
              <w:t>(2)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500" w:type="dxa"/>
            <w:vAlign w:val="bottom"/>
          </w:tcPr>
          <w:p>
            <w:pPr>
              <w:ind w:left="40"/>
              <w:spacing w:after="0"/>
              <w:rPr>
                <w:sz w:val="20"/>
                <w:szCs w:val="20"/>
                <w:color w:val="auto"/>
              </w:rPr>
            </w:pPr>
            <w:r>
              <w:rPr>
                <w:rFonts w:ascii="Arial" w:cs="Arial" w:eastAsia="Arial" w:hAnsi="Arial"/>
                <w:sz w:val="14"/>
                <w:szCs w:val="14"/>
                <w:color w:val="auto"/>
              </w:rPr>
              <w:t>Reclassification adjustment of stranded tax benefits on currency translation</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500" w:type="dxa"/>
            <w:vAlign w:val="bottom"/>
          </w:tcPr>
          <w:p>
            <w:pPr>
              <w:ind w:left="40"/>
              <w:spacing w:after="0"/>
              <w:rPr>
                <w:sz w:val="20"/>
                <w:szCs w:val="20"/>
                <w:color w:val="auto"/>
              </w:rPr>
            </w:pPr>
            <w:r>
              <w:rPr>
                <w:rFonts w:ascii="Arial" w:cs="Arial" w:eastAsia="Arial" w:hAnsi="Arial"/>
                <w:sz w:val="14"/>
                <w:szCs w:val="14"/>
                <w:color w:val="auto"/>
              </w:rPr>
              <w:t>adjustments upon adoption of AOCI guidance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4"/>
        </w:trPr>
        <w:tc>
          <w:tcPr>
            <w:tcW w:w="5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at January 1, 2018</w:t>
            </w:r>
          </w:p>
        </w:tc>
        <w:tc>
          <w:tcPr>
            <w:tcW w:w="8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245,111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49.0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846.1</w:t>
            </w: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4,957.6</w:t>
            </w:r>
          </w:p>
        </w:tc>
        <w:tc>
          <w:tcPr>
            <w:tcW w:w="1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5,838.9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992.8</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1,485.6</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1,485.6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4"/>
                <w:szCs w:val="14"/>
                <w:color w:val="auto"/>
              </w:rPr>
              <w:t>Dividends declared ($2.10 per share)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(522.5)</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2,770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116.6</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117.2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4"/>
                <w:szCs w:val="14"/>
                <w:color w:val="auto"/>
              </w:rPr>
              <w:t>Restricted shares issued, net of shares withheld for taxes</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upon vesting of restricted stock units, net of shares withheld for taxes</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4"/>
                <w:szCs w:val="14"/>
                <w:color w:val="auto"/>
              </w:rPr>
              <w:t>Forfeiture of restricted awards</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135.3</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135.3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4"/>
                <w:szCs w:val="14"/>
                <w:color w:val="auto"/>
              </w:rPr>
              <w:t>Restricted stock units issued as dividend equivalents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(5,353)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(441.6)</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(132.1)</w:t>
            </w: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5500" w:type="dxa"/>
            <w:vAlign w:val="bottom"/>
          </w:tcPr>
          <w:p>
            <w:pPr>
              <w:ind w:left="40"/>
              <w:spacing w:after="0"/>
              <w:rPr>
                <w:sz w:val="20"/>
                <w:szCs w:val="20"/>
                <w:color w:val="auto"/>
              </w:rPr>
            </w:pPr>
            <w:r>
              <w:rPr>
                <w:rFonts w:ascii="Arial" w:cs="Arial" w:eastAsia="Arial" w:hAnsi="Arial"/>
                <w:sz w:val="14"/>
                <w:szCs w:val="14"/>
                <w:color w:val="auto"/>
              </w:rPr>
              <w:t>Net subscriptions into T. Rowe Price investment products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468.5</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deconsolidations of T. Rowe Price investment products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(595.0)</w:t>
            </w:r>
          </w:p>
        </w:tc>
        <w:tc>
          <w:tcPr>
            <w:tcW w:w="0" w:type="dxa"/>
            <w:vAlign w:val="bottom"/>
          </w:tcPr>
          <w:p>
            <w:pPr>
              <w:spacing w:after="0"/>
              <w:rPr>
                <w:sz w:val="1"/>
                <w:szCs w:val="1"/>
                <w:color w:val="auto"/>
              </w:rPr>
            </w:pPr>
          </w:p>
        </w:tc>
      </w:tr>
      <w:tr>
        <w:trPr>
          <w:trHeight w:val="241"/>
        </w:trPr>
        <w:tc>
          <w:tcPr>
            <w:tcW w:w="5500" w:type="dxa"/>
            <w:vAlign w:val="bottom"/>
          </w:tcPr>
          <w:p>
            <w:pPr>
              <w:ind w:left="40"/>
              <w:spacing w:after="0"/>
              <w:rPr>
                <w:sz w:val="20"/>
                <w:szCs w:val="20"/>
                <w:color w:val="auto"/>
              </w:rPr>
            </w:pPr>
            <w:r>
              <w:rPr>
                <w:rFonts w:ascii="Arial" w:cs="Arial" w:eastAsia="Arial" w:hAnsi="Arial"/>
                <w:sz w:val="14"/>
                <w:szCs w:val="14"/>
                <w:color w:val="auto"/>
              </w:rPr>
              <w:t>Balances at September 30, 2018</w:t>
            </w:r>
          </w:p>
        </w:tc>
        <w:tc>
          <w:tcPr>
            <w:tcW w:w="8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242,599</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654.5</w:t>
            </w:r>
          </w:p>
        </w:tc>
        <w:tc>
          <w:tcPr>
            <w:tcW w:w="1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$5,788.5</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6,460.5</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860.6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Accumulated other comprehensive income.</w:t>
      </w:r>
    </w:p>
    <w:p>
      <w:pPr>
        <w:spacing w:after="0" w:line="72" w:lineRule="exact"/>
        <w:rPr>
          <w:rFonts w:ascii="Arial" w:cs="Arial" w:eastAsia="Arial" w:hAnsi="Arial"/>
          <w:sz w:val="13"/>
          <w:szCs w:val="13"/>
          <w:i w:val="1"/>
          <w:iCs w:val="1"/>
          <w:color w:val="auto"/>
          <w:vertAlign w:val="superscript"/>
        </w:rPr>
      </w:pPr>
    </w:p>
    <w:p>
      <w:pPr>
        <w:ind w:right="280" w:firstLine="8"/>
        <w:spacing w:after="0" w:line="274" w:lineRule="auto"/>
        <w:tabs>
          <w:tab w:leader="none" w:pos="128" w:val="left"/>
        </w:tabs>
        <w:numPr>
          <w:ilvl w:val="0"/>
          <w:numId w:val="4"/>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Includes the reclassification of $1.7 million of stranded income taxes on available-for-sale investments resulting from U.S. tax law changes enacted on December 22, 2017, from accumulated other comprehensive income to retained earnings.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5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PREPARATION.</w:t>
      </w:r>
    </w:p>
    <w:p>
      <w:pPr>
        <w:spacing w:after="0" w:line="227"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 Rowe Price Group Inc. derives its consolidated revenues and net income primarily from investment advisory services that its subsidiaries provide to individual and institutional investors in the T. Rowe Price U.S. mutual funds (“U.S. mutual funds”), separately managed accounts, subadvised funds, and other T. Rowe Price products.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175"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These principles require the use of estimates and reflect all adjustments that are, in the opinion of management, necessary for a fair statement of our results for the interim periods presented. All such adjustments are of a normal recurring nature. Actual results may vary from our estimates. Certain prior year amounts have been reclassified to conform to the 2019 presentation.</w:t>
      </w:r>
    </w:p>
    <w:p>
      <w:pPr>
        <w:spacing w:after="0" w:line="170" w:lineRule="exact"/>
        <w:rPr>
          <w:sz w:val="20"/>
          <w:szCs w:val="20"/>
          <w:color w:val="auto"/>
        </w:rPr>
      </w:pPr>
    </w:p>
    <w:p>
      <w:pPr>
        <w:ind w:right="560"/>
        <w:spacing w:after="0" w:line="292" w:lineRule="auto"/>
        <w:rPr>
          <w:sz w:val="20"/>
          <w:szCs w:val="20"/>
          <w:color w:val="auto"/>
        </w:rPr>
      </w:pPr>
      <w:r>
        <w:rPr>
          <w:rFonts w:ascii="Arial" w:cs="Arial" w:eastAsia="Arial" w:hAnsi="Arial"/>
          <w:sz w:val="18"/>
          <w:szCs w:val="18"/>
          <w:color w:val="auto"/>
        </w:rPr>
        <w:t>The unaudited interim financial information contained in these unaudited condensed consolidated financial statements should be read in conjunction with the consolidated financial statements contained in our 2018 Annual Report.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 ACCOUNTING GUIDANCE.</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We adopted Accounting Standards Update No. 2016-02 — Leases (Topic 842) on January 1, 2019. The update required the recognition of right-of-use lease assets and liabilities on the balance sheet and the disclosure of qualitative and quantitative information about leasing arrangements. We adopted this standard using a modified retrospective approach without restating prior comparative periods. We also elected to use certain practical expedients that allowed us to not perform the following: (1) reassess whether expired or existing non-lease contracts that commenced before January 1, 2019 contained an embedded lease, (2) reevaluate the accounting classification of our existing operating leases, and (3) determine whether initial direct costs related to existing leases should be capitalized under this guidance. On January 1, 2019, we recognized operating lease assets totaling $168.7 million and corresponding operating lease liabilities of $168.7 million related primarily to our real estate leases. At implementation, we also reclassified $27.7 million in deferred rent liabilities related to these leases, reducing the recognized operating lease assets to $141.0 million. The adoption did not have a material impact on our results of operations; however, the initial recognition of our operating lease assets and operating lease liabilities on January 1, 2019, represented a non-cash investing activity that affected the amount reported in other changes in assets and liabilities in our unaudited condensed consolidated statements of cash flows. Our leases accounting policy is included in the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section below. Additional information on our operating leases is included in Note 6 - Leases.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August 2018, the FASB issued Accounting Standards Update No. 2018-15 — Intangibles—Goodwill and Other— Internal-Use Software (Subtopic 350-40): Customer’s Accounting for Implementation Costs Incurred in a Cloud Computing Arrangement That Is a Service Contract. This update provides additional guidance on the accounting for costs of implementation activities performed in a cloud computing arrangement that is a service contract. The amendments in this update are effective for fiscal years beginning after December 15, 2019, including interim periods within those fiscal years. Though early adoption is permitted, we will adopt this update on January 1, 2020, using the prospective method of adoption. We expect that the adoption of this standard will not have a material impact on our financial position and results of operations.</w:t>
      </w:r>
    </w:p>
    <w:p>
      <w:pPr>
        <w:spacing w:after="0" w:line="177"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unaudited condensed consolidated statements, including those we have not yet adopted. We do</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380"/>
          </w:cols>
          <w:pgMar w:left="240" w:top="574"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not believe that any such guidance has or will have a material effect on our financial position or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SUMMARY OF SIGNIFICANT ACCOUNTING POLICIES.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Leases</w:t>
      </w:r>
    </w:p>
    <w:p>
      <w:pPr>
        <w:spacing w:after="0" w:line="17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We review new arrangements at inception to evaluate whether we substantially obtain all the economic benefits of and have the right to control the use of an asset. If we determine that an arrangement qualifies as a lease, we recognize a lease liability and a corresponding asset on the lease’s commencement date. The lease liability is initially measured at the present value of the future minimum lease payments over the lease term using the rate implicit in the arrangement or, if not available, our incremental borrowing rate. An operating lease asset is measured initially at the value of the lease liability less any lease incentives and initial direct costs incurred.</w:t>
      </w:r>
    </w:p>
    <w:p>
      <w:pPr>
        <w:spacing w:after="0" w:line="12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Our leases qualify as operating leases and consist primarily of real estate leases for corporate offices, data centers, and other facilities. We measure our operating lease liabilities using an estimated incremental borrowing rate as there is no rate implicit in any of our operating lease arrangements. Since we do not have any outstanding borrowings, we estimate our incremental borrowing rate using an estimated credit rating and available market information. Additionally, certain of our leases contain options to extend or terminate the lease term that, if exercised, would result in the remeasurement of the operating lease liability.</w:t>
      </w:r>
    </w:p>
    <w:p>
      <w:pPr>
        <w:spacing w:after="0" w:line="12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Our operating leases contain both lease and non-lease components. Non-lease components are distinct elements of a contract that are not related to securing the use of the lease assets, such as common area maintenance and other management costs. We elected to measure the lease liability of our real estate operating leases by combining the lease and non-lease components into one single lease component. As such, we included the fixed payments and any payments that depend on a rate or index related to our lease and non-lease components in measuring the operating lease liability.</w:t>
      </w:r>
    </w:p>
    <w:p>
      <w:pPr>
        <w:spacing w:after="0" w:line="121" w:lineRule="exact"/>
        <w:rPr>
          <w:sz w:val="20"/>
          <w:szCs w:val="20"/>
          <w:color w:val="auto"/>
        </w:rPr>
      </w:pPr>
    </w:p>
    <w:p>
      <w:pPr>
        <w:ind w:right="660"/>
        <w:spacing w:after="0" w:line="292" w:lineRule="auto"/>
        <w:rPr>
          <w:sz w:val="20"/>
          <w:szCs w:val="20"/>
          <w:color w:val="auto"/>
        </w:rPr>
      </w:pPr>
      <w:r>
        <w:rPr>
          <w:rFonts w:ascii="Arial" w:cs="Arial" w:eastAsia="Arial" w:hAnsi="Arial"/>
          <w:sz w:val="18"/>
          <w:szCs w:val="18"/>
          <w:color w:val="auto"/>
        </w:rPr>
        <w:t>We recognize lease expense on a straight-line basis over the lease term. Operating lease expense is recognized as part of technology, occupancy, and facility costs in our unaudited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80"/>
          </w:cols>
          <w:pgMar w:left="240" w:top="576"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2 – INFORMATION ABOUT RECEIVABLES, REVENUES, AND SERVICES.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Revenues earned during the three- and nine-month periods ended September 30, 2019 and 2018 under agreements with clients include: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196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2340" w:type="dxa"/>
            <w:vAlign w:val="bottom"/>
            <w:tcBorders>
              <w:bottom w:val="single" w:sz="8" w:color="auto"/>
            </w:tcBorders>
            <w:gridSpan w:val="5"/>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rPr>
              <w:t>Three months ended 9/30/2019</w:t>
            </w: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2340" w:type="dxa"/>
            <w:vAlign w:val="bottom"/>
            <w:tcBorders>
              <w:bottom w:val="single" w:sz="8" w:color="auto"/>
            </w:tcBorders>
            <w:gridSpan w:val="5"/>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Three months ended 9/30/2018</w:t>
            </w: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4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rPr>
              <w:t>Administrative, distribution, and</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4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rPr>
              <w:t>Administrative, distribution, and</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9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right="44"/>
              <w:spacing w:after="0"/>
              <w:rPr>
                <w:sz w:val="20"/>
                <w:szCs w:val="20"/>
                <w:color w:val="auto"/>
              </w:rPr>
            </w:pPr>
            <w:r>
              <w:rPr>
                <w:rFonts w:ascii="Arial" w:cs="Arial" w:eastAsia="Arial" w:hAnsi="Arial"/>
                <w:sz w:val="13"/>
                <w:szCs w:val="13"/>
                <w:b w:val="1"/>
                <w:bCs w:val="1"/>
                <w:color w:val="auto"/>
              </w:rPr>
              <w:t>servicing fees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right="44"/>
              <w:spacing w:after="0"/>
              <w:rPr>
                <w:sz w:val="20"/>
                <w:szCs w:val="20"/>
                <w:color w:val="auto"/>
              </w:rPr>
            </w:pPr>
            <w:r>
              <w:rPr>
                <w:rFonts w:ascii="Arial" w:cs="Arial" w:eastAsia="Arial" w:hAnsi="Arial"/>
                <w:sz w:val="13"/>
                <w:szCs w:val="13"/>
                <w:b w:val="1"/>
                <w:bCs w:val="1"/>
                <w:color w:val="auto"/>
              </w:rPr>
              <w:t>servicing fees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Distribution</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8"/>
              </w:rPr>
              <w:t>Distribution</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Investment</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rPr>
              <w:t>Administrative</w:t>
            </w:r>
          </w:p>
        </w:tc>
        <w:tc>
          <w:tcPr>
            <w:tcW w:w="112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and servicing</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rPr>
              <w:t>Investment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Administrative</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rPr>
              <w:t>and servicing</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advisory fees</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9"/>
              </w:rPr>
              <w:t>fees</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9"/>
              </w:rPr>
              <w:t>fees</w:t>
            </w:r>
          </w:p>
        </w:tc>
        <w:tc>
          <w:tcPr>
            <w:tcW w:w="1140" w:type="dxa"/>
            <w:vAlign w:val="bottom"/>
            <w:gridSpan w:val="3"/>
            <w:shd w:val="clear" w:color="auto" w:fill="CCEEFF"/>
          </w:tcPr>
          <w:p>
            <w:pPr>
              <w:ind w:left="100"/>
              <w:spacing w:after="0"/>
              <w:rPr>
                <w:sz w:val="20"/>
                <w:szCs w:val="20"/>
                <w:color w:val="auto"/>
              </w:rPr>
            </w:pPr>
            <w:r>
              <w:rPr>
                <w:rFonts w:ascii="Arial" w:cs="Arial" w:eastAsia="Arial" w:hAnsi="Arial"/>
                <w:sz w:val="13"/>
                <w:szCs w:val="13"/>
                <w:b w:val="1"/>
                <w:bCs w:val="1"/>
                <w:color w:val="auto"/>
              </w:rPr>
              <w:t>Net revenues</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rPr>
              <w:t>advisory fees</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fees</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fees</w:t>
            </w:r>
          </w:p>
        </w:tc>
        <w:tc>
          <w:tcPr>
            <w:tcW w:w="1020" w:type="dxa"/>
            <w:vAlign w:val="bottom"/>
            <w:gridSpan w:val="2"/>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Net revenues</w:t>
            </w:r>
          </w:p>
        </w:tc>
        <w:tc>
          <w:tcPr>
            <w:tcW w:w="0" w:type="dxa"/>
            <w:vAlign w:val="bottom"/>
          </w:tcPr>
          <w:p>
            <w:pPr>
              <w:spacing w:after="0"/>
              <w:rPr>
                <w:sz w:val="1"/>
                <w:szCs w:val="1"/>
                <w:color w:val="auto"/>
              </w:rPr>
            </w:pPr>
          </w:p>
        </w:tc>
      </w:tr>
      <w:tr>
        <w:trPr>
          <w:trHeight w:val="245"/>
        </w:trPr>
        <w:tc>
          <w:tcPr>
            <w:tcW w:w="1960" w:type="dxa"/>
            <w:vAlign w:val="bottom"/>
          </w:tcPr>
          <w:p>
            <w:pPr>
              <w:ind w:left="40"/>
              <w:spacing w:after="0"/>
              <w:rPr>
                <w:sz w:val="20"/>
                <w:szCs w:val="20"/>
                <w:color w:val="auto"/>
              </w:rPr>
            </w:pPr>
            <w:r>
              <w:rPr>
                <w:rFonts w:ascii="Arial" w:cs="Arial" w:eastAsia="Arial" w:hAnsi="Arial"/>
                <w:sz w:val="16"/>
                <w:szCs w:val="16"/>
                <w:color w:val="auto"/>
              </w:rPr>
              <w:t>U.S. mutual funds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881.0</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980.1</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877.3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984.2</w:t>
            </w:r>
          </w:p>
        </w:tc>
        <w:tc>
          <w:tcPr>
            <w:tcW w:w="0" w:type="dxa"/>
            <w:vAlign w:val="bottom"/>
          </w:tcPr>
          <w:p>
            <w:pPr>
              <w:spacing w:after="0"/>
              <w:rPr>
                <w:sz w:val="1"/>
                <w:szCs w:val="1"/>
                <w:color w:val="auto"/>
              </w:rPr>
            </w:pPr>
          </w:p>
        </w:tc>
      </w:tr>
      <w:tr>
        <w:trPr>
          <w:trHeight w:val="206"/>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Subadvised and separate</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and other</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products</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422.4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386.0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386.0</w:t>
            </w: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6"/>
                <w:szCs w:val="16"/>
                <w:color w:val="auto"/>
              </w:rPr>
              <w:t>Other clients</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37"/>
        </w:trPr>
        <w:tc>
          <w:tcPr>
            <w:tcW w:w="19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1,303.4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rPr>
              <w:t>93.2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30.1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1,426.7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1,263.3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96.7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34.6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1,394.6</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9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96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2340" w:type="dxa"/>
            <w:vAlign w:val="bottom"/>
            <w:tcBorders>
              <w:bottom w:val="single" w:sz="8" w:color="auto"/>
            </w:tcBorders>
            <w:gridSpan w:val="5"/>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w w:val="99"/>
              </w:rPr>
              <w:t>Nine months ended 9/30/2019</w:t>
            </w: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2340" w:type="dxa"/>
            <w:vAlign w:val="bottom"/>
            <w:tcBorders>
              <w:bottom w:val="single" w:sz="8" w:color="auto"/>
            </w:tcBorders>
            <w:gridSpan w:val="5"/>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Nine months ended 9/30/2018</w:t>
            </w: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4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rPr>
              <w:t>Administrative, distribution, and</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4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rPr>
              <w:t>Administrative, distribution, and</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9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right="44"/>
              <w:spacing w:after="0"/>
              <w:rPr>
                <w:sz w:val="20"/>
                <w:szCs w:val="20"/>
                <w:color w:val="auto"/>
              </w:rPr>
            </w:pPr>
            <w:r>
              <w:rPr>
                <w:rFonts w:ascii="Arial" w:cs="Arial" w:eastAsia="Arial" w:hAnsi="Arial"/>
                <w:sz w:val="13"/>
                <w:szCs w:val="13"/>
                <w:b w:val="1"/>
                <w:bCs w:val="1"/>
                <w:color w:val="auto"/>
              </w:rPr>
              <w:t>servicing fees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right="44"/>
              <w:spacing w:after="0"/>
              <w:rPr>
                <w:sz w:val="20"/>
                <w:szCs w:val="20"/>
                <w:color w:val="auto"/>
              </w:rPr>
            </w:pPr>
            <w:r>
              <w:rPr>
                <w:rFonts w:ascii="Arial" w:cs="Arial" w:eastAsia="Arial" w:hAnsi="Arial"/>
                <w:sz w:val="13"/>
                <w:szCs w:val="13"/>
                <w:b w:val="1"/>
                <w:bCs w:val="1"/>
                <w:color w:val="auto"/>
              </w:rPr>
              <w:t>servicing fees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Distribution</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8"/>
              </w:rPr>
              <w:t>Distribution</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Investment</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rPr>
              <w:t>Administrative</w:t>
            </w:r>
          </w:p>
        </w:tc>
        <w:tc>
          <w:tcPr>
            <w:tcW w:w="112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and servicing</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rPr>
              <w:t>Investment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Administrative</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rPr>
              <w:t>and servicing</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advisory fees</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9"/>
              </w:rPr>
              <w:t>fees</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9"/>
              </w:rPr>
              <w:t>fees</w:t>
            </w:r>
          </w:p>
        </w:tc>
        <w:tc>
          <w:tcPr>
            <w:tcW w:w="1140" w:type="dxa"/>
            <w:vAlign w:val="bottom"/>
            <w:gridSpan w:val="3"/>
            <w:shd w:val="clear" w:color="auto" w:fill="CCEEFF"/>
          </w:tcPr>
          <w:p>
            <w:pPr>
              <w:ind w:left="100"/>
              <w:spacing w:after="0"/>
              <w:rPr>
                <w:sz w:val="20"/>
                <w:szCs w:val="20"/>
                <w:color w:val="auto"/>
              </w:rPr>
            </w:pPr>
            <w:r>
              <w:rPr>
                <w:rFonts w:ascii="Arial" w:cs="Arial" w:eastAsia="Arial" w:hAnsi="Arial"/>
                <w:sz w:val="13"/>
                <w:szCs w:val="13"/>
                <w:b w:val="1"/>
                <w:bCs w:val="1"/>
                <w:color w:val="auto"/>
              </w:rPr>
              <w:t>Net revenues</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rPr>
              <w:t>advisory fees</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fees</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fees</w:t>
            </w:r>
          </w:p>
        </w:tc>
        <w:tc>
          <w:tcPr>
            <w:tcW w:w="1020" w:type="dxa"/>
            <w:vAlign w:val="bottom"/>
            <w:gridSpan w:val="2"/>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Net revenues</w:t>
            </w:r>
          </w:p>
        </w:tc>
        <w:tc>
          <w:tcPr>
            <w:tcW w:w="0" w:type="dxa"/>
            <w:vAlign w:val="bottom"/>
          </w:tcPr>
          <w:p>
            <w:pPr>
              <w:spacing w:after="0"/>
              <w:rPr>
                <w:sz w:val="1"/>
                <w:szCs w:val="1"/>
                <w:color w:val="auto"/>
              </w:rPr>
            </w:pPr>
          </w:p>
        </w:tc>
      </w:tr>
      <w:tr>
        <w:trPr>
          <w:trHeight w:val="245"/>
        </w:trPr>
        <w:tc>
          <w:tcPr>
            <w:tcW w:w="1960" w:type="dxa"/>
            <w:vAlign w:val="bottom"/>
          </w:tcPr>
          <w:p>
            <w:pPr>
              <w:ind w:left="40"/>
              <w:spacing w:after="0"/>
              <w:rPr>
                <w:sz w:val="20"/>
                <w:szCs w:val="20"/>
                <w:color w:val="auto"/>
              </w:rPr>
            </w:pPr>
            <w:r>
              <w:rPr>
                <w:rFonts w:ascii="Arial" w:cs="Arial" w:eastAsia="Arial" w:hAnsi="Arial"/>
                <w:sz w:val="16"/>
                <w:szCs w:val="16"/>
                <w:color w:val="auto"/>
              </w:rPr>
              <w:t>U.S. mutual funds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2,557.6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6"/>
                <w:szCs w:val="16"/>
                <w:color w:val="auto"/>
              </w:rPr>
              <w:t>215.3</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2,863.3</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2,557.1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6"/>
                <w:szCs w:val="16"/>
                <w:color w:val="auto"/>
              </w:rPr>
              <w:t>228.5</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106.7</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2,892.3</w:t>
            </w:r>
          </w:p>
        </w:tc>
        <w:tc>
          <w:tcPr>
            <w:tcW w:w="0" w:type="dxa"/>
            <w:vAlign w:val="bottom"/>
          </w:tcPr>
          <w:p>
            <w:pPr>
              <w:spacing w:after="0"/>
              <w:rPr>
                <w:sz w:val="1"/>
                <w:szCs w:val="1"/>
                <w:color w:val="auto"/>
              </w:rPr>
            </w:pPr>
          </w:p>
        </w:tc>
      </w:tr>
      <w:tr>
        <w:trPr>
          <w:trHeight w:val="206"/>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Subadvised and separate</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and other</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products</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1,210.2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1,210.2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1,109.8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1,109.8</w:t>
            </w: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6"/>
                <w:szCs w:val="16"/>
                <w:color w:val="auto"/>
              </w:rPr>
              <w:t>Other clients</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6"/>
                <w:szCs w:val="16"/>
                <w:color w:val="auto"/>
              </w:rPr>
              <w:t>75.7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75.7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237"/>
        </w:trPr>
        <w:tc>
          <w:tcPr>
            <w:tcW w:w="19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3,767.8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rPr>
              <w:t>291.0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90.4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4,149.2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3,666.9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294.0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106.7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4,067.6</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Total net revenues earned from our related parties, specifically T. Rowe Price investment products, aggregate $1,180.9 million and $1,151.5 million for the three months ended September 30, 2019 and 2018, respectively. Total net revenues earned during the nine months ended September 30, 2019 and 2018 aggregate $3,421.9 million and $ 3,366.9 million, respectively. Accounts receivable from these products aggregate to $405.3 million at September 30, 2019, and $354.8 million at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investment advisory fees earned from clients by their underlying asset class.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6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140" w:type="dxa"/>
            <w:vAlign w:val="bottom"/>
            <w:gridSpan w:val="5"/>
            <w:shd w:val="clear" w:color="auto" w:fill="CCEEFF"/>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shd w:val="clear" w:color="auto" w:fill="CCEEFF"/>
          </w:tcPr>
          <w:p>
            <w:pPr>
              <w:spacing w:after="0"/>
              <w:rPr>
                <w:sz w:val="23"/>
                <w:szCs w:val="23"/>
                <w:color w:val="auto"/>
              </w:rPr>
            </w:pPr>
          </w:p>
        </w:tc>
        <w:tc>
          <w:tcPr>
            <w:tcW w:w="2020" w:type="dxa"/>
            <w:vAlign w:val="bottom"/>
            <w:gridSpan w:val="4"/>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Nine months ended</w:t>
            </w:r>
          </w:p>
        </w:tc>
      </w:tr>
      <w:tr>
        <w:trPr>
          <w:trHeight w:val="250"/>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9/30/2019</w:t>
            </w:r>
          </w:p>
        </w:tc>
        <w:tc>
          <w:tcPr>
            <w:tcW w:w="10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9/30/2018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9/30/2019</w:t>
            </w:r>
          </w:p>
        </w:tc>
        <w:tc>
          <w:tcPr>
            <w:tcW w:w="10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9/30/2018</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mutual funds</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5"/>
        </w:trPr>
        <w:tc>
          <w:tcPr>
            <w:tcW w:w="6940" w:type="dxa"/>
            <w:vAlign w:val="bottom"/>
          </w:tcPr>
          <w:p>
            <w:pPr>
              <w:ind w:left="280"/>
              <w:spacing w:after="0"/>
              <w:rPr>
                <w:sz w:val="20"/>
                <w:szCs w:val="20"/>
                <w:color w:val="auto"/>
              </w:rPr>
            </w:pPr>
            <w:r>
              <w:rPr>
                <w:rFonts w:ascii="Arial" w:cs="Arial" w:eastAsia="Arial" w:hAnsi="Arial"/>
                <w:sz w:val="18"/>
                <w:szCs w:val="18"/>
                <w:color w:val="auto"/>
              </w:rPr>
              <w:t>Equity and blended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754.0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745.5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2,185.3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2,169.0</w:t>
            </w:r>
          </w:p>
        </w:tc>
      </w:tr>
      <w:tr>
        <w:trPr>
          <w:trHeight w:val="275"/>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Fixed income, including money market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388.1</w:t>
            </w:r>
          </w:p>
        </w:tc>
      </w:tr>
      <w:tr>
        <w:trPr>
          <w:trHeight w:val="245"/>
        </w:trPr>
        <w:tc>
          <w:tcPr>
            <w:tcW w:w="69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881.0</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877.3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2,557.6</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2,557.1</w:t>
            </w:r>
          </w:p>
        </w:tc>
      </w:tr>
      <w:tr>
        <w:trPr>
          <w:trHeight w:val="268"/>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Subadvised and separate accounts and other investment products</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5"/>
        </w:trPr>
        <w:tc>
          <w:tcPr>
            <w:tcW w:w="6940" w:type="dxa"/>
            <w:vAlign w:val="bottom"/>
          </w:tcPr>
          <w:p>
            <w:pPr>
              <w:ind w:left="280"/>
              <w:spacing w:after="0"/>
              <w:rPr>
                <w:sz w:val="20"/>
                <w:szCs w:val="20"/>
                <w:color w:val="auto"/>
              </w:rPr>
            </w:pPr>
            <w:r>
              <w:rPr>
                <w:rFonts w:ascii="Arial" w:cs="Arial" w:eastAsia="Arial" w:hAnsi="Arial"/>
                <w:sz w:val="18"/>
                <w:szCs w:val="18"/>
                <w:color w:val="auto"/>
              </w:rPr>
              <w:t>Equity and blended assets</w:t>
            </w:r>
          </w:p>
        </w:tc>
        <w:tc>
          <w:tcPr>
            <w:tcW w:w="160" w:type="dxa"/>
            <w:vAlign w:val="bottom"/>
          </w:tcPr>
          <w:p>
            <w:pPr>
              <w:spacing w:after="0"/>
              <w:rPr>
                <w:sz w:val="23"/>
                <w:szCs w:val="23"/>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326.0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1,020.4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931.0</w:t>
            </w:r>
          </w:p>
        </w:tc>
      </w:tr>
      <w:tr>
        <w:trPr>
          <w:trHeight w:val="275"/>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Fixed income, including money market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178.8</w:t>
            </w:r>
          </w:p>
        </w:tc>
      </w:tr>
      <w:tr>
        <w:trPr>
          <w:trHeight w:val="245"/>
        </w:trPr>
        <w:tc>
          <w:tcPr>
            <w:tcW w:w="69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422.4</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386.0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1,210.2</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1,109.8</w:t>
            </w:r>
          </w:p>
        </w:tc>
      </w:tr>
      <w:tr>
        <w:trPr>
          <w:trHeight w:val="255"/>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1,303.4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1,263.3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3,767.8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3,666.9</w:t>
            </w: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5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following table summarizes the assets under management on which we earn investment advisory fees.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140" w:type="dxa"/>
            <w:vAlign w:val="bottom"/>
            <w:gridSpan w:val="5"/>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Average during</w:t>
            </w:r>
          </w:p>
        </w:tc>
        <w:tc>
          <w:tcPr>
            <w:tcW w:w="160" w:type="dxa"/>
            <w:vAlign w:val="bottom"/>
            <w:shd w:val="clear" w:color="auto" w:fill="CCEEFF"/>
          </w:tcPr>
          <w:p>
            <w:pPr>
              <w:spacing w:after="0"/>
              <w:rPr>
                <w:sz w:val="23"/>
                <w:szCs w:val="23"/>
                <w:color w:val="auto"/>
              </w:rPr>
            </w:pPr>
          </w:p>
        </w:tc>
        <w:tc>
          <w:tcPr>
            <w:tcW w:w="2140" w:type="dxa"/>
            <w:vAlign w:val="bottom"/>
            <w:gridSpan w:val="5"/>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Average during</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9"/>
        </w:trPr>
        <w:tc>
          <w:tcPr>
            <w:tcW w:w="4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3"/>
                <w:szCs w:val="23"/>
                <w:color w:val="auto"/>
              </w:rPr>
            </w:pPr>
          </w:p>
        </w:tc>
        <w:tc>
          <w:tcPr>
            <w:tcW w:w="21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23"/>
                <w:szCs w:val="23"/>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900" w:type="dxa"/>
            <w:vAlign w:val="bottom"/>
          </w:tcPr>
          <w:p>
            <w:pPr>
              <w:spacing w:after="0"/>
              <w:rPr>
                <w:sz w:val="23"/>
                <w:szCs w:val="23"/>
                <w:color w:val="auto"/>
              </w:rPr>
            </w:pPr>
          </w:p>
        </w:tc>
      </w:tr>
      <w:tr>
        <w:trPr>
          <w:trHeight w:val="265"/>
        </w:trPr>
        <w:tc>
          <w:tcPr>
            <w:tcW w:w="4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 billions)</w:t>
            </w: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4"/>
                <w:szCs w:val="14"/>
                <w:b w:val="1"/>
                <w:bCs w:val="1"/>
                <w:color w:val="auto"/>
              </w:rPr>
              <w:t>9/30/2019</w:t>
            </w:r>
          </w:p>
        </w:tc>
        <w:tc>
          <w:tcPr>
            <w:tcW w:w="10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8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9/30/2018</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4"/>
                <w:szCs w:val="14"/>
                <w:b w:val="1"/>
                <w:bCs w:val="1"/>
                <w:color w:val="auto"/>
              </w:rPr>
              <w:t>9/30/2019</w:t>
            </w:r>
          </w:p>
        </w:tc>
        <w:tc>
          <w:tcPr>
            <w:tcW w:w="1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9/30/2018</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b w:val="1"/>
                <w:bCs w:val="1"/>
                <w:color w:val="auto"/>
              </w:rPr>
              <w:t>9/30/2019</w:t>
            </w:r>
          </w:p>
        </w:tc>
        <w:tc>
          <w:tcPr>
            <w:tcW w:w="1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9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rPr>
              <w:t>12/31/2018</w:t>
            </w:r>
          </w:p>
        </w:tc>
      </w:tr>
      <w:tr>
        <w:trPr>
          <w:trHeight w:val="259"/>
        </w:trPr>
        <w:tc>
          <w:tcPr>
            <w:tcW w:w="4640" w:type="dxa"/>
            <w:vAlign w:val="bottom"/>
          </w:tcPr>
          <w:p>
            <w:pPr>
              <w:ind w:left="40"/>
              <w:spacing w:after="0"/>
              <w:rPr>
                <w:sz w:val="20"/>
                <w:szCs w:val="20"/>
                <w:color w:val="auto"/>
              </w:rPr>
            </w:pPr>
            <w:r>
              <w:rPr>
                <w:rFonts w:ascii="Arial" w:cs="Arial" w:eastAsia="Arial" w:hAnsi="Arial"/>
                <w:sz w:val="18"/>
                <w:szCs w:val="18"/>
                <w:color w:val="auto"/>
              </w:rPr>
              <w:t>U.S. mutual funds</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5"/>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Equity and blended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441.1</w:t>
            </w:r>
          </w:p>
        </w:tc>
      </w:tr>
      <w:tr>
        <w:trPr>
          <w:trHeight w:val="265"/>
        </w:trPr>
        <w:tc>
          <w:tcPr>
            <w:tcW w:w="46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Fixed income, including money market</w:t>
            </w: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129.9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125.7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128.6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123.4</w:t>
            </w:r>
          </w:p>
        </w:tc>
      </w:tr>
      <w:tr>
        <w:trPr>
          <w:trHeight w:val="255"/>
        </w:trPr>
        <w:tc>
          <w:tcPr>
            <w:tcW w:w="46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650.5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641.5</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633.2</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629.4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642.6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564.5</w:t>
            </w:r>
          </w:p>
        </w:tc>
      </w:tr>
      <w:tr>
        <w:trPr>
          <w:trHeight w:val="187"/>
        </w:trPr>
        <w:tc>
          <w:tcPr>
            <w:tcW w:w="4640" w:type="dxa"/>
            <w:vAlign w:val="bottom"/>
          </w:tcPr>
          <w:p>
            <w:pPr>
              <w:ind w:left="40"/>
              <w:spacing w:after="0" w:line="187" w:lineRule="exact"/>
              <w:rPr>
                <w:sz w:val="20"/>
                <w:szCs w:val="20"/>
                <w:color w:val="auto"/>
              </w:rPr>
            </w:pPr>
            <w:r>
              <w:rPr>
                <w:rFonts w:ascii="Arial" w:cs="Arial" w:eastAsia="Arial" w:hAnsi="Arial"/>
                <w:sz w:val="18"/>
                <w:szCs w:val="18"/>
                <w:color w:val="auto"/>
              </w:rPr>
              <w:t>Subadvised and separate accounts and other investment</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8"/>
        </w:trPr>
        <w:tc>
          <w:tcPr>
            <w:tcW w:w="4640" w:type="dxa"/>
            <w:vAlign w:val="bottom"/>
          </w:tcPr>
          <w:p>
            <w:pPr>
              <w:ind w:left="40"/>
              <w:spacing w:after="0"/>
              <w:rPr>
                <w:sz w:val="20"/>
                <w:szCs w:val="20"/>
                <w:color w:val="auto"/>
              </w:rPr>
            </w:pPr>
            <w:r>
              <w:rPr>
                <w:rFonts w:ascii="Arial" w:cs="Arial" w:eastAsia="Arial" w:hAnsi="Arial"/>
                <w:sz w:val="18"/>
                <w:szCs w:val="18"/>
                <w:color w:val="auto"/>
              </w:rPr>
              <w:t>products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5"/>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Equity and blended assets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299.2</w:t>
            </w:r>
          </w:p>
        </w:tc>
      </w:tr>
      <w:tr>
        <w:trPr>
          <w:trHeight w:val="265"/>
        </w:trPr>
        <w:tc>
          <w:tcPr>
            <w:tcW w:w="46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Fixed income, including money market</w:t>
            </w: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98.6</w:t>
            </w:r>
          </w:p>
        </w:tc>
      </w:tr>
      <w:tr>
        <w:trPr>
          <w:trHeight w:val="250"/>
        </w:trPr>
        <w:tc>
          <w:tcPr>
            <w:tcW w:w="46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479.7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430.9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458.3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415.6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483.7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397.8</w:t>
            </w:r>
          </w:p>
        </w:tc>
      </w:tr>
      <w:tr>
        <w:trPr>
          <w:trHeight w:val="255"/>
        </w:trPr>
        <w:tc>
          <w:tcPr>
            <w:tcW w:w="464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1,130.2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1,072.4</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1,091.5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1,045.0</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1,126.3</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962.3</w:t>
            </w:r>
          </w:p>
        </w:tc>
      </w:tr>
      <w:tr>
        <w:trPr>
          <w:trHeight w:val="20"/>
        </w:trPr>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520"/>
        <w:spacing w:after="0" w:line="292"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6.5% and 6.2% of our assets under management at September 30, 2019, and December 31, 2018,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our investments that are not part of the consolidated T. Rowe Price investment products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9/30/2019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12/31/2018</w:t>
            </w:r>
          </w:p>
        </w:tc>
      </w:tr>
      <w:tr>
        <w:trPr>
          <w:trHeight w:val="259"/>
        </w:trPr>
        <w:tc>
          <w:tcPr>
            <w:tcW w:w="8340" w:type="dxa"/>
            <w:vAlign w:val="bottom"/>
          </w:tcPr>
          <w:p>
            <w:pPr>
              <w:ind w:left="40"/>
              <w:spacing w:after="0"/>
              <w:rPr>
                <w:sz w:val="20"/>
                <w:szCs w:val="20"/>
                <w:color w:val="auto"/>
              </w:rPr>
            </w:pPr>
            <w:r>
              <w:rPr>
                <w:rFonts w:ascii="Arial" w:cs="Arial" w:eastAsia="Arial" w:hAnsi="Arial"/>
                <w:sz w:val="18"/>
                <w:szCs w:val="18"/>
                <w:color w:val="auto"/>
              </w:rPr>
              <w:t>Investments held at fair value</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5"/>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 Rowe Price investment products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1,568.0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1,538.4</w:t>
            </w:r>
          </w:p>
        </w:tc>
      </w:tr>
      <w:tr>
        <w:trPr>
          <w:trHeight w:val="207"/>
        </w:trPr>
        <w:tc>
          <w:tcPr>
            <w:tcW w:w="8340" w:type="dxa"/>
            <w:vAlign w:val="bottom"/>
          </w:tcPr>
          <w:p>
            <w:pPr>
              <w:ind w:left="180"/>
              <w:spacing w:after="0"/>
              <w:rPr>
                <w:sz w:val="20"/>
                <w:szCs w:val="20"/>
                <w:color w:val="auto"/>
              </w:rPr>
            </w:pPr>
            <w:r>
              <w:rPr>
                <w:rFonts w:ascii="Arial" w:cs="Arial" w:eastAsia="Arial" w:hAnsi="Arial"/>
                <w:sz w:val="18"/>
                <w:szCs w:val="18"/>
                <w:color w:val="auto"/>
              </w:rPr>
              <w:t>T. Rowe Price investment products designated as an economic hedge of supplemental savings plan</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8"/>
        </w:trPr>
        <w:tc>
          <w:tcPr>
            <w:tcW w:w="8340" w:type="dxa"/>
            <w:vAlign w:val="bottom"/>
          </w:tcPr>
          <w:p>
            <w:pPr>
              <w:ind w:left="180"/>
              <w:spacing w:after="0"/>
              <w:rPr>
                <w:sz w:val="20"/>
                <w:szCs w:val="20"/>
                <w:color w:val="auto"/>
              </w:rPr>
            </w:pPr>
            <w:r>
              <w:rPr>
                <w:rFonts w:ascii="Arial" w:cs="Arial" w:eastAsia="Arial" w:hAnsi="Arial"/>
                <w:sz w:val="18"/>
                <w:szCs w:val="18"/>
                <w:color w:val="auto"/>
              </w:rPr>
              <w:t>liability</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443.0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381.3</w:t>
            </w:r>
          </w:p>
        </w:tc>
      </w:tr>
      <w:tr>
        <w:trPr>
          <w:trHeight w:val="275"/>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partnerships and other investments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99.6</w:t>
            </w:r>
          </w:p>
        </w:tc>
      </w:tr>
      <w:tr>
        <w:trPr>
          <w:trHeight w:val="265"/>
        </w:trPr>
        <w:tc>
          <w:tcPr>
            <w:tcW w:w="8340" w:type="dxa"/>
            <w:vAlign w:val="bottom"/>
          </w:tcPr>
          <w:p>
            <w:pPr>
              <w:ind w:left="40"/>
              <w:spacing w:after="0"/>
              <w:rPr>
                <w:sz w:val="20"/>
                <w:szCs w:val="20"/>
                <w:color w:val="auto"/>
              </w:rPr>
            </w:pPr>
            <w:r>
              <w:rPr>
                <w:rFonts w:ascii="Arial" w:cs="Arial" w:eastAsia="Arial" w:hAnsi="Arial"/>
                <w:sz w:val="18"/>
                <w:szCs w:val="18"/>
                <w:color w:val="auto"/>
              </w:rPr>
              <w:t>Equity method investments</w:t>
            </w: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5"/>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 Rowe Price investment products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320.7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276.2</w:t>
            </w:r>
          </w:p>
        </w:tc>
      </w:tr>
      <w:tr>
        <w:trPr>
          <w:trHeight w:val="265"/>
        </w:trPr>
        <w:tc>
          <w:tcPr>
            <w:tcW w:w="8340" w:type="dxa"/>
            <w:vAlign w:val="bottom"/>
          </w:tcPr>
          <w:p>
            <w:pPr>
              <w:ind w:left="180"/>
              <w:spacing w:after="0"/>
              <w:rPr>
                <w:sz w:val="20"/>
                <w:szCs w:val="20"/>
                <w:color w:val="auto"/>
              </w:rPr>
            </w:pPr>
            <w:r>
              <w:rPr>
                <w:rFonts w:ascii="Arial" w:cs="Arial" w:eastAsia="Arial" w:hAnsi="Arial"/>
                <w:sz w:val="18"/>
                <w:szCs w:val="18"/>
                <w:color w:val="auto"/>
              </w:rPr>
              <w:t>26% interest in UTI Asset Management Company Limited (India)</w:t>
            </w:r>
          </w:p>
        </w:tc>
        <w:tc>
          <w:tcPr>
            <w:tcW w:w="2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152.4</w:t>
            </w:r>
          </w:p>
        </w:tc>
      </w:tr>
      <w:tr>
        <w:trPr>
          <w:trHeight w:val="275"/>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partnerships and other investments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r>
      <w:tr>
        <w:trPr>
          <w:trHeight w:val="265"/>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U.S. Treasury note</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2,605.9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2,453.4</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investment partnerships are carried at fair value using net asset value (“NAV”) per share as a practical expedient. Our interests in these partnerships are generally not redeemable and are subject to significant restrictions on transferability.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three- and nine-months ended September 30, 2019, net gains on investments included $ 4.8 million and $84.2 million of net unrealized gains related to investments held at fair value that were still held at September 30, 2019. For the three- and nine-months ended September 30, 2018, the net gains on investments included $11.3 million and $17.4 million, respectively, of net unrealized gains on investments held at fair value that were still held at September 30, 2018.</w:t>
      </w:r>
    </w:p>
    <w:p>
      <w:pPr>
        <w:spacing w:after="0" w:line="170"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During the nine months ended September 30, 2019 and 2018, certain T. Rowe Price investment products in which we provided initial seed capital at the time of formation were deconsolidated, as we no longer had a controlling interest. Depending on our ownership interest, we are now reporting our residual interests in these T. Rowe Price investment products as either an equity method investment or an investment held at fair value. Additionally, during the nine months ended September 30, 2019 and 2018, certain T. Rowe Price investment products that were being accounted for as equity method investments were consolidated, as we regained a controlling interest. The net</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11</w:t>
      </w:r>
    </w:p>
    <w:p>
      <w:pPr>
        <w:sectPr>
          <w:pgSz w:w="11900" w:h="16838" w:orient="portrait"/>
          <w:cols w:equalWidth="0" w:num="1">
            <w:col w:w="11420"/>
          </w:cols>
          <w:pgMar w:left="240" w:top="576" w:right="239" w:bottom="1440" w:gutter="0" w:footer="0" w:header="0"/>
          <w:type w:val="continuous"/>
        </w:sectPr>
      </w:pPr>
    </w:p>
    <w:bookmarkStart w:id="11" w:name="page12"/>
    <w:bookmarkEnd w:id="11"/>
    <w:p>
      <w:pPr>
        <w:ind w:right="380"/>
        <w:spacing w:after="0" w:line="292" w:lineRule="auto"/>
        <w:rPr>
          <w:sz w:val="20"/>
          <w:szCs w:val="20"/>
          <w:color w:val="auto"/>
        </w:rPr>
      </w:pPr>
      <w:r>
        <w:rPr>
          <w:rFonts w:ascii="Arial" w:cs="Arial" w:eastAsia="Arial" w:hAnsi="Arial"/>
          <w:sz w:val="18"/>
          <w:szCs w:val="18"/>
          <w:color w:val="auto"/>
        </w:rPr>
        <w:t>impact of these changes on our unaudited condensed consolidated balance sheets and statements of income as of the dates the portfolios were deconsolidated or reconsolidated is detailed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gridSpan w:val="5"/>
            <w:shd w:val="clear" w:color="auto" w:fill="CCEEFF"/>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CCEEFF"/>
            </w:tcBorders>
            <w:shd w:val="clear" w:color="auto" w:fill="CCEEFF"/>
          </w:tcPr>
          <w:p>
            <w:pPr>
              <w:spacing w:after="0"/>
              <w:rPr>
                <w:sz w:val="23"/>
                <w:szCs w:val="23"/>
                <w:color w:val="auto"/>
              </w:rPr>
            </w:pPr>
          </w:p>
        </w:tc>
        <w:tc>
          <w:tcPr>
            <w:tcW w:w="2420" w:type="dxa"/>
            <w:vAlign w:val="bottom"/>
            <w:tcBorders>
              <w:bottom w:val="single" w:sz="8" w:color="CCEEFF"/>
            </w:tcBorders>
            <w:gridSpan w:val="4"/>
            <w:shd w:val="clear" w:color="auto" w:fill="CCEEFF"/>
          </w:tcPr>
          <w:p>
            <w:pPr>
              <w:jc w:val="right"/>
              <w:ind w:right="554"/>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9/30/2019</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9/30/2018</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9/30/2019</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9/30/2018</w:t>
            </w:r>
          </w:p>
        </w:tc>
      </w:tr>
      <w:tr>
        <w:trPr>
          <w:trHeight w:val="188"/>
        </w:trPr>
        <w:tc>
          <w:tcPr>
            <w:tcW w:w="6020" w:type="dxa"/>
            <w:vAlign w:val="bottom"/>
            <w:shd w:val="clear" w:color="auto" w:fill="CCEEFF"/>
          </w:tcPr>
          <w:p>
            <w:pPr>
              <w:ind w:left="40"/>
              <w:spacing w:after="0" w:line="188" w:lineRule="exact"/>
              <w:rPr>
                <w:sz w:val="20"/>
                <w:szCs w:val="20"/>
                <w:color w:val="auto"/>
              </w:rPr>
            </w:pPr>
            <w:r>
              <w:rPr>
                <w:rFonts w:ascii="Arial" w:cs="Arial" w:eastAsia="Arial" w:hAnsi="Arial"/>
                <w:sz w:val="18"/>
                <w:szCs w:val="18"/>
                <w:color w:val="auto"/>
              </w:rPr>
              <w:t>Net increase (decrease) in assets of consolidated T. Rowe Price</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52"/>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products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w:t>
            </w:r>
          </w:p>
        </w:tc>
      </w:tr>
      <w:tr>
        <w:trPr>
          <w:trHeight w:val="207"/>
        </w:trPr>
        <w:tc>
          <w:tcPr>
            <w:tcW w:w="6020" w:type="dxa"/>
            <w:vAlign w:val="bottom"/>
          </w:tcPr>
          <w:p>
            <w:pPr>
              <w:ind w:left="40"/>
              <w:spacing w:after="0"/>
              <w:rPr>
                <w:sz w:val="20"/>
                <w:szCs w:val="20"/>
                <w:color w:val="auto"/>
              </w:rPr>
            </w:pPr>
            <w:r>
              <w:rPr>
                <w:rFonts w:ascii="Arial" w:cs="Arial" w:eastAsia="Arial" w:hAnsi="Arial"/>
                <w:sz w:val="18"/>
                <w:szCs w:val="18"/>
                <w:color w:val="auto"/>
              </w:rPr>
              <w:t>Net increase (decrease) in liabilities of consolidated</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8"/>
        </w:trPr>
        <w:tc>
          <w:tcPr>
            <w:tcW w:w="6020" w:type="dxa"/>
            <w:vAlign w:val="bottom"/>
          </w:tcPr>
          <w:p>
            <w:pPr>
              <w:ind w:left="40"/>
              <w:spacing w:after="0"/>
              <w:rPr>
                <w:sz w:val="20"/>
                <w:szCs w:val="20"/>
                <w:color w:val="auto"/>
              </w:rPr>
            </w:pPr>
            <w:r>
              <w:rPr>
                <w:rFonts w:ascii="Arial" w:cs="Arial" w:eastAsia="Arial" w:hAnsi="Arial"/>
                <w:sz w:val="18"/>
                <w:szCs w:val="18"/>
                <w:color w:val="auto"/>
              </w:rPr>
              <w:t>T. Rowe Price investment products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17.9</w:t>
            </w: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redeemable non-controlling interests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r>
      <w:tr>
        <w:trPr>
          <w:trHeight w:val="284"/>
        </w:trPr>
        <w:tc>
          <w:tcPr>
            <w:tcW w:w="6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Gains (losses) recognized upon deconsolidation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r>
    </w:tbl>
    <w:p>
      <w:pPr>
        <w:spacing w:after="0" w:line="19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gains or losses recognized upon deconsolidation were the result of reclassifying currency translation adjustments accumulated on certain T. Rowe Price investment products with non-USD functional currencies from accumulated other comprehensive income to non-operating income.</w:t>
      </w:r>
    </w:p>
    <w:p>
      <w:pPr>
        <w:spacing w:after="0" w:line="163" w:lineRule="exact"/>
        <w:rPr>
          <w:sz w:val="20"/>
          <w:szCs w:val="20"/>
          <w:color w:val="auto"/>
        </w:rPr>
      </w:pPr>
    </w:p>
    <w:p>
      <w:pPr>
        <w:jc w:val="both"/>
        <w:ind w:right="500"/>
        <w:spacing w:after="0" w:line="271" w:lineRule="auto"/>
        <w:rPr>
          <w:sz w:val="20"/>
          <w:szCs w:val="20"/>
          <w:color w:val="auto"/>
        </w:rPr>
      </w:pPr>
      <w:r>
        <w:rPr>
          <w:rFonts w:ascii="Arial" w:cs="Arial" w:eastAsia="Arial" w:hAnsi="Arial"/>
          <w:sz w:val="18"/>
          <w:szCs w:val="18"/>
          <w:color w:val="auto"/>
        </w:rPr>
        <w:t>During the third quarter of 2018, we sold our 10% holding in Daiwa SB Investments Ltd. The realized gain was recognized in net gains on investments on our unaudited condensed consolidated statement of income and represents the majority of the reason why non-operating income is lower for the three- and nine-month periods ended September 30, 2019, than the corresponding periods in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227"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Our investments at September 30, 2019 and December 31, 2018, include interests in variable interest entities that we do not consolidate as we are not deemed the primary beneficiary. Our maximum risk of loss related to our involvement with these entities is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4"/>
                <w:szCs w:val="14"/>
                <w:b w:val="1"/>
                <w:bCs w:val="1"/>
                <w:color w:val="auto"/>
              </w:rPr>
              <w:t>9/30/2019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4"/>
                <w:szCs w:val="14"/>
                <w:b w:val="1"/>
                <w:bCs w:val="1"/>
                <w:color w:val="auto"/>
              </w:rPr>
              <w:t>12/31/2018</w:t>
            </w:r>
          </w:p>
        </w:tc>
      </w:tr>
      <w:tr>
        <w:trPr>
          <w:trHeight w:val="245"/>
        </w:trPr>
        <w:tc>
          <w:tcPr>
            <w:tcW w:w="8780" w:type="dxa"/>
            <w:vAlign w:val="bottom"/>
          </w:tcPr>
          <w:p>
            <w:pPr>
              <w:ind w:left="40"/>
              <w:spacing w:after="0"/>
              <w:rPr>
                <w:sz w:val="20"/>
                <w:szCs w:val="20"/>
                <w:color w:val="auto"/>
              </w:rPr>
            </w:pPr>
            <w:r>
              <w:rPr>
                <w:rFonts w:ascii="Arial" w:cs="Arial" w:eastAsia="Arial" w:hAnsi="Arial"/>
                <w:sz w:val="18"/>
                <w:szCs w:val="18"/>
                <w:color w:val="auto"/>
              </w:rPr>
              <w:t>Investment carrying values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137.7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143.3</w:t>
            </w:r>
          </w:p>
        </w:tc>
      </w:tr>
      <w:tr>
        <w:trPr>
          <w:trHeight w:val="275"/>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Unfunded capital commitments</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27.3</w:t>
            </w:r>
          </w:p>
        </w:tc>
      </w:tr>
      <w:tr>
        <w:trPr>
          <w:trHeight w:val="265"/>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Uncollected investment advisory and administrative fees</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5.2</w:t>
            </w:r>
          </w:p>
        </w:tc>
      </w:tr>
      <w:tr>
        <w:trPr>
          <w:trHeight w:val="250"/>
        </w:trPr>
        <w:tc>
          <w:tcPr>
            <w:tcW w:w="8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175.8</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unfunded capital commitments totaling $19.3 million and $27.3 million at September 30, 2019 and December 31, 2018, respectively, relate primarily to the investment partnerships in which we have an existing investment. In addition to such amounts, a percentage of prior distributions may be called under certain circumstances.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7"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We determine the fair value of our cash equivalents and certain investments using the following broad levels of inputs as defined by related accounting standards: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31" w:lineRule="exact"/>
        <w:rPr>
          <w:sz w:val="20"/>
          <w:szCs w:val="20"/>
          <w:color w:val="auto"/>
        </w:rPr>
      </w:pPr>
    </w:p>
    <w:p>
      <w:pPr>
        <w:ind w:left="740" w:right="240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obtained from independent sources.</w:t>
      </w:r>
    </w:p>
    <w:p>
      <w:pPr>
        <w:spacing w:after="0" w:line="9" w:lineRule="exact"/>
        <w:rPr>
          <w:sz w:val="20"/>
          <w:szCs w:val="20"/>
          <w:color w:val="auto"/>
        </w:rPr>
      </w:pPr>
    </w:p>
    <w:p>
      <w:pPr>
        <w:ind w:left="1460" w:right="2380" w:hanging="1458"/>
        <w:spacing w:after="0" w:line="266"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11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that are recognized in our unaudited condensed consolidated balance sheets using fair value measurements determined based on the differing levels of inputs. This table excludes investments held by the consolidated T. Rowe Price investment products which are presented separately on our unaudited condensed consolidated balance sheets and are detailed in Note 5.</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576" w:right="239" w:bottom="1440" w:gutter="0" w:footer="0" w:header="0"/>
        </w:sectPr>
      </w:pPr>
    </w:p>
    <w:bookmarkStart w:id="12" w:name="page13"/>
    <w:bookmarkEnd w:id="12"/>
    <w:tbl>
      <w:tblPr>
        <w:tblLayout w:type="fixed"/>
        <w:tblInd w:w="180" w:type="dxa"/>
        <w:tblCellMar>
          <w:top w:w="0" w:type="dxa"/>
          <w:left w:w="0" w:type="dxa"/>
          <w:bottom w:w="0" w:type="dxa"/>
          <w:right w:w="0" w:type="dxa"/>
        </w:tblCellMar>
      </w:tblPr>
      <w:tr>
        <w:trPr>
          <w:trHeight w:val="269"/>
        </w:trPr>
        <w:tc>
          <w:tcPr>
            <w:tcW w:w="63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9/30/2019</w:t>
            </w:r>
          </w:p>
        </w:tc>
        <w:tc>
          <w:tcPr>
            <w:tcW w:w="8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12/31/2018</w:t>
            </w:r>
          </w:p>
        </w:tc>
        <w:tc>
          <w:tcPr>
            <w:tcW w:w="820" w:type="dxa"/>
            <w:vAlign w:val="bottom"/>
            <w:tcBorders>
              <w:bottom w:val="single" w:sz="8" w:color="auto"/>
            </w:tcBorders>
            <w:shd w:val="clear" w:color="auto" w:fill="CCEEFF"/>
          </w:tcPr>
          <w:p>
            <w:pPr>
              <w:spacing w:after="0"/>
              <w:rPr>
                <w:sz w:val="23"/>
                <w:szCs w:val="23"/>
                <w:color w:val="auto"/>
              </w:rPr>
            </w:pPr>
          </w:p>
        </w:tc>
      </w:tr>
      <w:tr>
        <w:trPr>
          <w:trHeight w:val="26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Level 2</w:t>
            </w:r>
          </w:p>
        </w:tc>
      </w:tr>
      <w:tr>
        <w:trPr>
          <w:trHeight w:val="251"/>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 held in T. Rowe Price money market funds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1,921.2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1,196.0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5"/>
        </w:trPr>
        <w:tc>
          <w:tcPr>
            <w:tcW w:w="6380" w:type="dxa"/>
            <w:vAlign w:val="bottom"/>
          </w:tcPr>
          <w:p>
            <w:pPr>
              <w:ind w:left="20"/>
              <w:spacing w:after="0"/>
              <w:rPr>
                <w:sz w:val="20"/>
                <w:szCs w:val="20"/>
                <w:color w:val="auto"/>
              </w:rPr>
            </w:pPr>
            <w:r>
              <w:rPr>
                <w:rFonts w:ascii="Arial" w:cs="Arial" w:eastAsia="Arial" w:hAnsi="Arial"/>
                <w:sz w:val="18"/>
                <w:szCs w:val="18"/>
                <w:color w:val="auto"/>
              </w:rPr>
              <w:t>T. Rowe Price investment products</w:t>
            </w:r>
          </w:p>
        </w:tc>
        <w:tc>
          <w:tcPr>
            <w:tcW w:w="220" w:type="dxa"/>
            <w:vAlign w:val="bottom"/>
          </w:tcPr>
          <w:p>
            <w:pPr>
              <w:spacing w:after="0"/>
              <w:rPr>
                <w:sz w:val="23"/>
                <w:szCs w:val="23"/>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1,560.1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1,519.2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19.2</w:t>
            </w:r>
          </w:p>
        </w:tc>
      </w:tr>
      <w:tr>
        <w:trPr>
          <w:trHeight w:val="211"/>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 Rowe Price investment products designated as economic hedge of</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48"/>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savings plan liability</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443.0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381.3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5"/>
        </w:trPr>
        <w:tc>
          <w:tcPr>
            <w:tcW w:w="63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3,924.3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3,096.5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19.2</w:t>
            </w:r>
          </w:p>
        </w:tc>
      </w:tr>
      <w:tr>
        <w:trPr>
          <w:trHeight w:val="20"/>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As required by the accounting guidance, the fair value hierarchy levels table above does not include the investment partnerships and other investments that are held at fair value using their NAV per share as a practical expedient. The carrying value of these investments as disclosed in Note 3 were $103.2 million at September 30, 2019 and $99.6 million at December 31,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CONSOLIDATED T. ROWE PRICE INVESTMENT PRODUCTS.</w:t>
      </w:r>
    </w:p>
    <w:p>
      <w:pPr>
        <w:spacing w:after="0" w:line="22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T. Rowe Price investment products that we consolidate in our unaudited condensed consolidated financial statements are generally those products we provided initial seed capital at the time of their formation and have a controlling interest. Our U.S. mutual funds are considered voting interest entities, while those regulated outside the U.S. are considered variable interest entities.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T. Rowe Price investment products: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46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9/30/2019</w:t>
            </w: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ind w:right="16"/>
              <w:spacing w:after="0"/>
              <w:rPr>
                <w:sz w:val="20"/>
                <w:szCs w:val="20"/>
                <w:color w:val="auto"/>
              </w:rPr>
            </w:pPr>
            <w:r>
              <w:rPr>
                <w:rFonts w:ascii="Arial" w:cs="Arial" w:eastAsia="Arial" w:hAnsi="Arial"/>
                <w:sz w:val="14"/>
                <w:szCs w:val="14"/>
                <w:b w:val="1"/>
                <w:bCs w:val="1"/>
                <w:color w:val="auto"/>
              </w:rPr>
              <w:t>12/31/2018</w:t>
            </w: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r>
      <w:tr>
        <w:trPr>
          <w:trHeight w:val="168"/>
        </w:trPr>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Voting</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3"/>
        </w:trPr>
        <w:tc>
          <w:tcPr>
            <w:tcW w:w="46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entities</w:t>
            </w:r>
          </w:p>
        </w:tc>
        <w:tc>
          <w:tcPr>
            <w:tcW w:w="240" w:type="dxa"/>
            <w:vAlign w:val="bottom"/>
          </w:tcPr>
          <w:p>
            <w:pPr>
              <w:spacing w:after="0"/>
              <w:rPr>
                <w:sz w:val="17"/>
                <w:szCs w:val="17"/>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r>
      <w:tr>
        <w:trPr>
          <w:trHeight w:val="251"/>
        </w:trPr>
        <w:tc>
          <w:tcPr>
            <w:tcW w:w="4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21"/>
                <w:szCs w:val="21"/>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69.4</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80.9</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51.6</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70.1</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Investments</w:t>
            </w:r>
            <w:r>
              <w:rPr>
                <w:rFonts w:ascii="Arial" w:cs="Arial" w:eastAsia="Arial" w:hAnsi="Arial"/>
                <w:sz w:val="21"/>
                <w:szCs w:val="21"/>
                <w:color w:val="auto"/>
                <w:vertAlign w:val="superscript"/>
              </w:rPr>
              <w:t>(2)</w:t>
            </w:r>
          </w:p>
        </w:tc>
        <w:tc>
          <w:tcPr>
            <w:tcW w:w="200" w:type="dxa"/>
            <w:vAlign w:val="bottom"/>
          </w:tcPr>
          <w:p>
            <w:pPr>
              <w:spacing w:after="0"/>
              <w:rPr>
                <w:sz w:val="23"/>
                <w:szCs w:val="23"/>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246.1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1,883.8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2,129.9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1,322.7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1,584.0</w:t>
            </w: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r>
      <w:tr>
        <w:trPr>
          <w:trHeight w:val="245"/>
        </w:trPr>
        <w:tc>
          <w:tcPr>
            <w:tcW w:w="46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263.7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1,983.7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2,247.4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287.8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1,392.6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1,680.4</w:t>
            </w: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38.7</w:t>
            </w:r>
          </w:p>
        </w:tc>
      </w:tr>
      <w:tr>
        <w:trPr>
          <w:trHeight w:val="295"/>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253.1</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1,913.9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2,167.0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271.8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1,369.9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1,641.7</w:t>
            </w:r>
          </w:p>
        </w:tc>
      </w:tr>
      <w:tr>
        <w:trPr>
          <w:trHeight w:val="305"/>
        </w:trPr>
        <w:tc>
          <w:tcPr>
            <w:tcW w:w="4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5"/>
        </w:trPr>
        <w:tc>
          <w:tcPr>
            <w:tcW w:w="4620" w:type="dxa"/>
            <w:vAlign w:val="bottom"/>
          </w:tcPr>
          <w:p>
            <w:pPr>
              <w:ind w:left="40"/>
              <w:spacing w:after="0"/>
              <w:rPr>
                <w:sz w:val="20"/>
                <w:szCs w:val="20"/>
                <w:color w:val="auto"/>
              </w:rPr>
            </w:pPr>
            <w:r>
              <w:rPr>
                <w:rFonts w:ascii="Arial" w:cs="Arial" w:eastAsia="Arial" w:hAnsi="Arial"/>
                <w:sz w:val="18"/>
                <w:szCs w:val="18"/>
                <w:color w:val="auto"/>
              </w:rPr>
              <w:t>Attributable to T. Rowe Price Group</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178.3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885.8</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1,064.1</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726.1</w:t>
            </w:r>
          </w:p>
        </w:tc>
        <w:tc>
          <w:tcPr>
            <w:tcW w:w="10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901.4</w:t>
            </w: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Attributable to redeemable non-controlling interests</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1,028.1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1,102.9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643.8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740.3</w:t>
            </w:r>
          </w:p>
        </w:tc>
      </w:tr>
      <w:tr>
        <w:trPr>
          <w:trHeight w:val="250"/>
        </w:trPr>
        <w:tc>
          <w:tcPr>
            <w:tcW w:w="46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253.1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1,913.9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2,167.0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1,369.9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1,641.7</w:t>
            </w:r>
          </w:p>
        </w:tc>
      </w:tr>
      <w:tr>
        <w:trPr>
          <w:trHeight w:val="20"/>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Cash and cash equivalents includes $10.2 million and $18.5 million at September 30, 2019 and December 31, 2018, respectively, of T. Rowe Price money market mutual funds.</w:t>
      </w:r>
    </w:p>
    <w:p>
      <w:pPr>
        <w:ind w:left="140" w:hanging="132"/>
        <w:spacing w:after="0" w:line="229" w:lineRule="auto"/>
        <w:tabs>
          <w:tab w:leader="none" w:pos="140" w:val="left"/>
        </w:tabs>
        <w:numPr>
          <w:ilvl w:val="0"/>
          <w:numId w:val="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Investments includes $38.2 million and $43.8 million at September 30, 2019 and December 31, 2018, respectively, of T. Rowe Price investment products.</w:t>
      </w:r>
    </w:p>
    <w:p>
      <w:pPr>
        <w:spacing w:after="0" w:line="175"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Although we can redeem our net interest in these consolidated T. Rowe Price investment products at any time, we cannot directly access or sell the assets held by these products to obtain cash for general operations. Additionally, the assets of these investment products are not available to our general creditors.</w:t>
      </w:r>
    </w:p>
    <w:p>
      <w:pPr>
        <w:spacing w:after="0" w:line="16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Since third party investors in these investment products have no recourse to our credit, our overall risk related to the net assets of consolidated T. Rowe Price investment products is limited to valuation changes associated with our net interest. We, however, are required to recognize the valuation changes associated with all underlying investments held by these products in our unaudited condensed consolidated statements of income and disclose the portion attributable to third party investors as net income attributable to redeemable non-controlling interests.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734" w:right="239" w:bottom="1440" w:gutter="0" w:footer="0" w:header="0"/>
        </w:sectPr>
      </w:pPr>
    </w:p>
    <w:bookmarkStart w:id="13" w:name="page14"/>
    <w:bookmarkEnd w:id="13"/>
    <w:p>
      <w:pPr>
        <w:ind w:right="280"/>
        <w:spacing w:after="0" w:line="292" w:lineRule="auto"/>
        <w:rPr>
          <w:sz w:val="20"/>
          <w:szCs w:val="20"/>
          <w:color w:val="auto"/>
        </w:rPr>
      </w:pPr>
      <w:r>
        <w:rPr>
          <w:rFonts w:ascii="Arial" w:cs="Arial" w:eastAsia="Arial" w:hAnsi="Arial"/>
          <w:sz w:val="18"/>
          <w:szCs w:val="18"/>
          <w:color w:val="auto"/>
        </w:rPr>
        <w:t>The operating results of the consolidated T. Rowe Price investment products for the three- and nine-months ended September 30, 2019 and 2018 are reflected in our unaudited condensed consolidated statements of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54610</wp:posOffset>
            </wp:positionV>
            <wp:extent cx="723773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132"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27305</wp:posOffset>
            </wp:positionV>
            <wp:extent cx="4305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6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9/30/2019</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9/30/2018</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68"/>
        </w:trPr>
        <w:tc>
          <w:tcPr>
            <w:tcW w:w="4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Voting</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Variable</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2"/>
        </w:trPr>
        <w:tc>
          <w:tcPr>
            <w:tcW w:w="4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interest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204"/>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45"/>
        </w:trPr>
        <w:tc>
          <w:tcPr>
            <w:tcW w:w="4620" w:type="dxa"/>
            <w:vAlign w:val="bottom"/>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 reflected in non-operating income</w:t>
            </w: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8.7</w:t>
            </w:r>
          </w:p>
        </w:tc>
      </w:tr>
      <w:tr>
        <w:trPr>
          <w:trHeight w:val="295"/>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on income before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w:t>
            </w:r>
          </w:p>
        </w:tc>
      </w:tr>
      <w:tr>
        <w:trPr>
          <w:trHeight w:val="305"/>
        </w:trPr>
        <w:tc>
          <w:tcPr>
            <w:tcW w:w="4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5"/>
        </w:trPr>
        <w:tc>
          <w:tcPr>
            <w:tcW w:w="4620" w:type="dxa"/>
            <w:vAlign w:val="bottom"/>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6.5</w:t>
            </w:r>
          </w:p>
        </w:tc>
      </w:tr>
      <w:tr>
        <w:trPr>
          <w:trHeight w:val="21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redeemable non-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8"/>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46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5.1</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634"/>
        </w:trPr>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46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gridSpan w:val="5"/>
            <w:shd w:val="clear" w:color="auto" w:fill="CCEEFF"/>
          </w:tcPr>
          <w:p>
            <w:pPr>
              <w:ind w:left="2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r>
      <w:tr>
        <w:trPr>
          <w:trHeight w:val="263"/>
        </w:trPr>
        <w:tc>
          <w:tcPr>
            <w:tcW w:w="46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9/30/2019</w:t>
            </w: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9/30/2018</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r>
      <w:tr>
        <w:trPr>
          <w:trHeight w:val="168"/>
        </w:trPr>
        <w:tc>
          <w:tcPr>
            <w:tcW w:w="4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Voting</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Variable</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2"/>
        </w:trPr>
        <w:tc>
          <w:tcPr>
            <w:tcW w:w="4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interest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204"/>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45"/>
        </w:trPr>
        <w:tc>
          <w:tcPr>
            <w:tcW w:w="4620" w:type="dxa"/>
            <w:vAlign w:val="bottom"/>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7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 reflected in non-operating income</w:t>
            </w: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155.4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28.6</w:t>
            </w:r>
          </w:p>
        </w:tc>
      </w:tr>
      <w:tr>
        <w:trPr>
          <w:trHeight w:val="295"/>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on income before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146.4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19.4</w:t>
            </w:r>
          </w:p>
        </w:tc>
      </w:tr>
      <w:tr>
        <w:trPr>
          <w:trHeight w:val="359"/>
        </w:trPr>
        <w:tc>
          <w:tcPr>
            <w:tcW w:w="4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5"/>
        </w:trPr>
        <w:tc>
          <w:tcPr>
            <w:tcW w:w="4620" w:type="dxa"/>
            <w:vAlign w:val="bottom"/>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8.3</w:t>
            </w:r>
          </w:p>
        </w:tc>
      </w:tr>
      <w:tr>
        <w:trPr>
          <w:trHeight w:val="21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redeemable non-controlling</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8"/>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11.1</w:t>
            </w:r>
          </w:p>
        </w:tc>
      </w:tr>
      <w:tr>
        <w:trPr>
          <w:trHeight w:val="250"/>
        </w:trPr>
        <w:tc>
          <w:tcPr>
            <w:tcW w:w="46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146.4</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19.4</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The operating expenses of the consolidated investment products are reflected in other operating expenses. In preparing our unaudited condensed consolidated financial statements, we eliminated operating expenses of $2.6 million and $1.5 million for the three months ended September 30, 2019 and 2018, respectively, against the investment advisory and administrative fees earned from these products. Operating expenses eliminated for the nine months ended September 30, 2019 and 2018, were $6.3 million and $4.6 million, respectively. The net investment income reflected in non-operating income includes dividend and interest income and realized and unrealized gains and losses on the underlying securities held by the consolidated T. Rowe Price investment products.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576" w:right="239" w:bottom="1440" w:gutter="0" w:footer="0" w:header="0"/>
        </w:sectPr>
      </w:pPr>
    </w:p>
    <w:bookmarkStart w:id="14" w:name="page15"/>
    <w:bookmarkEnd w:id="14"/>
    <w:p>
      <w:pPr>
        <w:jc w:val="both"/>
        <w:ind w:right="160"/>
        <w:spacing w:after="0" w:line="292" w:lineRule="auto"/>
        <w:rPr>
          <w:sz w:val="20"/>
          <w:szCs w:val="20"/>
          <w:color w:val="auto"/>
        </w:rPr>
      </w:pPr>
      <w:r>
        <w:rPr>
          <w:rFonts w:ascii="Arial" w:cs="Arial" w:eastAsia="Arial" w:hAnsi="Arial"/>
          <w:sz w:val="18"/>
          <w:szCs w:val="18"/>
          <w:color w:val="auto"/>
        </w:rPr>
        <w:t>The table below details the impact of these consolidated investment products on the individual lines of our unaudited condensed consolidated statements of cash flows 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3"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27305</wp:posOffset>
            </wp:positionV>
            <wp:extent cx="43053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9/30/2019</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9/30/2018</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Voting</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9"/>
              </w:rPr>
              <w:t>Variable</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9"/>
              </w:rPr>
              <w:t>Variable</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interest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entities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6"/>
        </w:trPr>
        <w:tc>
          <w:tcPr>
            <w:tcW w:w="46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(508.4)</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(523.5)</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(529.7)</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(570.4)</w:t>
            </w:r>
          </w:p>
        </w:tc>
        <w:tc>
          <w:tcPr>
            <w:tcW w:w="0" w:type="dxa"/>
            <w:vAlign w:val="bottom"/>
          </w:tcPr>
          <w:p>
            <w:pPr>
              <w:spacing w:after="0"/>
              <w:rPr>
                <w:sz w:val="1"/>
                <w:szCs w:val="1"/>
                <w:color w:val="auto"/>
              </w:rPr>
            </w:pPr>
          </w:p>
        </w:tc>
      </w:tr>
      <w:tr>
        <w:trPr>
          <w:trHeight w:val="275"/>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65"/>
        </w:trPr>
        <w:tc>
          <w:tcPr>
            <w:tcW w:w="4640" w:type="dxa"/>
            <w:vAlign w:val="bottom"/>
          </w:tcPr>
          <w:p>
            <w:pPr>
              <w:ind w:left="4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529.3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544.8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545.6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597.9</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of consolidated</w:t>
            </w:r>
          </w:p>
        </w:tc>
        <w:tc>
          <w:tcPr>
            <w:tcW w:w="20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 Rowe Price investment products</w:t>
            </w:r>
          </w:p>
        </w:tc>
        <w:tc>
          <w:tcPr>
            <w:tcW w:w="20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40" w:type="dxa"/>
            <w:vAlign w:val="bottom"/>
          </w:tcPr>
          <w:p>
            <w:pPr>
              <w:ind w:left="40"/>
              <w:spacing w:after="0"/>
              <w:rPr>
                <w:sz w:val="20"/>
                <w:szCs w:val="20"/>
                <w:color w:val="auto"/>
              </w:rPr>
            </w:pPr>
            <w:r>
              <w:rPr>
                <w:rFonts w:ascii="Arial" w:cs="Arial" w:eastAsia="Arial" w:hAnsi="Arial"/>
                <w:sz w:val="16"/>
                <w:szCs w:val="16"/>
                <w:color w:val="auto"/>
              </w:rPr>
              <w:t>Net change in cash and cash equivalents during period</w:t>
            </w: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54"/>
        </w:trPr>
        <w:tc>
          <w:tcPr>
            <w:tcW w:w="464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both"/>
        <w:ind w:right="180"/>
        <w:spacing w:after="0" w:line="271" w:lineRule="auto"/>
        <w:rPr>
          <w:sz w:val="20"/>
          <w:szCs w:val="20"/>
          <w:color w:val="auto"/>
        </w:rPr>
      </w:pPr>
      <w:r>
        <w:rPr>
          <w:rFonts w:ascii="Arial" w:cs="Arial" w:eastAsia="Arial" w:hAnsi="Arial"/>
          <w:sz w:val="18"/>
          <w:szCs w:val="18"/>
          <w:color w:val="auto"/>
        </w:rPr>
        <w:t>The net cash provided by financing activities during the nine months ended September 30, 2019 and 2018 includes $157.7 million and $111.7 million, respectively, of net subscriptions we made into the consolidated T. Rowe Price investment products, net of dividends received. These cash flows were eliminated in consolidation.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27"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We determine the fair value of investments held by consolidated T. Rowe Price investment products using the following broad levels of inputs as defined by related accounting standards: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31" w:lineRule="exact"/>
        <w:rPr>
          <w:sz w:val="20"/>
          <w:szCs w:val="20"/>
          <w:color w:val="auto"/>
        </w:rPr>
      </w:pPr>
    </w:p>
    <w:p>
      <w:pPr>
        <w:ind w:left="740" w:right="40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100" w:hanging="728"/>
        <w:spacing w:after="0" w:line="266"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value of investments using Level 3 inputs is insignificant.</w:t>
      </w:r>
    </w:p>
    <w:p>
      <w:pPr>
        <w:spacing w:after="0" w:line="11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T. Rowe Price investment products using fair value measurements determined based on the differing levels of inputs.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69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9/30/2019</w:t>
            </w:r>
          </w:p>
        </w:tc>
        <w:tc>
          <w:tcPr>
            <w:tcW w:w="7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980" w:type="dxa"/>
            <w:vAlign w:val="bottom"/>
            <w:tcBorders>
              <w:bottom w:val="single" w:sz="8" w:color="auto"/>
            </w:tcBorders>
            <w:gridSpan w:val="4"/>
            <w:shd w:val="clear" w:color="auto" w:fill="CCEEFF"/>
          </w:tcPr>
          <w:p>
            <w:pPr>
              <w:jc w:val="right"/>
              <w:ind w:right="633"/>
              <w:spacing w:after="0"/>
              <w:rPr>
                <w:sz w:val="20"/>
                <w:szCs w:val="20"/>
                <w:color w:val="auto"/>
              </w:rPr>
            </w:pPr>
            <w:r>
              <w:rPr>
                <w:rFonts w:ascii="Arial" w:cs="Arial" w:eastAsia="Arial" w:hAnsi="Arial"/>
                <w:sz w:val="14"/>
                <w:szCs w:val="14"/>
                <w:b w:val="1"/>
                <w:bCs w:val="1"/>
                <w:color w:val="auto"/>
              </w:rPr>
              <w:t>12/31/2018</w:t>
            </w:r>
          </w:p>
        </w:tc>
      </w:tr>
      <w:tr>
        <w:trPr>
          <w:trHeight w:val="264"/>
        </w:trPr>
        <w:tc>
          <w:tcPr>
            <w:tcW w:w="69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840" w:type="dxa"/>
            <w:vAlign w:val="bottom"/>
          </w:tcPr>
          <w:p>
            <w:pPr>
              <w:jc w:val="right"/>
              <w:ind w:right="173"/>
              <w:spacing w:after="0"/>
              <w:rPr>
                <w:sz w:val="20"/>
                <w:szCs w:val="20"/>
                <w:color w:val="auto"/>
              </w:rPr>
            </w:pPr>
            <w:r>
              <w:rPr>
                <w:rFonts w:ascii="Arial" w:cs="Arial" w:eastAsia="Arial" w:hAnsi="Arial"/>
                <w:sz w:val="14"/>
                <w:szCs w:val="14"/>
                <w:b w:val="1"/>
                <w:bCs w:val="1"/>
                <w:color w:val="auto"/>
              </w:rPr>
              <w:t>Level 2</w:t>
            </w:r>
          </w:p>
        </w:tc>
      </w:tr>
      <w:tr>
        <w:trPr>
          <w:trHeight w:val="265"/>
        </w:trPr>
        <w:tc>
          <w:tcPr>
            <w:tcW w:w="6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r>
      <w:tr>
        <w:trPr>
          <w:trHeight w:val="265"/>
        </w:trPr>
        <w:tc>
          <w:tcPr>
            <w:tcW w:w="692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5"/>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168.2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616.0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483.5</w:t>
            </w:r>
          </w:p>
        </w:tc>
      </w:tr>
      <w:tr>
        <w:trPr>
          <w:trHeight w:val="265"/>
        </w:trPr>
        <w:tc>
          <w:tcPr>
            <w:tcW w:w="692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2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1,319.3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890.2</w:t>
            </w:r>
          </w:p>
        </w:tc>
      </w:tr>
      <w:tr>
        <w:trPr>
          <w:trHeight w:val="270"/>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investments</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r>
      <w:tr>
        <w:trPr>
          <w:trHeight w:val="290"/>
        </w:trPr>
        <w:tc>
          <w:tcPr>
            <w:tcW w:w="69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179.8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1,960.3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210.6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1,392.7</w:t>
            </w:r>
          </w:p>
        </w:tc>
      </w:tr>
      <w:tr>
        <w:trPr>
          <w:trHeight w:val="282"/>
        </w:trPr>
        <w:tc>
          <w:tcPr>
            <w:tcW w:w="6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57"/>
        </w:trPr>
        <w:tc>
          <w:tcPr>
            <w:tcW w:w="69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57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 LEASES.</w:t>
      </w:r>
    </w:p>
    <w:p>
      <w:pPr>
        <w:spacing w:after="0" w:line="17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All of our leases are operating leases and primarily consist of real estate leases for corporate offices, data centers, and other facilities. As of September 30, 2019, the weighted-average remaining lease term on our leases is approximately 7.0 years and the weighted-average discount rate used to measure the lease liabilities is 3.5%.</w:t>
      </w:r>
    </w:p>
    <w:p>
      <w:pPr>
        <w:spacing w:after="0" w:line="109"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Operating lease expense for the three months ended September 30, 2019 and 2018, was $ 7.1 million and $6.3 million, respectively. Operating lease expense for the nine months ended September 30, 2019 and 2018, was $22.9 million and $ 20.9 million, respectively. Charges related to our operating leases that are variable, including variable common area maintenance charges and other management-related costs, and not included in the measurement of the lease liabilities, were $2.2 million for the three months ended September 30, 2019 and $7.4 million for the nine months ended September 30, 2019.</w:t>
      </w:r>
    </w:p>
    <w:p>
      <w:pPr>
        <w:spacing w:after="0" w:line="121"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We made lease payments of $22.7 million during the nine months ended September 30, 2019. Our future undiscounted cash flows related to our operating leases and the reconciliation to the operating lease liability as of September 30, 2019,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9/30/2019</w:t>
            </w:r>
          </w:p>
        </w:tc>
      </w:tr>
      <w:tr>
        <w:trPr>
          <w:trHeight w:val="245"/>
        </w:trPr>
        <w:tc>
          <w:tcPr>
            <w:tcW w:w="10160" w:type="dxa"/>
            <w:vAlign w:val="bottom"/>
          </w:tcPr>
          <w:p>
            <w:pPr>
              <w:ind w:left="180"/>
              <w:spacing w:after="0"/>
              <w:rPr>
                <w:sz w:val="20"/>
                <w:szCs w:val="20"/>
                <w:color w:val="auto"/>
              </w:rPr>
            </w:pPr>
            <w:r>
              <w:rPr>
                <w:rFonts w:ascii="Arial" w:cs="Arial" w:eastAsia="Arial" w:hAnsi="Arial"/>
                <w:sz w:val="18"/>
                <w:szCs w:val="18"/>
                <w:color w:val="auto"/>
              </w:rPr>
              <w:t>Fourth quarter 2019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6.8</w:t>
            </w:r>
          </w:p>
        </w:tc>
      </w:tr>
      <w:tr>
        <w:trPr>
          <w:trHeight w:val="261"/>
        </w:trPr>
        <w:tc>
          <w:tcPr>
            <w:tcW w:w="10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26.1</w:t>
            </w:r>
          </w:p>
        </w:tc>
      </w:tr>
      <w:tr>
        <w:trPr>
          <w:trHeight w:val="252"/>
        </w:trPr>
        <w:tc>
          <w:tcPr>
            <w:tcW w:w="10160" w:type="dxa"/>
            <w:vAlign w:val="bottom"/>
          </w:tcPr>
          <w:p>
            <w:pPr>
              <w:ind w:left="18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25.6</w:t>
            </w:r>
          </w:p>
        </w:tc>
      </w:tr>
      <w:tr>
        <w:trPr>
          <w:trHeight w:val="261"/>
        </w:trPr>
        <w:tc>
          <w:tcPr>
            <w:tcW w:w="10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22.8</w:t>
            </w:r>
          </w:p>
        </w:tc>
      </w:tr>
      <w:tr>
        <w:trPr>
          <w:trHeight w:val="252"/>
        </w:trPr>
        <w:tc>
          <w:tcPr>
            <w:tcW w:w="10160" w:type="dxa"/>
            <w:vAlign w:val="bottom"/>
          </w:tcPr>
          <w:p>
            <w:pPr>
              <w:ind w:left="18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20.3</w:t>
            </w:r>
          </w:p>
        </w:tc>
      </w:tr>
      <w:tr>
        <w:trPr>
          <w:trHeight w:val="261"/>
        </w:trPr>
        <w:tc>
          <w:tcPr>
            <w:tcW w:w="10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63.4</w:t>
            </w:r>
          </w:p>
        </w:tc>
      </w:tr>
      <w:tr>
        <w:trPr>
          <w:trHeight w:val="245"/>
        </w:trPr>
        <w:tc>
          <w:tcPr>
            <w:tcW w:w="10160" w:type="dxa"/>
            <w:vAlign w:val="bottom"/>
          </w:tcPr>
          <w:p>
            <w:pPr>
              <w:ind w:left="180"/>
              <w:spacing w:after="0"/>
              <w:rPr>
                <w:sz w:val="20"/>
                <w:szCs w:val="20"/>
                <w:color w:val="auto"/>
              </w:rPr>
            </w:pPr>
            <w:r>
              <w:rPr>
                <w:rFonts w:ascii="Arial" w:cs="Arial" w:eastAsia="Arial" w:hAnsi="Arial"/>
                <w:sz w:val="18"/>
                <w:szCs w:val="18"/>
                <w:color w:val="auto"/>
              </w:rPr>
              <w:t>Total future undiscounted cash flows</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165.0</w:t>
            </w:r>
          </w:p>
        </w:tc>
      </w:tr>
      <w:tr>
        <w:trPr>
          <w:trHeight w:val="257"/>
        </w:trPr>
        <w:tc>
          <w:tcPr>
            <w:tcW w:w="10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imputed interest to be recognized in lease expense</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55"/>
        </w:trPr>
        <w:tc>
          <w:tcPr>
            <w:tcW w:w="10160" w:type="dxa"/>
            <w:vAlign w:val="bottom"/>
          </w:tcPr>
          <w:p>
            <w:pPr>
              <w:ind w:left="180"/>
              <w:spacing w:after="0"/>
              <w:rPr>
                <w:sz w:val="20"/>
                <w:szCs w:val="20"/>
                <w:color w:val="auto"/>
              </w:rPr>
            </w:pPr>
            <w:r>
              <w:rPr>
                <w:rFonts w:ascii="Arial" w:cs="Arial" w:eastAsia="Arial" w:hAnsi="Arial"/>
                <w:sz w:val="18"/>
                <w:szCs w:val="18"/>
                <w:color w:val="auto"/>
              </w:rPr>
              <w:t>Operating lease liabilities, as reported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146.4</w:t>
            </w:r>
          </w:p>
        </w:tc>
      </w:tr>
      <w:tr>
        <w:trPr>
          <w:trHeight w:val="20"/>
        </w:trPr>
        <w:tc>
          <w:tcPr>
            <w:tcW w:w="10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7"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Accounts payable and accrued expenses includes liabilities of $9.2 million at December 31, 2018, for common stock repurchases that settled during the first week of January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the nine months ended September 30,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5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85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average</w:t>
            </w:r>
          </w:p>
        </w:tc>
      </w:tr>
      <w:tr>
        <w:trPr>
          <w:trHeight w:val="162"/>
        </w:trPr>
        <w:tc>
          <w:tcPr>
            <w:tcW w:w="85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exercise</w:t>
            </w:r>
          </w:p>
        </w:tc>
      </w:tr>
      <w:tr>
        <w:trPr>
          <w:trHeight w:val="204"/>
        </w:trPr>
        <w:tc>
          <w:tcPr>
            <w:tcW w:w="858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4"/>
                <w:szCs w:val="14"/>
                <w:b w:val="1"/>
                <w:bCs w:val="1"/>
                <w:color w:val="auto"/>
              </w:rPr>
              <w:t>Options</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price</w:t>
            </w:r>
          </w:p>
        </w:tc>
      </w:tr>
      <w:tr>
        <w:trPr>
          <w:trHeight w:val="245"/>
        </w:trPr>
        <w:tc>
          <w:tcPr>
            <w:tcW w:w="8580" w:type="dxa"/>
            <w:vAlign w:val="bottom"/>
          </w:tcPr>
          <w:p>
            <w:pPr>
              <w:ind w:left="40"/>
              <w:spacing w:after="0"/>
              <w:rPr>
                <w:sz w:val="20"/>
                <w:szCs w:val="20"/>
                <w:color w:val="auto"/>
              </w:rPr>
            </w:pPr>
            <w:r>
              <w:rPr>
                <w:rFonts w:ascii="Arial" w:cs="Arial" w:eastAsia="Arial" w:hAnsi="Arial"/>
                <w:sz w:val="18"/>
                <w:szCs w:val="18"/>
                <w:color w:val="auto"/>
              </w:rPr>
              <w:t>Outstanding at December 31, 2018</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11,300,393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69.05</w:t>
            </w:r>
          </w:p>
        </w:tc>
      </w:tr>
      <w:tr>
        <w:trPr>
          <w:trHeight w:val="275"/>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(2,847,972)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63.58</w:t>
            </w:r>
          </w:p>
        </w:tc>
      </w:tr>
      <w:tr>
        <w:trPr>
          <w:trHeight w:val="265"/>
        </w:trPr>
        <w:tc>
          <w:tcPr>
            <w:tcW w:w="85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60" w:type="dxa"/>
            <w:vAlign w:val="bottom"/>
          </w:tcPr>
          <w:p>
            <w:pPr>
              <w:jc w:val="right"/>
              <w:spacing w:after="0"/>
              <w:rPr>
                <w:sz w:val="20"/>
                <w:szCs w:val="20"/>
                <w:color w:val="auto"/>
              </w:rPr>
            </w:pPr>
            <w:r>
              <w:rPr>
                <w:rFonts w:ascii="Arial" w:cs="Arial" w:eastAsia="Arial" w:hAnsi="Arial"/>
                <w:sz w:val="18"/>
                <w:szCs w:val="18"/>
                <w:color w:val="auto"/>
              </w:rPr>
              <w:t>(114,822)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76.70</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59.03</w:t>
            </w:r>
          </w:p>
        </w:tc>
      </w:tr>
      <w:tr>
        <w:trPr>
          <w:trHeight w:val="295"/>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September 30, 2019</w:t>
            </w:r>
          </w:p>
        </w:tc>
        <w:tc>
          <w:tcPr>
            <w:tcW w:w="14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8,329,760</w:t>
            </w:r>
          </w:p>
        </w:tc>
        <w:tc>
          <w:tcPr>
            <w:tcW w:w="3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70.83</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September 30, 2019</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6,410,125</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69.12</w:t>
            </w:r>
          </w:p>
        </w:tc>
      </w:tr>
      <w:tr>
        <w:trPr>
          <w:trHeight w:val="20"/>
        </w:trPr>
        <w:tc>
          <w:tcPr>
            <w:tcW w:w="85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57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RESTRICTED SHARES AND STOCK UNITS.</w:t>
      </w:r>
    </w:p>
    <w:p>
      <w:pPr>
        <w:spacing w:after="0" w:line="227" w:lineRule="exact"/>
        <w:rPr>
          <w:sz w:val="20"/>
          <w:szCs w:val="20"/>
          <w:color w:val="auto"/>
        </w:rPr>
      </w:pPr>
    </w:p>
    <w:p>
      <w:pPr>
        <w:ind w:right="640"/>
        <w:spacing w:after="0" w:line="292" w:lineRule="auto"/>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the nine months ended September 30, 2019.</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4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Restricted</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8"/>
              </w:rPr>
              <w:t>stock</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average</w:t>
            </w:r>
          </w:p>
        </w:tc>
      </w:tr>
      <w:tr>
        <w:trPr>
          <w:trHeight w:val="204"/>
        </w:trPr>
        <w:tc>
          <w:tcPr>
            <w:tcW w:w="744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4"/>
                <w:szCs w:val="14"/>
                <w:b w:val="1"/>
                <w:bCs w:val="1"/>
                <w:color w:val="auto"/>
              </w:rPr>
              <w:t>shares</w:t>
            </w:r>
          </w:p>
        </w:tc>
        <w:tc>
          <w:tcPr>
            <w:tcW w:w="1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center"/>
              <w:ind w:right="137"/>
              <w:spacing w:after="0"/>
              <w:rPr>
                <w:sz w:val="20"/>
                <w:szCs w:val="20"/>
                <w:color w:val="auto"/>
              </w:rPr>
            </w:pPr>
            <w:r>
              <w:rPr>
                <w:rFonts w:ascii="Arial" w:cs="Arial" w:eastAsia="Arial" w:hAnsi="Arial"/>
                <w:sz w:val="14"/>
                <w:szCs w:val="14"/>
                <w:b w:val="1"/>
                <w:bCs w:val="1"/>
                <w:color w:val="auto"/>
              </w:rPr>
              <w:t>fair value</w:t>
            </w:r>
          </w:p>
        </w:tc>
      </w:tr>
      <w:tr>
        <w:trPr>
          <w:trHeight w:val="245"/>
        </w:trPr>
        <w:tc>
          <w:tcPr>
            <w:tcW w:w="7440" w:type="dxa"/>
            <w:vAlign w:val="bottom"/>
          </w:tcPr>
          <w:p>
            <w:pPr>
              <w:ind w:left="40"/>
              <w:spacing w:after="0"/>
              <w:rPr>
                <w:sz w:val="20"/>
                <w:szCs w:val="20"/>
                <w:color w:val="auto"/>
              </w:rPr>
            </w:pPr>
            <w:r>
              <w:rPr>
                <w:rFonts w:ascii="Arial" w:cs="Arial" w:eastAsia="Arial" w:hAnsi="Arial"/>
                <w:sz w:val="18"/>
                <w:szCs w:val="18"/>
                <w:color w:val="auto"/>
              </w:rPr>
              <w:t>Nonvested at December 31, 2018</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136,964</w:t>
            </w:r>
          </w:p>
        </w:tc>
        <w:tc>
          <w:tcPr>
            <w:tcW w:w="10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6,603,920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87.07</w:t>
            </w:r>
          </w:p>
        </w:tc>
      </w:tr>
      <w:tr>
        <w:trPr>
          <w:trHeight w:val="275"/>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Time-based grants</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7,404</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55,872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103.45</w:t>
            </w:r>
          </w:p>
        </w:tc>
      </w:tr>
      <w:tr>
        <w:trPr>
          <w:trHeight w:val="265"/>
        </w:trPr>
        <w:tc>
          <w:tcPr>
            <w:tcW w:w="7440" w:type="dxa"/>
            <w:vAlign w:val="bottom"/>
          </w:tcPr>
          <w:p>
            <w:pPr>
              <w:ind w:left="40"/>
              <w:spacing w:after="0"/>
              <w:rPr>
                <w:sz w:val="20"/>
                <w:szCs w:val="20"/>
                <w:color w:val="auto"/>
              </w:rPr>
            </w:pPr>
            <w:r>
              <w:rPr>
                <w:rFonts w:ascii="Arial" w:cs="Arial" w:eastAsia="Arial" w:hAnsi="Arial"/>
                <w:sz w:val="18"/>
                <w:szCs w:val="18"/>
                <w:color w:val="auto"/>
              </w:rPr>
              <w:t>Vested</w:t>
            </w:r>
          </w:p>
        </w:tc>
        <w:tc>
          <w:tcPr>
            <w:tcW w:w="1260" w:type="dxa"/>
            <w:vAlign w:val="bottom"/>
          </w:tcPr>
          <w:p>
            <w:pPr>
              <w:jc w:val="right"/>
              <w:spacing w:after="0"/>
              <w:rPr>
                <w:sz w:val="20"/>
                <w:szCs w:val="20"/>
                <w:color w:val="auto"/>
              </w:rPr>
            </w:pPr>
            <w:r>
              <w:rPr>
                <w:rFonts w:ascii="Arial" w:cs="Arial" w:eastAsia="Arial" w:hAnsi="Arial"/>
                <w:sz w:val="18"/>
                <w:szCs w:val="18"/>
                <w:color w:val="auto"/>
              </w:rPr>
              <w:t>(9,670)</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(83,280)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90.52</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(9,619)</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(327,279)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87.79</w:t>
            </w:r>
          </w:p>
        </w:tc>
      </w:tr>
      <w:tr>
        <w:trPr>
          <w:trHeight w:val="255"/>
        </w:trPr>
        <w:tc>
          <w:tcPr>
            <w:tcW w:w="7440" w:type="dxa"/>
            <w:vAlign w:val="bottom"/>
          </w:tcPr>
          <w:p>
            <w:pPr>
              <w:ind w:left="40"/>
              <w:spacing w:after="0"/>
              <w:rPr>
                <w:sz w:val="20"/>
                <w:szCs w:val="20"/>
                <w:color w:val="auto"/>
              </w:rPr>
            </w:pPr>
            <w:r>
              <w:rPr>
                <w:rFonts w:ascii="Arial" w:cs="Arial" w:eastAsia="Arial" w:hAnsi="Arial"/>
                <w:sz w:val="18"/>
                <w:szCs w:val="18"/>
                <w:color w:val="auto"/>
              </w:rPr>
              <w:t>Nonvested at September 30, 2019</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125,079</w:t>
            </w:r>
          </w:p>
        </w:tc>
        <w:tc>
          <w:tcPr>
            <w:tcW w:w="100" w:type="dxa"/>
            <w:vAlign w:val="bottom"/>
          </w:tcPr>
          <w:p>
            <w:pPr>
              <w:spacing w:after="0"/>
              <w:rPr>
                <w:sz w:val="22"/>
                <w:szCs w:val="22"/>
                <w:color w:val="auto"/>
              </w:rPr>
            </w:pP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6,249,233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87.15</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Nonvested at September 30, 2019, includes 2,400 performance-based restricted shares and 450,727 performance-based restricted stock units. These nonvested performance-based restricted shares and units include 2,400 restricted shares and 289,906 restricted stock units for which the performance period has expired, and the performance threshold has been met.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2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following table presents the compensation expense to be recognized over the remaining vesting periods of the stock-based awards outstanding at September 30, 2019. Estimated future compensation expense will change to reflect future grants of restricted stock awards and units, future option grants,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0160" w:type="dxa"/>
            <w:vAlign w:val="bottom"/>
          </w:tcPr>
          <w:p>
            <w:pPr>
              <w:ind w:left="40"/>
              <w:spacing w:after="0"/>
              <w:rPr>
                <w:sz w:val="20"/>
                <w:szCs w:val="20"/>
                <w:color w:val="auto"/>
              </w:rPr>
            </w:pPr>
            <w:r>
              <w:rPr>
                <w:rFonts w:ascii="Arial" w:cs="Arial" w:eastAsia="Arial" w:hAnsi="Arial"/>
                <w:sz w:val="18"/>
                <w:szCs w:val="18"/>
                <w:color w:val="auto"/>
              </w:rPr>
              <w:t>Fourth quarter 2019</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43.6</w:t>
            </w:r>
          </w:p>
        </w:tc>
      </w:tr>
      <w:tr>
        <w:trPr>
          <w:trHeight w:val="261"/>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100.6</w:t>
            </w:r>
          </w:p>
        </w:tc>
      </w:tr>
      <w:tr>
        <w:trPr>
          <w:trHeight w:val="252"/>
        </w:trPr>
        <w:tc>
          <w:tcPr>
            <w:tcW w:w="10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2021 through 2024</w:t>
            </w: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80.6</w:t>
            </w:r>
          </w:p>
        </w:tc>
      </w:tr>
      <w:tr>
        <w:trPr>
          <w:trHeight w:val="255"/>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224.8</w:t>
            </w:r>
          </w:p>
        </w:tc>
      </w:tr>
      <w:tr>
        <w:trPr>
          <w:trHeight w:val="20"/>
        </w:trPr>
        <w:tc>
          <w:tcPr>
            <w:tcW w:w="10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EARNINGS PER SHARE CALCULATIONS.</w:t>
      </w:r>
    </w:p>
    <w:p>
      <w:pPr>
        <w:spacing w:after="0" w:line="227"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The following table presents the reconciliation of net income attributable to T. Rowe Price Group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 No stock options had an anti-dilutive impact on the diluted earnings per common share calculation in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6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540" w:type="dxa"/>
            <w:vAlign w:val="bottom"/>
            <w:gridSpan w:val="5"/>
            <w:shd w:val="clear" w:color="auto" w:fill="CCEEFF"/>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23"/>
                <w:szCs w:val="23"/>
                <w:color w:val="auto"/>
              </w:rPr>
            </w:pPr>
          </w:p>
        </w:tc>
        <w:tc>
          <w:tcPr>
            <w:tcW w:w="2420" w:type="dxa"/>
            <w:vAlign w:val="bottom"/>
            <w:gridSpan w:val="4"/>
            <w:shd w:val="clear" w:color="auto" w:fill="CCEEFF"/>
          </w:tcPr>
          <w:p>
            <w:pPr>
              <w:jc w:val="right"/>
              <w:ind w:right="553"/>
              <w:spacing w:after="0"/>
              <w:rPr>
                <w:sz w:val="20"/>
                <w:szCs w:val="20"/>
                <w:color w:val="auto"/>
              </w:rPr>
            </w:pPr>
            <w:r>
              <w:rPr>
                <w:rFonts w:ascii="Arial" w:cs="Arial" w:eastAsia="Arial" w:hAnsi="Arial"/>
                <w:sz w:val="14"/>
                <w:szCs w:val="14"/>
                <w:b w:val="1"/>
                <w:bCs w:val="1"/>
                <w:color w:val="auto"/>
              </w:rPr>
              <w:t>Nine months ended</w:t>
            </w:r>
          </w:p>
        </w:tc>
      </w:tr>
      <w:tr>
        <w:trPr>
          <w:trHeight w:val="250"/>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9/30/2019</w:t>
            </w:r>
          </w:p>
        </w:tc>
        <w:tc>
          <w:tcPr>
            <w:tcW w:w="1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9/30/2018</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9/30/2019</w:t>
            </w:r>
          </w:p>
        </w:tc>
        <w:tc>
          <w:tcPr>
            <w:tcW w:w="1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9/30/2018</w:t>
            </w:r>
          </w:p>
        </w:tc>
      </w:tr>
      <w:tr>
        <w:trPr>
          <w:trHeight w:val="251"/>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545.9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583.0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1,586.0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1,485.6</w:t>
            </w:r>
          </w:p>
        </w:tc>
      </w:tr>
      <w:tr>
        <w:trPr>
          <w:trHeight w:val="207"/>
        </w:trPr>
        <w:tc>
          <w:tcPr>
            <w:tcW w:w="6020" w:type="dxa"/>
            <w:vAlign w:val="bottom"/>
          </w:tcPr>
          <w:p>
            <w:pPr>
              <w:ind w:left="40"/>
              <w:spacing w:after="0"/>
              <w:rPr>
                <w:sz w:val="20"/>
                <w:szCs w:val="20"/>
                <w:color w:val="auto"/>
              </w:rPr>
            </w:pPr>
            <w:r>
              <w:rPr>
                <w:rFonts w:ascii="Arial" w:cs="Arial" w:eastAsia="Arial" w:hAnsi="Arial"/>
                <w:sz w:val="18"/>
                <w:szCs w:val="18"/>
                <w:color w:val="auto"/>
              </w:rPr>
              <w:t>Less: net income allocated to outstanding restricted stock and stock unit</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8"/>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holders</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34.8</w:t>
            </w:r>
          </w:p>
        </w:tc>
      </w:tr>
      <w:tr>
        <w:trPr>
          <w:trHeight w:val="255"/>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532.0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569.3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1,545.3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1,450.8</w:t>
            </w: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05"/>
        </w:trPr>
        <w:tc>
          <w:tcPr>
            <w:tcW w:w="6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common shares</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97"/>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234.9</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242.8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235.8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243.1</w:t>
            </w:r>
          </w:p>
        </w:tc>
      </w:tr>
      <w:tr>
        <w:trPr>
          <w:trHeight w:val="237"/>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assuming dilution</w:t>
            </w: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238.2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239.0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248.2</w:t>
            </w: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17</w:t>
      </w:r>
    </w:p>
    <w:p>
      <w:pPr>
        <w:sectPr>
          <w:pgSz w:w="11900" w:h="16838" w:orient="portrait"/>
          <w:cols w:equalWidth="0" w:num="1">
            <w:col w:w="11420"/>
          </w:cols>
          <w:pgMar w:left="240" w:top="574"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10 – OTHER COMPREHENSIVE INCOME AND ACCUMULATED OTHER COMPREHENSIVE LOSS.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impact of the components of other comprehensive income (loss) on deferred tax benefits (income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60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540" w:type="dxa"/>
            <w:vAlign w:val="bottom"/>
            <w:gridSpan w:val="5"/>
            <w:shd w:val="clear" w:color="auto" w:fill="CCEEFF"/>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600" w:type="dxa"/>
            <w:vAlign w:val="bottom"/>
            <w:gridSpan w:val="3"/>
            <w:shd w:val="clear" w:color="auto" w:fill="CCEEFF"/>
          </w:tcPr>
          <w:p>
            <w:pPr>
              <w:jc w:val="right"/>
              <w:ind w:right="534"/>
              <w:spacing w:after="0"/>
              <w:rPr>
                <w:sz w:val="20"/>
                <w:szCs w:val="20"/>
                <w:color w:val="auto"/>
              </w:rPr>
            </w:pPr>
            <w:r>
              <w:rPr>
                <w:rFonts w:ascii="Arial" w:cs="Arial" w:eastAsia="Arial" w:hAnsi="Arial"/>
                <w:sz w:val="14"/>
                <w:szCs w:val="14"/>
                <w:b w:val="1"/>
                <w:bCs w:val="1"/>
                <w:color w:val="auto"/>
              </w:rPr>
              <w:t>Nine months ended</w:t>
            </w:r>
          </w:p>
        </w:tc>
      </w:tr>
      <w:tr>
        <w:trPr>
          <w:trHeight w:val="250"/>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9/30/2019</w:t>
            </w:r>
          </w:p>
        </w:tc>
        <w:tc>
          <w:tcPr>
            <w:tcW w:w="10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9/30/2018</w:t>
            </w:r>
          </w:p>
        </w:tc>
        <w:tc>
          <w:tcPr>
            <w:tcW w:w="100" w:type="dxa"/>
            <w:vAlign w:val="bottom"/>
            <w:tcBorders>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9/30/2019</w:t>
            </w:r>
          </w:p>
        </w:tc>
        <w:tc>
          <w:tcPr>
            <w:tcW w:w="120" w:type="dxa"/>
            <w:vAlign w:val="bottom"/>
            <w:tcBorders>
              <w:top w:val="single" w:sz="8" w:color="auto"/>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9/30/2018</w:t>
            </w:r>
          </w:p>
        </w:tc>
      </w:tr>
      <w:tr>
        <w:trPr>
          <w:trHeight w:val="265"/>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tax benefits on:</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5"/>
        </w:trPr>
        <w:tc>
          <w:tcPr>
            <w:tcW w:w="6060" w:type="dxa"/>
            <w:vAlign w:val="bottom"/>
          </w:tcPr>
          <w:p>
            <w:pPr>
              <w:ind w:left="180"/>
              <w:spacing w:after="0"/>
              <w:rPr>
                <w:sz w:val="20"/>
                <w:szCs w:val="20"/>
                <w:color w:val="auto"/>
              </w:rPr>
            </w:pPr>
            <w:r>
              <w:rPr>
                <w:rFonts w:ascii="Arial" w:cs="Arial" w:eastAsia="Arial" w:hAnsi="Arial"/>
                <w:sz w:val="18"/>
                <w:szCs w:val="18"/>
                <w:color w:val="auto"/>
              </w:rPr>
              <w:t>Currency translation adjustments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4.9</w:t>
            </w:r>
          </w:p>
        </w:tc>
      </w:tr>
      <w:tr>
        <w:trPr>
          <w:trHeight w:val="211"/>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adjustment recognized in the provision for income taxes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48"/>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upon deconsolidation of a T. Rowe Price investment product</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r>
      <w:tr>
        <w:trPr>
          <w:trHeight w:val="255"/>
        </w:trPr>
        <w:tc>
          <w:tcPr>
            <w:tcW w:w="6060" w:type="dxa"/>
            <w:vAlign w:val="bottom"/>
          </w:tcPr>
          <w:p>
            <w:pPr>
              <w:ind w:left="40"/>
              <w:spacing w:after="0"/>
              <w:rPr>
                <w:sz w:val="20"/>
                <w:szCs w:val="20"/>
                <w:color w:val="auto"/>
              </w:rPr>
            </w:pPr>
            <w:r>
              <w:rPr>
                <w:rFonts w:ascii="Arial" w:cs="Arial" w:eastAsia="Arial" w:hAnsi="Arial"/>
                <w:sz w:val="18"/>
                <w:szCs w:val="18"/>
                <w:color w:val="auto"/>
              </w:rPr>
              <w:t>Total deferred tax benefits on currency translation adjustments</w:t>
            </w:r>
          </w:p>
        </w:tc>
        <w:tc>
          <w:tcPr>
            <w:tcW w:w="2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The changes in each component of accumulated other comprehensive loss, including reclassification adjustments for the three months ended September 30, 2019 and 2018 are presented in the table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32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3880" w:type="dxa"/>
            <w:vAlign w:val="bottom"/>
            <w:tcBorders>
              <w:bottom w:val="single" w:sz="8" w:color="auto"/>
            </w:tcBorders>
            <w:gridSpan w:val="7"/>
            <w:shd w:val="clear" w:color="auto" w:fill="CCEEFF"/>
          </w:tcPr>
          <w:p>
            <w:pPr>
              <w:jc w:val="center"/>
              <w:ind w:right="15"/>
              <w:spacing w:after="0"/>
              <w:rPr>
                <w:sz w:val="20"/>
                <w:szCs w:val="20"/>
                <w:color w:val="auto"/>
              </w:rPr>
            </w:pPr>
            <w:r>
              <w:rPr>
                <w:rFonts w:ascii="Arial" w:cs="Arial" w:eastAsia="Arial" w:hAnsi="Arial"/>
                <w:sz w:val="14"/>
                <w:szCs w:val="14"/>
                <w:b w:val="1"/>
                <w:bCs w:val="1"/>
                <w:color w:val="auto"/>
              </w:rPr>
              <w:t>Three months ended 9/30/2019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3900" w:type="dxa"/>
            <w:vAlign w:val="bottom"/>
            <w:tcBorders>
              <w:bottom w:val="single" w:sz="8" w:color="auto"/>
            </w:tcBorders>
            <w:gridSpan w:val="7"/>
            <w:shd w:val="clear" w:color="auto" w:fill="CCEEFF"/>
          </w:tcPr>
          <w:p>
            <w:pPr>
              <w:jc w:val="center"/>
              <w:ind w:right="15"/>
              <w:spacing w:after="0"/>
              <w:rPr>
                <w:sz w:val="20"/>
                <w:szCs w:val="20"/>
                <w:color w:val="auto"/>
              </w:rPr>
            </w:pPr>
            <w:r>
              <w:rPr>
                <w:rFonts w:ascii="Arial" w:cs="Arial" w:eastAsia="Arial" w:hAnsi="Arial"/>
                <w:sz w:val="14"/>
                <w:szCs w:val="14"/>
                <w:b w:val="1"/>
                <w:bCs w:val="1"/>
                <w:color w:val="auto"/>
              </w:rPr>
              <w:t>Three months ended 9/30/2018</w:t>
            </w: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rPr>
              <w:t>Currency translation adjustments</w:t>
            </w:r>
          </w:p>
        </w:tc>
        <w:tc>
          <w:tcPr>
            <w:tcW w:w="120" w:type="dxa"/>
            <w:vAlign w:val="bottom"/>
          </w:tcPr>
          <w:p>
            <w:pPr>
              <w:spacing w:after="0"/>
              <w:rPr>
                <w:sz w:val="21"/>
                <w:szCs w:val="21"/>
                <w:color w:val="auto"/>
              </w:rPr>
            </w:pPr>
          </w:p>
        </w:tc>
        <w:tc>
          <w:tcPr>
            <w:tcW w:w="3900" w:type="dxa"/>
            <w:vAlign w:val="bottom"/>
            <w:gridSpan w:val="7"/>
          </w:tcPr>
          <w:p>
            <w:pPr>
              <w:jc w:val="center"/>
              <w:ind w:right="15"/>
              <w:spacing w:after="0"/>
              <w:rPr>
                <w:sz w:val="20"/>
                <w:szCs w:val="20"/>
                <w:color w:val="auto"/>
              </w:rPr>
            </w:pPr>
            <w:r>
              <w:rPr>
                <w:rFonts w:ascii="Arial" w:cs="Arial" w:eastAsia="Arial" w:hAnsi="Arial"/>
                <w:sz w:val="14"/>
                <w:szCs w:val="14"/>
                <w:b w:val="1"/>
                <w:bCs w:val="1"/>
                <w:color w:val="auto"/>
              </w:rPr>
              <w:t>Currency translation adjustments</w:t>
            </w:r>
          </w:p>
        </w:tc>
        <w:tc>
          <w:tcPr>
            <w:tcW w:w="0" w:type="dxa"/>
            <w:vAlign w:val="bottom"/>
          </w:tcPr>
          <w:p>
            <w:pPr>
              <w:spacing w:after="0"/>
              <w:rPr>
                <w:sz w:val="1"/>
                <w:szCs w:val="1"/>
                <w:color w:val="auto"/>
              </w:rPr>
            </w:pPr>
          </w:p>
        </w:tc>
      </w:tr>
      <w:tr>
        <w:trPr>
          <w:trHeight w:val="168"/>
        </w:trPr>
        <w:tc>
          <w:tcPr>
            <w:tcW w:w="32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Consolidated T.</w:t>
            </w: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Rowe Price</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Rowe Price</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investment</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investment</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products -</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Total currency</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products -</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right="35"/>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Equity method</w:t>
            </w:r>
          </w:p>
        </w:tc>
        <w:tc>
          <w:tcPr>
            <w:tcW w:w="138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variable interest</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translation</w:t>
            </w: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Equity method</w:t>
            </w:r>
          </w:p>
        </w:tc>
        <w:tc>
          <w:tcPr>
            <w:tcW w:w="138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variable interest</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right="35"/>
              <w:spacing w:after="0"/>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203"/>
        </w:trPr>
        <w:tc>
          <w:tcPr>
            <w:tcW w:w="3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adjustments</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investments</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right="55"/>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46"/>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Balances at beginning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183"/>
        </w:trPr>
        <w:tc>
          <w:tcPr>
            <w:tcW w:w="3260" w:type="dxa"/>
            <w:vAlign w:val="bottom"/>
            <w:shd w:val="clear" w:color="auto" w:fill="CCEEFF"/>
          </w:tcPr>
          <w:p>
            <w:pPr>
              <w:ind w:left="40"/>
              <w:spacing w:after="0" w:line="183" w:lineRule="exact"/>
              <w:rPr>
                <w:sz w:val="20"/>
                <w:szCs w:val="20"/>
                <w:color w:val="auto"/>
              </w:rPr>
            </w:pPr>
            <w:r>
              <w:rPr>
                <w:rFonts w:ascii="Arial" w:cs="Arial" w:eastAsia="Arial" w:hAnsi="Arial"/>
                <w:sz w:val="16"/>
                <w:szCs w:val="16"/>
                <w:color w:val="auto"/>
              </w:rPr>
              <w:t>Other comprehensive income (loss) before</w:t>
            </w: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reclassifications and income taxes</w:t>
            </w:r>
          </w:p>
        </w:tc>
        <w:tc>
          <w:tcPr>
            <w:tcW w:w="14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60" w:type="dxa"/>
            <w:vAlign w:val="bottom"/>
          </w:tcPr>
          <w:p>
            <w:pPr>
              <w:ind w:left="40"/>
              <w:spacing w:after="0"/>
              <w:rPr>
                <w:sz w:val="20"/>
                <w:szCs w:val="20"/>
                <w:color w:val="auto"/>
              </w:rPr>
            </w:pPr>
            <w:r>
              <w:rPr>
                <w:rFonts w:ascii="Arial" w:cs="Arial" w:eastAsia="Arial" w:hAnsi="Arial"/>
                <w:sz w:val="16"/>
                <w:szCs w:val="16"/>
                <w:color w:val="auto"/>
              </w:rPr>
              <w:t>Reclassification adjustments recognized in</w:t>
            </w:r>
          </w:p>
        </w:tc>
        <w:tc>
          <w:tcPr>
            <w:tcW w:w="140" w:type="dxa"/>
            <w:vAlign w:val="bottom"/>
          </w:tcPr>
          <w:p>
            <w:pPr>
              <w:spacing w:after="0"/>
              <w:rPr>
                <w:sz w:val="17"/>
                <w:szCs w:val="17"/>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80" w:type="dxa"/>
            <w:vAlign w:val="bottom"/>
            <w:vMerge w:val="restart"/>
          </w:tcPr>
          <w:p>
            <w:pPr>
              <w:jc w:val="right"/>
              <w:ind w:right="17"/>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vMerge w:val="restart"/>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tcPr>
          <w:p>
            <w:pPr>
              <w:ind w:left="40"/>
              <w:spacing w:after="0"/>
              <w:rPr>
                <w:sz w:val="20"/>
                <w:szCs w:val="20"/>
                <w:color w:val="auto"/>
              </w:rPr>
            </w:pPr>
            <w:r>
              <w:rPr>
                <w:rFonts w:ascii="Arial" w:cs="Arial" w:eastAsia="Arial" w:hAnsi="Arial"/>
                <w:sz w:val="16"/>
                <w:szCs w:val="16"/>
                <w:color w:val="auto"/>
              </w:rPr>
              <w:t>non-operating income</w:t>
            </w: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2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65"/>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deferred tax benefits (income taxes)</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4"/>
        </w:trPr>
        <w:tc>
          <w:tcPr>
            <w:tcW w:w="3260" w:type="dxa"/>
            <w:vAlign w:val="bottom"/>
          </w:tcPr>
          <w:p>
            <w:pPr>
              <w:ind w:left="40"/>
              <w:spacing w:after="0"/>
              <w:rPr>
                <w:sz w:val="20"/>
                <w:szCs w:val="20"/>
                <w:color w:val="auto"/>
              </w:rPr>
            </w:pPr>
            <w:r>
              <w:rPr>
                <w:rFonts w:ascii="Arial" w:cs="Arial" w:eastAsia="Arial" w:hAnsi="Arial"/>
                <w:sz w:val="16"/>
                <w:szCs w:val="16"/>
                <w:color w:val="auto"/>
              </w:rPr>
              <w:t>Balances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20"/>
          </w:cols>
          <w:pgMar w:left="240" w:top="628" w:right="239" w:bottom="1440" w:gutter="0" w:footer="0" w:header="0"/>
        </w:sectPr>
      </w:pPr>
    </w:p>
    <w:bookmarkStart w:id="18" w:name="page19"/>
    <w:bookmarkEnd w:id="18"/>
    <w:p>
      <w:pPr>
        <w:ind w:right="840"/>
        <w:spacing w:after="0" w:line="252" w:lineRule="auto"/>
        <w:rPr>
          <w:sz w:val="20"/>
          <w:szCs w:val="20"/>
          <w:color w:val="auto"/>
        </w:rPr>
      </w:pPr>
      <w:r>
        <w:rPr>
          <w:rFonts w:ascii="Arial" w:cs="Arial" w:eastAsia="Arial" w:hAnsi="Arial"/>
          <w:sz w:val="18"/>
          <w:szCs w:val="18"/>
          <w:color w:val="auto"/>
        </w:rPr>
        <w:t>The changes in the currency translation adjustment component of accumulated other comprehensive loss</w:t>
      </w:r>
      <w:r>
        <w:rPr>
          <w:rFonts w:ascii="Arial" w:cs="Arial" w:eastAsia="Arial" w:hAnsi="Arial"/>
          <w:sz w:val="21"/>
          <w:szCs w:val="21"/>
          <w:color w:val="auto"/>
          <w:vertAlign w:val="superscript"/>
        </w:rPr>
        <w:t>(1)</w:t>
      </w:r>
      <w:r>
        <w:rPr>
          <w:rFonts w:ascii="Arial" w:cs="Arial" w:eastAsia="Arial" w:hAnsi="Arial"/>
          <w:sz w:val="18"/>
          <w:szCs w:val="18"/>
          <w:color w:val="auto"/>
        </w:rPr>
        <w:t>, including reclassification adjustments for nine months ended September 30, 2019 and 2018 are presented in the table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3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0" w:type="dxa"/>
            <w:vAlign w:val="bottom"/>
            <w:gridSpan w:val="8"/>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Nine months ended 9/30/2019</w:t>
            </w:r>
          </w:p>
        </w:tc>
        <w:tc>
          <w:tcPr>
            <w:tcW w:w="120" w:type="dxa"/>
            <w:vAlign w:val="bottom"/>
            <w:shd w:val="clear" w:color="auto" w:fill="CCEEFF"/>
          </w:tcPr>
          <w:p>
            <w:pPr>
              <w:spacing w:after="0"/>
              <w:rPr>
                <w:sz w:val="23"/>
                <w:szCs w:val="23"/>
                <w:color w:val="auto"/>
              </w:rPr>
            </w:pPr>
          </w:p>
        </w:tc>
        <w:tc>
          <w:tcPr>
            <w:tcW w:w="3900" w:type="dxa"/>
            <w:vAlign w:val="bottom"/>
            <w:gridSpan w:val="7"/>
            <w:shd w:val="clear" w:color="auto" w:fill="CCEEFF"/>
          </w:tcPr>
          <w:p>
            <w:pPr>
              <w:jc w:val="center"/>
              <w:ind w:right="15"/>
              <w:spacing w:after="0"/>
              <w:rPr>
                <w:sz w:val="20"/>
                <w:szCs w:val="20"/>
                <w:color w:val="auto"/>
              </w:rPr>
            </w:pPr>
            <w:r>
              <w:rPr>
                <w:rFonts w:ascii="Arial" w:cs="Arial" w:eastAsia="Arial" w:hAnsi="Arial"/>
                <w:sz w:val="14"/>
                <w:szCs w:val="14"/>
                <w:b w:val="1"/>
                <w:bCs w:val="1"/>
                <w:color w:val="auto"/>
              </w:rPr>
              <w:t>Nine months ended 9/30/2018</w:t>
            </w:r>
          </w:p>
        </w:tc>
        <w:tc>
          <w:tcPr>
            <w:tcW w:w="0" w:type="dxa"/>
            <w:vAlign w:val="bottom"/>
          </w:tcPr>
          <w:p>
            <w:pPr>
              <w:spacing w:after="0"/>
              <w:rPr>
                <w:sz w:val="1"/>
                <w:szCs w:val="1"/>
                <w:color w:val="auto"/>
              </w:rPr>
            </w:pPr>
          </w:p>
        </w:tc>
      </w:tr>
      <w:tr>
        <w:trPr>
          <w:trHeight w:val="168"/>
        </w:trPr>
        <w:tc>
          <w:tcPr>
            <w:tcW w:w="3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Consolidated T.</w:t>
            </w: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investment</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products -</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 currency</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products -</w:t>
            </w:r>
          </w:p>
        </w:tc>
        <w:tc>
          <w:tcPr>
            <w:tcW w:w="120" w:type="dxa"/>
            <w:vAlign w:val="bottom"/>
          </w:tcPr>
          <w:p>
            <w:pPr>
              <w:spacing w:after="0"/>
              <w:rPr>
                <w:sz w:val="14"/>
                <w:szCs w:val="14"/>
                <w:color w:val="auto"/>
              </w:rPr>
            </w:pPr>
          </w:p>
        </w:tc>
        <w:tc>
          <w:tcPr>
            <w:tcW w:w="1140" w:type="dxa"/>
            <w:vAlign w:val="bottom"/>
          </w:tcPr>
          <w:p>
            <w:pPr>
              <w:jc w:val="center"/>
              <w:ind w:right="35"/>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Equity method</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variable interest</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Equity method</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4"/>
                <w:szCs w:val="14"/>
                <w:color w:val="auto"/>
              </w:rPr>
            </w:pPr>
          </w:p>
        </w:tc>
        <w:tc>
          <w:tcPr>
            <w:tcW w:w="1140" w:type="dxa"/>
            <w:vAlign w:val="bottom"/>
          </w:tcPr>
          <w:p>
            <w:pPr>
              <w:jc w:val="center"/>
              <w:ind w:right="35"/>
              <w:spacing w:after="0"/>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203"/>
        </w:trPr>
        <w:tc>
          <w:tcPr>
            <w:tcW w:w="32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7"/>
                <w:szCs w:val="17"/>
                <w:color w:val="auto"/>
              </w:rPr>
            </w:pPr>
          </w:p>
        </w:tc>
        <w:tc>
          <w:tcPr>
            <w:tcW w:w="1140" w:type="dxa"/>
            <w:vAlign w:val="bottom"/>
          </w:tcPr>
          <w:p>
            <w:pPr>
              <w:jc w:val="center"/>
              <w:ind w:right="55"/>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51"/>
        </w:trPr>
        <w:tc>
          <w:tcPr>
            <w:tcW w:w="3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beginning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23.2</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78"/>
        </w:trPr>
        <w:tc>
          <w:tcPr>
            <w:tcW w:w="3260" w:type="dxa"/>
            <w:vAlign w:val="bottom"/>
          </w:tcPr>
          <w:p>
            <w:pPr>
              <w:ind w:left="40"/>
              <w:spacing w:after="0" w:line="178" w:lineRule="exact"/>
              <w:rPr>
                <w:sz w:val="20"/>
                <w:szCs w:val="20"/>
                <w:color w:val="auto"/>
              </w:rPr>
            </w:pPr>
            <w:r>
              <w:rPr>
                <w:rFonts w:ascii="Arial" w:cs="Arial" w:eastAsia="Arial" w:hAnsi="Arial"/>
                <w:sz w:val="16"/>
                <w:szCs w:val="16"/>
                <w:color w:val="auto"/>
              </w:rPr>
              <w:t>Other comprehensive income (loss) before</w:t>
            </w:r>
          </w:p>
        </w:tc>
        <w:tc>
          <w:tcPr>
            <w:tcW w:w="140" w:type="dxa"/>
            <w:vAlign w:val="bottom"/>
          </w:tcPr>
          <w:p>
            <w:pPr>
              <w:spacing w:after="0"/>
              <w:rPr>
                <w:sz w:val="15"/>
                <w:szCs w:val="15"/>
                <w:color w:val="auto"/>
              </w:rPr>
            </w:pPr>
          </w:p>
        </w:tc>
        <w:tc>
          <w:tcPr>
            <w:tcW w:w="1140" w:type="dxa"/>
            <w:vAlign w:val="bottom"/>
            <w:vMerge w:val="restart"/>
          </w:tcPr>
          <w:p>
            <w:pPr>
              <w:jc w:val="right"/>
              <w:ind w:right="35"/>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3260" w:type="dxa"/>
            <w:vAlign w:val="bottom"/>
          </w:tcPr>
          <w:p>
            <w:pPr>
              <w:ind w:left="40"/>
              <w:spacing w:after="0"/>
              <w:rPr>
                <w:sz w:val="20"/>
                <w:szCs w:val="20"/>
                <w:color w:val="auto"/>
              </w:rPr>
            </w:pPr>
            <w:r>
              <w:rPr>
                <w:rFonts w:ascii="Arial" w:cs="Arial" w:eastAsia="Arial" w:hAnsi="Arial"/>
                <w:sz w:val="16"/>
                <w:szCs w:val="16"/>
                <w:color w:val="auto"/>
              </w:rPr>
              <w:t>reclassifications and income taxes</w:t>
            </w: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adjustments recognized in</w:t>
            </w:r>
          </w:p>
        </w:tc>
        <w:tc>
          <w:tcPr>
            <w:tcW w:w="1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0"/>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deferred tax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5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180" w:right="100" w:hanging="172"/>
        <w:spacing w:after="0" w:line="268" w:lineRule="auto"/>
        <w:tabs>
          <w:tab w:leader="none" w:pos="190" w:val="left"/>
        </w:tabs>
        <w:numPr>
          <w:ilvl w:val="0"/>
          <w:numId w:val="6"/>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Accumulated other comprehensive loss as of December 31, 2017, also included $7.9 million of net unrealized holding gains that were reclassified to retained earnings upon adoption of the financial instruments accounting guidance on January 1, 2018. This reclassification also includes the reclassification of $1.7 million of stranded income taxes on available-for-sale investments resulting from U.S. tax law changes enacted on December 22,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-425450</wp:posOffset>
            </wp:positionV>
            <wp:extent cx="5179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matter has been certified as a class action. T. Rowe Price believes the claims are without merit and is vigorously defending the action. This matter is in the discovery phase of litigation and we cannot predict the eventual outcome, or whether it will have a material negative impact on our financial results, or estimate the possible loss or range of loss that may arise from any negative outcome.</w:t>
      </w:r>
    </w:p>
    <w:p>
      <w:pPr>
        <w:spacing w:after="0" w:line="1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w:t>
      </w:r>
    </w:p>
    <w:p>
      <w:pPr>
        <w:spacing w:after="0" w:line="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 Rowe Price believes the claims are without merit and is vigorously defending the action. This matter is in the discovery phase of litigation and we cannot predict the eventual outcome, or whether it will have a material negative impact on our financial results, or estimate the possible loss or range of loss that may arise from any negative outcome.</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73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September 30, 2019, the related condensed consolidated statements of income, comprehensive income, and stockholders’ equity for the three-month and nine-month periods ended September 30, 2019 and 2018, the related condensed consolidated statements of cash flows for the nine-month periods ended September 30, 2019 and 2018,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3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2018, and the related consolidated statements of income, comprehensive income, stockholders’ equity, and cash flows for the year then ended (not presented herein); and in our report dated February 13, 2019, we expressed an unqualified opinion on those consolidated financial statements. In our opinion, the information set forth in the accompanying condensed consolidated balance sheet as of December 31, 2018, is fairly stated, in all material respects, in relation to the consolidated balance sheet from which it has been derived.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88" w:lineRule="exact"/>
        <w:rPr>
          <w:sz w:val="20"/>
          <w:szCs w:val="20"/>
          <w:color w:val="auto"/>
        </w:rPr>
      </w:pPr>
    </w:p>
    <w:p>
      <w:pPr>
        <w:jc w:val="both"/>
        <w:ind w:right="160"/>
        <w:spacing w:after="0" w:line="271"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00"/>
          </w:cols>
          <w:pgMar w:left="240" w:top="576"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U.S. mutual funds, separately managed accounts, subadvised funds, and other T. Rowe Price products. The other T. Rowe Price products include: collective investment trusts, open-ended investment products offered to investors outside the U.S., and products offered through variable annuity life insurance plans in the U.S.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products,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 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177"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The general trend to passive investing has been persistent and accelerated in recent years, which has negatively impacted our new client inflows. However, over the long term we expect well-executed active management to play an important role for investors. In this regard, we remain debt-free with ample liquidity and resources that allow us to take advantage of attractive growth opportunities. We are investing to advance our strategic priorities to sustain and deepen our investment talent, add investment capabilities both in terms of new strategies and new investment vehicles, expand capabilities through enhanced technology, and broaden our distribution reach globally.</w:t>
      </w:r>
    </w:p>
    <w:p>
      <w:pPr>
        <w:spacing w:after="0" w:line="17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We changed our 2019 non-GAAP operating expense growth range guidance from a range of 4% to 7% to a range of 4% to 5% as year-to-date distribution, product-related and professional fee expenses, as well as headcount growth, have been lower than planned. This new expense growth range factors in continued investments in the business, our cost optimization efforts, and the phased implementation of paying for all third-party investment research. We currently expect that our 2020 operating expenses will reflect a full year of all third-party investment research costs.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25"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U.S. stocks were mixed in a narrow range, with large-cap shares outperforming mid- and small-caps. Monetary policy expectations were a major driver of market sentiment, as the Federal Reserve reduced short-term interest rates twice in the third quarter and other central banks around the world took measures to stimulate economic growth. Continued U.S.-China trade tensions and concerns about escalation of the trade dispute weighed periodically on world markets, especially in August. However, the quarter ended with optimism that the resumption of trade negotiations in October would lead to some tangible progress toward a trade deal.</w:t>
      </w:r>
    </w:p>
    <w:p>
      <w:pPr>
        <w:spacing w:after="0" w:line="17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Developed non-U.S. equity markets generally declined; a stronger U.S. dollar versus other currencies hurt returns in dollar terms. Developed European stock markets were mixed, with German shares falling 4% in dollar terms, as poor manufacturing data suggested that Europe’s largest economy was slipping into recession. UK shares struggled, declining nearly 2.5%, amid continued Brexit uncertainty. Most developed Asian markets fell. Hong Kong shares were hit particularly hard, plunging 12% as demonstrators continued to demand changes from the government even though the city’s chief executive withdrew a controversial extradition bill in early September. Despite disappointing economic data, Japanese shares rose more than 3% in dollar terms.</w:t>
      </w:r>
    </w:p>
    <w:p>
      <w:pPr>
        <w:spacing w:after="0" w:line="178"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Emerging equity markets fared worse than developed markets. Currencies in many developing countries weakened versus the U.S. dollar as many emerging markets central banks cut interest rates in response to slowing economic growth.</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380"/>
          </w:cols>
          <w:pgMar w:left="240" w:top="574"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Returns of several major equity market indexes for the three- and nine-month periods ended September 30, 2019,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Nine months ended</w:t>
            </w:r>
          </w:p>
        </w:tc>
      </w:tr>
      <w:tr>
        <w:trPr>
          <w:trHeight w:val="269"/>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9/30/2019</w:t>
            </w: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9/30/2019</w:t>
            </w:r>
          </w:p>
        </w:tc>
      </w:tr>
      <w:tr>
        <w:trPr>
          <w:trHeight w:val="251"/>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S&amp;P 500 Index</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1.7%</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20.6%</w:t>
            </w:r>
          </w:p>
        </w:tc>
      </w:tr>
      <w:tr>
        <w:trPr>
          <w:trHeight w:val="270"/>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NASDAQ Composite Index</w:t>
            </w:r>
            <w:r>
              <w:rPr>
                <w:rFonts w:ascii="Arial" w:cs="Arial" w:eastAsia="Arial" w:hAnsi="Arial"/>
                <w:sz w:val="21"/>
                <w:szCs w:val="21"/>
                <w:color w:val="auto"/>
                <w:vertAlign w:val="superscript"/>
              </w:rPr>
              <w:t>(1)</w:t>
            </w:r>
          </w:p>
        </w:tc>
        <w:tc>
          <w:tcPr>
            <w:tcW w:w="1480" w:type="dxa"/>
            <w:vAlign w:val="bottom"/>
          </w:tcPr>
          <w:p>
            <w:pPr>
              <w:jc w:val="center"/>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20.6%</w:t>
            </w:r>
          </w:p>
        </w:tc>
      </w:t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Russell 2000 Index</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(2.4)%</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14.2%</w:t>
            </w:r>
          </w:p>
        </w:tc>
      </w:tr>
      <w:tr>
        <w:trPr>
          <w:trHeight w:val="261"/>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(1.0)%</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13.4%</w:t>
            </w:r>
          </w:p>
        </w:tc>
      </w:tr>
      <w:tr>
        <w:trPr>
          <w:trHeight w:val="270"/>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MSCI Emerging Markets Index</w:t>
            </w: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(4.1)%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hanging="132"/>
        <w:spacing w:after="0"/>
        <w:tabs>
          <w:tab w:leader="none" w:pos="18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i w:val="1"/>
          <w:iCs w:val="1"/>
          <w:color w:val="auto"/>
        </w:rPr>
        <w:t>Returns exclude dividends</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Global bond returns were mixed. Domestic bonds posted positive returns, but a stronger U.S. dollar versus other currencies reduced overseas bond returns in dollar terms. At the end of September, the federal funds target rate was in the 1.75% to 2.00% range following the two rate cuts in the quarter. Treasury yields decreased across all maturities, but longer-term rates generally declined more than shorter-term yields. The 10-year Treasury note yield decreased from 2.00% to 1.68%.</w:t>
      </w:r>
    </w:p>
    <w:p>
      <w:pPr>
        <w:spacing w:after="0" w:line="17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the investment-grade bond universe, long-term Treasuries were the best performers, but corporate bonds also posted solid returns. Mortgage-backed securities lagged with milder gains, as falling long-term rates led to increased refinancing activity and mortgage prepayments. Municipal bonds produced positive returns but underperformed taxable bonds, as municipal bond yields did not decrease as much as Treasury yields. High yield bonds appreciated but trailed investment-grade issues.</w:t>
      </w:r>
    </w:p>
    <w:p>
      <w:pPr>
        <w:spacing w:after="0" w:line="170"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Bonds in developed non-U.S. countries produced modestly negative returns in U.S. dollar terms. Longer-term interest rates in many countries decreased, which lifted bond prices, but major currencies fell versus the dollar, reducing returns in dollar terms. Emerging markets bonds were mixed, with local-currency bonds under-performing amid broad dollar strength. Most developing market currencies fell during the quarter.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for the three- and nine-month periods ended September 30, 2019,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Nine months ended</w:t>
            </w:r>
          </w:p>
        </w:tc>
      </w:tr>
      <w:tr>
        <w:trPr>
          <w:trHeight w:val="269"/>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9/30/2019</w:t>
            </w: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9/30/2019</w:t>
            </w:r>
          </w:p>
        </w:tc>
      </w:tr>
      <w:tr>
        <w:trPr>
          <w:trHeight w:val="251"/>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Bloomberg Barclays U.S. Aggregate Bond Index</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8.5%</w:t>
            </w:r>
          </w:p>
        </w:tc>
      </w:tr>
      <w:tr>
        <w:trPr>
          <w:trHeight w:val="265"/>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JPMorgan Global High Yield Index</w:t>
            </w: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1.1%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11.3%</w:t>
            </w:r>
          </w:p>
        </w:tc>
      </w:tr>
      <w:tr>
        <w:trPr>
          <w:trHeight w:val="275"/>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Bloomberg Barclays Municipal Bond Index</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1.6%</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6.8%</w:t>
            </w:r>
          </w:p>
        </w:tc>
      </w:tr>
      <w:tr>
        <w:trPr>
          <w:trHeight w:val="265"/>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Bloomberg Barclays Global Aggregate Ex-U.S. Dollar Bond Index</w:t>
            </w:r>
          </w:p>
        </w:tc>
        <w:tc>
          <w:tcPr>
            <w:tcW w:w="1480" w:type="dxa"/>
            <w:vAlign w:val="bottom"/>
          </w:tcPr>
          <w:p>
            <w:pPr>
              <w:jc w:val="center"/>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4.4%</w:t>
            </w:r>
          </w:p>
        </w:tc>
      </w:tr>
      <w:tr>
        <w:trPr>
          <w:trHeight w:val="275"/>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JPMorgan Emerging Markets Bond Index Plus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(1.7)%</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8.9%</w:t>
            </w:r>
          </w:p>
        </w:tc>
      </w:tr>
    </w:tbl>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57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u w:val="single" w:color="auto"/>
          <w:color w:val="auto"/>
        </w:rPr>
        <w:t>ASSETS UNDER MANAGEMENT.</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Assets under management ended the third quarter of 2019 at $ 1,126.3 billion, an increase of $1.3 billion from June 30, 2019 and $164.0 billion from the end of 2018. We had net cash inflows of $ 2.5 billion in the third quarter of 2019 and $10.4 billion for the first nine months of 2019. The following table details changes in our assets under management, by vehicle and asset class during the three- and nine-month periods ended September 30,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3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2460" w:type="dxa"/>
            <w:vAlign w:val="bottom"/>
            <w:tcBorders>
              <w:bottom w:val="single" w:sz="8" w:color="auto"/>
            </w:tcBorders>
            <w:gridSpan w:val="5"/>
            <w:shd w:val="clear" w:color="auto" w:fill="CCEEFF"/>
          </w:tcPr>
          <w:p>
            <w:pPr>
              <w:ind w:left="160"/>
              <w:spacing w:after="0"/>
              <w:rPr>
                <w:sz w:val="20"/>
                <w:szCs w:val="20"/>
                <w:color w:val="auto"/>
              </w:rPr>
            </w:pPr>
            <w:r>
              <w:rPr>
                <w:rFonts w:ascii="Arial" w:cs="Arial" w:eastAsia="Arial" w:hAnsi="Arial"/>
                <w:sz w:val="14"/>
                <w:szCs w:val="14"/>
                <w:b w:val="1"/>
                <w:bCs w:val="1"/>
                <w:color w:val="auto"/>
              </w:rPr>
              <w:t>Three months ended 9/30/2019</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2480" w:type="dxa"/>
            <w:vAlign w:val="bottom"/>
            <w:tcBorders>
              <w:bottom w:val="single" w:sz="8" w:color="auto"/>
            </w:tcBorders>
            <w:gridSpan w:val="5"/>
            <w:shd w:val="clear" w:color="auto" w:fill="CCEEFF"/>
          </w:tcPr>
          <w:p>
            <w:pPr>
              <w:ind w:left="180"/>
              <w:spacing w:after="0"/>
              <w:rPr>
                <w:sz w:val="20"/>
                <w:szCs w:val="20"/>
                <w:color w:val="auto"/>
              </w:rPr>
            </w:pPr>
            <w:r>
              <w:rPr>
                <w:rFonts w:ascii="Arial" w:cs="Arial" w:eastAsia="Arial" w:hAnsi="Arial"/>
                <w:sz w:val="14"/>
                <w:szCs w:val="14"/>
                <w:b w:val="1"/>
                <w:bCs w:val="1"/>
                <w:color w:val="auto"/>
              </w:rPr>
              <w:t>Nine months ended 9/30/2019</w:t>
            </w: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U.S.</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Subadvised and</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U.S.</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Subadvised and</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mutual</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separate</w:t>
            </w: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investment</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mutual</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separate</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00" w:type="dxa"/>
            <w:vAlign w:val="bottom"/>
          </w:tcPr>
          <w:p>
            <w:pPr>
              <w:ind w:left="40"/>
              <w:spacing w:after="0"/>
              <w:rPr>
                <w:sz w:val="20"/>
                <w:szCs w:val="20"/>
                <w:color w:val="auto"/>
              </w:rPr>
            </w:pPr>
            <w:r>
              <w:rPr>
                <w:rFonts w:ascii="Arial" w:cs="Arial" w:eastAsia="Arial" w:hAnsi="Arial"/>
                <w:sz w:val="14"/>
                <w:szCs w:val="14"/>
                <w:color w:val="auto"/>
              </w:rPr>
              <w:t>(in billions)</w:t>
            </w:r>
          </w:p>
        </w:tc>
        <w:tc>
          <w:tcPr>
            <w:tcW w:w="160" w:type="dxa"/>
            <w:vAlign w:val="bottom"/>
          </w:tcPr>
          <w:p>
            <w:pPr>
              <w:spacing w:after="0"/>
              <w:rPr>
                <w:sz w:val="17"/>
                <w:szCs w:val="17"/>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funds</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accounts</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funds</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accounts</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180" w:type="dxa"/>
            <w:vAlign w:val="bottom"/>
          </w:tcPr>
          <w:p>
            <w:pPr>
              <w:spacing w:after="0"/>
              <w:rPr>
                <w:sz w:val="17"/>
                <w:szCs w:val="17"/>
                <w:color w:val="auto"/>
              </w:rPr>
            </w:pPr>
          </w:p>
        </w:tc>
        <w:tc>
          <w:tcPr>
            <w:tcW w:w="720" w:type="dxa"/>
            <w:vAlign w:val="bottom"/>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2300" w:type="dxa"/>
            <w:vAlign w:val="bottom"/>
            <w:tcBorders>
              <w:top w:val="single" w:sz="8" w:color="CCEEFF"/>
            </w:tcBorders>
            <w:shd w:val="clear" w:color="auto" w:fill="CCEEFF"/>
          </w:tcPr>
          <w:p>
            <w:pPr>
              <w:ind w:left="40"/>
              <w:spacing w:after="0" w:line="179" w:lineRule="exact"/>
              <w:rPr>
                <w:sz w:val="20"/>
                <w:szCs w:val="20"/>
                <w:color w:val="auto"/>
              </w:rPr>
            </w:pPr>
            <w:r>
              <w:rPr>
                <w:rFonts w:ascii="Arial" w:cs="Arial" w:eastAsia="Arial" w:hAnsi="Arial"/>
                <w:sz w:val="16"/>
                <w:szCs w:val="16"/>
                <w:color w:val="auto"/>
              </w:rPr>
              <w:t>Assets under management at</w:t>
            </w: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648.3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292.6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1,125.0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564.5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147.8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962.3</w:t>
            </w:r>
          </w:p>
        </w:tc>
        <w:tc>
          <w:tcPr>
            <w:tcW w:w="0" w:type="dxa"/>
            <w:vAlign w:val="bottom"/>
          </w:tcPr>
          <w:p>
            <w:pPr>
              <w:spacing w:after="0"/>
              <w:rPr>
                <w:sz w:val="1"/>
                <w:szCs w:val="1"/>
                <w:color w:val="auto"/>
              </w:rPr>
            </w:pPr>
          </w:p>
        </w:tc>
      </w:tr>
      <w:tr>
        <w:trPr>
          <w:trHeight w:val="176"/>
        </w:trPr>
        <w:tc>
          <w:tcPr>
            <w:tcW w:w="2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flows before client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transfers</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6"/>
                <w:szCs w:val="16"/>
                <w:color w:val="auto"/>
              </w:rPr>
              <w:t>Client transfers</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after client</w:t>
            </w: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transfers</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98"/>
        </w:trPr>
        <w:tc>
          <w:tcPr>
            <w:tcW w:w="2300" w:type="dxa"/>
            <w:vAlign w:val="bottom"/>
          </w:tcPr>
          <w:p>
            <w:pPr>
              <w:ind w:left="40"/>
              <w:spacing w:after="0"/>
              <w:rPr>
                <w:sz w:val="20"/>
                <w:szCs w:val="20"/>
                <w:color w:val="auto"/>
              </w:rPr>
            </w:pPr>
            <w:r>
              <w:rPr>
                <w:rFonts w:ascii="Arial" w:cs="Arial" w:eastAsia="Arial" w:hAnsi="Arial"/>
                <w:sz w:val="16"/>
                <w:szCs w:val="16"/>
                <w:color w:val="auto"/>
              </w:rPr>
              <w:t>Net market appreciation</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300" w:type="dxa"/>
            <w:vAlign w:val="bottom"/>
          </w:tcPr>
          <w:p>
            <w:pPr>
              <w:ind w:left="40"/>
              <w:spacing w:after="0"/>
              <w:rPr>
                <w:sz w:val="20"/>
                <w:szCs w:val="20"/>
                <w:color w:val="auto"/>
              </w:rPr>
            </w:pPr>
            <w:r>
              <w:rPr>
                <w:rFonts w:ascii="Arial" w:cs="Arial" w:eastAsia="Arial" w:hAnsi="Arial"/>
                <w:sz w:val="16"/>
                <w:szCs w:val="16"/>
                <w:color w:val="auto"/>
              </w:rPr>
              <w:t>(depreciation) and income</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153.7</w:t>
            </w: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distributions reinvested</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(not reinvested)</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Change during the period</w:t>
            </w:r>
          </w:p>
        </w:tc>
        <w:tc>
          <w:tcPr>
            <w:tcW w:w="1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78.1</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43.0</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42.9</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164.0</w:t>
            </w: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00" w:type="dxa"/>
            <w:vAlign w:val="bottom"/>
          </w:tcPr>
          <w:p>
            <w:pPr>
              <w:ind w:left="40"/>
              <w:spacing w:after="0"/>
              <w:rPr>
                <w:sz w:val="20"/>
                <w:szCs w:val="20"/>
                <w:color w:val="auto"/>
              </w:rPr>
            </w:pPr>
            <w:r>
              <w:rPr>
                <w:rFonts w:ascii="Arial" w:cs="Arial" w:eastAsia="Arial" w:hAnsi="Arial"/>
                <w:sz w:val="16"/>
                <w:szCs w:val="16"/>
                <w:color w:val="auto"/>
              </w:rPr>
              <w:t>Assets under management at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ind w:right="41"/>
              <w:spacing w:after="0"/>
              <w:rPr>
                <w:sz w:val="20"/>
                <w:szCs w:val="20"/>
                <w:color w:val="auto"/>
              </w:rPr>
            </w:pPr>
            <w:r>
              <w:rPr>
                <w:rFonts w:ascii="Arial" w:cs="Arial" w:eastAsia="Arial" w:hAnsi="Arial"/>
                <w:sz w:val="16"/>
                <w:szCs w:val="16"/>
                <w:color w:val="auto"/>
              </w:rPr>
              <w:t>642.6</w:t>
            </w:r>
          </w:p>
        </w:tc>
        <w:tc>
          <w:tcPr>
            <w:tcW w:w="1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22"/>
              <w:spacing w:after="0"/>
              <w:rPr>
                <w:sz w:val="20"/>
                <w:szCs w:val="20"/>
                <w:color w:val="auto"/>
              </w:rPr>
            </w:pPr>
            <w:r>
              <w:rPr>
                <w:rFonts w:ascii="Arial" w:cs="Arial" w:eastAsia="Arial" w:hAnsi="Arial"/>
                <w:sz w:val="16"/>
                <w:szCs w:val="16"/>
                <w:color w:val="auto"/>
              </w:rPr>
              <w:t>293.0</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190.7</w:t>
            </w:r>
          </w:p>
        </w:tc>
        <w:tc>
          <w:tcPr>
            <w:tcW w:w="100" w:type="dxa"/>
            <w:vAlign w:val="bottom"/>
          </w:tcPr>
          <w:p>
            <w:pPr>
              <w:spacing w:after="0"/>
              <w:rPr>
                <w:sz w:val="17"/>
                <w:szCs w:val="17"/>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color w:val="auto"/>
              </w:rPr>
              <w:t>1,126.3</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ind w:right="21"/>
              <w:spacing w:after="0"/>
              <w:rPr>
                <w:sz w:val="20"/>
                <w:szCs w:val="20"/>
                <w:color w:val="auto"/>
              </w:rPr>
            </w:pPr>
            <w:r>
              <w:rPr>
                <w:rFonts w:ascii="Arial" w:cs="Arial" w:eastAsia="Arial" w:hAnsi="Arial"/>
                <w:sz w:val="16"/>
                <w:szCs w:val="16"/>
                <w:color w:val="auto"/>
              </w:rPr>
              <w:t>642.6</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22"/>
              <w:spacing w:after="0"/>
              <w:rPr>
                <w:sz w:val="20"/>
                <w:szCs w:val="20"/>
                <w:color w:val="auto"/>
              </w:rPr>
            </w:pPr>
            <w:r>
              <w:rPr>
                <w:rFonts w:ascii="Arial" w:cs="Arial" w:eastAsia="Arial" w:hAnsi="Arial"/>
                <w:sz w:val="16"/>
                <w:szCs w:val="16"/>
                <w:color w:val="auto"/>
              </w:rPr>
              <w:t>293.0</w:t>
            </w:r>
          </w:p>
        </w:tc>
        <w:tc>
          <w:tcPr>
            <w:tcW w:w="12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190.7</w:t>
            </w:r>
          </w:p>
        </w:tc>
        <w:tc>
          <w:tcPr>
            <w:tcW w:w="12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20"/>
              <w:spacing w:after="0"/>
              <w:rPr>
                <w:sz w:val="20"/>
                <w:szCs w:val="20"/>
                <w:color w:val="auto"/>
              </w:rPr>
            </w:pPr>
            <w:r>
              <w:rPr>
                <w:rFonts w:ascii="Arial" w:cs="Arial" w:eastAsia="Arial" w:hAnsi="Arial"/>
                <w:sz w:val="16"/>
                <w:szCs w:val="16"/>
                <w:color w:val="auto"/>
              </w:rPr>
              <w:t>1,126.3</w:t>
            </w:r>
          </w:p>
        </w:tc>
        <w:tc>
          <w:tcPr>
            <w:tcW w:w="0" w:type="dxa"/>
            <w:vAlign w:val="bottom"/>
          </w:tcPr>
          <w:p>
            <w:pPr>
              <w:spacing w:after="0"/>
              <w:rPr>
                <w:sz w:val="1"/>
                <w:szCs w:val="1"/>
                <w:color w:val="auto"/>
              </w:rPr>
            </w:pPr>
          </w:p>
        </w:tc>
      </w:tr>
      <w:tr>
        <w:trPr>
          <w:trHeight w:val="225"/>
        </w:trPr>
        <w:tc>
          <w:tcPr>
            <w:tcW w:w="2300" w:type="dxa"/>
            <w:vAlign w:val="bottom"/>
          </w:tcPr>
          <w:p>
            <w:pPr>
              <w:ind w:left="40"/>
              <w:spacing w:after="0"/>
              <w:rPr>
                <w:sz w:val="20"/>
                <w:szCs w:val="20"/>
                <w:color w:val="auto"/>
              </w:rPr>
            </w:pPr>
            <w:r>
              <w:rPr>
                <w:rFonts w:ascii="Arial" w:cs="Arial" w:eastAsia="Arial" w:hAnsi="Arial"/>
                <w:sz w:val="16"/>
                <w:szCs w:val="16"/>
                <w:color w:val="auto"/>
              </w:rPr>
              <w:t>September 30, 2019</w:t>
            </w:r>
          </w:p>
        </w:tc>
        <w:tc>
          <w:tcPr>
            <w:tcW w:w="16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5"/>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3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2460" w:type="dxa"/>
            <w:vAlign w:val="bottom"/>
            <w:tcBorders>
              <w:bottom w:val="single" w:sz="8" w:color="auto"/>
            </w:tcBorders>
            <w:gridSpan w:val="5"/>
            <w:shd w:val="clear" w:color="auto" w:fill="CCEEFF"/>
          </w:tcPr>
          <w:p>
            <w:pPr>
              <w:ind w:left="160"/>
              <w:spacing w:after="0"/>
              <w:rPr>
                <w:sz w:val="20"/>
                <w:szCs w:val="20"/>
                <w:color w:val="auto"/>
              </w:rPr>
            </w:pPr>
            <w:r>
              <w:rPr>
                <w:rFonts w:ascii="Arial" w:cs="Arial" w:eastAsia="Arial" w:hAnsi="Arial"/>
                <w:sz w:val="14"/>
                <w:szCs w:val="14"/>
                <w:b w:val="1"/>
                <w:bCs w:val="1"/>
                <w:color w:val="auto"/>
              </w:rPr>
              <w:t>Three months ended 9/30/2019</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2480" w:type="dxa"/>
            <w:vAlign w:val="bottom"/>
            <w:tcBorders>
              <w:bottom w:val="single" w:sz="8" w:color="auto"/>
            </w:tcBorders>
            <w:gridSpan w:val="5"/>
            <w:shd w:val="clear" w:color="auto" w:fill="CCEEFF"/>
          </w:tcPr>
          <w:p>
            <w:pPr>
              <w:ind w:left="180"/>
              <w:spacing w:after="0"/>
              <w:rPr>
                <w:sz w:val="20"/>
                <w:szCs w:val="20"/>
                <w:color w:val="auto"/>
              </w:rPr>
            </w:pPr>
            <w:r>
              <w:rPr>
                <w:rFonts w:ascii="Arial" w:cs="Arial" w:eastAsia="Arial" w:hAnsi="Arial"/>
                <w:sz w:val="14"/>
                <w:szCs w:val="14"/>
                <w:b w:val="1"/>
                <w:bCs w:val="1"/>
                <w:color w:val="auto"/>
              </w:rPr>
              <w:t>Nine months ended 9/30/2019</w:t>
            </w: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Fixed income,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Fixed income,</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including money</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including money</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300" w:type="dxa"/>
            <w:vAlign w:val="bottom"/>
          </w:tcPr>
          <w:p>
            <w:pPr>
              <w:ind w:left="40"/>
              <w:spacing w:after="0"/>
              <w:rPr>
                <w:sz w:val="20"/>
                <w:szCs w:val="20"/>
                <w:color w:val="auto"/>
              </w:rPr>
            </w:pPr>
            <w:r>
              <w:rPr>
                <w:rFonts w:ascii="Arial" w:cs="Arial" w:eastAsia="Arial" w:hAnsi="Arial"/>
                <w:sz w:val="14"/>
                <w:szCs w:val="14"/>
                <w:color w:val="auto"/>
              </w:rPr>
              <w:t>(in billions)</w:t>
            </w:r>
          </w:p>
        </w:tc>
        <w:tc>
          <w:tcPr>
            <w:tcW w:w="160" w:type="dxa"/>
            <w:vAlign w:val="bottom"/>
          </w:tcPr>
          <w:p>
            <w:pPr>
              <w:spacing w:after="0"/>
              <w:rPr>
                <w:sz w:val="17"/>
                <w:szCs w:val="17"/>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market</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Multi-asset</w:t>
            </w:r>
            <w:r>
              <w:rPr>
                <w:rFonts w:ascii="Arial" w:cs="Arial" w:eastAsia="Arial" w:hAnsi="Arial"/>
                <w:sz w:val="17"/>
                <w:szCs w:val="17"/>
                <w:b w:val="1"/>
                <w:bCs w:val="1"/>
                <w:color w:val="auto"/>
                <w:w w:val="98"/>
                <w:vertAlign w:val="superscript"/>
              </w:rPr>
              <w:t>(1)</w:t>
            </w:r>
          </w:p>
        </w:tc>
        <w:tc>
          <w:tcPr>
            <w:tcW w:w="24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Multi-asset</w:t>
            </w:r>
            <w:r>
              <w:rPr>
                <w:rFonts w:ascii="Arial" w:cs="Arial" w:eastAsia="Arial" w:hAnsi="Arial"/>
                <w:sz w:val="17"/>
                <w:szCs w:val="17"/>
                <w:b w:val="1"/>
                <w:bCs w:val="1"/>
                <w:color w:val="auto"/>
                <w:vertAlign w:val="superscript"/>
              </w:rPr>
              <w:t>(1)</w:t>
            </w:r>
          </w:p>
        </w:tc>
        <w:tc>
          <w:tcPr>
            <w:tcW w:w="180" w:type="dxa"/>
            <w:vAlign w:val="bottom"/>
          </w:tcPr>
          <w:p>
            <w:pPr>
              <w:spacing w:after="0"/>
              <w:rPr>
                <w:sz w:val="17"/>
                <w:szCs w:val="17"/>
                <w:color w:val="auto"/>
              </w:rPr>
            </w:pPr>
          </w:p>
        </w:tc>
        <w:tc>
          <w:tcPr>
            <w:tcW w:w="720" w:type="dxa"/>
            <w:vAlign w:val="bottom"/>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300" w:type="dxa"/>
            <w:vAlign w:val="bottom"/>
            <w:tcBorders>
              <w:top w:val="single" w:sz="8" w:color="CCEEFF"/>
            </w:tcBorders>
            <w:shd w:val="clear" w:color="auto" w:fill="CCEEFF"/>
          </w:tcPr>
          <w:p>
            <w:pPr>
              <w:ind w:left="40"/>
              <w:spacing w:after="0" w:line="178" w:lineRule="exact"/>
              <w:rPr>
                <w:sz w:val="20"/>
                <w:szCs w:val="20"/>
                <w:color w:val="auto"/>
              </w:rPr>
            </w:pPr>
            <w:r>
              <w:rPr>
                <w:rFonts w:ascii="Arial" w:cs="Arial" w:eastAsia="Arial" w:hAnsi="Arial"/>
                <w:sz w:val="16"/>
                <w:szCs w:val="16"/>
                <w:color w:val="auto"/>
              </w:rPr>
              <w:t>Assets under management at</w:t>
            </w: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648.4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144.1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1,125.0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539.9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136.1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286.3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962.3</w:t>
            </w:r>
          </w:p>
        </w:tc>
        <w:tc>
          <w:tcPr>
            <w:tcW w:w="0" w:type="dxa"/>
            <w:vAlign w:val="bottom"/>
          </w:tcPr>
          <w:p>
            <w:pPr>
              <w:spacing w:after="0"/>
              <w:rPr>
                <w:sz w:val="1"/>
                <w:szCs w:val="1"/>
                <w:color w:val="auto"/>
              </w:rPr>
            </w:pPr>
          </w:p>
        </w:tc>
      </w:tr>
      <w:tr>
        <w:trPr>
          <w:trHeight w:val="176"/>
        </w:trPr>
        <w:tc>
          <w:tcPr>
            <w:tcW w:w="2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flows</w:t>
            </w: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98"/>
        </w:trPr>
        <w:tc>
          <w:tcPr>
            <w:tcW w:w="2300" w:type="dxa"/>
            <w:vAlign w:val="bottom"/>
          </w:tcPr>
          <w:p>
            <w:pPr>
              <w:ind w:left="40"/>
              <w:spacing w:after="0"/>
              <w:rPr>
                <w:sz w:val="20"/>
                <w:szCs w:val="20"/>
                <w:color w:val="auto"/>
              </w:rPr>
            </w:pPr>
            <w:r>
              <w:rPr>
                <w:rFonts w:ascii="Arial" w:cs="Arial" w:eastAsia="Arial" w:hAnsi="Arial"/>
                <w:sz w:val="16"/>
                <w:szCs w:val="16"/>
                <w:color w:val="auto"/>
              </w:rPr>
              <w:t>Net market appreciation</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tcBorders>
              <w:bottom w:val="single" w:sz="8" w:color="CCEEFF"/>
            </w:tcBorders>
          </w:tcPr>
          <w:p>
            <w:pPr>
              <w:ind w:left="40"/>
              <w:spacing w:after="0" w:line="234" w:lineRule="exact"/>
              <w:rPr>
                <w:sz w:val="20"/>
                <w:szCs w:val="20"/>
                <w:color w:val="auto"/>
              </w:rPr>
            </w:pPr>
            <w:r>
              <w:rPr>
                <w:rFonts w:ascii="Arial" w:cs="Arial" w:eastAsia="Arial" w:hAnsi="Arial"/>
                <w:sz w:val="16"/>
                <w:szCs w:val="16"/>
                <w:color w:val="auto"/>
              </w:rPr>
              <w:t>(depreciation) and income</w:t>
            </w:r>
            <w:r>
              <w:rPr>
                <w:rFonts w:ascii="Arial" w:cs="Arial" w:eastAsia="Arial" w:hAnsi="Arial"/>
                <w:sz w:val="21"/>
                <w:szCs w:val="21"/>
                <w:color w:val="auto"/>
                <w:vertAlign w:val="superscript"/>
              </w:rPr>
              <w:t>(2)</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103.8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42.9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153.6</w:t>
            </w:r>
          </w:p>
        </w:tc>
        <w:tc>
          <w:tcPr>
            <w:tcW w:w="0" w:type="dxa"/>
            <w:vAlign w:val="bottom"/>
          </w:tcPr>
          <w:p>
            <w:pPr>
              <w:spacing w:after="0"/>
              <w:rPr>
                <w:sz w:val="1"/>
                <w:szCs w:val="1"/>
                <w:color w:val="auto"/>
              </w:rPr>
            </w:pPr>
          </w:p>
        </w:tc>
      </w:tr>
      <w:tr>
        <w:trPr>
          <w:trHeight w:val="25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during the period</w:t>
            </w:r>
          </w:p>
        </w:tc>
        <w:tc>
          <w:tcPr>
            <w:tcW w:w="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103.6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49.9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164.0</w:t>
            </w:r>
          </w:p>
        </w:tc>
        <w:tc>
          <w:tcPr>
            <w:tcW w:w="0" w:type="dxa"/>
            <w:vAlign w:val="bottom"/>
          </w:tcPr>
          <w:p>
            <w:pPr>
              <w:spacing w:after="0"/>
              <w:rPr>
                <w:sz w:val="1"/>
                <w:szCs w:val="1"/>
                <w:color w:val="auto"/>
              </w:rPr>
            </w:pPr>
          </w:p>
        </w:tc>
      </w:tr>
      <w:tr>
        <w:trPr>
          <w:trHeight w:val="178"/>
        </w:trPr>
        <w:tc>
          <w:tcPr>
            <w:tcW w:w="2300" w:type="dxa"/>
            <w:vAlign w:val="bottom"/>
          </w:tcPr>
          <w:p>
            <w:pPr>
              <w:ind w:left="40"/>
              <w:spacing w:after="0" w:line="178" w:lineRule="exact"/>
              <w:rPr>
                <w:sz w:val="20"/>
                <w:szCs w:val="20"/>
                <w:color w:val="auto"/>
              </w:rPr>
            </w:pPr>
            <w:r>
              <w:rPr>
                <w:rFonts w:ascii="Arial" w:cs="Arial" w:eastAsia="Arial" w:hAnsi="Arial"/>
                <w:sz w:val="16"/>
                <w:szCs w:val="16"/>
                <w:color w:val="auto"/>
              </w:rPr>
              <w:t>Assets under management at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ind w:right="41"/>
              <w:spacing w:after="0"/>
              <w:rPr>
                <w:sz w:val="20"/>
                <w:szCs w:val="20"/>
                <w:color w:val="auto"/>
              </w:rPr>
            </w:pPr>
            <w:r>
              <w:rPr>
                <w:rFonts w:ascii="Arial" w:cs="Arial" w:eastAsia="Arial" w:hAnsi="Arial"/>
                <w:sz w:val="16"/>
                <w:szCs w:val="16"/>
                <w:color w:val="auto"/>
              </w:rPr>
              <w:t>643.5</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22"/>
              <w:spacing w:after="0"/>
              <w:rPr>
                <w:sz w:val="20"/>
                <w:szCs w:val="20"/>
                <w:color w:val="auto"/>
              </w:rPr>
            </w:pPr>
            <w:r>
              <w:rPr>
                <w:rFonts w:ascii="Arial" w:cs="Arial" w:eastAsia="Arial" w:hAnsi="Arial"/>
                <w:sz w:val="16"/>
                <w:szCs w:val="16"/>
                <w:color w:val="auto"/>
              </w:rPr>
              <w:t>146.6</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336.2</w:t>
            </w:r>
          </w:p>
        </w:tc>
        <w:tc>
          <w:tcPr>
            <w:tcW w:w="100" w:type="dxa"/>
            <w:vAlign w:val="bottom"/>
          </w:tcPr>
          <w:p>
            <w:pPr>
              <w:spacing w:after="0"/>
              <w:rPr>
                <w:sz w:val="15"/>
                <w:szCs w:val="15"/>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color w:val="auto"/>
              </w:rPr>
              <w:t>1,126.3</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ind w:right="21"/>
              <w:spacing w:after="0"/>
              <w:rPr>
                <w:sz w:val="20"/>
                <w:szCs w:val="20"/>
                <w:color w:val="auto"/>
              </w:rPr>
            </w:pPr>
            <w:r>
              <w:rPr>
                <w:rFonts w:ascii="Arial" w:cs="Arial" w:eastAsia="Arial" w:hAnsi="Arial"/>
                <w:sz w:val="16"/>
                <w:szCs w:val="16"/>
                <w:color w:val="auto"/>
              </w:rPr>
              <w:t>643.5</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22"/>
              <w:spacing w:after="0"/>
              <w:rPr>
                <w:sz w:val="20"/>
                <w:szCs w:val="20"/>
                <w:color w:val="auto"/>
              </w:rPr>
            </w:pPr>
            <w:r>
              <w:rPr>
                <w:rFonts w:ascii="Arial" w:cs="Arial" w:eastAsia="Arial" w:hAnsi="Arial"/>
                <w:sz w:val="16"/>
                <w:szCs w:val="16"/>
                <w:color w:val="auto"/>
              </w:rPr>
              <w:t>146.6</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336.2</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20"/>
              <w:spacing w:after="0"/>
              <w:rPr>
                <w:sz w:val="20"/>
                <w:szCs w:val="20"/>
                <w:color w:val="auto"/>
              </w:rPr>
            </w:pPr>
            <w:r>
              <w:rPr>
                <w:rFonts w:ascii="Arial" w:cs="Arial" w:eastAsia="Arial" w:hAnsi="Arial"/>
                <w:sz w:val="16"/>
                <w:szCs w:val="16"/>
                <w:color w:val="auto"/>
              </w:rPr>
              <w:t>1,126.3</w:t>
            </w:r>
          </w:p>
        </w:tc>
        <w:tc>
          <w:tcPr>
            <w:tcW w:w="0" w:type="dxa"/>
            <w:vAlign w:val="bottom"/>
          </w:tcPr>
          <w:p>
            <w:pPr>
              <w:spacing w:after="0"/>
              <w:rPr>
                <w:sz w:val="1"/>
                <w:szCs w:val="1"/>
                <w:color w:val="auto"/>
              </w:rPr>
            </w:pPr>
          </w:p>
        </w:tc>
      </w:tr>
      <w:tr>
        <w:trPr>
          <w:trHeight w:val="219"/>
        </w:trPr>
        <w:tc>
          <w:tcPr>
            <w:tcW w:w="2300" w:type="dxa"/>
            <w:vAlign w:val="bottom"/>
          </w:tcPr>
          <w:p>
            <w:pPr>
              <w:ind w:left="40"/>
              <w:spacing w:after="0"/>
              <w:rPr>
                <w:sz w:val="20"/>
                <w:szCs w:val="20"/>
                <w:color w:val="auto"/>
              </w:rPr>
            </w:pPr>
            <w:r>
              <w:rPr>
                <w:rFonts w:ascii="Arial" w:cs="Arial" w:eastAsia="Arial" w:hAnsi="Arial"/>
                <w:sz w:val="16"/>
                <w:szCs w:val="16"/>
                <w:color w:val="auto"/>
              </w:rPr>
              <w:t>September 30, 2019</w:t>
            </w:r>
          </w:p>
        </w:tc>
        <w:tc>
          <w:tcPr>
            <w:tcW w:w="16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1270</wp:posOffset>
            </wp:positionV>
            <wp:extent cx="578866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88660" cy="26035"/>
                    </a:xfrm>
                    <a:prstGeom prst="rect">
                      <a:avLst/>
                    </a:prstGeom>
                    <a:noFill/>
                  </pic:spPr>
                </pic:pic>
              </a:graphicData>
            </a:graphic>
          </wp:anchor>
        </w:drawing>
      </w:r>
    </w:p>
    <w:p>
      <w:pPr>
        <w:spacing w:after="0" w:line="11" w:lineRule="exact"/>
        <w:rPr>
          <w:sz w:val="20"/>
          <w:szCs w:val="20"/>
          <w:color w:val="auto"/>
        </w:rPr>
      </w:pPr>
    </w:p>
    <w:p>
      <w:pPr>
        <w:ind w:left="180" w:right="340" w:hanging="172"/>
        <w:spacing w:after="0" w:line="228" w:lineRule="auto"/>
        <w:tabs>
          <w:tab w:leader="none" w:pos="153" w:val="left"/>
        </w:tabs>
        <w:numPr>
          <w:ilvl w:val="0"/>
          <w:numId w:val="8"/>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The underlying assets under management of the multi-asset portfolios have been aggregated and presented in this category and not reported in the equity and fixed income columns.</w:t>
      </w:r>
    </w:p>
    <w:p>
      <w:pPr>
        <w:spacing w:after="0" w:line="1" w:lineRule="exact"/>
        <w:rPr>
          <w:rFonts w:ascii="Arial" w:cs="Arial" w:eastAsia="Arial" w:hAnsi="Arial"/>
          <w:sz w:val="17"/>
          <w:szCs w:val="17"/>
          <w:i w:val="1"/>
          <w:iCs w:val="1"/>
          <w:color w:val="auto"/>
          <w:vertAlign w:val="superscript"/>
        </w:rPr>
      </w:pPr>
    </w:p>
    <w:p>
      <w:pPr>
        <w:ind w:left="160" w:hanging="152"/>
        <w:spacing w:after="0" w:line="204" w:lineRule="auto"/>
        <w:tabs>
          <w:tab w:leader="none" w:pos="160" w:val="left"/>
        </w:tabs>
        <w:numPr>
          <w:ilvl w:val="0"/>
          <w:numId w:val="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distributions reinvested and not reinvested.</w:t>
      </w:r>
    </w:p>
    <w:p>
      <w:pPr>
        <w:spacing w:after="0" w:line="121"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Investment advisory clients outside the U.S. account for about 6.5% of our assets under management at September 30, 2019 and 6.2% at December 31, 2018.</w:t>
      </w:r>
    </w:p>
    <w:p>
      <w:pPr>
        <w:spacing w:after="0" w:line="145"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Our target date retirement products, which are included in the multi -asset totals shown above, continue to be a significant part of our assets under management. Assets under management in these portfolios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67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As of</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billions)</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9/30/2019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12/31/2018</w:t>
            </w:r>
          </w:p>
        </w:tc>
      </w:tr>
      <w:tr>
        <w:trPr>
          <w:trHeight w:val="251"/>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Target date retirement U.S. mutual funds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157.5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157.5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144.8</w:t>
            </w:r>
          </w:p>
        </w:tc>
      </w:tr>
      <w:tr>
        <w:trPr>
          <w:trHeight w:val="265"/>
        </w:trPr>
        <w:tc>
          <w:tcPr>
            <w:tcW w:w="6740" w:type="dxa"/>
            <w:vAlign w:val="bottom"/>
          </w:tcPr>
          <w:p>
            <w:pPr>
              <w:ind w:left="40"/>
              <w:spacing w:after="0"/>
              <w:rPr>
                <w:sz w:val="20"/>
                <w:szCs w:val="20"/>
                <w:color w:val="auto"/>
              </w:rPr>
            </w:pPr>
            <w:r>
              <w:rPr>
                <w:rFonts w:ascii="Arial" w:cs="Arial" w:eastAsia="Arial" w:hAnsi="Arial"/>
                <w:sz w:val="18"/>
                <w:szCs w:val="18"/>
                <w:color w:val="auto"/>
              </w:rPr>
              <w:t>Target date separately managed retirement accounts</w:t>
            </w:r>
          </w:p>
        </w:tc>
        <w:tc>
          <w:tcPr>
            <w:tcW w:w="28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5.9</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Target date retirement trusts</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106.8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103.8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79.7</w:t>
            </w:r>
          </w:p>
        </w:tc>
      </w:tr>
      <w:tr>
        <w:trPr>
          <w:trHeight w:val="235"/>
        </w:trPr>
        <w:tc>
          <w:tcPr>
            <w:tcW w:w="674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272.0</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268.7</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230.4</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23</w:t>
      </w:r>
    </w:p>
    <w:p>
      <w:pPr>
        <w:sectPr>
          <w:pgSz w:w="11900" w:h="16838" w:orient="portrait"/>
          <w:cols w:equalWidth="0" w:num="1">
            <w:col w:w="11420"/>
          </w:cols>
          <w:pgMar w:left="240" w:top="576" w:right="239" w:bottom="1440" w:gutter="0" w:footer="0" w:header="0"/>
          <w:type w:val="continuous"/>
        </w:sectPr>
      </w:pPr>
    </w:p>
    <w:bookmarkStart w:id="23" w:name="page24"/>
    <w:bookmarkEnd w:id="23"/>
    <w:p>
      <w:pPr>
        <w:ind w:right="100"/>
        <w:spacing w:after="0" w:line="292" w:lineRule="auto"/>
        <w:rPr>
          <w:sz w:val="20"/>
          <w:szCs w:val="20"/>
          <w:color w:val="auto"/>
        </w:rPr>
      </w:pPr>
      <w:r>
        <w:rPr>
          <w:rFonts w:ascii="Arial" w:cs="Arial" w:eastAsia="Arial" w:hAnsi="Arial"/>
          <w:sz w:val="18"/>
          <w:szCs w:val="18"/>
          <w:color w:val="auto"/>
        </w:rPr>
        <w:t>Net cash inflows into our target date retirement products were $2.0 billion in the third quarter of 2019 and $6.6 billion in the first nine months of 2019.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PERFORMANCE.</w:t>
      </w:r>
      <w:r>
        <w:rPr>
          <w:rFonts w:ascii="Arial" w:cs="Arial" w:eastAsia="Arial" w:hAnsi="Arial"/>
          <w:sz w:val="21"/>
          <w:szCs w:val="21"/>
          <w:b w:val="1"/>
          <w:bCs w:val="1"/>
          <w:i w:val="1"/>
          <w:iCs w:val="1"/>
          <w:color w:val="auto"/>
          <w:vertAlign w:val="superscript"/>
        </w:rPr>
        <w:t>(1)</w:t>
      </w:r>
    </w:p>
    <w:p>
      <w:pPr>
        <w:spacing w:after="0" w:line="19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Strong investment performance and brand awareness is a key driver to attracting and retaining assets—and to our long-term success. The percentage of our U.S. mutual funds</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(across primary share classes) that outperformed their comparable Morningstar median on a total return basis and that are in the top Morningstar quartile for the one-, three-, five-, and 10-years ended September 30, 2019, were: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80" w:type="dxa"/>
            <w:vAlign w:val="bottom"/>
            <w:shd w:val="clear" w:color="auto" w:fill="CCEEFF"/>
          </w:tcPr>
          <w:p>
            <w:pPr>
              <w:spacing w:after="0"/>
              <w:rPr>
                <w:sz w:val="23"/>
                <w:szCs w:val="23"/>
                <w:color w:val="auto"/>
              </w:rPr>
            </w:pP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1 year</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3 years</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5 years</w:t>
            </w: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 years</w:t>
            </w:r>
          </w:p>
        </w:tc>
      </w:tr>
      <w:tr>
        <w:trPr>
          <w:trHeight w:val="256"/>
        </w:trPr>
        <w:tc>
          <w:tcPr>
            <w:tcW w:w="3780" w:type="dxa"/>
            <w:vAlign w:val="bottom"/>
          </w:tcPr>
          <w:p>
            <w:pPr>
              <w:ind w:left="40"/>
              <w:spacing w:after="0"/>
              <w:rPr>
                <w:sz w:val="20"/>
                <w:szCs w:val="20"/>
                <w:color w:val="auto"/>
              </w:rPr>
            </w:pPr>
            <w:r>
              <w:rPr>
                <w:rFonts w:ascii="Arial" w:cs="Arial" w:eastAsia="Arial" w:hAnsi="Arial"/>
                <w:sz w:val="16"/>
                <w:szCs w:val="16"/>
                <w:color w:val="auto"/>
              </w:rPr>
              <w:t>Outperformed Morningstar median</w:t>
            </w: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r>
      <w:tr>
        <w:trPr>
          <w:trHeight w:val="278"/>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73%</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75%</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81%</w:t>
            </w:r>
          </w:p>
        </w:tc>
      </w:tr>
      <w:tr>
        <w:trPr>
          <w:trHeight w:val="262"/>
        </w:trPr>
        <w:tc>
          <w:tcPr>
            <w:tcW w:w="3780" w:type="dxa"/>
            <w:vAlign w:val="bottom"/>
          </w:tcPr>
          <w:p>
            <w:pPr>
              <w:ind w:left="220"/>
              <w:spacing w:after="0"/>
              <w:rPr>
                <w:sz w:val="20"/>
                <w:szCs w:val="20"/>
                <w:color w:val="auto"/>
              </w:rPr>
            </w:pPr>
            <w:r>
              <w:rPr>
                <w:rFonts w:ascii="Arial" w:cs="Arial" w:eastAsia="Arial" w:hAnsi="Arial"/>
                <w:sz w:val="16"/>
                <w:szCs w:val="16"/>
                <w:color w:val="auto"/>
              </w:rPr>
              <w:t>Multi-asset funds</w:t>
            </w: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86%</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74%</w:t>
            </w:r>
          </w:p>
        </w:tc>
        <w:tc>
          <w:tcPr>
            <w:tcW w:w="10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85%</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84%</w:t>
            </w:r>
          </w:p>
        </w:tc>
      </w:tr>
      <w:tr>
        <w:trPr>
          <w:trHeight w:val="170"/>
        </w:trPr>
        <w:tc>
          <w:tcPr>
            <w:tcW w:w="3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r>
        <w:trPr>
          <w:trHeight w:val="262"/>
        </w:trPr>
        <w:tc>
          <w:tcPr>
            <w:tcW w:w="3780" w:type="dxa"/>
            <w:vAlign w:val="bottom"/>
          </w:tcPr>
          <w:p>
            <w:pPr>
              <w:ind w:left="40"/>
              <w:spacing w:after="0"/>
              <w:rPr>
                <w:sz w:val="20"/>
                <w:szCs w:val="20"/>
                <w:color w:val="auto"/>
              </w:rPr>
            </w:pPr>
            <w:r>
              <w:rPr>
                <w:rFonts w:ascii="Arial" w:cs="Arial" w:eastAsia="Arial" w:hAnsi="Arial"/>
                <w:sz w:val="16"/>
                <w:szCs w:val="16"/>
                <w:color w:val="auto"/>
              </w:rPr>
              <w:t>Top Morningstar quartile</w:t>
            </w: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78"/>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43%</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45%</w:t>
            </w: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52%</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57%</w:t>
            </w:r>
          </w:p>
        </w:tc>
      </w:tr>
      <w:tr>
        <w:trPr>
          <w:trHeight w:val="255"/>
        </w:trPr>
        <w:tc>
          <w:tcPr>
            <w:tcW w:w="3780" w:type="dxa"/>
            <w:vAlign w:val="bottom"/>
          </w:tcPr>
          <w:p>
            <w:pPr>
              <w:ind w:left="220"/>
              <w:spacing w:after="0"/>
              <w:rPr>
                <w:sz w:val="20"/>
                <w:szCs w:val="20"/>
                <w:color w:val="auto"/>
              </w:rPr>
            </w:pPr>
            <w:r>
              <w:rPr>
                <w:rFonts w:ascii="Arial" w:cs="Arial" w:eastAsia="Arial" w:hAnsi="Arial"/>
                <w:sz w:val="16"/>
                <w:szCs w:val="16"/>
                <w:color w:val="auto"/>
              </w:rPr>
              <w:t>Multi-asset funds</w:t>
            </w: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47%</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56%</w:t>
            </w:r>
          </w:p>
        </w:tc>
        <w:tc>
          <w:tcPr>
            <w:tcW w:w="10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62%</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79%</w:t>
            </w:r>
          </w:p>
        </w:tc>
      </w:tr>
    </w:tbl>
    <w:p>
      <w:pPr>
        <w:jc w:val="both"/>
        <w:ind w:left="180" w:right="200" w:hanging="172"/>
        <w:spacing w:after="0" w:line="243" w:lineRule="auto"/>
        <w:tabs>
          <w:tab w:leader="none" w:pos="152" w:val="left"/>
        </w:tabs>
        <w:numPr>
          <w:ilvl w:val="0"/>
          <w:numId w:val="9"/>
        </w:numPr>
        <w:rPr>
          <w:rFonts w:ascii="Arial" w:cs="Arial" w:eastAsia="Arial" w:hAnsi="Arial"/>
          <w:sz w:val="9"/>
          <w:szCs w:val="9"/>
          <w:i w:val="1"/>
          <w:iCs w:val="1"/>
          <w:color w:val="auto"/>
        </w:rPr>
      </w:pPr>
      <w:r>
        <w:rPr>
          <w:rFonts w:ascii="Arial" w:cs="Arial" w:eastAsia="Arial" w:hAnsi="Arial"/>
          <w:sz w:val="13"/>
          <w:szCs w:val="13"/>
          <w:i w:val="1"/>
          <w:iCs w:val="1"/>
          <w:color w:val="auto"/>
        </w:rPr>
        <w:t>Source: © 2019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 Past performance is no guarantee of future results.</w:t>
      </w:r>
    </w:p>
    <w:p>
      <w:pPr>
        <w:spacing w:after="0" w:line="1" w:lineRule="exact"/>
        <w:rPr>
          <w:rFonts w:ascii="Arial" w:cs="Arial" w:eastAsia="Arial" w:hAnsi="Arial"/>
          <w:sz w:val="9"/>
          <w:szCs w:val="9"/>
          <w:i w:val="1"/>
          <w:iCs w:val="1"/>
          <w:color w:val="auto"/>
        </w:rPr>
      </w:pPr>
    </w:p>
    <w:p>
      <w:pPr>
        <w:ind w:left="160" w:hanging="152"/>
        <w:spacing w:after="0"/>
        <w:tabs>
          <w:tab w:leader="none" w:pos="160" w:val="left"/>
        </w:tabs>
        <w:numPr>
          <w:ilvl w:val="0"/>
          <w:numId w:val="9"/>
        </w:numPr>
        <w:rPr>
          <w:rFonts w:ascii="Arial" w:cs="Arial" w:eastAsia="Arial" w:hAnsi="Arial"/>
          <w:sz w:val="9"/>
          <w:szCs w:val="9"/>
          <w:i w:val="1"/>
          <w:iCs w:val="1"/>
          <w:color w:val="auto"/>
        </w:rPr>
      </w:pPr>
      <w:r>
        <w:rPr>
          <w:rFonts w:ascii="Arial" w:cs="Arial" w:eastAsia="Arial" w:hAnsi="Arial"/>
          <w:sz w:val="13"/>
          <w:szCs w:val="13"/>
          <w:i w:val="1"/>
          <w:iCs w:val="1"/>
          <w:color w:val="auto"/>
        </w:rPr>
        <w:t>Excludes passive and fund categories not ranked by Morningstar.</w:t>
      </w:r>
    </w:p>
    <w:p>
      <w:pPr>
        <w:spacing w:after="0" w:line="198" w:lineRule="exact"/>
        <w:rPr>
          <w:sz w:val="20"/>
          <w:szCs w:val="20"/>
          <w:color w:val="auto"/>
        </w:rPr>
      </w:pPr>
    </w:p>
    <w:p>
      <w:pPr>
        <w:ind w:right="80"/>
        <w:spacing w:after="0" w:line="323" w:lineRule="auto"/>
        <w:rPr>
          <w:sz w:val="20"/>
          <w:szCs w:val="20"/>
          <w:color w:val="auto"/>
        </w:rPr>
      </w:pPr>
      <w:r>
        <w:rPr>
          <w:rFonts w:ascii="Arial" w:cs="Arial" w:eastAsia="Arial" w:hAnsi="Arial"/>
          <w:sz w:val="17"/>
          <w:szCs w:val="17"/>
          <w:color w:val="auto"/>
        </w:rPr>
        <w:t>In addition, 84.7% of our rated U.S. mutual funds' assets under management ended the quarter with an overall rating of four or five stars from Morningstar. The performance of our institutional strategies against their benchmarks remains competitive, especially over longer time periods.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following table and discussion sets forth information regarding our consolidated financial results for the three and nine months ended September 30, 2019 and 2018 on a U.S. GAAP basis as well as a non-GAAP basis. The non-GAAP basis adjusts for the impact of our consolidated T. Rowe Price investment products, the impact of market movements on the supplemental savings plan liability and related economic hedges, investment income related to certain other investments, and certain nonrecurring charges and gains. Beginning in the second quarter of 2018, our non-GAAP adjustments no longer include non-operating income related to our cash and discretionary investments not consolidated. We believe the non-GAAP financial measures below provide relevant and meaningful information to investors about our core operating results.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20"/>
          </w:cols>
          <w:pgMar w:left="240" w:top="576"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69"/>
        </w:trPr>
        <w:tc>
          <w:tcPr>
            <w:tcW w:w="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980" w:type="dxa"/>
            <w:vAlign w:val="bottom"/>
            <w:tcBorders>
              <w:bottom w:val="single" w:sz="8" w:color="auto"/>
            </w:tcBorders>
            <w:gridSpan w:val="5"/>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2080" w:type="dxa"/>
            <w:vAlign w:val="bottom"/>
            <w:tcBorders>
              <w:bottom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4"/>
                <w:szCs w:val="14"/>
                <w:b w:val="1"/>
                <w:bCs w:val="1"/>
                <w:color w:val="auto"/>
              </w:rPr>
              <w:t>Q3 2019 vs. Q3 2018</w:t>
            </w:r>
          </w:p>
        </w:tc>
        <w:tc>
          <w:tcPr>
            <w:tcW w:w="2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gridSpan w:val="4"/>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2080" w:type="dxa"/>
            <w:vAlign w:val="bottom"/>
            <w:tcBorders>
              <w:bottom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YTD 2019 vs. YTD 2018</w:t>
            </w:r>
          </w:p>
        </w:tc>
      </w:tr>
      <w:tr>
        <w:trPr>
          <w:trHeight w:val="264"/>
        </w:trPr>
        <w:tc>
          <w:tcPr>
            <w:tcW w:w="2200" w:type="dxa"/>
            <w:vAlign w:val="bottom"/>
            <w:gridSpan w:val="4"/>
          </w:tcPr>
          <w:p>
            <w:pPr>
              <w:ind w:left="40"/>
              <w:spacing w:after="0"/>
              <w:rPr>
                <w:sz w:val="20"/>
                <w:szCs w:val="20"/>
                <w:color w:val="auto"/>
              </w:rPr>
            </w:pPr>
            <w:r>
              <w:rPr>
                <w:rFonts w:ascii="Arial" w:cs="Arial" w:eastAsia="Arial" w:hAnsi="Arial"/>
                <w:sz w:val="13"/>
                <w:szCs w:val="13"/>
                <w:color w:val="auto"/>
              </w:rPr>
              <w:t>(in millions, except per-share data)</w:t>
            </w:r>
          </w:p>
        </w:tc>
        <w:tc>
          <w:tcPr>
            <w:tcW w:w="140" w:type="dxa"/>
            <w:vAlign w:val="bottom"/>
          </w:tcPr>
          <w:p>
            <w:pPr>
              <w:spacing w:after="0"/>
              <w:rPr>
                <w:sz w:val="22"/>
                <w:szCs w:val="2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9/30/2019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00"/>
              <w:spacing w:after="0"/>
              <w:rPr>
                <w:sz w:val="20"/>
                <w:szCs w:val="20"/>
                <w:color w:val="auto"/>
              </w:rPr>
            </w:pPr>
            <w:r>
              <w:rPr>
                <w:rFonts w:ascii="Arial" w:cs="Arial" w:eastAsia="Arial" w:hAnsi="Arial"/>
                <w:sz w:val="14"/>
                <w:szCs w:val="14"/>
                <w:b w:val="1"/>
                <w:bCs w:val="1"/>
                <w:color w:val="auto"/>
              </w:rPr>
              <w:t>9/30/2018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22"/>
                <w:szCs w:val="22"/>
                <w:color w:val="auto"/>
              </w:rPr>
            </w:pPr>
          </w:p>
        </w:tc>
        <w:tc>
          <w:tcPr>
            <w:tcW w:w="880" w:type="dxa"/>
            <w:vAlign w:val="bottom"/>
          </w:tcPr>
          <w:p>
            <w:pPr>
              <w:jc w:val="right"/>
              <w:ind w:right="120"/>
              <w:spacing w:after="0"/>
              <w:rPr>
                <w:sz w:val="20"/>
                <w:szCs w:val="20"/>
                <w:color w:val="auto"/>
              </w:rPr>
            </w:pPr>
            <w:r>
              <w:rPr>
                <w:rFonts w:ascii="Arial" w:cs="Arial" w:eastAsia="Arial" w:hAnsi="Arial"/>
                <w:sz w:val="14"/>
                <w:szCs w:val="14"/>
                <w:b w:val="1"/>
                <w:bCs w:val="1"/>
                <w:color w:val="auto"/>
              </w:rPr>
              <w:t>9/30/2019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20"/>
              <w:spacing w:after="0"/>
              <w:rPr>
                <w:sz w:val="20"/>
                <w:szCs w:val="20"/>
                <w:color w:val="auto"/>
              </w:rPr>
            </w:pPr>
            <w:r>
              <w:rPr>
                <w:rFonts w:ascii="Arial" w:cs="Arial" w:eastAsia="Arial" w:hAnsi="Arial"/>
                <w:sz w:val="14"/>
                <w:szCs w:val="14"/>
                <w:b w:val="1"/>
                <w:bCs w:val="1"/>
                <w:color w:val="auto"/>
              </w:rPr>
              <w:t>9/30/2018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120" w:type="dxa"/>
            <w:vAlign w:val="bottom"/>
          </w:tcPr>
          <w:p>
            <w:pPr>
              <w:jc w:val="right"/>
              <w:ind w:right="140"/>
              <w:spacing w:after="0"/>
              <w:rPr>
                <w:sz w:val="20"/>
                <w:szCs w:val="20"/>
                <w:color w:val="auto"/>
              </w:rPr>
            </w:pPr>
            <w:r>
              <w:rPr>
                <w:rFonts w:ascii="Arial" w:cs="Arial" w:eastAsia="Arial" w:hAnsi="Arial"/>
                <w:sz w:val="14"/>
                <w:szCs w:val="14"/>
                <w:b w:val="1"/>
                <w:bCs w:val="1"/>
                <w:color w:val="auto"/>
              </w:rPr>
              <w:t>% change</w:t>
            </w:r>
          </w:p>
        </w:tc>
      </w:tr>
      <w:tr>
        <w:trPr>
          <w:trHeight w:val="211"/>
        </w:trPr>
        <w:tc>
          <w:tcPr>
            <w:tcW w:w="220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U.S. GAAP basis</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auto"/>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r>
      <w:tr>
        <w:trPr>
          <w:trHeight w:val="262"/>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Investment advisory fees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1,303.4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1,263.3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3.2 %</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3,767.8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3,666.9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100.9</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278"/>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1,426.7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1,394.6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4,149.2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4,067.6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81.6</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62"/>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767.6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754.0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1.8 %</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2,342.5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2,248.5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94.0</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4.2 %</w:t>
            </w:r>
          </w:p>
        </w:tc>
      </w:tr>
      <w:tr>
        <w:trPr>
          <w:trHeight w:val="278"/>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Net 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659.1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640.6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1,806.7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1,819.1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Non-operating income</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124.9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23"/>
                <w:szCs w:val="23"/>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6"/>
                <w:szCs w:val="16"/>
                <w:color w:val="auto"/>
              </w:rPr>
              <w:t>n/m</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370.3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175.1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195.2</w:t>
            </w:r>
          </w:p>
        </w:tc>
        <w:tc>
          <w:tcPr>
            <w:tcW w:w="100" w:type="dxa"/>
            <w:vAlign w:val="bottom"/>
          </w:tcPr>
          <w:p>
            <w:pPr>
              <w:spacing w:after="0"/>
              <w:rPr>
                <w:sz w:val="23"/>
                <w:szCs w:val="23"/>
                <w:color w:val="auto"/>
              </w:rPr>
            </w:pP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n/m</w:t>
            </w:r>
          </w:p>
        </w:tc>
      </w:tr>
      <w:tr>
        <w:trPr>
          <w:trHeight w:val="198"/>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Net income attributable to 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4"/>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Rowe Price Group</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545.9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583.0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1,586.0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1,485.6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100.4</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6.8 %</w:t>
            </w:r>
          </w:p>
        </w:tc>
      </w:tr>
      <w:tr>
        <w:trPr>
          <w:trHeight w:val="198"/>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Diluted earnings per common</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6"/>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share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10.6 %</w:t>
            </w:r>
          </w:p>
        </w:tc>
      </w:tr>
      <w:tr>
        <w:trPr>
          <w:trHeight w:val="206"/>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Weighted average common</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9"/>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shares outstanding assuming</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4"/>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dilution</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238.2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247.5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248.2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324"/>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200" w:type="dxa"/>
            <w:vAlign w:val="bottom"/>
            <w:gridSpan w:val="4"/>
            <w:shd w:val="clear" w:color="auto" w:fill="CCEEFF"/>
          </w:tcPr>
          <w:p>
            <w:pPr>
              <w:ind w:left="40"/>
              <w:spacing w:after="0" w:line="216" w:lineRule="exact"/>
              <w:rPr>
                <w:sz w:val="20"/>
                <w:szCs w:val="20"/>
                <w:color w:val="auto"/>
              </w:rPr>
            </w:pPr>
            <w:r>
              <w:rPr>
                <w:rFonts w:ascii="Arial" w:cs="Arial" w:eastAsia="Arial" w:hAnsi="Arial"/>
                <w:sz w:val="16"/>
                <w:szCs w:val="16"/>
                <w:b w:val="1"/>
                <w:bCs w:val="1"/>
                <w:color w:val="auto"/>
                <w:w w:val="98"/>
              </w:rPr>
              <w:t>Adjusted non-GAAP basis</w:t>
            </w:r>
            <w:r>
              <w:rPr>
                <w:rFonts w:ascii="Arial" w:cs="Arial" w:eastAsia="Arial" w:hAnsi="Arial"/>
                <w:sz w:val="21"/>
                <w:szCs w:val="21"/>
                <w:b w:val="1"/>
                <w:bCs w:val="1"/>
                <w:color w:val="auto"/>
                <w:w w:val="98"/>
                <w:vertAlign w:val="superscript"/>
              </w:rPr>
              <w:t>(2)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auto"/>
            </w:tcBorders>
            <w:shd w:val="clear" w:color="auto" w:fill="CCEEFF"/>
          </w:tcPr>
          <w:p>
            <w:pPr>
              <w:spacing w:after="0"/>
              <w:rPr>
                <w:sz w:val="2"/>
                <w:szCs w:val="2"/>
                <w:color w:val="auto"/>
              </w:rPr>
            </w:pPr>
          </w:p>
        </w:tc>
        <w:tc>
          <w:tcPr>
            <w:tcW w:w="60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r>
      <w:tr>
        <w:trPr>
          <w:trHeight w:val="262"/>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765.1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744.5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2.8 %</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2,286.3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2,230.8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78"/>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Net 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664.2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1,869.2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1,841.4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70"/>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Non-operating income</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6"/>
                <w:szCs w:val="16"/>
                <w:color w:val="auto"/>
              </w:rPr>
              <w:t>n/m</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98.8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23"/>
                <w:szCs w:val="23"/>
                <w:color w:val="auto"/>
              </w:rPr>
            </w:pP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n/m</w:t>
            </w:r>
          </w:p>
        </w:tc>
      </w:tr>
      <w:tr>
        <w:trPr>
          <w:trHeight w:val="198"/>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Net income attributable to 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4"/>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Rowe Price Group</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521.7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1,480.4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1,423.4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57.0</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r>
      <w:tr>
        <w:trPr>
          <w:trHeight w:val="198"/>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Diluted earnings per common</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6"/>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share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7.0 %</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7.9 %</w:t>
            </w:r>
          </w:p>
        </w:tc>
      </w:tr>
      <w:tr>
        <w:trPr>
          <w:trHeight w:val="332"/>
        </w:trPr>
        <w:tc>
          <w:tcPr>
            <w:tcW w:w="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60" w:type="dxa"/>
            <w:vAlign w:val="bottom"/>
            <w:gridSpan w:val="3"/>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16"/>
        </w:trPr>
        <w:tc>
          <w:tcPr>
            <w:tcW w:w="3320" w:type="dxa"/>
            <w:vAlign w:val="bottom"/>
            <w:gridSpan w:val="8"/>
          </w:tcPr>
          <w:p>
            <w:pPr>
              <w:ind w:left="40"/>
              <w:spacing w:after="0"/>
              <w:rPr>
                <w:sz w:val="20"/>
                <w:szCs w:val="20"/>
                <w:color w:val="auto"/>
              </w:rPr>
            </w:pPr>
            <w:r>
              <w:rPr>
                <w:rFonts w:ascii="Arial" w:cs="Arial" w:eastAsia="Arial" w:hAnsi="Arial"/>
                <w:sz w:val="16"/>
                <w:szCs w:val="16"/>
                <w:b w:val="1"/>
                <w:bCs w:val="1"/>
                <w:color w:val="auto"/>
              </w:rPr>
              <w:t>Assets under management (in billions)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8"/>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Average assets under</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4"/>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management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1,130.2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1,072.4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57.8</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1,091.5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1,045.0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46.5</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r>
      <w:tr>
        <w:trPr>
          <w:trHeight w:val="198"/>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Ending assets under</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9"/>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management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1,126.3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1,083.8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3.9 %</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1,126.3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1,083.8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3.9 %</w:t>
            </w:r>
          </w:p>
        </w:tc>
      </w:tr>
    </w:tbl>
    <w:p>
      <w:pPr>
        <w:ind w:left="140" w:hanging="132"/>
        <w:spacing w:after="0" w:line="237" w:lineRule="auto"/>
        <w:tabs>
          <w:tab w:leader="none" w:pos="140" w:val="left"/>
        </w:tabs>
        <w:numPr>
          <w:ilvl w:val="0"/>
          <w:numId w:val="1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4462780</wp:posOffset>
            </wp:positionH>
            <wp:positionV relativeFrom="page">
              <wp:posOffset>466090</wp:posOffset>
            </wp:positionV>
            <wp:extent cx="8890" cy="4699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4699635"/>
                    </a:xfrm>
                    <a:prstGeom prst="rect">
                      <a:avLst/>
                    </a:prstGeom>
                    <a:noFill/>
                  </pic:spPr>
                </pic:pic>
              </a:graphicData>
            </a:graphic>
          </wp:anchor>
        </w:drawing>
        <w:t>The percentage change in non-operating income is not meaningful (n/m).</w:t>
      </w:r>
    </w:p>
    <w:p>
      <w:pPr>
        <w:ind w:left="140" w:hanging="132"/>
        <w:spacing w:after="0" w:line="229" w:lineRule="auto"/>
        <w:tabs>
          <w:tab w:leader="none" w:pos="140" w:val="left"/>
        </w:tabs>
        <w:numPr>
          <w:ilvl w:val="0"/>
          <w:numId w:val="1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the reconciliation to the comparable U.S. GAAP measures at the end of the Results of Operations section of this Management’s Discussion and Analysis.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u w:val="single" w:color="auto"/>
          <w:color w:val="auto"/>
        </w:rPr>
        <w:t>Investment advisory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fees are earned based on the value and composition of our assets under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change based on fluctuations in financial markets and net cash flows. As our average assets under management increase or decrease in a given period, the level of our investment advisory fee revenue for that same period generally fluctuates in a similar manner. Our annualized effective fee rates can be impacted by market or cash flow related shifts among asset and share classes, price changes in existing products, and asset level changes in products with tiered-fee structures.</w:t>
      </w:r>
    </w:p>
    <w:p>
      <w:pPr>
        <w:spacing w:after="0" w:line="175"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Investment advisory revenues earned in the third quarter of 2019 increased over the comparable 2018 quarter as average assets under our management increased $57.8 billion, or 5.4%, to $1,130.2 billion. The average annualized effective fee rate earned during the third quarter of 2019 was 45.8 basis points, compared with 46.7 basis points earned during the third quarter of 2018. The decline in our effective fee rate for the third quarter of 2019 compared to the same period in 2018 was primarily due to a market-driven shift of assets under management from higher fee international equity strategies to lower fee strategies. Client transfers to lower fee vehicles or share classes over the last twelve months and, to a lesser extent, fee reductions we have made since the third quarter of 2018 also drove the effective fee rate lower.</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Investment advisory revenues earned in the nine months ended September 30, 2019 increased over the comparable 2018 period as average assets under our management increased $ 46.5 billion, or 4.4%, to $1,091.5 billion. The average annualized effective fee rate earned on our assets under management during the nine months ended September 30, 2019 was 46.2 basis points, compared with 46.9 basis points earned during the same period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20"/>
          </w:cols>
          <w:pgMar w:left="240" w:top="734" w:right="239" w:bottom="1440" w:gutter="0" w:footer="0" w:header="0"/>
        </w:sectPr>
      </w:pPr>
    </w:p>
    <w:bookmarkStart w:id="25" w:name="page26"/>
    <w:bookmarkEnd w:id="25"/>
    <w:p>
      <w:pPr>
        <w:ind w:right="240"/>
        <w:spacing w:after="0" w:line="271" w:lineRule="auto"/>
        <w:rPr>
          <w:sz w:val="20"/>
          <w:szCs w:val="20"/>
          <w:color w:val="auto"/>
        </w:rPr>
      </w:pPr>
      <w:r>
        <w:rPr>
          <w:rFonts w:ascii="Arial" w:cs="Arial" w:eastAsia="Arial" w:hAnsi="Arial"/>
          <w:sz w:val="18"/>
          <w:szCs w:val="18"/>
          <w:color w:val="auto"/>
        </w:rPr>
        <w:t>of 2018. For the nine months ended September 30, 2019 compared to the same period in 2018, the decline in our effective fee rate is largely due to client transfers within the complex to lower fee vehicles or share classes over the last twelve months and, to a lesser extent, fee reductions we made to certain mutual funds and other products since the third quarter of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We regularly assess the competitiveness of our investment advisory fees and will continue to make adjustments as deemed appropriate.</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were $767.6 million in the third quarter of 2019 compared with $ 754.0 million in the 2018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operating expenses for the third quarter of 2019 was primarily due to higher salary, annual bonus accrual, and benefits expenses and our continued strategic investments. Partially offsetting these increases was lower market-related compensation expense related to the supplemental savings plan in the third quarter of 2019 compared to the third quarter of 2018.</w:t>
      </w:r>
    </w:p>
    <w:p>
      <w:pPr>
        <w:spacing w:after="0" w:line="170"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Operating expenses were $2,342.5 million in the nine months ended September 30, 2019 compared with $ 2,248.5 million in the 2018 period. The increase in operating expenses was primarily due to higher salary, annual bonus accrual, and benefits expenses; our continued strategic investments; and higher compensation expense related to the supplemental savings plan liability as markets were strong overall in the first nine months of 2019. The higher expense related to the supplemental savings plan in 2019 is partially offset by non-operating gains earned on the investments used to hedge the related liability.</w:t>
      </w:r>
    </w:p>
    <w:p>
      <w:pPr>
        <w:spacing w:after="0" w:line="17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On a non-GAAP basis, our operating expenses in the third quarter of 2019 increased 2.8% to $765.1 million compared to the 2018 quarter. For the nine months ended September 30, 2019, our operating expenses on a non-GAAP basis increased 2.5% to $2,286.3 million compared to the 2018 period. Our non-GAAP operating expenses exclude the impacts of our supplemental savings plan, investment income related to certain other investments, and our consolidated T. Rowe Price investment products. See our non-GAAP reconciliations later in this Management’s Discussion and Analysis section.</w:t>
      </w:r>
    </w:p>
    <w:p>
      <w:pPr>
        <w:spacing w:after="0" w:line="175"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margin in the third quarter of 2019 was 46.2%, compared to 45.9% earned in the 2018 quarter. Our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margin in the nine months ended September 30, 2019 was 43.5%, compared to 44.7% earned in the 2018 period. While our quarterly operating margin was relatively flat when comparing to the third quarter of 2018, the decrease in our operating margin for the nine months ended September 30, 2019 compared to the 2018 period is primarily driven by the higher compensation expense related to our supplemental savings plan as markets in the first nine months of 2019 outperformed the same period in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2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980" w:type="dxa"/>
            <w:vAlign w:val="bottom"/>
            <w:tcBorders>
              <w:bottom w:val="single" w:sz="8" w:color="auto"/>
            </w:tcBorders>
            <w:gridSpan w:val="4"/>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Q3 2019 vs. Q3 2018</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gridSpan w:val="4"/>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2080" w:type="dxa"/>
            <w:vAlign w:val="bottom"/>
            <w:tcBorders>
              <w:bottom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YTD 2019 vs. YTD 2018</w:t>
            </w:r>
          </w:p>
        </w:tc>
      </w:tr>
      <w:tr>
        <w:trPr>
          <w:trHeight w:val="264"/>
        </w:trPr>
        <w:tc>
          <w:tcPr>
            <w:tcW w:w="22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2"/>
                <w:szCs w:val="22"/>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rPr>
              <w:t>9/30/2019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00"/>
              <w:spacing w:after="0"/>
              <w:rPr>
                <w:sz w:val="20"/>
                <w:szCs w:val="20"/>
                <w:color w:val="auto"/>
              </w:rPr>
            </w:pPr>
            <w:r>
              <w:rPr>
                <w:rFonts w:ascii="Arial" w:cs="Arial" w:eastAsia="Arial" w:hAnsi="Arial"/>
                <w:sz w:val="14"/>
                <w:szCs w:val="14"/>
                <w:b w:val="1"/>
                <w:bCs w:val="1"/>
                <w:color w:val="auto"/>
              </w:rPr>
              <w:t>9/30/2018</w:t>
            </w:r>
          </w:p>
        </w:tc>
        <w:tc>
          <w:tcPr>
            <w:tcW w:w="1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220" w:type="dxa"/>
            <w:vAlign w:val="bottom"/>
            <w:tcBorders>
              <w:right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21"/>
              <w:spacing w:after="0"/>
              <w:rPr>
                <w:sz w:val="20"/>
                <w:szCs w:val="20"/>
                <w:color w:val="auto"/>
              </w:rPr>
            </w:pPr>
            <w:r>
              <w:rPr>
                <w:rFonts w:ascii="Arial" w:cs="Arial" w:eastAsia="Arial" w:hAnsi="Arial"/>
                <w:sz w:val="14"/>
                <w:szCs w:val="14"/>
                <w:b w:val="1"/>
                <w:bCs w:val="1"/>
                <w:color w:val="auto"/>
              </w:rPr>
              <w:t>9/30/2019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20"/>
              <w:spacing w:after="0"/>
              <w:rPr>
                <w:sz w:val="20"/>
                <w:szCs w:val="20"/>
                <w:color w:val="auto"/>
              </w:rPr>
            </w:pPr>
            <w:r>
              <w:rPr>
                <w:rFonts w:ascii="Arial" w:cs="Arial" w:eastAsia="Arial" w:hAnsi="Arial"/>
                <w:sz w:val="14"/>
                <w:szCs w:val="14"/>
                <w:b w:val="1"/>
                <w:bCs w:val="1"/>
                <w:color w:val="auto"/>
              </w:rPr>
              <w:t>9/30/2018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120" w:type="dxa"/>
            <w:vAlign w:val="bottom"/>
          </w:tcPr>
          <w:p>
            <w:pPr>
              <w:jc w:val="right"/>
              <w:ind w:right="140"/>
              <w:spacing w:after="0"/>
              <w:rPr>
                <w:sz w:val="20"/>
                <w:szCs w:val="20"/>
                <w:color w:val="auto"/>
              </w:rPr>
            </w:pPr>
            <w:r>
              <w:rPr>
                <w:rFonts w:ascii="Arial" w:cs="Arial" w:eastAsia="Arial" w:hAnsi="Arial"/>
                <w:sz w:val="14"/>
                <w:szCs w:val="14"/>
                <w:b w:val="1"/>
                <w:bCs w:val="1"/>
                <w:color w:val="auto"/>
              </w:rPr>
              <w:t>% change</w:t>
            </w:r>
          </w:p>
        </w:tc>
      </w:tr>
      <w:tr>
        <w:trPr>
          <w:trHeight w:val="265"/>
        </w:trPr>
        <w:tc>
          <w:tcPr>
            <w:tcW w:w="2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Investment advisory fees</w:t>
            </w: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right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r>
      <w:tr>
        <w:trPr>
          <w:trHeight w:val="262"/>
        </w:trPr>
        <w:tc>
          <w:tcPr>
            <w:tcW w:w="2200" w:type="dxa"/>
            <w:vAlign w:val="bottom"/>
          </w:tcPr>
          <w:p>
            <w:pPr>
              <w:ind w:left="180"/>
              <w:spacing w:after="0"/>
              <w:rPr>
                <w:sz w:val="20"/>
                <w:szCs w:val="20"/>
                <w:color w:val="auto"/>
              </w:rPr>
            </w:pPr>
            <w:r>
              <w:rPr>
                <w:rFonts w:ascii="Arial" w:cs="Arial" w:eastAsia="Arial" w:hAnsi="Arial"/>
                <w:sz w:val="16"/>
                <w:szCs w:val="16"/>
                <w:color w:val="auto"/>
              </w:rPr>
              <w:t>U.S. mutual funds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881.0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877.3</w:t>
            </w:r>
          </w:p>
        </w:tc>
        <w:tc>
          <w:tcPr>
            <w:tcW w:w="120" w:type="dxa"/>
            <w:vAlign w:val="bottom"/>
          </w:tcPr>
          <w:p>
            <w:pPr>
              <w:spacing w:after="0"/>
              <w:rPr>
                <w:sz w:val="22"/>
                <w:szCs w:val="22"/>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2,557.6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2,557.1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06"/>
        </w:trPr>
        <w:tc>
          <w:tcPr>
            <w:tcW w:w="2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Subadvised and separate</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9"/>
        </w:trPr>
        <w:tc>
          <w:tcPr>
            <w:tcW w:w="2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and other</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28"/>
        </w:trPr>
        <w:tc>
          <w:tcPr>
            <w:tcW w:w="2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investment products</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422.4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386.0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1,210.2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1,109.8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100.4</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9.0 %</w:t>
            </w:r>
          </w:p>
        </w:tc>
      </w:tr>
      <w:tr>
        <w:trPr>
          <w:trHeight w:val="250"/>
        </w:trPr>
        <w:tc>
          <w:tcPr>
            <w:tcW w:w="2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1,303.4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1,263.3</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40.1</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3,767.8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3,666.9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100.9</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2.8 %</w:t>
            </w:r>
          </w:p>
        </w:tc>
      </w:tr>
      <w:tr>
        <w:trPr>
          <w:trHeight w:val="182"/>
        </w:trPr>
        <w:tc>
          <w:tcPr>
            <w:tcW w:w="2200" w:type="dxa"/>
            <w:vAlign w:val="bottom"/>
            <w:shd w:val="clear" w:color="auto" w:fill="CCEEFF"/>
          </w:tcPr>
          <w:p>
            <w:pPr>
              <w:ind w:left="40"/>
              <w:spacing w:after="0" w:line="183" w:lineRule="exact"/>
              <w:rPr>
                <w:sz w:val="20"/>
                <w:szCs w:val="20"/>
                <w:color w:val="auto"/>
              </w:rPr>
            </w:pPr>
            <w:r>
              <w:rPr>
                <w:rFonts w:ascii="Arial" w:cs="Arial" w:eastAsia="Arial" w:hAnsi="Arial"/>
                <w:sz w:val="16"/>
                <w:szCs w:val="16"/>
                <w:b w:val="1"/>
                <w:bCs w:val="1"/>
                <w:color w:val="auto"/>
              </w:rPr>
              <w:t>Administrative,</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9"/>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distribution, and servicing</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6"/>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fees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62"/>
        </w:trPr>
        <w:tc>
          <w:tcPr>
            <w:tcW w:w="2200" w:type="dxa"/>
            <w:vAlign w:val="bottom"/>
          </w:tcPr>
          <w:p>
            <w:pPr>
              <w:ind w:left="180"/>
              <w:spacing w:after="0"/>
              <w:rPr>
                <w:sz w:val="20"/>
                <w:szCs w:val="20"/>
                <w:color w:val="auto"/>
              </w:rPr>
            </w:pPr>
            <w:r>
              <w:rPr>
                <w:rFonts w:ascii="Arial" w:cs="Arial" w:eastAsia="Arial" w:hAnsi="Arial"/>
                <w:sz w:val="16"/>
                <w:szCs w:val="16"/>
                <w:color w:val="auto"/>
              </w:rPr>
              <w:t>Administrative fees</w:t>
            </w:r>
          </w:p>
        </w:tc>
        <w:tc>
          <w:tcPr>
            <w:tcW w:w="16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93.2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96.7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291.0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294.0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6"/>
        </w:trPr>
        <w:tc>
          <w:tcPr>
            <w:tcW w:w="2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 and servicing</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8"/>
        </w:trPr>
        <w:tc>
          <w:tcPr>
            <w:tcW w:w="2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fees</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50"/>
        </w:trPr>
        <w:tc>
          <w:tcPr>
            <w:tcW w:w="2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123.3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131.3</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381.4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400.7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43"/>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1,426.7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1,394.6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4,149.2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4,067.6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0"/>
        </w:trPr>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20"/>
          </w:cols>
          <w:pgMar w:left="240" w:top="57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auto"/>
        </w:rPr>
        <w:t>Investment advisory fees.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mutual funds</w:t>
      </w:r>
    </w:p>
    <w:p>
      <w:pPr>
        <w:spacing w:after="0" w:line="3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Investment advisory revenues earned in the third quarter of 2019 from our U.S. mutual funds were $881.0 million, an increase of 0.4% from the comparable 2018 quarter. Average assets under management in these funds for the third quarter of 2019 increased 1.4% from the 2018 quarter to $650.5 billion.</w:t>
      </w:r>
    </w:p>
    <w:p>
      <w:pPr>
        <w:spacing w:after="0" w:line="175" w:lineRule="exact"/>
        <w:rPr>
          <w:sz w:val="20"/>
          <w:szCs w:val="20"/>
          <w:color w:val="auto"/>
        </w:rPr>
      </w:pPr>
    </w:p>
    <w:p>
      <w:pPr>
        <w:jc w:val="both"/>
        <w:ind w:right="180"/>
        <w:spacing w:after="0" w:line="271" w:lineRule="auto"/>
        <w:rPr>
          <w:sz w:val="20"/>
          <w:szCs w:val="20"/>
          <w:color w:val="auto"/>
        </w:rPr>
      </w:pPr>
      <w:r>
        <w:rPr>
          <w:rFonts w:ascii="Arial" w:cs="Arial" w:eastAsia="Arial" w:hAnsi="Arial"/>
          <w:sz w:val="18"/>
          <w:szCs w:val="18"/>
          <w:color w:val="auto"/>
        </w:rPr>
        <w:t>Investment advisory revenues earned in the nine months ended September 30, 2019 from the firm's U.S. mutual funds were $ 2,557.6 million, virtually flat in comparison with the 2018 period. Average assets under management in these funds for the nine months ended September 30, 2019 increased .6% from the 2018 period to $633.2 billion.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Subadvised and separate accounts and other investment products</w:t>
      </w:r>
    </w:p>
    <w:p>
      <w:pPr>
        <w:spacing w:after="0" w:line="31"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Investment advisory revenues earned in the third quarter of 2019 from subadvised and separate accounts and other investment products were $422.4 million, an increase of 9.4% from the comparable 2018 quarter. Average assets under management for these products increased 11.3% from the 2018 quarter to $479.7 billion.</w:t>
      </w:r>
    </w:p>
    <w:p>
      <w:pPr>
        <w:spacing w:after="0" w:line="175"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Investment advisory revenues earned in the nine months ended September 30, 2019 from subadvised and separate accounts as well as other investment products were $1,210.2 million, an increase of 9.0% from the 2018 period. Average assets under management for these products increased 10.3% from the 2018 period to $458.3 billion.</w:t>
      </w:r>
    </w:p>
    <w:p>
      <w:pPr>
        <w:spacing w:after="0" w:line="1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u w:val="single" w:color="auto"/>
          <w:color w:val="auto"/>
        </w:rPr>
        <w:t>Administrative, distribution, and servicing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distribution, and servicing fees in the third quarter of 2019 were $123.3 million,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$8.0 million, or 6.1%, from the comparable 2018 quarter. For the nine months ended September 30, 2019, these fees were $381.4 million, a decrease of $19.3 million, or 4.8%, from the 2018 period. In this line, we recognize fees earned from providing administrative and distribution services to our investment advisory clients, primarily our U.S. mutual funds and their investors. The decline in distribution and servicing fees for both periods was primarily attributable to lower 12b-1 revenue earned on certain share classes, including the Advisor and R classes, of the U.S. mutual funds as client transfers to lower fee vehicles and share classes has reduced assets under management in these share classes. The decline in 12b-1 revenue is offset entirely by a reduction in the costs paid to third-party intermediaries that source these assets and reported in distribution and servicing expense. The decrease in administrative fees for both periods is primarily due to lower transfer agent servicing activities driven by client transfers from the mutual funds to trusts.</w:t>
      </w:r>
    </w:p>
    <w:p>
      <w:pPr>
        <w:spacing w:after="0" w:line="18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third quarter net revenues reflect the elimination of $ 2.6 million in 2019 and $1.5 million in 2018, of revenue earned from our consolidated T. Rowe Price investment products. For the nine months ended September 30, 2019 and 2018 we eliminated $6.3 million in 2019 and $4.6 million in 2018 of net revenue. The corresponding expenses recognized by these products, and consolidated in our financial statements, were eliminated from operating expenses.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2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980" w:type="dxa"/>
            <w:vAlign w:val="bottom"/>
            <w:tcBorders>
              <w:bottom w:val="single" w:sz="8" w:color="auto"/>
            </w:tcBorders>
            <w:gridSpan w:val="4"/>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Q3 2019 vs. Q3 2018</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gridSpan w:val="4"/>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2080" w:type="dxa"/>
            <w:vAlign w:val="bottom"/>
            <w:tcBorders>
              <w:bottom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YTD 2019 vs. YTD 2018</w:t>
            </w:r>
          </w:p>
        </w:tc>
      </w:tr>
      <w:tr>
        <w:trPr>
          <w:trHeight w:val="264"/>
        </w:trPr>
        <w:tc>
          <w:tcPr>
            <w:tcW w:w="22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2"/>
                <w:szCs w:val="22"/>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rPr>
              <w:t>9/30/2019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00"/>
              <w:spacing w:after="0"/>
              <w:rPr>
                <w:sz w:val="20"/>
                <w:szCs w:val="20"/>
                <w:color w:val="auto"/>
              </w:rPr>
            </w:pPr>
            <w:r>
              <w:rPr>
                <w:rFonts w:ascii="Arial" w:cs="Arial" w:eastAsia="Arial" w:hAnsi="Arial"/>
                <w:sz w:val="14"/>
                <w:szCs w:val="14"/>
                <w:b w:val="1"/>
                <w:bCs w:val="1"/>
                <w:color w:val="auto"/>
              </w:rPr>
              <w:t>9/30/2018</w:t>
            </w:r>
          </w:p>
        </w:tc>
        <w:tc>
          <w:tcPr>
            <w:tcW w:w="1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220" w:type="dxa"/>
            <w:vAlign w:val="bottom"/>
            <w:tcBorders>
              <w:right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21"/>
              <w:spacing w:after="0"/>
              <w:rPr>
                <w:sz w:val="20"/>
                <w:szCs w:val="20"/>
                <w:color w:val="auto"/>
              </w:rPr>
            </w:pPr>
            <w:r>
              <w:rPr>
                <w:rFonts w:ascii="Arial" w:cs="Arial" w:eastAsia="Arial" w:hAnsi="Arial"/>
                <w:sz w:val="14"/>
                <w:szCs w:val="14"/>
                <w:b w:val="1"/>
                <w:bCs w:val="1"/>
                <w:color w:val="auto"/>
              </w:rPr>
              <w:t>9/30/2019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20"/>
              <w:spacing w:after="0"/>
              <w:rPr>
                <w:sz w:val="20"/>
                <w:szCs w:val="20"/>
                <w:color w:val="auto"/>
              </w:rPr>
            </w:pPr>
            <w:r>
              <w:rPr>
                <w:rFonts w:ascii="Arial" w:cs="Arial" w:eastAsia="Arial" w:hAnsi="Arial"/>
                <w:sz w:val="14"/>
                <w:szCs w:val="14"/>
                <w:b w:val="1"/>
                <w:bCs w:val="1"/>
                <w:color w:val="auto"/>
              </w:rPr>
              <w:t>9/30/2018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120" w:type="dxa"/>
            <w:vAlign w:val="bottom"/>
          </w:tcPr>
          <w:p>
            <w:pPr>
              <w:jc w:val="right"/>
              <w:ind w:right="140"/>
              <w:spacing w:after="0"/>
              <w:rPr>
                <w:sz w:val="20"/>
                <w:szCs w:val="20"/>
                <w:color w:val="auto"/>
              </w:rPr>
            </w:pPr>
            <w:r>
              <w:rPr>
                <w:rFonts w:ascii="Arial" w:cs="Arial" w:eastAsia="Arial" w:hAnsi="Arial"/>
                <w:sz w:val="14"/>
                <w:szCs w:val="14"/>
                <w:b w:val="1"/>
                <w:bCs w:val="1"/>
                <w:color w:val="auto"/>
              </w:rPr>
              <w:t>% change</w:t>
            </w:r>
          </w:p>
        </w:tc>
      </w:tr>
      <w:tr>
        <w:trPr>
          <w:trHeight w:val="179"/>
        </w:trPr>
        <w:tc>
          <w:tcPr>
            <w:tcW w:w="2200" w:type="dxa"/>
            <w:vAlign w:val="bottom"/>
            <w:tcBorders>
              <w:top w:val="single" w:sz="8" w:color="CCEEFF"/>
            </w:tcBorders>
            <w:shd w:val="clear" w:color="auto" w:fill="CCEEFF"/>
          </w:tcPr>
          <w:p>
            <w:pPr>
              <w:ind w:left="40"/>
              <w:spacing w:after="0" w:line="179" w:lineRule="exact"/>
              <w:rPr>
                <w:sz w:val="20"/>
                <w:szCs w:val="20"/>
                <w:color w:val="auto"/>
              </w:rPr>
            </w:pPr>
            <w:r>
              <w:rPr>
                <w:rFonts w:ascii="Arial" w:cs="Arial" w:eastAsia="Arial" w:hAnsi="Arial"/>
                <w:sz w:val="16"/>
                <w:szCs w:val="16"/>
                <w:color w:val="auto"/>
              </w:rPr>
              <w:t>Compensation and related</w:t>
            </w: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r>
      <w:tr>
        <w:trPr>
          <w:trHeight w:val="234"/>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466.3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454.3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1,441.0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1,351.7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89.3</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6.6 %</w:t>
            </w:r>
          </w:p>
        </w:tc>
      </w:tr>
      <w:tr>
        <w:trPr>
          <w:trHeight w:val="262"/>
        </w:trPr>
        <w:tc>
          <w:tcPr>
            <w:tcW w:w="2200" w:type="dxa"/>
            <w:vAlign w:val="bottom"/>
          </w:tcPr>
          <w:p>
            <w:pPr>
              <w:ind w:left="40"/>
              <w:spacing w:after="0"/>
              <w:rPr>
                <w:sz w:val="20"/>
                <w:szCs w:val="20"/>
                <w:color w:val="auto"/>
              </w:rPr>
            </w:pPr>
            <w:r>
              <w:rPr>
                <w:rFonts w:ascii="Arial" w:cs="Arial" w:eastAsia="Arial" w:hAnsi="Arial"/>
                <w:sz w:val="16"/>
                <w:szCs w:val="16"/>
                <w:color w:val="auto"/>
              </w:rPr>
              <w:t>Distribution and servicing</w:t>
            </w:r>
          </w:p>
        </w:tc>
        <w:tc>
          <w:tcPr>
            <w:tcW w:w="16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71.4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195.3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213.3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78"/>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Advertising and promotion</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62"/>
        </w:trPr>
        <w:tc>
          <w:tcPr>
            <w:tcW w:w="2200" w:type="dxa"/>
            <w:vAlign w:val="bottom"/>
          </w:tcPr>
          <w:p>
            <w:pPr>
              <w:ind w:left="40"/>
              <w:spacing w:after="0"/>
              <w:rPr>
                <w:sz w:val="20"/>
                <w:szCs w:val="20"/>
                <w:color w:val="auto"/>
              </w:rPr>
            </w:pPr>
            <w:r>
              <w:rPr>
                <w:rFonts w:ascii="Arial" w:cs="Arial" w:eastAsia="Arial" w:hAnsi="Arial"/>
                <w:sz w:val="16"/>
                <w:szCs w:val="16"/>
                <w:color w:val="auto"/>
              </w:rPr>
              <w:t>Product-related costs</w:t>
            </w:r>
          </w:p>
        </w:tc>
        <w:tc>
          <w:tcPr>
            <w:tcW w:w="16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117.1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06"/>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Technology, occupancy, and</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4"/>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facility costs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106.5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96.5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309.5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283.8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r>
      <w:tr>
        <w:trPr>
          <w:trHeight w:val="198"/>
        </w:trPr>
        <w:tc>
          <w:tcPr>
            <w:tcW w:w="2200" w:type="dxa"/>
            <w:vAlign w:val="bottom"/>
          </w:tcPr>
          <w:p>
            <w:pPr>
              <w:ind w:left="40"/>
              <w:spacing w:after="0"/>
              <w:rPr>
                <w:sz w:val="20"/>
                <w:szCs w:val="20"/>
                <w:color w:val="auto"/>
              </w:rPr>
            </w:pPr>
            <w:r>
              <w:rPr>
                <w:rFonts w:ascii="Arial" w:cs="Arial" w:eastAsia="Arial" w:hAnsi="Arial"/>
                <w:sz w:val="16"/>
                <w:szCs w:val="16"/>
                <w:color w:val="auto"/>
              </w:rPr>
              <w:t>General, administrative, and</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8"/>
        </w:trPr>
        <w:tc>
          <w:tcPr>
            <w:tcW w:w="2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75.2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1.7 %</w:t>
            </w:r>
          </w:p>
        </w:tc>
      </w:tr>
      <w:tr>
        <w:trPr>
          <w:trHeight w:val="242"/>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767.6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754.0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2,342.5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2,248.5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4.2 %</w:t>
            </w:r>
          </w:p>
        </w:tc>
      </w:tr>
      <w:tr>
        <w:trPr>
          <w:trHeight w:val="20"/>
        </w:trPr>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u w:val="single" w:color="auto"/>
          <w:color w:val="auto"/>
        </w:rPr>
        <w:t>Compensation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related costs were $466.3 million in the third quarter of 2019, an increase of $12.0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2.6%, compared to the 2018 quarter. The increase was primarily due to higher salaries, benefits and related employee costs of $13.8 million, primarily as a result of a 3.3% increase in our average staff size and modest increases in base salaries at the beginning of 2019 and an increase in non-cash</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20"/>
          </w:cols>
          <w:pgMar w:left="240" w:top="578" w:right="239" w:bottom="1440" w:gutter="0" w:footer="0" w:header="0"/>
        </w:sectPr>
      </w:pPr>
    </w:p>
    <w:bookmarkStart w:id="27" w:name="page28"/>
    <w:bookmarkEnd w:id="27"/>
    <w:p>
      <w:pPr>
        <w:ind w:right="240"/>
        <w:spacing w:after="0" w:line="260" w:lineRule="auto"/>
        <w:rPr>
          <w:sz w:val="20"/>
          <w:szCs w:val="20"/>
          <w:color w:val="auto"/>
        </w:rPr>
      </w:pPr>
      <w:r>
        <w:rPr>
          <w:rFonts w:ascii="Arial" w:cs="Arial" w:eastAsia="Arial" w:hAnsi="Arial"/>
          <w:sz w:val="18"/>
          <w:szCs w:val="18"/>
          <w:color w:val="auto"/>
        </w:rPr>
        <w:t>stock-based compensation expense of $.9 million. Our interim accrual for annual variable compensation, primarily bonus compensation, also increased $5.9 million from the 2018 quarter. We recognize the interim bonus accrual ratably over the year using the ratio of recognized quarterly net revenues to forecasted annual net revenues. These increases in compensation and related costs were offset in part by $6.0 million in lower market-related expense related to our supplemental savings plan and $2.4 million of higher labor capitalization related to internally developed software compared to the 2018 quarter.</w:t>
      </w:r>
    </w:p>
    <w:p>
      <w:pPr>
        <w:spacing w:after="0" w:line="17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Compensation and related costs were $1,441.0 million in the nine months ended September 30, 2019, an increase of $89.3 million, or 6.6%, compared to the 2018 period. The increase in compensation and related costs was primarily due to an increase in salaries, benefits and related employee costs, which have increased $46.6 million from the 2018 period and $38.8 million in higher market-related expense related to our supplemental savings plan. An increase of 3.0% in our average staff size and modest increases in base salaries at the beginning of 2019 have contributed to higher associate-related costs. Our interim accrual for annual variable compensation, primarily bonus compensation, also increased $ 22.9 million in 2019 from the 2018 period. These increases in compensation and related costs were offset in part by the absence in 2019 of the one-time bonus paid to certain associates in the second quarter of 2018 and $8.3 million in higher labor capitalization related to internally developed software in 2019 period.</w:t>
      </w:r>
    </w:p>
    <w:p>
      <w:pPr>
        <w:spacing w:after="0" w:line="17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u w:val="single" w:color="auto"/>
          <w:color w:val="auto"/>
        </w:rPr>
        <w:t>Distribution and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and servicing includes those costs incurred to distribute T. Rowe Price products as well as client and</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servicing, recordkeeping, and administrative services. These costs were $64.5 million for the third quarter of 2019, a decrease of</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9.7% from the $71.4 million recognized in the 2018 quarter. For the nine months ended September 30, 2019, these costs were $195.3 million, a decrease of 8.4% over the $213.3 million recognized in the comparable 2018 period. The decrease for both periods is primarily driven by client transfers to lower fee vehicles or share classes over the last twelve months, which resulted in lower assets under management in those mutual funds on which we pay distribution and servicing costs. These costs include those distribution and servicing costs paid to third-party intermediaries that source the assets of certain share classes of our U.S. mutual funds and is offset entirely by the 12b-1 revenue we earn and report in administrative, distribution, and servicing fees. Also contributing to the decrease were lower transfer agent service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 and promotion.</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and promotion costs were $17.1 million in the third quarter of 2019, a decrease of $3.1 million, or</w:t>
      </w:r>
    </w:p>
    <w:p>
      <w:pPr>
        <w:spacing w:after="0" w:line="3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15.3%, compared to the $20.2 million recognized in the 2018 quarter. For the nine months ended September 30, 2019, these costs were $58.5 million, a decrease of $5.3 million, or 8.3%, compared to the 2018 period. The decrease for both periods is due primarily to the absence in 2019 of the creation and launch of a media advertising campaign in 2018 and a lower level of activity in 2019 as compared to 2018.</w:t>
      </w:r>
    </w:p>
    <w:p>
      <w:pPr>
        <w:spacing w:after="0" w:line="17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occupancy, and facility costs consists of depreciation expense, technology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maintenance, software, and costs related to our facilities. These costs were $106.5 million in the third quarter of 2019, an increase of $10.0 million, or 10.4%, compared to the $96.5 million recognized in the 2018 quarter. For the nine months ended September 30, 2019, these costs were $309.5 million, an increase of $25.7 million, or 9.1%, compared to the 2018 period. The increase for both periods is due primarily to incremental investment in our technology capabilities, including related depreciation, hosted solution licenses, and maintenance programs, as well as increased office facility costs.</w:t>
      </w:r>
    </w:p>
    <w:p>
      <w:pPr>
        <w:spacing w:after="0" w:line="178"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i w:val="1"/>
          <w:iCs w:val="1"/>
          <w:u w:val="single" w:color="auto"/>
          <w:color w:val="auto"/>
        </w:rPr>
        <w:t>General, administrative,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administrative, and other expenses were $75.2 million in the third quarter of 2019,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$1.5 million, or 1.4%, compared to the $73.7 million recognized in the 2018 quarter. For the nine months ended September 30, 2019, these costs were $222.6 million, an increase of $3.8 million, or 1.7%, compared to the 2018 period. The increase for nine months ended September 30, 2019 compared with the 2018 period is primarily due to an increase in third-party investment research costs that were partially offset by lower professional fees.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20"/>
          </w:cols>
          <w:pgMar w:left="240" w:top="57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Non-operating income</w:t>
      </w:r>
    </w:p>
    <w:p>
      <w:pPr>
        <w:spacing w:after="0" w:line="22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Non-operating income in the third quarter of 2019 was $43.0 million, a decrease of $81.9 million from the 2018 quarter. For the nine months ended September 30, 2019, non-operating income increased $195.2 million from the 2018 period to $370.3 million. The following table details the components of non-operating income during both the third quarter and nine months ended September 30, 2019 and 2018.</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6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260" w:type="dxa"/>
            <w:vAlign w:val="bottom"/>
            <w:gridSpan w:val="5"/>
            <w:shd w:val="clear" w:color="auto" w:fill="CCEEFF"/>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23"/>
                <w:szCs w:val="23"/>
                <w:color w:val="auto"/>
              </w:rPr>
            </w:pPr>
          </w:p>
        </w:tc>
        <w:tc>
          <w:tcPr>
            <w:tcW w:w="2140" w:type="dxa"/>
            <w:vAlign w:val="bottom"/>
            <w:gridSpan w:val="4"/>
            <w:shd w:val="clear" w:color="auto" w:fill="CCEEFF"/>
          </w:tcPr>
          <w:p>
            <w:pPr>
              <w:jc w:val="right"/>
              <w:ind w:right="43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9/30/2019</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9/30/2018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9/30/2019</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9/30/2018</w:t>
            </w:r>
          </w:p>
        </w:tc>
      </w:tr>
      <w:tr>
        <w:trPr>
          <w:trHeight w:val="265"/>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(losses) from non-consolidated T. Rowe Price investment products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5"/>
        </w:trPr>
        <w:tc>
          <w:tcPr>
            <w:tcW w:w="6500" w:type="dxa"/>
            <w:vAlign w:val="bottom"/>
          </w:tcPr>
          <w:p>
            <w:pPr>
              <w:ind w:left="180"/>
              <w:spacing w:after="0"/>
              <w:rPr>
                <w:sz w:val="20"/>
                <w:szCs w:val="20"/>
                <w:color w:val="auto"/>
              </w:rPr>
            </w:pPr>
            <w:r>
              <w:rPr>
                <w:rFonts w:ascii="Arial" w:cs="Arial" w:eastAsia="Arial" w:hAnsi="Arial"/>
                <w:sz w:val="18"/>
                <w:szCs w:val="18"/>
                <w:color w:val="auto"/>
              </w:rPr>
              <w:t>Cash and discretionary investments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5"/>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Dividend income</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31.0</w:t>
            </w:r>
          </w:p>
        </w:tc>
      </w:tr>
      <w:tr>
        <w:trPr>
          <w:trHeight w:val="265"/>
        </w:trPr>
        <w:tc>
          <w:tcPr>
            <w:tcW w:w="6500" w:type="dxa"/>
            <w:vAlign w:val="bottom"/>
          </w:tcPr>
          <w:p>
            <w:pPr>
              <w:ind w:left="280"/>
              <w:spacing w:after="0"/>
              <w:rPr>
                <w:sz w:val="20"/>
                <w:szCs w:val="20"/>
                <w:color w:val="auto"/>
              </w:rPr>
            </w:pPr>
            <w:r>
              <w:rPr>
                <w:rFonts w:ascii="Arial" w:cs="Arial" w:eastAsia="Arial" w:hAnsi="Arial"/>
                <w:sz w:val="18"/>
                <w:szCs w:val="18"/>
                <w:color w:val="auto"/>
              </w:rPr>
              <w:t>Market related gains (losses) and equity in earnings</w:t>
            </w:r>
          </w:p>
        </w:tc>
        <w:tc>
          <w:tcPr>
            <w:tcW w:w="26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5"/>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Seed capital investments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5"/>
        </w:trPr>
        <w:tc>
          <w:tcPr>
            <w:tcW w:w="6500" w:type="dxa"/>
            <w:vAlign w:val="bottom"/>
          </w:tcPr>
          <w:p>
            <w:pPr>
              <w:ind w:left="280"/>
              <w:spacing w:after="0"/>
              <w:rPr>
                <w:sz w:val="20"/>
                <w:szCs w:val="20"/>
                <w:color w:val="auto"/>
              </w:rPr>
            </w:pPr>
            <w:r>
              <w:rPr>
                <w:rFonts w:ascii="Arial" w:cs="Arial" w:eastAsia="Arial" w:hAnsi="Arial"/>
                <w:sz w:val="18"/>
                <w:szCs w:val="18"/>
                <w:color w:val="auto"/>
              </w:rPr>
              <w:t>Dividend income</w:t>
            </w:r>
          </w:p>
        </w:tc>
        <w:tc>
          <w:tcPr>
            <w:tcW w:w="26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5"/>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Market related gains (losses) and equity in earnings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65"/>
        </w:trPr>
        <w:tc>
          <w:tcPr>
            <w:tcW w:w="6500" w:type="dxa"/>
            <w:vAlign w:val="bottom"/>
          </w:tcPr>
          <w:p>
            <w:pPr>
              <w:ind w:left="180"/>
              <w:spacing w:after="0"/>
              <w:rPr>
                <w:sz w:val="20"/>
                <w:szCs w:val="20"/>
                <w:color w:val="auto"/>
              </w:rPr>
            </w:pPr>
            <w:r>
              <w:rPr>
                <w:rFonts w:ascii="Arial" w:cs="Arial" w:eastAsia="Arial" w:hAnsi="Arial"/>
                <w:sz w:val="18"/>
                <w:szCs w:val="18"/>
                <w:color w:val="auto"/>
              </w:rPr>
              <w:t>Net gain (loss) recognized upon deconsolidation</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75"/>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r>
      <w:tr>
        <w:trPr>
          <w:trHeight w:val="249"/>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Total net gains from non-consolidated T. Rowe Price investment products</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23.2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27.8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b w:val="1"/>
                <w:bCs w:val="1"/>
                <w:color w:val="auto"/>
              </w:rPr>
              <w:t>175.6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45.0</w:t>
            </w:r>
          </w:p>
        </w:tc>
      </w:tr>
      <w:tr>
        <w:trPr>
          <w:trHeight w:val="271"/>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investment income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102.9</w:t>
            </w:r>
          </w:p>
        </w:tc>
      </w:tr>
      <w:tr>
        <w:trPr>
          <w:trHeight w:val="249"/>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Net gains on investments</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32.1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116.1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b w:val="1"/>
                <w:bCs w:val="1"/>
                <w:color w:val="auto"/>
              </w:rPr>
              <w:t>194.0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147.9</w:t>
            </w:r>
          </w:p>
        </w:tc>
      </w:tr>
      <w:tr>
        <w:trPr>
          <w:trHeight w:val="271"/>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on consolidated sponsored investment portfolios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176.3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r>
      <w:tr>
        <w:trPr>
          <w:trHeight w:val="265"/>
        </w:trPr>
        <w:tc>
          <w:tcPr>
            <w:tcW w:w="6500" w:type="dxa"/>
            <w:vAlign w:val="bottom"/>
          </w:tcPr>
          <w:p>
            <w:pPr>
              <w:ind w:left="40"/>
              <w:spacing w:after="0"/>
              <w:rPr>
                <w:sz w:val="20"/>
                <w:szCs w:val="20"/>
                <w:color w:val="auto"/>
              </w:rPr>
            </w:pPr>
            <w:r>
              <w:rPr>
                <w:rFonts w:ascii="Arial" w:cs="Arial" w:eastAsia="Arial" w:hAnsi="Arial"/>
                <w:sz w:val="18"/>
                <w:szCs w:val="18"/>
                <w:color w:val="auto"/>
              </w:rPr>
              <w:t>Other income (loss), including foreign currency gains and losses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5"/>
        </w:trPr>
        <w:tc>
          <w:tcPr>
            <w:tcW w:w="6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w:t>
            </w:r>
          </w:p>
        </w:tc>
        <w:tc>
          <w:tcPr>
            <w:tcW w:w="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43.0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124.9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370.3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175.1</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During the third quarter of 2018, non-operating income included a realized gain from the sale of our 10% holding in Daiwa SB Investments Ltd. that did not recur in 2019. Non-operating income for the third quarter of 2019 included lower unrealized gains on our investment portfolio due to a more volatile market as compared to the third quarter of 2018. These lower unrealized gains, however, were more than offset by higher gains on our consolidated investment products in the third quarter of 2019 as compared to the third quarter of 2018.</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nine months ended September 30, 2019, non-operating income included the impact of sharp market increases earlier in the year, which resulted in significant unrealized gains on our investment portfolio included in our consolidated products compared with modest investment gains recognized during 2018. Partially offsetting the market increases was the absence in 2019 of the realized gain from the sale of our 10% holding in Daiwa SB Investments Ltd. that was recognized in the third quarter of 2018.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20"/>
          </w:cols>
          <w:pgMar w:left="240" w:top="574" w:right="239" w:bottom="1440" w:gutter="0" w:footer="0" w:header="0"/>
        </w:sectPr>
      </w:pPr>
    </w:p>
    <w:bookmarkStart w:id="29" w:name="page30"/>
    <w:bookmarkEnd w:id="29"/>
    <w:p>
      <w:pPr>
        <w:spacing w:after="0" w:line="264" w:lineRule="auto"/>
        <w:rPr>
          <w:sz w:val="20"/>
          <w:szCs w:val="20"/>
          <w:color w:val="auto"/>
        </w:rPr>
      </w:pPr>
      <w:r>
        <w:rPr>
          <w:rFonts w:ascii="Arial" w:cs="Arial" w:eastAsia="Arial" w:hAnsi="Arial"/>
          <w:sz w:val="18"/>
          <w:szCs w:val="18"/>
          <w:color w:val="auto"/>
        </w:rPr>
        <w:t>The table above includes the net investment income of the underlying portfolios included in the consolidated T. Rowe Price investment products and not just the net investment income related to our interest. The table below shows the impact that the consolidated T. Rowe Price investment products have on the individual lines of our unaudited condensed consolidated statements of income and the portion attributable to our interest: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65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320" w:type="dxa"/>
            <w:vAlign w:val="bottom"/>
            <w:gridSpan w:val="5"/>
            <w:shd w:val="clear" w:color="auto" w:fill="CCEEFF"/>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shd w:val="clear" w:color="auto" w:fill="CCEEFF"/>
          </w:tcPr>
          <w:p>
            <w:pPr>
              <w:spacing w:after="0"/>
              <w:rPr>
                <w:sz w:val="23"/>
                <w:szCs w:val="23"/>
                <w:color w:val="auto"/>
              </w:rPr>
            </w:pPr>
          </w:p>
        </w:tc>
        <w:tc>
          <w:tcPr>
            <w:tcW w:w="2220" w:type="dxa"/>
            <w:vAlign w:val="bottom"/>
            <w:gridSpan w:val="4"/>
            <w:shd w:val="clear" w:color="auto" w:fill="CCEEFF"/>
          </w:tcPr>
          <w:p>
            <w:pPr>
              <w:jc w:val="right"/>
              <w:ind w:right="43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9/30/2019</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9/30/2018</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9/30/2019</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9/30/2018</w:t>
            </w:r>
          </w:p>
        </w:tc>
      </w:tr>
      <w:tr>
        <w:trPr>
          <w:trHeight w:val="251"/>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 reflected in net operating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65"/>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investment income reflected in non-operating income</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176.3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28.6</w:t>
            </w:r>
          </w:p>
        </w:tc>
      </w:tr>
      <w:tr>
        <w:trPr>
          <w:trHeight w:val="255"/>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19.4</w:t>
            </w: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05"/>
        </w:trPr>
        <w:tc>
          <w:tcPr>
            <w:tcW w:w="6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our interest in the consolidated</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52"/>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 Rowe Price investment products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r>
      <w:tr>
        <w:trPr>
          <w:trHeight w:val="207"/>
        </w:trPr>
        <w:tc>
          <w:tcPr>
            <w:tcW w:w="6500" w:type="dxa"/>
            <w:vAlign w:val="bottom"/>
          </w:tcPr>
          <w:p>
            <w:pPr>
              <w:ind w:left="40"/>
              <w:spacing w:after="0"/>
              <w:rPr>
                <w:sz w:val="20"/>
                <w:szCs w:val="20"/>
                <w:color w:val="auto"/>
              </w:rPr>
            </w:pPr>
            <w:r>
              <w:rPr>
                <w:rFonts w:ascii="Arial" w:cs="Arial" w:eastAsia="Arial" w:hAnsi="Arial"/>
                <w:sz w:val="18"/>
                <w:szCs w:val="18"/>
                <w:color w:val="auto"/>
              </w:rPr>
              <w:t>Net income attributable to redeemable non-controlling interests (unrelated third-</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48"/>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party investors)</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11.1</w:t>
            </w:r>
          </w:p>
        </w:tc>
      </w:tr>
      <w:tr>
        <w:trPr>
          <w:trHeight w:val="250"/>
        </w:trPr>
        <w:tc>
          <w:tcPr>
            <w:tcW w:w="6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19.4</w:t>
            </w: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27"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Our effective tax rate for the third quarter of 2019 was 22.4%, compared with 24.0% in the 2018 quarter. Our effective tax rate for the nine months ended September 30, 2019 was 24.0%, compared with 24.9% in the 2018 period. The income tax provision for the 2018 year-to-date period includes nonrecurring charges totaling $28.7 million related to the enactment of U.S. tax reform and new Maryland state tax legislation. The following table reconciles the statutory federal income tax rate to our effective tax rate for both the three- and nine-months ended September 30, 2019 and 2018:</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6120" w:type="dxa"/>
            <w:vAlign w:val="bottom"/>
            <w:shd w:val="clear" w:color="auto" w:fill="CCEEFF"/>
          </w:tcPr>
          <w:p>
            <w:pPr>
              <w:spacing w:after="0"/>
              <w:rPr>
                <w:sz w:val="23"/>
                <w:szCs w:val="23"/>
                <w:color w:val="auto"/>
              </w:rPr>
            </w:pPr>
          </w:p>
        </w:tc>
        <w:tc>
          <w:tcPr>
            <w:tcW w:w="2700" w:type="dxa"/>
            <w:vAlign w:val="bottom"/>
            <w:gridSpan w:val="4"/>
            <w:shd w:val="clear" w:color="auto" w:fill="CCEEFF"/>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600" w:type="dxa"/>
            <w:vAlign w:val="bottom"/>
            <w:gridSpan w:val="3"/>
            <w:shd w:val="clear" w:color="auto" w:fill="CCEEFF"/>
          </w:tcPr>
          <w:p>
            <w:pPr>
              <w:jc w:val="right"/>
              <w:ind w:right="53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12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9/30/2019</w:t>
            </w:r>
          </w:p>
        </w:tc>
        <w:tc>
          <w:tcPr>
            <w:tcW w:w="12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9/30/2018</w:t>
            </w:r>
          </w:p>
        </w:tc>
        <w:tc>
          <w:tcPr>
            <w:tcW w:w="10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9/30/2019</w:t>
            </w:r>
          </w:p>
        </w:tc>
        <w:tc>
          <w:tcPr>
            <w:tcW w:w="12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9/30/2018</w:t>
            </w:r>
          </w:p>
        </w:tc>
      </w:tr>
      <w:tr>
        <w:trPr>
          <w:trHeight w:val="251"/>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Statutory U.S. federal income tax rate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07"/>
        </w:trPr>
        <w:tc>
          <w:tcPr>
            <w:tcW w:w="6120" w:type="dxa"/>
            <w:vAlign w:val="bottom"/>
          </w:tcPr>
          <w:p>
            <w:pPr>
              <w:ind w:left="40"/>
              <w:spacing w:after="0"/>
              <w:rPr>
                <w:sz w:val="20"/>
                <w:szCs w:val="20"/>
                <w:color w:val="auto"/>
              </w:rPr>
            </w:pPr>
            <w:r>
              <w:rPr>
                <w:rFonts w:ascii="Arial" w:cs="Arial" w:eastAsia="Arial" w:hAnsi="Arial"/>
                <w:sz w:val="18"/>
                <w:szCs w:val="18"/>
                <w:color w:val="auto"/>
              </w:rPr>
              <w:t>Impact of nonrecurring charge related to U.S. tax reform recognized in the</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8"/>
        </w:trPr>
        <w:tc>
          <w:tcPr>
            <w:tcW w:w="612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1.0</w:t>
            </w:r>
          </w:p>
        </w:tc>
      </w:tr>
      <w:tr>
        <w:trPr>
          <w:trHeight w:val="211"/>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nonrecurring charge related to new Maryland state tax legislation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52"/>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recognized in the second quarter</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State income taxes for current year, net of federal income tax benefits</w:t>
            </w:r>
            <w:r>
              <w:rPr>
                <w:rFonts w:ascii="Arial" w:cs="Arial" w:eastAsia="Arial" w:hAnsi="Arial"/>
                <w:sz w:val="21"/>
                <w:szCs w:val="21"/>
                <w:color w:val="auto"/>
                <w:vertAlign w:val="superscript"/>
              </w:rPr>
              <w:t>(1)</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4.6</w:t>
            </w:r>
          </w:p>
        </w:tc>
      </w:tr>
      <w:tr>
        <w:trPr>
          <w:trHeight w:val="270"/>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redeemable non-controlling interests</w:t>
            </w: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r>
      <w:tr>
        <w:trPr>
          <w:trHeight w:val="265"/>
        </w:trPr>
        <w:tc>
          <w:tcPr>
            <w:tcW w:w="6120" w:type="dxa"/>
            <w:vAlign w:val="bottom"/>
          </w:tcPr>
          <w:p>
            <w:pPr>
              <w:ind w:left="4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(1.8)</w:t>
            </w:r>
          </w:p>
        </w:tc>
      </w:tr>
      <w:tr>
        <w:trPr>
          <w:trHeight w:val="270"/>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items</w:t>
            </w: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r>
      <w:tr>
        <w:trPr>
          <w:trHeight w:val="259"/>
        </w:trPr>
        <w:tc>
          <w:tcPr>
            <w:tcW w:w="612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1240" w:type="dxa"/>
            <w:vAlign w:val="bottom"/>
          </w:tcPr>
          <w:p>
            <w:pPr>
              <w:jc w:val="right"/>
              <w:spacing w:after="0"/>
              <w:rPr>
                <w:sz w:val="20"/>
                <w:szCs w:val="20"/>
                <w:color w:val="auto"/>
              </w:rPr>
            </w:pPr>
            <w:r>
              <w:rPr>
                <w:rFonts w:ascii="Arial" w:cs="Arial" w:eastAsia="Arial" w:hAnsi="Arial"/>
                <w:sz w:val="18"/>
                <w:szCs w:val="18"/>
                <w:color w:val="auto"/>
              </w:rPr>
              <w:t>22.4 %</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24.0 %</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24.0 %</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-1905</wp:posOffset>
            </wp:positionV>
            <wp:extent cx="336169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1690" cy="26035"/>
                    </a:xfrm>
                    <a:prstGeom prst="rect">
                      <a:avLst/>
                    </a:prstGeom>
                    <a:noFill/>
                  </pic:spPr>
                </pic:pic>
              </a:graphicData>
            </a:graphic>
          </wp:anchor>
        </w:drawing>
      </w:r>
    </w:p>
    <w:p>
      <w:pPr>
        <w:spacing w:after="0" w:line="5"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State income tax benefits are reflected in the total benefits for net income attributable to redeemable non-controlling interests and stock-based compensation plans activity.</w:t>
      </w:r>
    </w:p>
    <w:p>
      <w:pPr>
        <w:spacing w:after="0" w:line="18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currently estimate our effective tax rate for the full-year 2019 will be in the range of 23% to 25%. Our effective tax rate will continue to experience volatility in future periods as the tax benefits recognized from stock-based compensation are impacted by market fluctuations in our stock price and timing of option exercises. The rate will also be impacted by net investment income recognized on our consolidated investment products that are driven by market fluctuations and changes in the proportion of their net income that is attributable to non-controlling interests.</w:t>
      </w:r>
    </w:p>
    <w:p>
      <w:pPr>
        <w:spacing w:after="0" w:line="170" w:lineRule="exact"/>
        <w:rPr>
          <w:sz w:val="20"/>
          <w:szCs w:val="20"/>
          <w:color w:val="auto"/>
        </w:rPr>
      </w:pPr>
    </w:p>
    <w:p>
      <w:pPr>
        <w:jc w:val="both"/>
        <w:ind w:right="180"/>
        <w:spacing w:after="0" w:line="271" w:lineRule="auto"/>
        <w:rPr>
          <w:sz w:val="20"/>
          <w:szCs w:val="20"/>
          <w:color w:val="auto"/>
        </w:rPr>
      </w:pPr>
      <w:r>
        <w:rPr>
          <w:rFonts w:ascii="Arial" w:cs="Arial" w:eastAsia="Arial" w:hAnsi="Arial"/>
          <w:sz w:val="18"/>
          <w:szCs w:val="18"/>
          <w:color w:val="auto"/>
        </w:rPr>
        <w:t>Our non-GAAP effective tax rate for the third quarter of 2019 and 2018 was 23.6% and 24.5%, respectively. Our non-GAAP effective tax rate for the nine months ended September 30, 2019 and 2018 was 24.8% and 23.8%, respectively. We currently estimate our non-GAAP effective tax rate for the full-year 2019 will be in the range of 23.5% to 25.5%.</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1420"/>
          </w:cols>
          <w:pgMar w:left="240" w:top="57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22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175" w:lineRule="exact"/>
        <w:rPr>
          <w:sz w:val="20"/>
          <w:szCs w:val="20"/>
          <w:color w:val="auto"/>
        </w:rPr>
      </w:pPr>
    </w:p>
    <w:p>
      <w:pPr>
        <w:ind w:right="3420"/>
        <w:spacing w:after="0" w:line="292" w:lineRule="auto"/>
        <w:rPr>
          <w:sz w:val="20"/>
          <w:szCs w:val="20"/>
          <w:color w:val="auto"/>
        </w:rPr>
      </w:pPr>
      <w:r>
        <w:rPr>
          <w:rFonts w:ascii="Arial" w:cs="Arial" w:eastAsia="Arial" w:hAnsi="Arial"/>
          <w:sz w:val="18"/>
          <w:szCs w:val="18"/>
          <w:color w:val="auto"/>
        </w:rPr>
        <w:t>The following schedules reconcile certain U.S. GAAP financial measures for the three months ended September 30, 2019 and 2018.</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40" w:type="dxa"/>
            <w:vAlign w:val="bottom"/>
            <w:shd w:val="clear" w:color="auto" w:fill="CCEEFF"/>
          </w:tcPr>
          <w:p>
            <w:pPr>
              <w:spacing w:after="0"/>
              <w:rPr>
                <w:sz w:val="23"/>
                <w:szCs w:val="23"/>
                <w:color w:val="auto"/>
              </w:rPr>
            </w:pPr>
          </w:p>
        </w:tc>
        <w:tc>
          <w:tcPr>
            <w:tcW w:w="34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2400" w:type="dxa"/>
            <w:vAlign w:val="bottom"/>
            <w:tcBorders>
              <w:bottom w:val="single" w:sz="8" w:color="auto"/>
            </w:tcBorders>
            <w:gridSpan w:val="6"/>
            <w:shd w:val="clear" w:color="auto" w:fill="CCEEFF"/>
          </w:tcPr>
          <w:p>
            <w:pPr>
              <w:jc w:val="center"/>
              <w:spacing w:after="0"/>
              <w:rPr>
                <w:sz w:val="20"/>
                <w:szCs w:val="20"/>
                <w:color w:val="auto"/>
              </w:rPr>
            </w:pPr>
            <w:r>
              <w:rPr>
                <w:rFonts w:ascii="Arial" w:cs="Arial" w:eastAsia="Arial" w:hAnsi="Arial"/>
                <w:sz w:val="14"/>
                <w:szCs w:val="14"/>
                <w:b w:val="1"/>
                <w:bCs w:val="1"/>
                <w:color w:val="auto"/>
              </w:rPr>
              <w:t>Three months ended 9/30/2019</w:t>
            </w: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Provision</w:t>
            </w:r>
          </w:p>
        </w:tc>
        <w:tc>
          <w:tcPr>
            <w:tcW w:w="140" w:type="dxa"/>
            <w:vAlign w:val="bottom"/>
          </w:tcPr>
          <w:p>
            <w:pPr>
              <w:spacing w:after="0"/>
              <w:rPr>
                <w:sz w:val="14"/>
                <w:szCs w:val="14"/>
                <w:color w:val="auto"/>
              </w:rPr>
            </w:pPr>
          </w:p>
        </w:tc>
        <w:tc>
          <w:tcPr>
            <w:tcW w:w="13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Net income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w:t>
            </w: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Net operating</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8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(benefit) for</w:t>
            </w:r>
          </w:p>
        </w:tc>
        <w:tc>
          <w:tcPr>
            <w:tcW w:w="140" w:type="dxa"/>
            <w:vAlign w:val="bottom"/>
          </w:tcPr>
          <w:p>
            <w:pPr>
              <w:spacing w:after="0"/>
              <w:rPr>
                <w:sz w:val="14"/>
                <w:szCs w:val="14"/>
                <w:color w:val="auto"/>
              </w:rPr>
            </w:pPr>
          </w:p>
        </w:tc>
        <w:tc>
          <w:tcPr>
            <w:tcW w:w="13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attributable to T.</w:t>
            </w:r>
          </w:p>
        </w:tc>
        <w:tc>
          <w:tcPr>
            <w:tcW w:w="12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13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9"/>
              </w:rPr>
              <w:t>income taxes</w:t>
            </w:r>
            <w:r>
              <w:rPr>
                <w:rFonts w:ascii="Arial" w:cs="Arial" w:eastAsia="Arial" w:hAnsi="Arial"/>
                <w:sz w:val="17"/>
                <w:szCs w:val="17"/>
                <w:b w:val="1"/>
                <w:bCs w:val="1"/>
                <w:color w:val="auto"/>
                <w:w w:val="99"/>
                <w:vertAlign w:val="superscript"/>
              </w:rPr>
              <w:t>(6)</w:t>
            </w:r>
          </w:p>
        </w:tc>
        <w:tc>
          <w:tcPr>
            <w:tcW w:w="1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Rowe Price Group</w:t>
            </w:r>
          </w:p>
        </w:tc>
        <w:tc>
          <w:tcPr>
            <w:tcW w:w="18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per share</w:t>
            </w:r>
            <w:r>
              <w:rPr>
                <w:rFonts w:ascii="Arial" w:cs="Arial" w:eastAsia="Arial" w:hAnsi="Arial"/>
                <w:sz w:val="17"/>
                <w:szCs w:val="17"/>
                <w:b w:val="1"/>
                <w:bCs w:val="1"/>
                <w:color w:val="auto"/>
                <w:w w:val="98"/>
                <w:vertAlign w:val="superscript"/>
              </w:rPr>
              <w:t>(7)</w:t>
            </w:r>
          </w:p>
        </w:tc>
        <w:tc>
          <w:tcPr>
            <w:tcW w:w="0" w:type="dxa"/>
            <w:vAlign w:val="bottom"/>
          </w:tcPr>
          <w:p>
            <w:pPr>
              <w:spacing w:after="0"/>
              <w:rPr>
                <w:sz w:val="1"/>
                <w:szCs w:val="1"/>
                <w:color w:val="auto"/>
              </w:rPr>
            </w:pPr>
          </w:p>
        </w:tc>
      </w:tr>
      <w:tr>
        <w:trPr>
          <w:trHeight w:val="250"/>
        </w:trPr>
        <w:tc>
          <w:tcPr>
            <w:tcW w:w="35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U.S. GAAP Basis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767.6</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659.1</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157.0</w:t>
            </w: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520" w:type="dxa"/>
            <w:vAlign w:val="bottom"/>
            <w:gridSpan w:val="2"/>
          </w:tcPr>
          <w:p>
            <w:pPr>
              <w:ind w:left="40"/>
              <w:spacing w:after="0"/>
              <w:rPr>
                <w:sz w:val="20"/>
                <w:szCs w:val="20"/>
                <w:color w:val="auto"/>
              </w:rPr>
            </w:pPr>
            <w:r>
              <w:rPr>
                <w:rFonts w:ascii="Arial" w:cs="Arial" w:eastAsia="Arial" w:hAnsi="Arial"/>
                <w:sz w:val="16"/>
                <w:szCs w:val="16"/>
                <w:color w:val="auto"/>
              </w:rPr>
              <w:t>Non-GAAP adjustments:</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shd w:val="clear" w:color="auto" w:fill="CCEEFF"/>
          </w:tcPr>
          <w:p>
            <w:pPr>
              <w:spacing w:after="0"/>
              <w:rPr>
                <w:sz w:val="17"/>
                <w:szCs w:val="17"/>
                <w:color w:val="auto"/>
              </w:rPr>
            </w:pPr>
          </w:p>
        </w:tc>
        <w:tc>
          <w:tcPr>
            <w:tcW w:w="3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T. Rowe Price</w:t>
            </w:r>
          </w:p>
        </w:tc>
        <w:tc>
          <w:tcPr>
            <w:tcW w:w="1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gridSpan w:val="2"/>
            <w:shd w:val="clear" w:color="auto" w:fill="CCEEFF"/>
          </w:tcPr>
          <w:p>
            <w:pPr>
              <w:ind w:left="40"/>
              <w:spacing w:after="0" w:line="234"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480" w:type="dxa"/>
            <w:vAlign w:val="bottom"/>
          </w:tcPr>
          <w:p>
            <w:pPr>
              <w:ind w:left="140"/>
              <w:spacing w:after="0"/>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520" w:type="dxa"/>
            <w:vAlign w:val="bottom"/>
            <w:gridSpan w:val="2"/>
          </w:tcPr>
          <w:p>
            <w:pPr>
              <w:ind w:left="40"/>
              <w:spacing w:after="0"/>
              <w:rPr>
                <w:sz w:val="20"/>
                <w:szCs w:val="20"/>
                <w:color w:val="auto"/>
              </w:rPr>
            </w:pPr>
            <w:r>
              <w:rPr>
                <w:rFonts w:ascii="Arial" w:cs="Arial" w:eastAsia="Arial" w:hAnsi="Arial"/>
                <w:sz w:val="16"/>
                <w:szCs w:val="16"/>
                <w:b w:val="1"/>
                <w:bCs w:val="1"/>
                <w:color w:val="auto"/>
              </w:rPr>
              <w:t>Adjusted Non-GAAP Basis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765.1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664.2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161.3</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521.7</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4"/>
          </w:tcPr>
          <w:p>
            <w:pPr>
              <w:spacing w:after="0"/>
              <w:rPr>
                <w:sz w:val="24"/>
                <w:szCs w:val="24"/>
                <w:color w:val="auto"/>
              </w:rPr>
            </w:pPr>
          </w:p>
        </w:tc>
        <w:tc>
          <w:tcPr>
            <w:tcW w:w="1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34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2400" w:type="dxa"/>
            <w:vAlign w:val="bottom"/>
            <w:tcBorders>
              <w:bottom w:val="single" w:sz="8" w:color="auto"/>
            </w:tcBorders>
            <w:gridSpan w:val="6"/>
            <w:shd w:val="clear" w:color="auto" w:fill="CCEEFF"/>
          </w:tcPr>
          <w:p>
            <w:pPr>
              <w:jc w:val="center"/>
              <w:spacing w:after="0"/>
              <w:rPr>
                <w:sz w:val="20"/>
                <w:szCs w:val="20"/>
                <w:color w:val="auto"/>
              </w:rPr>
            </w:pPr>
            <w:r>
              <w:rPr>
                <w:rFonts w:ascii="Arial" w:cs="Arial" w:eastAsia="Arial" w:hAnsi="Arial"/>
                <w:sz w:val="14"/>
                <w:szCs w:val="14"/>
                <w:b w:val="1"/>
                <w:bCs w:val="1"/>
                <w:color w:val="auto"/>
              </w:rPr>
              <w:t>Three months ended 9/30/2018</w:t>
            </w: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Provision</w:t>
            </w:r>
          </w:p>
        </w:tc>
        <w:tc>
          <w:tcPr>
            <w:tcW w:w="140" w:type="dxa"/>
            <w:vAlign w:val="bottom"/>
          </w:tcPr>
          <w:p>
            <w:pPr>
              <w:spacing w:after="0"/>
              <w:rPr>
                <w:sz w:val="14"/>
                <w:szCs w:val="14"/>
                <w:color w:val="auto"/>
              </w:rPr>
            </w:pPr>
          </w:p>
        </w:tc>
        <w:tc>
          <w:tcPr>
            <w:tcW w:w="13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Net income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w:t>
            </w: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Net operating</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8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(benefit) for</w:t>
            </w:r>
          </w:p>
        </w:tc>
        <w:tc>
          <w:tcPr>
            <w:tcW w:w="15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attributable to T.</w:t>
            </w:r>
          </w:p>
        </w:tc>
        <w:tc>
          <w:tcPr>
            <w:tcW w:w="12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13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9"/>
              </w:rPr>
              <w:t>income taxes</w:t>
            </w:r>
            <w:r>
              <w:rPr>
                <w:rFonts w:ascii="Arial" w:cs="Arial" w:eastAsia="Arial" w:hAnsi="Arial"/>
                <w:sz w:val="17"/>
                <w:szCs w:val="17"/>
                <w:b w:val="1"/>
                <w:bCs w:val="1"/>
                <w:color w:val="auto"/>
                <w:w w:val="99"/>
                <w:vertAlign w:val="superscript"/>
              </w:rPr>
              <w:t>(6)</w:t>
            </w:r>
          </w:p>
        </w:tc>
        <w:tc>
          <w:tcPr>
            <w:tcW w:w="15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Rowe Price Group</w:t>
            </w:r>
          </w:p>
        </w:tc>
        <w:tc>
          <w:tcPr>
            <w:tcW w:w="18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per share</w:t>
            </w:r>
            <w:r>
              <w:rPr>
                <w:rFonts w:ascii="Arial" w:cs="Arial" w:eastAsia="Arial" w:hAnsi="Arial"/>
                <w:sz w:val="17"/>
                <w:szCs w:val="17"/>
                <w:b w:val="1"/>
                <w:bCs w:val="1"/>
                <w:color w:val="auto"/>
                <w:w w:val="98"/>
                <w:vertAlign w:val="superscript"/>
              </w:rPr>
              <w:t>(7)</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754.0</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640.6</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124.9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183.9</w:t>
            </w: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583.0</w:t>
            </w: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Consolidated T. Rowe Price</w:t>
            </w:r>
          </w:p>
        </w:tc>
        <w:tc>
          <w:tcPr>
            <w:tcW w:w="1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480" w:type="dxa"/>
            <w:vAlign w:val="bottom"/>
            <w:shd w:val="clear" w:color="auto" w:fill="CCEEFF"/>
          </w:tcPr>
          <w:p>
            <w:pPr>
              <w:ind w:left="20"/>
              <w:spacing w:after="0" w:line="234"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480" w:type="dxa"/>
            <w:vAlign w:val="bottom"/>
          </w:tcPr>
          <w:p>
            <w:pPr>
              <w:ind w:left="160"/>
              <w:spacing w:after="0"/>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744.5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651.6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164.3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8660" w:type="dxa"/>
            <w:vAlign w:val="bottom"/>
            <w:gridSpan w:val="15"/>
          </w:tcPr>
          <w:p>
            <w:pPr>
              <w:spacing w:after="0"/>
              <w:rPr>
                <w:sz w:val="20"/>
                <w:szCs w:val="20"/>
                <w:color w:val="auto"/>
              </w:rPr>
            </w:pPr>
            <w:r>
              <w:rPr>
                <w:rFonts w:ascii="Arial" w:cs="Arial" w:eastAsia="Arial" w:hAnsi="Arial"/>
                <w:sz w:val="18"/>
                <w:szCs w:val="18"/>
                <w:color w:val="auto"/>
              </w:rPr>
              <w:t>The following schedules reconcile certain U.S. GAAP financial measures for the nine months ended</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20" w:type="dxa"/>
            <w:vAlign w:val="bottom"/>
            <w:gridSpan w:val="2"/>
          </w:tcPr>
          <w:p>
            <w:pPr>
              <w:spacing w:after="0"/>
              <w:rPr>
                <w:sz w:val="20"/>
                <w:szCs w:val="20"/>
                <w:color w:val="auto"/>
              </w:rPr>
            </w:pPr>
            <w:r>
              <w:rPr>
                <w:rFonts w:ascii="Arial" w:cs="Arial" w:eastAsia="Arial" w:hAnsi="Arial"/>
                <w:sz w:val="18"/>
                <w:szCs w:val="18"/>
                <w:color w:val="auto"/>
              </w:rPr>
              <w:t>September 30, 2019 and 2018.</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6"/>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34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2400" w:type="dxa"/>
            <w:vAlign w:val="bottom"/>
            <w:tcBorders>
              <w:bottom w:val="single" w:sz="8" w:color="auto"/>
            </w:tcBorders>
            <w:gridSpan w:val="6"/>
            <w:shd w:val="clear" w:color="auto" w:fill="CCEEFF"/>
          </w:tcPr>
          <w:p>
            <w:pPr>
              <w:jc w:val="center"/>
              <w:spacing w:after="0"/>
              <w:rPr>
                <w:sz w:val="20"/>
                <w:szCs w:val="20"/>
                <w:color w:val="auto"/>
              </w:rPr>
            </w:pPr>
            <w:r>
              <w:rPr>
                <w:rFonts w:ascii="Arial" w:cs="Arial" w:eastAsia="Arial" w:hAnsi="Arial"/>
                <w:sz w:val="14"/>
                <w:szCs w:val="14"/>
                <w:b w:val="1"/>
                <w:bCs w:val="1"/>
                <w:color w:val="auto"/>
              </w:rPr>
              <w:t>Nine months ended 9/30/2019</w:t>
            </w: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Provision</w:t>
            </w:r>
          </w:p>
        </w:tc>
        <w:tc>
          <w:tcPr>
            <w:tcW w:w="140" w:type="dxa"/>
            <w:vAlign w:val="bottom"/>
          </w:tcPr>
          <w:p>
            <w:pPr>
              <w:spacing w:after="0"/>
              <w:rPr>
                <w:sz w:val="14"/>
                <w:szCs w:val="14"/>
                <w:color w:val="auto"/>
              </w:rPr>
            </w:pPr>
          </w:p>
        </w:tc>
        <w:tc>
          <w:tcPr>
            <w:tcW w:w="13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Net income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w:t>
            </w: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Net operating</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8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(benefit) for</w:t>
            </w:r>
          </w:p>
        </w:tc>
        <w:tc>
          <w:tcPr>
            <w:tcW w:w="15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attributable to T.</w:t>
            </w:r>
          </w:p>
        </w:tc>
        <w:tc>
          <w:tcPr>
            <w:tcW w:w="12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13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9"/>
              </w:rPr>
              <w:t>income taxes</w:t>
            </w:r>
            <w:r>
              <w:rPr>
                <w:rFonts w:ascii="Arial" w:cs="Arial" w:eastAsia="Arial" w:hAnsi="Arial"/>
                <w:sz w:val="17"/>
                <w:szCs w:val="17"/>
                <w:b w:val="1"/>
                <w:bCs w:val="1"/>
                <w:color w:val="auto"/>
                <w:w w:val="99"/>
                <w:vertAlign w:val="superscript"/>
              </w:rPr>
              <w:t>(6)</w:t>
            </w:r>
          </w:p>
        </w:tc>
        <w:tc>
          <w:tcPr>
            <w:tcW w:w="15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Rowe Price Group</w:t>
            </w:r>
          </w:p>
        </w:tc>
        <w:tc>
          <w:tcPr>
            <w:tcW w:w="18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per share</w:t>
            </w:r>
            <w:r>
              <w:rPr>
                <w:rFonts w:ascii="Arial" w:cs="Arial" w:eastAsia="Arial" w:hAnsi="Arial"/>
                <w:sz w:val="17"/>
                <w:szCs w:val="17"/>
                <w:b w:val="1"/>
                <w:bCs w:val="1"/>
                <w:color w:val="auto"/>
                <w:w w:val="98"/>
                <w:vertAlign w:val="superscript"/>
              </w:rPr>
              <w:t>(7)</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2,342.5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1,806.7</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370.3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522.0</w:t>
            </w: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1,586.0</w:t>
            </w: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Consolidated T. Rowe Price</w:t>
            </w:r>
          </w:p>
        </w:tc>
        <w:tc>
          <w:tcPr>
            <w:tcW w:w="1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480" w:type="dxa"/>
            <w:vAlign w:val="bottom"/>
            <w:shd w:val="clear" w:color="auto" w:fill="CCEEFF"/>
          </w:tcPr>
          <w:p>
            <w:pPr>
              <w:ind w:left="20"/>
              <w:spacing w:after="0" w:line="234"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480" w:type="dxa"/>
            <w:vAlign w:val="bottom"/>
          </w:tcPr>
          <w:p>
            <w:pPr>
              <w:ind w:left="160"/>
              <w:spacing w:after="0"/>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2,286.3</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1,869.2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487.6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1,480.4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ectPr>
          <w:pgSz w:w="11900" w:h="16838" w:orient="portrait"/>
          <w:cols w:equalWidth="0" w:num="1">
            <w:col w:w="11420"/>
          </w:cols>
          <w:pgMar w:left="240" w:top="576" w:right="239" w:bottom="1440" w:gutter="0" w:footer="0" w:header="0"/>
        </w:sectPr>
      </w:pPr>
    </w:p>
    <w:bookmarkStart w:id="31" w:name="page32"/>
    <w:bookmarkEnd w:id="31"/>
    <w:tbl>
      <w:tblPr>
        <w:tblLayout w:type="fixed"/>
        <w:tblInd w:w="32" w:type="dxa"/>
        <w:tblCellMar>
          <w:top w:w="0" w:type="dxa"/>
          <w:left w:w="0" w:type="dxa"/>
          <w:bottom w:w="0" w:type="dxa"/>
          <w:right w:w="0" w:type="dxa"/>
        </w:tblCellMar>
      </w:tblPr>
      <w:tr>
        <w:trPr>
          <w:trHeight w:val="269"/>
        </w:trPr>
        <w:tc>
          <w:tcPr>
            <w:tcW w:w="34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2400" w:type="dxa"/>
            <w:vAlign w:val="bottom"/>
            <w:tcBorders>
              <w:bottom w:val="single" w:sz="8" w:color="auto"/>
            </w:tcBorders>
            <w:gridSpan w:val="5"/>
            <w:shd w:val="clear" w:color="auto" w:fill="CCEEFF"/>
          </w:tcPr>
          <w:p>
            <w:pPr>
              <w:ind w:left="200"/>
              <w:spacing w:after="0"/>
              <w:rPr>
                <w:sz w:val="20"/>
                <w:szCs w:val="20"/>
                <w:color w:val="auto"/>
              </w:rPr>
            </w:pPr>
            <w:r>
              <w:rPr>
                <w:rFonts w:ascii="Arial" w:cs="Arial" w:eastAsia="Arial" w:hAnsi="Arial"/>
                <w:sz w:val="14"/>
                <w:szCs w:val="14"/>
                <w:b w:val="1"/>
                <w:bCs w:val="1"/>
                <w:color w:val="auto"/>
              </w:rPr>
              <w:t>Nine months ended 9/30/2018</w:t>
            </w: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Provision</w:t>
            </w: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Net income</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w:t>
            </w: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Net operating</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(benefit) for</w:t>
            </w: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attributable to T.</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204"/>
        </w:trPr>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income taxes</w:t>
            </w:r>
            <w:r>
              <w:rPr>
                <w:rFonts w:ascii="Arial" w:cs="Arial" w:eastAsia="Arial" w:hAnsi="Arial"/>
                <w:sz w:val="17"/>
                <w:szCs w:val="17"/>
                <w:b w:val="1"/>
                <w:bCs w:val="1"/>
                <w:color w:val="auto"/>
                <w:w w:val="99"/>
                <w:vertAlign w:val="superscript"/>
              </w:rPr>
              <w:t>(6)</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Rowe Price Group</w:t>
            </w:r>
          </w:p>
        </w:tc>
        <w:tc>
          <w:tcPr>
            <w:tcW w:w="180" w:type="dxa"/>
            <w:vAlign w:val="bottom"/>
          </w:tcPr>
          <w:p>
            <w:pPr>
              <w:spacing w:after="0"/>
              <w:rPr>
                <w:sz w:val="17"/>
                <w:szCs w:val="17"/>
                <w:color w:val="auto"/>
              </w:rPr>
            </w:pPr>
          </w:p>
        </w:tc>
        <w:tc>
          <w:tcPr>
            <w:tcW w:w="1080" w:type="dxa"/>
            <w:vAlign w:val="bottom"/>
          </w:tcPr>
          <w:p>
            <w:pPr>
              <w:jc w:val="right"/>
              <w:ind w:right="172"/>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17"/>
                <w:szCs w:val="17"/>
                <w:b w:val="1"/>
                <w:bCs w:val="1"/>
                <w:color w:val="auto"/>
                <w:vertAlign w:val="superscript"/>
              </w:rPr>
              <w:t>(7)</w:t>
            </w:r>
          </w:p>
        </w:tc>
        <w:tc>
          <w:tcPr>
            <w:tcW w:w="0" w:type="dxa"/>
            <w:vAlign w:val="bottom"/>
          </w:tcPr>
          <w:p>
            <w:pPr>
              <w:spacing w:after="0"/>
              <w:rPr>
                <w:sz w:val="1"/>
                <w:szCs w:val="1"/>
                <w:color w:val="auto"/>
              </w:rPr>
            </w:pPr>
          </w:p>
        </w:tc>
      </w:tr>
      <w:tr>
        <w:trPr>
          <w:trHeight w:val="250"/>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2,248.5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1,819.1</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175.1</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497.5</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1,485.6</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62"/>
        </w:trPr>
        <w:tc>
          <w:tcPr>
            <w:tcW w:w="34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3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Consolidated T. Rowe Price</w:t>
            </w:r>
          </w:p>
        </w:tc>
        <w:tc>
          <w:tcPr>
            <w:tcW w:w="1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ind w:left="20"/>
              <w:spacing w:after="0" w:line="234"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80" w:type="dxa"/>
            <w:vAlign w:val="bottom"/>
          </w:tcPr>
          <w:p>
            <w:pPr>
              <w:ind w:left="160"/>
              <w:spacing w:after="0"/>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8"/>
        </w:trPr>
        <w:tc>
          <w:tcPr>
            <w:tcW w:w="3480" w:type="dxa"/>
            <w:vAlign w:val="bottom"/>
          </w:tcPr>
          <w:p>
            <w:pPr>
              <w:ind w:left="160"/>
              <w:spacing w:after="0"/>
              <w:rPr>
                <w:sz w:val="20"/>
                <w:szCs w:val="20"/>
                <w:color w:val="auto"/>
              </w:rPr>
            </w:pPr>
            <w:r>
              <w:rPr>
                <w:rFonts w:ascii="Arial" w:cs="Arial" w:eastAsia="Arial" w:hAnsi="Arial"/>
                <w:sz w:val="16"/>
                <w:szCs w:val="16"/>
                <w:color w:val="auto"/>
              </w:rPr>
              <w:t>Nonrecurring charge related to</w:t>
            </w:r>
          </w:p>
        </w:tc>
        <w:tc>
          <w:tcPr>
            <w:tcW w:w="180" w:type="dxa"/>
            <w:vAlign w:val="bottom"/>
          </w:tcPr>
          <w:p>
            <w:pPr>
              <w:spacing w:after="0"/>
              <w:rPr>
                <w:sz w:val="17"/>
                <w:szCs w:val="17"/>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vMerge w:val="restart"/>
          </w:tcPr>
          <w:p>
            <w:pPr>
              <w:jc w:val="right"/>
              <w:ind w:right="14"/>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vMerge w:val="restart"/>
          </w:tcPr>
          <w:p>
            <w:pPr>
              <w:jc w:val="right"/>
              <w:ind w:right="3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4"/>
        </w:trPr>
        <w:tc>
          <w:tcPr>
            <w:tcW w:w="3480" w:type="dxa"/>
            <w:vAlign w:val="bottom"/>
          </w:tcPr>
          <w:p>
            <w:pPr>
              <w:ind w:left="20"/>
              <w:spacing w:after="0" w:line="234" w:lineRule="exact"/>
              <w:rPr>
                <w:sz w:val="20"/>
                <w:szCs w:val="20"/>
                <w:color w:val="auto"/>
              </w:rPr>
            </w:pPr>
            <w:r>
              <w:rPr>
                <w:rFonts w:ascii="Arial" w:cs="Arial" w:eastAsia="Arial" w:hAnsi="Arial"/>
                <w:sz w:val="16"/>
                <w:szCs w:val="16"/>
                <w:color w:val="auto"/>
              </w:rPr>
              <w:t>enactment of U.S. tax reform</w:t>
            </w:r>
            <w:r>
              <w:rPr>
                <w:rFonts w:ascii="Arial" w:cs="Arial" w:eastAsia="Arial" w:hAnsi="Arial"/>
                <w:sz w:val="21"/>
                <w:szCs w:val="21"/>
                <w:color w:val="auto"/>
                <w:vertAlign w:val="superscript"/>
              </w:rPr>
              <w:t>(4)</w:t>
            </w:r>
          </w:p>
        </w:tc>
        <w:tc>
          <w:tcPr>
            <w:tcW w:w="18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Nonrecurring charge related to</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enactment of Maryland state tax</w:t>
            </w:r>
          </w:p>
        </w:tc>
        <w:tc>
          <w:tcPr>
            <w:tcW w:w="180" w:type="dxa"/>
            <w:vAlign w:val="bottom"/>
            <w:shd w:val="clear" w:color="auto" w:fill="CCEEFF"/>
          </w:tcPr>
          <w:p>
            <w:pPr>
              <w:spacing w:after="0"/>
              <w:rPr>
                <w:sz w:val="16"/>
                <w:szCs w:val="16"/>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ind w:left="20"/>
              <w:spacing w:after="0" w:line="234" w:lineRule="exact"/>
              <w:rPr>
                <w:sz w:val="20"/>
                <w:szCs w:val="20"/>
                <w:color w:val="auto"/>
              </w:rPr>
            </w:pPr>
            <w:r>
              <w:rPr>
                <w:rFonts w:ascii="Arial" w:cs="Arial" w:eastAsia="Arial" w:hAnsi="Arial"/>
                <w:sz w:val="16"/>
                <w:szCs w:val="16"/>
                <w:color w:val="auto"/>
              </w:rPr>
              <w:t>legislation</w:t>
            </w:r>
            <w:r>
              <w:rPr>
                <w:rFonts w:ascii="Arial" w:cs="Arial" w:eastAsia="Arial" w:hAnsi="Arial"/>
                <w:sz w:val="21"/>
                <w:szCs w:val="21"/>
                <w:color w:val="auto"/>
                <w:vertAlign w:val="superscript"/>
              </w:rPr>
              <w:t>(5)</w:t>
            </w:r>
          </w:p>
        </w:tc>
        <w:tc>
          <w:tcPr>
            <w:tcW w:w="18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2,230.8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1,841.4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443.7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1,423.4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32" w:right="180" w:hanging="332"/>
        <w:spacing w:after="0" w:line="257" w:lineRule="auto"/>
        <w:tabs>
          <w:tab w:leader="none" w:pos="332" w:val="left"/>
        </w:tabs>
        <w:numPr>
          <w:ilvl w:val="0"/>
          <w:numId w:val="12"/>
        </w:numPr>
        <w:rPr>
          <w:rFonts w:ascii="Arial" w:cs="Arial" w:eastAsia="Arial" w:hAnsi="Arial"/>
          <w:sz w:val="14"/>
          <w:szCs w:val="14"/>
          <w:color w:val="auto"/>
        </w:rPr>
      </w:pPr>
      <w:r>
        <w:rPr>
          <w:rFonts w:ascii="Arial" w:cs="Arial" w:eastAsia="Arial" w:hAnsi="Arial"/>
          <w:sz w:val="17"/>
          <w:szCs w:val="17"/>
          <w:color w:val="auto"/>
        </w:rPr>
        <w:t>These non-GAAP adjustments remove the impact the consolidated T. Rowe Price investment products have on our U.S. GAAP consolidated statements of income. Specifically, we add back the operating expenses and subtract the investment income of the consolidated T. Rowe Price investment products. The adjustment to our operating expenses represents the operating expenses of the consolidated products, net of the elimination of related management and administrative fees. The adjustment to net income attributable to T. Rowe Price Group represents the net income of the consolidated products, net of redeemable non-controlling interest. We remove the impact of the consolidated T. Rowe Price investment products as we believe they impact the reader’s ability to understand our core operating results.</w:t>
      </w:r>
    </w:p>
    <w:p>
      <w:pPr>
        <w:spacing w:after="0" w:line="162" w:lineRule="exact"/>
        <w:rPr>
          <w:rFonts w:ascii="Arial" w:cs="Arial" w:eastAsia="Arial" w:hAnsi="Arial"/>
          <w:sz w:val="14"/>
          <w:szCs w:val="14"/>
          <w:color w:val="auto"/>
        </w:rPr>
      </w:pPr>
    </w:p>
    <w:p>
      <w:pPr>
        <w:ind w:left="332" w:right="100" w:hanging="332"/>
        <w:spacing w:after="0" w:line="257" w:lineRule="auto"/>
        <w:tabs>
          <w:tab w:leader="none" w:pos="332" w:val="left"/>
        </w:tabs>
        <w:numPr>
          <w:ilvl w:val="0"/>
          <w:numId w:val="12"/>
        </w:numPr>
        <w:rPr>
          <w:rFonts w:ascii="Arial" w:cs="Arial" w:eastAsia="Arial" w:hAnsi="Arial"/>
          <w:sz w:val="14"/>
          <w:szCs w:val="14"/>
          <w:color w:val="auto"/>
        </w:rPr>
      </w:pPr>
      <w:r>
        <w:rPr>
          <w:rFonts w:ascii="Arial" w:cs="Arial" w:eastAsia="Arial" w:hAnsi="Arial"/>
          <w:sz w:val="17"/>
          <w:szCs w:val="17"/>
          <w:color w:val="auto"/>
        </w:rPr>
        <w:t>These non-GAAP adjustments remove the compensation expense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We use T. Rowe Price investment products to economically hedge the exposure to these market movements. We believe it is useful to offset the non-operating investment income (loss) realized on the hedges against the related compensation expense and remove the net impact to help the reader's ability to understand our core operating results and to increase comparability period to period.</w:t>
      </w:r>
    </w:p>
    <w:p>
      <w:pPr>
        <w:spacing w:after="0" w:line="162" w:lineRule="exact"/>
        <w:rPr>
          <w:rFonts w:ascii="Arial" w:cs="Arial" w:eastAsia="Arial" w:hAnsi="Arial"/>
          <w:sz w:val="14"/>
          <w:szCs w:val="14"/>
          <w:color w:val="auto"/>
        </w:rPr>
      </w:pPr>
    </w:p>
    <w:p>
      <w:pPr>
        <w:ind w:left="332" w:hanging="332"/>
        <w:spacing w:after="0" w:line="254" w:lineRule="auto"/>
        <w:tabs>
          <w:tab w:leader="none" w:pos="332" w:val="left"/>
        </w:tabs>
        <w:numPr>
          <w:ilvl w:val="0"/>
          <w:numId w:val="12"/>
        </w:numPr>
        <w:rPr>
          <w:rFonts w:ascii="Arial" w:cs="Arial" w:eastAsia="Arial" w:hAnsi="Arial"/>
          <w:sz w:val="14"/>
          <w:szCs w:val="14"/>
          <w:color w:val="auto"/>
        </w:rPr>
      </w:pPr>
      <w:r>
        <w:rPr>
          <w:rFonts w:ascii="Arial" w:cs="Arial" w:eastAsia="Arial" w:hAnsi="Arial"/>
          <w:sz w:val="17"/>
          <w:szCs w:val="17"/>
          <w:color w:val="auto"/>
        </w:rPr>
        <w:t>This non-GAAP adjustment represents the other non-operating income (loss) and the net gains (losses) earned on our non-consolidated investment portfolio that are not designated as economic hedges of the supplemental savings plan liability, and, beginning in the second quarter of 2018, non-consolidated seed investments and other investments that are not part of the cash and discretionary investment portfolio. We decided to retain the investment gains recognized on our non-consolidated cash and discretionary investments as these assets and related income (loss) are considered part of our core operations. The impact on previously reported non-GAAP measures is immaterial. We believe adjusting for these non-operating income (loss) items helps the reader’s ability to understand our core operating results and increases comparability to prior years. Additionally, we do not emphasize the impact of the portion of non-operating income (loss) removed when managing and evaluating our core performance.</w:t>
      </w:r>
    </w:p>
    <w:p>
      <w:pPr>
        <w:spacing w:after="0" w:line="168" w:lineRule="exact"/>
        <w:rPr>
          <w:rFonts w:ascii="Arial" w:cs="Arial" w:eastAsia="Arial" w:hAnsi="Arial"/>
          <w:sz w:val="14"/>
          <w:szCs w:val="14"/>
          <w:color w:val="auto"/>
        </w:rPr>
      </w:pPr>
    </w:p>
    <w:p>
      <w:pPr>
        <w:ind w:left="332" w:right="420" w:hanging="332"/>
        <w:spacing w:after="0" w:line="270" w:lineRule="auto"/>
        <w:tabs>
          <w:tab w:leader="none" w:pos="332" w:val="left"/>
        </w:tabs>
        <w:numPr>
          <w:ilvl w:val="0"/>
          <w:numId w:val="12"/>
        </w:numPr>
        <w:rPr>
          <w:rFonts w:ascii="Arial" w:cs="Arial" w:eastAsia="Arial" w:hAnsi="Arial"/>
          <w:sz w:val="14"/>
          <w:szCs w:val="14"/>
          <w:color w:val="auto"/>
        </w:rPr>
      </w:pPr>
      <w:r>
        <w:rPr>
          <w:rFonts w:ascii="Arial" w:cs="Arial" w:eastAsia="Arial" w:hAnsi="Arial"/>
          <w:sz w:val="17"/>
          <w:szCs w:val="17"/>
          <w:color w:val="auto"/>
        </w:rPr>
        <w:t>During the second quarter of 2018, we recognized a nonrecurring charge of $20.8 million for an adjustment made to the charge taken in 2017 related to the enactment of U.S. tax reform. We believe it is useful to readers of our consolidated statements of income to adjust for this nonrecurring charge in arriving at net income attributable to T. Rowe Price Group and diluted earnings per share.</w:t>
      </w:r>
    </w:p>
    <w:p>
      <w:pPr>
        <w:spacing w:after="0" w:line="150" w:lineRule="exact"/>
        <w:rPr>
          <w:rFonts w:ascii="Arial" w:cs="Arial" w:eastAsia="Arial" w:hAnsi="Arial"/>
          <w:sz w:val="14"/>
          <w:szCs w:val="14"/>
          <w:color w:val="auto"/>
        </w:rPr>
      </w:pPr>
    </w:p>
    <w:p>
      <w:pPr>
        <w:ind w:left="332" w:right="180" w:hanging="332"/>
        <w:spacing w:after="0" w:line="263" w:lineRule="auto"/>
        <w:tabs>
          <w:tab w:leader="none" w:pos="332" w:val="left"/>
        </w:tabs>
        <w:numPr>
          <w:ilvl w:val="0"/>
          <w:numId w:val="12"/>
        </w:numPr>
        <w:rPr>
          <w:rFonts w:ascii="Arial" w:cs="Arial" w:eastAsia="Arial" w:hAnsi="Arial"/>
          <w:sz w:val="14"/>
          <w:szCs w:val="14"/>
          <w:color w:val="auto"/>
        </w:rPr>
      </w:pPr>
      <w:r>
        <w:rPr>
          <w:rFonts w:ascii="Arial" w:cs="Arial" w:eastAsia="Arial" w:hAnsi="Arial"/>
          <w:sz w:val="17"/>
          <w:szCs w:val="17"/>
          <w:color w:val="auto"/>
        </w:rPr>
        <w:t>During the second quarter of 2018, we recognized a nonrecurring charge of $7.9 million for the remeasurement of our deferred tax assets and liabilities to reflect the effect of Maryland state tax legislation enacted on April 24, 2018. We believe it is useful to readers of our consolidated statements of income to adjust for this nonrecurring charge in arriving at net income attributable to T. Rowe Price Group and diluted earnings per share.</w:t>
      </w:r>
    </w:p>
    <w:p>
      <w:pPr>
        <w:spacing w:after="0" w:line="156" w:lineRule="exact"/>
        <w:rPr>
          <w:rFonts w:ascii="Arial" w:cs="Arial" w:eastAsia="Arial" w:hAnsi="Arial"/>
          <w:sz w:val="14"/>
          <w:szCs w:val="14"/>
          <w:color w:val="auto"/>
        </w:rPr>
      </w:pPr>
    </w:p>
    <w:p>
      <w:pPr>
        <w:jc w:val="both"/>
        <w:ind w:left="332" w:right="80" w:hanging="332"/>
        <w:spacing w:after="0" w:line="270" w:lineRule="auto"/>
        <w:tabs>
          <w:tab w:leader="none" w:pos="332" w:val="left"/>
        </w:tabs>
        <w:numPr>
          <w:ilvl w:val="0"/>
          <w:numId w:val="12"/>
        </w:numPr>
        <w:rPr>
          <w:rFonts w:ascii="Arial" w:cs="Arial" w:eastAsia="Arial" w:hAnsi="Arial"/>
          <w:sz w:val="14"/>
          <w:szCs w:val="14"/>
          <w:color w:val="auto"/>
        </w:rPr>
      </w:pPr>
      <w:r>
        <w:rPr>
          <w:rFonts w:ascii="Arial" w:cs="Arial" w:eastAsia="Arial" w:hAnsi="Arial"/>
          <w:sz w:val="17"/>
          <w:szCs w:val="17"/>
          <w:color w:val="auto"/>
        </w:rPr>
        <w:t>The income tax impacts were calculated in order to achieve an overall non-GAAP effective tax rate of 24.8% for the first nine months of 2019 and 23.8% for the 2018 period. As such, the non-GAAP effective tax rate for the third quarter was 23.6% in 2019 and 24.5% in 2018. We estimate that our effective tax rate for the full-year 2019 on a non-GAAP basis will be in the range of 23.5% to 25.5%.</w:t>
      </w:r>
    </w:p>
    <w:p>
      <w:pPr>
        <w:spacing w:after="0" w:line="200" w:lineRule="exact"/>
        <w:rPr>
          <w:sz w:val="20"/>
          <w:szCs w:val="20"/>
          <w:color w:val="auto"/>
        </w:rPr>
      </w:pP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12"/>
          </w:cols>
          <w:pgMar w:left="248" w:top="734" w:right="239" w:bottom="1440" w:gutter="0" w:footer="0" w:header="0"/>
        </w:sectPr>
      </w:pPr>
    </w:p>
    <w:bookmarkStart w:id="32" w:name="page33"/>
    <w:bookmarkEnd w:id="32"/>
    <w:p>
      <w:pPr>
        <w:ind w:left="340" w:right="160" w:hanging="332"/>
        <w:spacing w:after="0" w:line="292"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7"/>
          <w:szCs w:val="17"/>
          <w:color w:val="auto"/>
        </w:rPr>
        <w:t>This non-GAAP measure was calculated by applying the two-class method to adjusted net income attributable to T. Rowe Price Group divided by the weighted-average common shares outstanding assuming dilution.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RESOURCES AND LIQUIDITY.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Liquidity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We remain debt-free with ample liquidity, including cash and investments in T. Rowe Price products, as follows: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69"/>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4"/>
                <w:szCs w:val="14"/>
                <w:b w:val="1"/>
                <w:bCs w:val="1"/>
                <w:color w:val="auto"/>
              </w:rPr>
              <w:t>9/30/2019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12/31/2018</w:t>
            </w:r>
          </w:p>
        </w:tc>
      </w:tr>
      <w:tr>
        <w:trPr>
          <w:trHeight w:val="246"/>
        </w:trPr>
        <w:tc>
          <w:tcPr>
            <w:tcW w:w="85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2,213.2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1,425.2</w:t>
            </w:r>
          </w:p>
        </w:tc>
      </w:tr>
      <w:tr>
        <w:trPr>
          <w:trHeight w:val="270"/>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 investments</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1,695.1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1,597.1</w:t>
            </w:r>
          </w:p>
        </w:tc>
      </w:tr>
      <w:tr>
        <w:trPr>
          <w:trHeight w:val="250"/>
        </w:trPr>
        <w:tc>
          <w:tcPr>
            <w:tcW w:w="8540" w:type="dxa"/>
            <w:vAlign w:val="bottom"/>
          </w:tcPr>
          <w:p>
            <w:pPr>
              <w:ind w:left="20"/>
              <w:spacing w:after="0"/>
              <w:rPr>
                <w:sz w:val="20"/>
                <w:szCs w:val="20"/>
                <w:color w:val="auto"/>
              </w:rPr>
            </w:pPr>
            <w:r>
              <w:rPr>
                <w:rFonts w:ascii="Arial" w:cs="Arial" w:eastAsia="Arial" w:hAnsi="Arial"/>
                <w:sz w:val="16"/>
                <w:szCs w:val="16"/>
                <w:color w:val="auto"/>
              </w:rPr>
              <w:t>Total cash and discretionary investments</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3,908.3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3,022.3</w:t>
            </w:r>
          </w:p>
        </w:tc>
      </w:tr>
      <w:tr>
        <w:trPr>
          <w:trHeight w:val="275"/>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seed capital investments</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1,257.7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1,118.9</w:t>
            </w:r>
          </w:p>
        </w:tc>
      </w:tr>
      <w:tr>
        <w:trPr>
          <w:trHeight w:val="265"/>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443.0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381.3</w:t>
            </w:r>
          </w:p>
        </w:tc>
      </w:tr>
      <w:tr>
        <w:trPr>
          <w:trHeight w:val="254"/>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investments in T. Rowe Price products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5,609.0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4,522.5</w:t>
            </w:r>
          </w:p>
        </w:tc>
      </w:tr>
      <w:tr>
        <w:trPr>
          <w:trHeight w:val="20"/>
        </w:trPr>
        <w:tc>
          <w:tcPr>
            <w:tcW w:w="8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Cash and discretionary investments in T. Rowe Price products held by our subsidiaries outside the U.S. were $535.7 million at September 30, 2019 and $425.3 million at December 31, 2018.</w:t>
      </w:r>
    </w:p>
    <w:p>
      <w:pPr>
        <w:spacing w:after="0" w:line="145" w:lineRule="exact"/>
        <w:rPr>
          <w:sz w:val="20"/>
          <w:szCs w:val="20"/>
          <w:color w:val="auto"/>
        </w:rPr>
      </w:pPr>
    </w:p>
    <w:p>
      <w:pPr>
        <w:jc w:val="both"/>
        <w:ind w:right="240"/>
        <w:spacing w:after="0" w:line="271" w:lineRule="auto"/>
        <w:rPr>
          <w:sz w:val="20"/>
          <w:szCs w:val="20"/>
          <w:color w:val="auto"/>
        </w:rPr>
      </w:pPr>
      <w:r>
        <w:rPr>
          <w:rFonts w:ascii="Arial" w:cs="Arial" w:eastAsia="Arial" w:hAnsi="Arial"/>
          <w:sz w:val="18"/>
          <w:szCs w:val="18"/>
          <w:color w:val="auto"/>
        </w:rPr>
        <w:t>The cash and investment presentation on the unaudited condensed consolidated balance sheet is based on the accounting treatment for the cash equivalent or investment item. The following table details how T. Rowe Price Group’s interests in cash and investments relate to where they are presented on the unaudited condensed consolidated balance sheet as of September 30, 2019.</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5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Net assets of</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consolidated T.</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Rowe Price</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Cash and cash</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investment</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equivalents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Investments</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7"/>
              </w:rPr>
              <w:t>products</w:t>
            </w:r>
            <w:r>
              <w:rPr>
                <w:rFonts w:ascii="Arial" w:cs="Arial" w:eastAsia="Arial" w:hAnsi="Arial"/>
                <w:sz w:val="17"/>
                <w:szCs w:val="17"/>
                <w:b w:val="1"/>
                <w:bCs w:val="1"/>
                <w:color w:val="auto"/>
                <w:w w:val="97"/>
                <w:vertAlign w:val="superscript"/>
              </w:rPr>
              <w:t>(1)</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9/30/2019</w:t>
            </w:r>
          </w:p>
        </w:tc>
        <w:tc>
          <w:tcPr>
            <w:tcW w:w="0" w:type="dxa"/>
            <w:vAlign w:val="bottom"/>
          </w:tcPr>
          <w:p>
            <w:pPr>
              <w:spacing w:after="0"/>
              <w:rPr>
                <w:sz w:val="1"/>
                <w:szCs w:val="1"/>
                <w:color w:val="auto"/>
              </w:rPr>
            </w:pPr>
          </w:p>
        </w:tc>
      </w:tr>
      <w:tr>
        <w:trPr>
          <w:trHeight w:val="259"/>
        </w:trPr>
        <w:tc>
          <w:tcPr>
            <w:tcW w:w="546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2,213.2</w:t>
            </w:r>
          </w:p>
        </w:tc>
        <w:tc>
          <w:tcPr>
            <w:tcW w:w="12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1,626.2</w:t>
            </w:r>
          </w:p>
        </w:tc>
        <w:tc>
          <w:tcPr>
            <w:tcW w:w="12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3,908.3</w:t>
            </w:r>
          </w:p>
        </w:tc>
        <w:tc>
          <w:tcPr>
            <w:tcW w:w="0" w:type="dxa"/>
            <w:vAlign w:val="bottom"/>
          </w:tcPr>
          <w:p>
            <w:pPr>
              <w:spacing w:after="0"/>
              <w:rPr>
                <w:sz w:val="1"/>
                <w:szCs w:val="1"/>
                <w:color w:val="auto"/>
              </w:rPr>
            </w:pPr>
          </w:p>
        </w:tc>
      </w:tr>
      <w:tr>
        <w:trPr>
          <w:trHeight w:val="275"/>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Seed capital investments</w:t>
            </w:r>
          </w:p>
        </w:tc>
        <w:tc>
          <w:tcPr>
            <w:tcW w:w="2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995.2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1,257.7</w:t>
            </w:r>
          </w:p>
        </w:tc>
        <w:tc>
          <w:tcPr>
            <w:tcW w:w="0" w:type="dxa"/>
            <w:vAlign w:val="bottom"/>
          </w:tcPr>
          <w:p>
            <w:pPr>
              <w:spacing w:after="0"/>
              <w:rPr>
                <w:sz w:val="1"/>
                <w:szCs w:val="1"/>
                <w:color w:val="auto"/>
              </w:rPr>
            </w:pPr>
          </w:p>
        </w:tc>
      </w:tr>
      <w:tr>
        <w:trPr>
          <w:trHeight w:val="265"/>
        </w:trPr>
        <w:tc>
          <w:tcPr>
            <w:tcW w:w="5460" w:type="dxa"/>
            <w:vAlign w:val="bottom"/>
          </w:tcPr>
          <w:p>
            <w:pPr>
              <w:ind w:left="2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26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443.0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191"/>
        </w:trPr>
        <w:tc>
          <w:tcPr>
            <w:tcW w:w="5460" w:type="dxa"/>
            <w:vAlign w:val="bottom"/>
            <w:tcBorders>
              <w:top w:val="single" w:sz="8" w:color="CCEEFF"/>
            </w:tcBorders>
            <w:shd w:val="clear" w:color="auto" w:fill="CCEEFF"/>
          </w:tcPr>
          <w:p>
            <w:pPr>
              <w:ind w:left="20"/>
              <w:spacing w:after="0" w:line="192" w:lineRule="exact"/>
              <w:rPr>
                <w:sz w:val="20"/>
                <w:szCs w:val="20"/>
                <w:color w:val="auto"/>
              </w:rPr>
            </w:pPr>
            <w:r>
              <w:rPr>
                <w:rFonts w:ascii="Arial" w:cs="Arial" w:eastAsia="Arial" w:hAnsi="Arial"/>
                <w:sz w:val="18"/>
                <w:szCs w:val="18"/>
                <w:color w:val="auto"/>
              </w:rPr>
              <w:t>Total cash and investments in T. Rowe Price products attributable</w:t>
            </w:r>
          </w:p>
        </w:tc>
        <w:tc>
          <w:tcPr>
            <w:tcW w:w="2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 T. Rowe Price Group</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2,213.2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2,331.7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1,064.1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5,609.0</w:t>
            </w:r>
          </w:p>
        </w:tc>
        <w:tc>
          <w:tcPr>
            <w:tcW w:w="0" w:type="dxa"/>
            <w:vAlign w:val="bottom"/>
          </w:tcPr>
          <w:p>
            <w:pPr>
              <w:spacing w:after="0"/>
              <w:rPr>
                <w:sz w:val="1"/>
                <w:szCs w:val="1"/>
                <w:color w:val="auto"/>
              </w:rPr>
            </w:pPr>
          </w:p>
        </w:tc>
      </w:tr>
      <w:tr>
        <w:trPr>
          <w:trHeight w:val="265"/>
        </w:trPr>
        <w:tc>
          <w:tcPr>
            <w:tcW w:w="5460" w:type="dxa"/>
            <w:vAlign w:val="bottom"/>
          </w:tcPr>
          <w:p>
            <w:pPr>
              <w:ind w:left="80"/>
              <w:spacing w:after="0"/>
              <w:rPr>
                <w:sz w:val="20"/>
                <w:szCs w:val="20"/>
                <w:color w:val="auto"/>
              </w:rPr>
            </w:pPr>
            <w:r>
              <w:rPr>
                <w:rFonts w:ascii="Arial" w:cs="Arial" w:eastAsia="Arial" w:hAnsi="Arial"/>
                <w:sz w:val="18"/>
                <w:szCs w:val="18"/>
                <w:color w:val="auto"/>
              </w:rPr>
              <w:t>Investment in UTI and other investments</w:t>
            </w:r>
          </w:p>
        </w:tc>
        <w:tc>
          <w:tcPr>
            <w:tcW w:w="26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68"/>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 Group</w:t>
            </w:r>
          </w:p>
        </w:tc>
        <w:tc>
          <w:tcPr>
            <w:tcW w:w="2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2,213.2</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2,605.9</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1,064.1</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5,883.2</w:t>
            </w:r>
          </w:p>
        </w:tc>
        <w:tc>
          <w:tcPr>
            <w:tcW w:w="0" w:type="dxa"/>
            <w:vAlign w:val="bottom"/>
          </w:tcPr>
          <w:p>
            <w:pPr>
              <w:spacing w:after="0"/>
              <w:rPr>
                <w:sz w:val="1"/>
                <w:szCs w:val="1"/>
                <w:color w:val="auto"/>
              </w:rPr>
            </w:pPr>
          </w:p>
        </w:tc>
      </w:tr>
      <w:tr>
        <w:trPr>
          <w:trHeight w:val="265"/>
        </w:trPr>
        <w:tc>
          <w:tcPr>
            <w:tcW w:w="546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1,102.9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191"/>
        </w:trPr>
        <w:tc>
          <w:tcPr>
            <w:tcW w:w="5460" w:type="dxa"/>
            <w:vAlign w:val="bottom"/>
            <w:tcBorders>
              <w:top w:val="single" w:sz="8" w:color="CCEEFF"/>
            </w:tcBorders>
            <w:shd w:val="clear" w:color="auto" w:fill="CCEEFF"/>
          </w:tcPr>
          <w:p>
            <w:pPr>
              <w:ind w:left="20"/>
              <w:spacing w:after="0" w:line="192" w:lineRule="exact"/>
              <w:rPr>
                <w:sz w:val="20"/>
                <w:szCs w:val="20"/>
                <w:color w:val="auto"/>
              </w:rPr>
            </w:pPr>
            <w:r>
              <w:rPr>
                <w:rFonts w:ascii="Arial" w:cs="Arial" w:eastAsia="Arial" w:hAnsi="Arial"/>
                <w:sz w:val="18"/>
                <w:szCs w:val="18"/>
                <w:color w:val="auto"/>
              </w:rPr>
              <w:t>As reported on unaudited condensed consolidated balance sheet at</w:t>
            </w:r>
          </w:p>
        </w:tc>
        <w:tc>
          <w:tcPr>
            <w:tcW w:w="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2,213.2</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2,605.9</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2,167.0</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6,986.1</w:t>
            </w:r>
          </w:p>
        </w:tc>
        <w:tc>
          <w:tcPr>
            <w:tcW w:w="0" w:type="dxa"/>
            <w:vAlign w:val="bottom"/>
          </w:tcPr>
          <w:p>
            <w:pPr>
              <w:spacing w:after="0"/>
              <w:rPr>
                <w:sz w:val="1"/>
                <w:szCs w:val="1"/>
                <w:color w:val="auto"/>
              </w:rPr>
            </w:pPr>
          </w:p>
        </w:tc>
      </w:tr>
      <w:tr>
        <w:trPr>
          <w:trHeight w:val="239"/>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2019</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180" w:right="160" w:hanging="172"/>
        <w:spacing w:after="0" w:line="236" w:lineRule="auto"/>
        <w:tabs>
          <w:tab w:leader="none" w:pos="180" w:val="left"/>
        </w:tabs>
        <w:numPr>
          <w:ilvl w:val="0"/>
          <w:numId w:val="1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T. Rowe Price investment products that we consolidate are generally those products we provided seed capital at the time of their formation and have a controlling interest. These products generally represent U.S. mutual funds as well as those regulated outside the U.S. The net assets of the T. Rowe Price investment products at September 30, 2019 consist of the assets of these products that we consolidate on our unaudited condensed consolidated balance sheets of $2,247.4 million, less the liabilities of these products of $80.4 million.</w:t>
      </w:r>
    </w:p>
    <w:p>
      <w:pPr>
        <w:spacing w:after="0" w:line="17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unaudited condensed consolidated balance sheet reflects the cash and cash equivalents, investments, other assets and liabilities of those T. Rowe Price investment products we consolidate, as well as redeemable non-controlling interests for the portion of these T. Rowe Price investment products that are held by unrelated third-party investors. Although we can redeem our net interest in these T. Rowe Price investment products at any time, we cannot directly access or sell the assets held by the products to obtain cash for general operations. Additionally, the assets of these T. Rowe Price investment products are not available to our general creditors. Our interest in these</w:t>
      </w:r>
    </w:p>
    <w:p>
      <w:pPr>
        <w:spacing w:after="0" w:line="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 Rowe Price investment products was used as initial seed capital and is recategorized as discretionary when it is determined by management that the seed capital is no longer needed. We assess the discretionary investment products and when we decide to liquidate our interest, we seek to do so in a way as to not impact the product and ultimately, the unrelated third-party investors.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420"/>
          </w:cols>
          <w:pgMar w:left="240" w:top="57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27"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We increased our quarterly recurring dividend per common share in February 2019 by 8.6% to $.76 per common share from $.70 per common share. Additionally, we expended $ 566.7 million in the first nine months of 2019 to repurchase 5.7 million shares, or 2.4%, of our outstanding common stock at an average price of $99.57 per share. These dividends and repurchases were expended using existing cash balances and cash generated from operations. We will generally repurchase our common stock over time to offset the dilution created by our equity-based compensation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Since the end of 2016, we have returned $3.9 billion to stockholders through stock repurchases and our regular quarterly dividends,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right="98"/>
              <w:spacing w:after="0"/>
              <w:rPr>
                <w:sz w:val="20"/>
                <w:szCs w:val="20"/>
                <w:color w:val="auto"/>
              </w:rPr>
            </w:pPr>
            <w:r>
              <w:rPr>
                <w:rFonts w:ascii="Arial" w:cs="Arial" w:eastAsia="Arial" w:hAnsi="Arial"/>
                <w:sz w:val="14"/>
                <w:szCs w:val="14"/>
                <w:b w:val="1"/>
                <w:bCs w:val="1"/>
                <w:color w:val="auto"/>
              </w:rPr>
              <w:t>Total cash</w:t>
            </w:r>
          </w:p>
        </w:tc>
      </w:tr>
      <w:tr>
        <w:trPr>
          <w:trHeight w:val="162"/>
        </w:trPr>
        <w:tc>
          <w:tcPr>
            <w:tcW w:w="70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78"/>
              <w:spacing w:after="0"/>
              <w:rPr>
                <w:sz w:val="20"/>
                <w:szCs w:val="20"/>
                <w:color w:val="auto"/>
              </w:rPr>
            </w:pPr>
            <w:r>
              <w:rPr>
                <w:rFonts w:ascii="Arial" w:cs="Arial" w:eastAsia="Arial" w:hAnsi="Arial"/>
                <w:sz w:val="14"/>
                <w:szCs w:val="14"/>
                <w:b w:val="1"/>
                <w:bCs w:val="1"/>
                <w:color w:val="auto"/>
              </w:rPr>
              <w:t>returned to</w:t>
            </w:r>
          </w:p>
        </w:tc>
      </w:tr>
      <w:tr>
        <w:trPr>
          <w:trHeight w:val="204"/>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4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Recurring dividend</w:t>
            </w:r>
          </w:p>
        </w:tc>
        <w:tc>
          <w:tcPr>
            <w:tcW w:w="14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Stock repurchases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right="98"/>
              <w:spacing w:after="0"/>
              <w:rPr>
                <w:sz w:val="20"/>
                <w:szCs w:val="20"/>
                <w:color w:val="auto"/>
              </w:rPr>
            </w:pPr>
            <w:r>
              <w:rPr>
                <w:rFonts w:ascii="Arial" w:cs="Arial" w:eastAsia="Arial" w:hAnsi="Arial"/>
                <w:sz w:val="14"/>
                <w:szCs w:val="14"/>
                <w:b w:val="1"/>
                <w:bCs w:val="1"/>
                <w:color w:val="auto"/>
              </w:rPr>
              <w:t>stockholders</w:t>
            </w:r>
          </w:p>
        </w:tc>
      </w:tr>
      <w:tr>
        <w:trPr>
          <w:trHeight w:val="245"/>
        </w:trPr>
        <w:tc>
          <w:tcPr>
            <w:tcW w:w="7080" w:type="dxa"/>
            <w:vAlign w:val="bottom"/>
          </w:tcPr>
          <w:p>
            <w:pPr>
              <w:ind w:left="40"/>
              <w:spacing w:after="0"/>
              <w:rPr>
                <w:sz w:val="20"/>
                <w:szCs w:val="20"/>
                <w:color w:val="auto"/>
              </w:rPr>
            </w:pPr>
            <w:r>
              <w:rPr>
                <w:rFonts w:ascii="Arial" w:cs="Arial" w:eastAsia="Arial" w:hAnsi="Arial"/>
                <w:sz w:val="18"/>
                <w:szCs w:val="18"/>
                <w:color w:val="auto"/>
              </w:rPr>
              <w:t>2017</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562.6</w:t>
            </w:r>
          </w:p>
        </w:tc>
        <w:tc>
          <w:tcPr>
            <w:tcW w:w="120" w:type="dxa"/>
            <w:vAlign w:val="bottom"/>
          </w:tcPr>
          <w:p>
            <w:pPr>
              <w:spacing w:after="0"/>
              <w:rPr>
                <w:sz w:val="21"/>
                <w:szCs w:val="21"/>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458.1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1,020.7</w:t>
            </w:r>
          </w:p>
        </w:tc>
      </w:tr>
      <w:tr>
        <w:trPr>
          <w:trHeight w:val="275"/>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1,099.6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1,794.3</w:t>
            </w:r>
          </w:p>
        </w:tc>
      </w:tr>
      <w:tr>
        <w:trPr>
          <w:trHeight w:val="265"/>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Nine months ended 9/30/2019</w:t>
            </w: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549.9</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566.7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1,116.6</w:t>
            </w: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1,807.2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2,124.4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3,931.6</w:t>
            </w:r>
          </w:p>
        </w:tc>
      </w:tr>
      <w:tr>
        <w:trPr>
          <w:trHeight w:val="20"/>
        </w:trPr>
        <w:tc>
          <w:tcPr>
            <w:tcW w:w="7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We anticipate property and equipment expenditures for the full-year 2019 to be about $200 million, of which about two-thirds is planned for technology initiatives. We expect to fund our anticipated capital expenditures with operating cash flows and other available resources.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1420"/>
          </w:cols>
          <w:pgMar w:left="240" w:top="57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227"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The following table summarizes the cash flows for the nine months ended September 30, 2019 and 2018, that are attributable to T. Rowe Price Group, our consolidated T. Rowe Price investment products, and the related eliminations required in preparing the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3"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27305</wp:posOffset>
            </wp:positionV>
            <wp:extent cx="48793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793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531"/>
              <w:spacing w:after="0"/>
              <w:rPr>
                <w:sz w:val="20"/>
                <w:szCs w:val="20"/>
                <w:color w:val="auto"/>
              </w:rPr>
            </w:pPr>
            <w:r>
              <w:rPr>
                <w:rFonts w:ascii="Arial" w:cs="Arial" w:eastAsia="Arial" w:hAnsi="Arial"/>
                <w:sz w:val="14"/>
                <w:szCs w:val="14"/>
                <w:b w:val="1"/>
                <w:bCs w:val="1"/>
                <w:color w:val="auto"/>
              </w:rPr>
              <w:t>9/30/2019</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491"/>
              <w:spacing w:after="0"/>
              <w:rPr>
                <w:sz w:val="20"/>
                <w:szCs w:val="20"/>
                <w:color w:val="auto"/>
              </w:rPr>
            </w:pPr>
            <w:r>
              <w:rPr>
                <w:rFonts w:ascii="Arial" w:cs="Arial" w:eastAsia="Arial" w:hAnsi="Arial"/>
                <w:sz w:val="14"/>
                <w:szCs w:val="14"/>
                <w:b w:val="1"/>
                <w:bCs w:val="1"/>
                <w:color w:val="auto"/>
              </w:rPr>
              <w:t>9/30/2018</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68"/>
        </w:trPr>
        <w:tc>
          <w:tcPr>
            <w:tcW w:w="37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Cash flow</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Cash flow</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2"/>
        </w:trPr>
        <w:tc>
          <w:tcPr>
            <w:tcW w:w="37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attributable to</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attributable to</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2"/>
        </w:trPr>
        <w:tc>
          <w:tcPr>
            <w:tcW w:w="37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Cash flow</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consolidated</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Cash flow</w:t>
            </w:r>
          </w:p>
        </w:tc>
        <w:tc>
          <w:tcPr>
            <w:tcW w:w="114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consolidated</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2"/>
        </w:trPr>
        <w:tc>
          <w:tcPr>
            <w:tcW w:w="37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attributable</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 Rowe Price</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attributable</w:t>
            </w:r>
          </w:p>
        </w:tc>
        <w:tc>
          <w:tcPr>
            <w:tcW w:w="114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T. Rowe Price</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2"/>
        </w:trPr>
        <w:tc>
          <w:tcPr>
            <w:tcW w:w="37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 T. Rowe</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investment</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As</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to T. Rowe</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investment</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As</w:t>
            </w:r>
          </w:p>
        </w:tc>
      </w:tr>
      <w:tr>
        <w:trPr>
          <w:trHeight w:val="204"/>
        </w:trPr>
        <w:tc>
          <w:tcPr>
            <w:tcW w:w="3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Price Group</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Elims</w:t>
            </w: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reported</w:t>
            </w: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Price Group</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Elims</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reported</w:t>
            </w:r>
          </w:p>
        </w:tc>
      </w:tr>
      <w:tr>
        <w:trPr>
          <w:trHeight w:val="259"/>
        </w:trPr>
        <w:tc>
          <w:tcPr>
            <w:tcW w:w="374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275"/>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$ 1,586.0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(96.7)</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$1,655.0</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$ 1,485.6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(8.3)</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$1,496.7</w:t>
            </w:r>
          </w:p>
        </w:tc>
      </w:tr>
      <w:tr>
        <w:trPr>
          <w:trHeight w:val="207"/>
        </w:trPr>
        <w:tc>
          <w:tcPr>
            <w:tcW w:w="374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740" w:type="dxa"/>
            <w:vAlign w:val="bottom"/>
          </w:tcPr>
          <w:p>
            <w:pPr>
              <w:ind w:left="180"/>
              <w:spacing w:after="0" w:line="202" w:lineRule="exact"/>
              <w:rPr>
                <w:sz w:val="20"/>
                <w:szCs w:val="20"/>
                <w:color w:val="auto"/>
              </w:rPr>
            </w:pPr>
            <w:r>
              <w:rPr>
                <w:rFonts w:ascii="Arial" w:cs="Arial" w:eastAsia="Arial" w:hAnsi="Arial"/>
                <w:sz w:val="18"/>
                <w:szCs w:val="18"/>
                <w:color w:val="auto"/>
              </w:rPr>
              <w:t>cash provided by (used in) operating</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8"/>
        </w:trPr>
        <w:tc>
          <w:tcPr>
            <w:tcW w:w="374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11"/>
        </w:trPr>
        <w:tc>
          <w:tcPr>
            <w:tcW w:w="3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 of property</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52"/>
        </w:trPr>
        <w:tc>
          <w:tcPr>
            <w:tcW w:w="3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and equipment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114.9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114.9</w:t>
            </w:r>
          </w:p>
        </w:tc>
      </w:tr>
      <w:tr>
        <w:trPr>
          <w:trHeight w:val="265"/>
        </w:trPr>
        <w:tc>
          <w:tcPr>
            <w:tcW w:w="374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135.3</w:t>
            </w:r>
          </w:p>
        </w:tc>
      </w:tr>
      <w:tr>
        <w:trPr>
          <w:trHeight w:val="275"/>
        </w:trPr>
        <w:tc>
          <w:tcPr>
            <w:tcW w:w="3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gains recognized on investments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r>
      <w:tr>
        <w:trPr>
          <w:trHeight w:val="207"/>
        </w:trPr>
        <w:tc>
          <w:tcPr>
            <w:tcW w:w="3740" w:type="dxa"/>
            <w:vAlign w:val="bottom"/>
          </w:tcPr>
          <w:p>
            <w:pPr>
              <w:ind w:left="280"/>
              <w:spacing w:after="0"/>
              <w:rPr>
                <w:sz w:val="20"/>
                <w:szCs w:val="20"/>
                <w:color w:val="auto"/>
              </w:rPr>
            </w:pPr>
            <w:r>
              <w:rPr>
                <w:rFonts w:ascii="Arial" w:cs="Arial" w:eastAsia="Arial" w:hAnsi="Arial"/>
                <w:sz w:val="18"/>
                <w:szCs w:val="18"/>
                <w:color w:val="auto"/>
              </w:rPr>
              <w:t>Net investments in T. Rowe Price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740" w:type="dxa"/>
            <w:vAlign w:val="bottom"/>
          </w:tcPr>
          <w:p>
            <w:pPr>
              <w:ind w:left="280"/>
              <w:spacing w:after="0" w:line="202" w:lineRule="exact"/>
              <w:rPr>
                <w:sz w:val="20"/>
                <w:szCs w:val="20"/>
                <w:color w:val="auto"/>
              </w:rPr>
            </w:pPr>
            <w:r>
              <w:rPr>
                <w:rFonts w:ascii="Arial" w:cs="Arial" w:eastAsia="Arial" w:hAnsi="Arial"/>
                <w:sz w:val="18"/>
                <w:szCs w:val="18"/>
                <w:color w:val="auto"/>
              </w:rPr>
              <w:t>investment products used to economically</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8"/>
        </w:trPr>
        <w:tc>
          <w:tcPr>
            <w:tcW w:w="3740" w:type="dxa"/>
            <w:vAlign w:val="bottom"/>
          </w:tcPr>
          <w:p>
            <w:pPr>
              <w:ind w:left="280"/>
              <w:spacing w:after="0"/>
              <w:rPr>
                <w:sz w:val="20"/>
                <w:szCs w:val="20"/>
                <w:color w:val="auto"/>
              </w:rPr>
            </w:pPr>
            <w:r>
              <w:rPr>
                <w:rFonts w:ascii="Arial" w:cs="Arial" w:eastAsia="Arial" w:hAnsi="Arial"/>
                <w:sz w:val="18"/>
                <w:szCs w:val="18"/>
                <w:color w:val="auto"/>
              </w:rPr>
              <w:t>hedge supplemental savings plan liability</w:t>
            </w:r>
          </w:p>
        </w:tc>
        <w:tc>
          <w:tcPr>
            <w:tcW w:w="92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1"/>
        </w:trPr>
        <w:tc>
          <w:tcPr>
            <w:tcW w:w="3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change in trading securities held by</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3"/>
        </w:trPr>
        <w:tc>
          <w:tcPr>
            <w:tcW w:w="374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consolidated T. Rowe Price investment</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52"/>
        </w:trPr>
        <w:tc>
          <w:tcPr>
            <w:tcW w:w="3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products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w:t>
            </w:r>
          </w:p>
        </w:tc>
      </w:tr>
      <w:tr>
        <w:trPr>
          <w:trHeight w:val="265"/>
        </w:trPr>
        <w:tc>
          <w:tcPr>
            <w:tcW w:w="3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changes in assets and liabilities</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428.8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423.8</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454.0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438.4</w:t>
            </w:r>
          </w:p>
        </w:tc>
      </w:tr>
      <w:tr>
        <w:trPr>
          <w:trHeight w:val="191"/>
        </w:trPr>
        <w:tc>
          <w:tcPr>
            <w:tcW w:w="3740" w:type="dxa"/>
            <w:vAlign w:val="bottom"/>
            <w:shd w:val="clear" w:color="auto" w:fill="CCEEFF"/>
          </w:tcPr>
          <w:p>
            <w:pPr>
              <w:ind w:left="40"/>
              <w:spacing w:after="0" w:line="192" w:lineRule="exact"/>
              <w:rPr>
                <w:sz w:val="20"/>
                <w:szCs w:val="20"/>
                <w:color w:val="auto"/>
              </w:rPr>
            </w:pPr>
            <w:r>
              <w:rPr>
                <w:rFonts w:ascii="Arial" w:cs="Arial" w:eastAsia="Arial" w:hAnsi="Arial"/>
                <w:sz w:val="18"/>
                <w:szCs w:val="18"/>
                <w:color w:val="auto"/>
              </w:rPr>
              <w:t>Net cash provided by (used in) operating</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52"/>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2,028.1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1,500.7</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2,060.9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1,486.4</w:t>
            </w:r>
          </w:p>
        </w:tc>
      </w:tr>
      <w:tr>
        <w:trPr>
          <w:trHeight w:val="207"/>
        </w:trPr>
        <w:tc>
          <w:tcPr>
            <w:tcW w:w="3740" w:type="dxa"/>
            <w:vAlign w:val="bottom"/>
          </w:tcPr>
          <w:p>
            <w:pPr>
              <w:ind w:left="40"/>
              <w:spacing w:after="0"/>
              <w:rPr>
                <w:sz w:val="20"/>
                <w:szCs w:val="20"/>
                <w:color w:val="auto"/>
              </w:rPr>
            </w:pPr>
            <w:r>
              <w:rPr>
                <w:rFonts w:ascii="Arial" w:cs="Arial" w:eastAsia="Arial" w:hAnsi="Arial"/>
                <w:sz w:val="18"/>
                <w:szCs w:val="18"/>
                <w:color w:val="auto"/>
              </w:rPr>
              <w:t>Net cash provided by (used in) investing</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8"/>
        </w:trPr>
        <w:tc>
          <w:tcPr>
            <w:tcW w:w="374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920" w:type="dxa"/>
            <w:vAlign w:val="bottom"/>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(830.4)</w:t>
            </w:r>
          </w:p>
        </w:tc>
      </w:tr>
      <w:tr>
        <w:trPr>
          <w:trHeight w:val="211"/>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52"/>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544.8</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597.9</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(111.7)</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r>
      <w:tr>
        <w:trPr>
          <w:trHeight w:val="207"/>
        </w:trPr>
        <w:tc>
          <w:tcPr>
            <w:tcW w:w="37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740" w:type="dxa"/>
            <w:vAlign w:val="bottom"/>
          </w:tcPr>
          <w:p>
            <w:pPr>
              <w:ind w:left="40"/>
              <w:spacing w:after="0" w:line="202" w:lineRule="exact"/>
              <w:rPr>
                <w:sz w:val="20"/>
                <w:szCs w:val="20"/>
                <w:color w:val="auto"/>
              </w:rPr>
            </w:pPr>
            <w:r>
              <w:rPr>
                <w:rFonts w:ascii="Arial" w:cs="Arial" w:eastAsia="Arial" w:hAnsi="Arial"/>
                <w:sz w:val="18"/>
                <w:szCs w:val="18"/>
                <w:color w:val="auto"/>
              </w:rPr>
              <w:t>cash equivalents of consolidated T. Rowe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8"/>
        </w:trPr>
        <w:tc>
          <w:tcPr>
            <w:tcW w:w="3740" w:type="dxa"/>
            <w:vAlign w:val="bottom"/>
          </w:tcPr>
          <w:p>
            <w:pPr>
              <w:ind w:left="40"/>
              <w:spacing w:after="0"/>
              <w:rPr>
                <w:sz w:val="20"/>
                <w:szCs w:val="20"/>
                <w:color w:val="auto"/>
              </w:rPr>
            </w:pPr>
            <w:r>
              <w:rPr>
                <w:rFonts w:ascii="Arial" w:cs="Arial" w:eastAsia="Arial" w:hAnsi="Arial"/>
                <w:sz w:val="18"/>
                <w:szCs w:val="18"/>
                <w:color w:val="auto"/>
              </w:rPr>
              <w:t>Price investment products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191"/>
        </w:trPr>
        <w:tc>
          <w:tcPr>
            <w:tcW w:w="3740" w:type="dxa"/>
            <w:vAlign w:val="bottom"/>
            <w:tcBorders>
              <w:top w:val="single" w:sz="8" w:color="CCEEFF"/>
            </w:tcBorders>
            <w:shd w:val="clear" w:color="auto" w:fill="CCEEFF"/>
          </w:tcPr>
          <w:p>
            <w:pPr>
              <w:ind w:left="40"/>
              <w:spacing w:after="0" w:line="192" w:lineRule="exact"/>
              <w:rPr>
                <w:sz w:val="20"/>
                <w:szCs w:val="20"/>
                <w:color w:val="auto"/>
              </w:rPr>
            </w:pPr>
            <w:r>
              <w:rPr>
                <w:rFonts w:ascii="Arial" w:cs="Arial" w:eastAsia="Arial" w:hAnsi="Arial"/>
                <w:sz w:val="18"/>
                <w:szCs w:val="18"/>
                <w:color w:val="auto"/>
              </w:rPr>
              <w:t>Net change in cash and cash equivalents</w:t>
            </w: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r>
      <w:tr>
        <w:trPr>
          <w:trHeight w:val="252"/>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during period</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788.0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798.8</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187.9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190.5</w:t>
            </w:r>
          </w:p>
        </w:tc>
      </w:tr>
      <w:tr>
        <w:trPr>
          <w:trHeight w:val="207"/>
        </w:trPr>
        <w:tc>
          <w:tcPr>
            <w:tcW w:w="37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8"/>
        </w:trPr>
        <w:tc>
          <w:tcPr>
            <w:tcW w:w="3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year</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1,425.2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1,495.3</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1,902.7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2,005.8</w:t>
            </w:r>
          </w:p>
        </w:tc>
      </w:tr>
      <w:tr>
        <w:trPr>
          <w:trHeight w:val="255"/>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$ 2,213.2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$2,294.1</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$ 2,090.6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$2,196.3</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420"/>
          </w:cols>
          <w:pgMar w:left="240" w:top="57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Operating activities attributable to T. Rowe Price Group during the first nine months of 2019 provided cash flows of $2,028.1 million, a decrease of $32.8 million from the 2018 period. Higher adjustments made to 2019 net income to arrive at cash flows from operating activities more than offset the $100.4 million increase in 2019 net income. The most significant adjustment related to a $119.5 million change in net investment gains, which was driven by stronger equity markets in 2019 compared with the 2018 period. The majority of the remaining adjustments related to timing differences on the cash settlement of our assets and liabilities, which decreased cash flows by $25.2 million. Our interim operating cash flows do not include the cash impact of variable compensation that is accrued throughout the year before being substantially paid out in December. The remaining change in reported cash flows from operating activities was attributable to the net change in trading securities held in our consolidated investment products’ underlying portfolios.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Net cash used in investing activities that are attributable to T. Rowe Price Group totaled $230.0 million in the first nine months of 2019 compared with $923.7 million in the 2018 period. During the first nine months of 2018, we rebalanced our cash and discretionary investments portfolio resulting in the reallocation of cash and cash equivalents of $945.0 million to certain T. Rowe Price fixed income funds. Such rebalancing did not recur in 2019. During 2019, we increased our property and equipment expenditures by $27.4 million and the level of seed capital provided by $45.8 million. Since we consolidate the seed capital in T. Rowe Price investment products, our seed capital was eliminated in preparing our unaudited condensed consolidated statement of cash flows. The remaining $178.1 million change in cash used in investing activities attributable to T. Rowe Price Group primarily stems from a decrease in net proceeds received in 2019 as compared to 2018 related to the purchases and sales of other T. Rowe Price products. The net cash removed from our balance sheet from consolidating and deconsolidating investment products during the first nine months of 2019 compared with the 2018 period accounts for the remaining $14.2 million change in reported cash flows from investing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Net cash used in financing activities attributable to T. Rowe Price Group were $1,010.1 million in the first nine months of 2019 compared with $949.3 million in the 2018 period. During 2019, there was a $33.0 million increase in cash paid for common stock repurchases, and a $28.1 million increase in dividends paid in 2019 as a result of an 8.6% increase in our quarterly dividend per share. The remaining change in reported cash flows from financing activities is primarily attributable to a $99.1 million decrease in net subscriptions received from redeemable non-controlling interest holders of our consolidated investment products during the first nine months of 2019 compared to the 2018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unaudited condensed consolidated balance sheets, the revenues and expenses in our unaudited condensed consolidated statements of income, and the information that is contained in our significant accounting policies and notes to unaudited condensed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unaudited condensed consolidated financial statements, significant accounting policies, and notes.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critical accounting policies previously identified in our 2018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NEWLY-ISSUED BUT NOT YET ADOPTED ACCOUNTING GUIDANCE.</w:t>
      </w:r>
    </w:p>
    <w:p>
      <w:pPr>
        <w:spacing w:after="0" w:line="225"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The Company and Basis of Preparation</w:t>
      </w:r>
      <w:r>
        <w:rPr>
          <w:rFonts w:ascii="Arial" w:cs="Arial" w:eastAsia="Arial" w:hAnsi="Arial"/>
          <w:sz w:val="18"/>
          <w:szCs w:val="18"/>
          <w:color w:val="auto"/>
        </w:rPr>
        <w:t xml:space="preserve"> note within </w:t>
      </w:r>
      <w:r>
        <w:rPr>
          <w:rFonts w:ascii="Arial" w:cs="Arial" w:eastAsia="Arial" w:hAnsi="Arial"/>
          <w:sz w:val="18"/>
          <w:szCs w:val="18"/>
          <w:i w:val="1"/>
          <w:iCs w:val="1"/>
          <w:color w:val="auto"/>
        </w:rPr>
        <w:t>Item 1. Financial Statements</w:t>
      </w:r>
      <w:r>
        <w:rPr>
          <w:rFonts w:ascii="Arial" w:cs="Arial" w:eastAsia="Arial" w:hAnsi="Arial"/>
          <w:sz w:val="18"/>
          <w:szCs w:val="18"/>
          <w:color w:val="auto"/>
        </w:rPr>
        <w:t xml:space="preserve"> for a discussion of newly issued but not yet adopted accounting guidance.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36</w:t>
      </w:r>
    </w:p>
    <w:p>
      <w:pPr>
        <w:sectPr>
          <w:pgSz w:w="11900" w:h="16838" w:orient="portrait"/>
          <w:cols w:equalWidth="0" w:num="1">
            <w:col w:w="11400"/>
          </w:cols>
          <w:pgMar w:left="240" w:top="578"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tax rate; and our expectations regarding financial markets, future transactions, dividends, stock repurchases, investments, new products and services, capital expenditures, the timing of the assumption of all third party research payments, changes in our effective fee rate, and other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2018.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78"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cash inflows and outflows in the U.S. mutual</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funds and other investment products, fluctuations in global financial markets that result in appreciation or depreciation of the assets under our management, our introduction of new mutual funds and investment products,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U.S. mutual funds and other managed investment products as compared with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U.S. mutual funds and could be adversely affected if the independent directors of one or more of the U.S. mutual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18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changes in our employee count and mix, and competitive factors; any goodwill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the timing of the assumption of all third party research payments, unanticipated costs that may be incurred to protect investor accounts and the goodwill of our clients; and disruptions of services, including those provided by third parties, such as fund and product recordkeeping, facilities, communications, power, and the mutual fund transfer agent and accounting systems.</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T. Rowe Price investment products and investing in general or in particular classes of mutual funds or other investments.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total potential loss information provided in Item 7A of the Form 10-K Annual Report for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37</w:t>
      </w:r>
    </w:p>
    <w:p>
      <w:pPr>
        <w:sectPr>
          <w:pgSz w:w="11900" w:h="16838" w:orient="portrait"/>
          <w:cols w:equalWidth="0" w:num="1">
            <w:col w:w="11400"/>
          </w:cols>
          <w:pgMar w:left="240" w:top="576"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September 30, 2019. Based on that evaluation, our principal executive and principal financial officers have concluded that our disclosure controls and procedures as of September 30, 2019,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7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third quarter of 2019, and has concluded that there was no change during the third quarter of 2019 that has materially affected, or is reasonably likely to materially affect, our internal control over financial reporting.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matter has been certified as a class action. T. Rowe Price believes the claims are without merit and is vigorously defending the action. This matter is in the discovery phase of litigation and we cannot predict the eventual outcome, or whether it will have a material negative impact on our financial results, or estimate the possible loss or range of loss that may arise from any negative outcome.</w:t>
      </w:r>
    </w:p>
    <w:p>
      <w:pPr>
        <w:spacing w:after="0" w:line="1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w:t>
      </w:r>
    </w:p>
    <w:p>
      <w:pPr>
        <w:spacing w:after="0" w:line="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 Rowe Price believes the claims are without merit and is vigorously defending the action. This matter is in the discovery phase of litigation and we cannot predict the eventual outcome, or whether it will have a material negative impact on our financial results, or estimate the possible loss or range of loss that may arise from any negative outcome.</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information provided in Item 1A of our Form 10-K Annual Report for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38</w:t>
      </w:r>
    </w:p>
    <w:p>
      <w:pPr>
        <w:sectPr>
          <w:pgSz w:w="11900" w:h="16838" w:orient="portrait"/>
          <w:cols w:equalWidth="0" w:num="1">
            <w:col w:w="11420"/>
          </w:cols>
          <w:pgMar w:left="240" w:top="57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third quarter of 2019 is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3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Shares Purchased as</w:t>
            </w: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Shares that May Yet Be</w:t>
            </w:r>
          </w:p>
        </w:tc>
      </w:tr>
      <w:tr>
        <w:trPr>
          <w:trHeight w:val="162"/>
        </w:trPr>
        <w:tc>
          <w:tcPr>
            <w:tcW w:w="3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Average Price</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Purchased Under the</w:t>
            </w:r>
          </w:p>
        </w:tc>
      </w:tr>
      <w:tr>
        <w:trPr>
          <w:trHeight w:val="203"/>
        </w:trPr>
        <w:tc>
          <w:tcPr>
            <w:tcW w:w="3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Month</w:t>
            </w:r>
          </w:p>
        </w:tc>
        <w:tc>
          <w:tcPr>
            <w:tcW w:w="120" w:type="dxa"/>
            <w:vAlign w:val="bottom"/>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20" w:type="dxa"/>
            <w:vAlign w:val="bottom"/>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Program</w:t>
            </w:r>
          </w:p>
        </w:tc>
      </w:tr>
      <w:tr>
        <w:trPr>
          <w:trHeight w:val="246"/>
        </w:trPr>
        <w:tc>
          <w:tcPr>
            <w:tcW w:w="36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July</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120,939</w:t>
            </w:r>
          </w:p>
        </w:tc>
        <w:tc>
          <w:tcPr>
            <w:tcW w:w="12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114.11</w:t>
            </w:r>
          </w:p>
        </w:tc>
        <w:tc>
          <w:tcPr>
            <w:tcW w:w="120" w:type="dxa"/>
            <w:vAlign w:val="bottom"/>
          </w:tcPr>
          <w:p>
            <w:pPr>
              <w:spacing w:after="0"/>
              <w:rPr>
                <w:sz w:val="21"/>
                <w:szCs w:val="21"/>
                <w:color w:val="auto"/>
              </w:rPr>
            </w:pPr>
          </w:p>
        </w:tc>
        <w:tc>
          <w:tcPr>
            <w:tcW w:w="1920" w:type="dxa"/>
            <w:vAlign w:val="bottom"/>
          </w:tcPr>
          <w:p>
            <w:pPr>
              <w:jc w:val="right"/>
              <w:ind w:right="19"/>
              <w:spacing w:after="0"/>
              <w:rPr>
                <w:sz w:val="20"/>
                <w:szCs w:val="20"/>
                <w:color w:val="auto"/>
              </w:rPr>
            </w:pPr>
            <w:r>
              <w:rPr>
                <w:rFonts w:ascii="Arial" w:cs="Arial" w:eastAsia="Arial" w:hAnsi="Arial"/>
                <w:sz w:val="18"/>
                <w:szCs w:val="18"/>
                <w:color w:val="auto"/>
              </w:rPr>
              <w:t>73,427</w:t>
            </w:r>
          </w:p>
        </w:tc>
        <w:tc>
          <w:tcPr>
            <w:tcW w:w="1920" w:type="dxa"/>
            <w:vAlign w:val="bottom"/>
            <w:gridSpan w:val="2"/>
          </w:tcPr>
          <w:p>
            <w:pPr>
              <w:jc w:val="right"/>
              <w:ind w:right="28"/>
              <w:spacing w:after="0"/>
              <w:rPr>
                <w:sz w:val="20"/>
                <w:szCs w:val="20"/>
                <w:color w:val="auto"/>
              </w:rPr>
            </w:pPr>
            <w:r>
              <w:rPr>
                <w:rFonts w:ascii="Arial" w:cs="Arial" w:eastAsia="Arial" w:hAnsi="Arial"/>
                <w:sz w:val="18"/>
                <w:szCs w:val="18"/>
                <w:color w:val="auto"/>
              </w:rPr>
              <w:t>20,195,409</w:t>
            </w:r>
          </w:p>
        </w:tc>
      </w:tr>
      <w:tr>
        <w:trPr>
          <w:trHeight w:val="275"/>
        </w:trPr>
        <w:tc>
          <w:tcPr>
            <w:tcW w:w="3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August</w:t>
            </w:r>
          </w:p>
        </w:tc>
        <w:tc>
          <w:tcPr>
            <w:tcW w:w="18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1,569,190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106.96</w:t>
            </w:r>
          </w:p>
        </w:tc>
        <w:tc>
          <w:tcPr>
            <w:tcW w:w="12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1,519,469</w:t>
            </w:r>
          </w:p>
        </w:tc>
        <w:tc>
          <w:tcPr>
            <w:tcW w:w="19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18,675,940</w:t>
            </w:r>
          </w:p>
        </w:tc>
      </w:tr>
      <w:tr>
        <w:trPr>
          <w:trHeight w:val="265"/>
        </w:trPr>
        <w:tc>
          <w:tcPr>
            <w:tcW w:w="36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September</w:t>
            </w:r>
          </w:p>
        </w:tc>
        <w:tc>
          <w:tcPr>
            <w:tcW w:w="1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157,665</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116.17</w:t>
            </w:r>
          </w:p>
        </w:tc>
        <w:tc>
          <w:tcPr>
            <w:tcW w:w="120" w:type="dxa"/>
            <w:vAlign w:val="bottom"/>
            <w:tcBorders>
              <w:bottom w:val="single" w:sz="8" w:color="CCEEFF"/>
            </w:tcBorders>
          </w:tcPr>
          <w:p>
            <w:pPr>
              <w:spacing w:after="0"/>
              <w:rPr>
                <w:sz w:val="23"/>
                <w:szCs w:val="23"/>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20,300</w:t>
            </w:r>
          </w:p>
        </w:tc>
        <w:tc>
          <w:tcPr>
            <w:tcW w:w="192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8"/>
                <w:szCs w:val="18"/>
                <w:color w:val="auto"/>
              </w:rPr>
              <w:t>18,655,640</w:t>
            </w:r>
          </w:p>
        </w:tc>
      </w:tr>
      <w:tr>
        <w:trPr>
          <w:trHeight w:val="255"/>
        </w:trPr>
        <w:tc>
          <w:tcPr>
            <w:tcW w:w="3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Total</w:t>
            </w:r>
          </w:p>
        </w:tc>
        <w:tc>
          <w:tcPr>
            <w:tcW w:w="1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1,847,794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108.21</w:t>
            </w: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1,613,196</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93"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third quarter of 2019, 234,281 were related to shares surrendered in connection with employee stock option exercises and 317 were related to shares withheld to cover tax withholdings associated with the vesting of restricted stock awards.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changes in and status of the Board of Directors’ outstanding publicly announced board authorizations.</w:t>
      </w:r>
    </w:p>
    <w:p>
      <w:pPr>
        <w:spacing w:after="0" w:line="167" w:lineRule="exact"/>
        <w:rPr>
          <w:sz w:val="20"/>
          <w:szCs w:val="20"/>
          <w:color w:val="auto"/>
        </w:rPr>
      </w:pPr>
    </w:p>
    <w:tbl>
      <w:tblPr>
        <w:tblLayout w:type="fixed"/>
        <w:tblInd w:w="100" w:type="dxa"/>
        <w:tblCellMar>
          <w:top w:w="0" w:type="dxa"/>
          <w:left w:w="0" w:type="dxa"/>
          <w:bottom w:w="0" w:type="dxa"/>
          <w:right w:w="0" w:type="dxa"/>
        </w:tblCellMar>
      </w:tblPr>
      <w:tr>
        <w:trPr>
          <w:trHeight w:val="174"/>
        </w:trPr>
        <w:tc>
          <w:tcPr>
            <w:tcW w:w="5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98"/>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5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ind w:left="400"/>
              <w:spacing w:after="0"/>
              <w:rPr>
                <w:sz w:val="20"/>
                <w:szCs w:val="20"/>
                <w:color w:val="auto"/>
              </w:rPr>
            </w:pPr>
            <w:r>
              <w:rPr>
                <w:rFonts w:ascii="Arial" w:cs="Arial" w:eastAsia="Arial" w:hAnsi="Arial"/>
                <w:sz w:val="14"/>
                <w:szCs w:val="14"/>
                <w:b w:val="1"/>
                <w:bCs w:val="1"/>
                <w:color w:val="auto"/>
              </w:rPr>
              <w:t>Total Number of</w:t>
            </w:r>
          </w:p>
        </w:tc>
        <w:tc>
          <w:tcPr>
            <w:tcW w:w="1780" w:type="dxa"/>
            <w:vAlign w:val="bottom"/>
            <w:shd w:val="clear" w:color="auto" w:fill="CCEEFF"/>
          </w:tcPr>
          <w:p>
            <w:pPr>
              <w:jc w:val="right"/>
              <w:ind w:right="18"/>
              <w:spacing w:after="0"/>
              <w:rPr>
                <w:sz w:val="20"/>
                <w:szCs w:val="20"/>
                <w:color w:val="auto"/>
              </w:rPr>
            </w:pPr>
            <w:r>
              <w:rPr>
                <w:rFonts w:ascii="Arial" w:cs="Arial" w:eastAsia="Arial" w:hAnsi="Arial"/>
                <w:sz w:val="14"/>
                <w:szCs w:val="14"/>
                <w:b w:val="1"/>
                <w:bCs w:val="1"/>
                <w:color w:val="auto"/>
              </w:rPr>
              <w:t>Shares that May Yet Be</w:t>
            </w:r>
          </w:p>
        </w:tc>
      </w:tr>
      <w:tr>
        <w:trPr>
          <w:trHeight w:val="203"/>
        </w:trPr>
        <w:tc>
          <w:tcPr>
            <w:tcW w:w="5400" w:type="dxa"/>
            <w:vAlign w:val="bottom"/>
            <w:tcBorders>
              <w:bottom w:val="single" w:sz="8" w:color="auto"/>
            </w:tcBorders>
            <w:shd w:val="clear" w:color="auto" w:fill="CCEEFF"/>
          </w:tcPr>
          <w:p>
            <w:pPr>
              <w:ind w:left="2020"/>
              <w:spacing w:after="0"/>
              <w:rPr>
                <w:sz w:val="20"/>
                <w:szCs w:val="20"/>
                <w:color w:val="auto"/>
              </w:rPr>
            </w:pPr>
            <w:r>
              <w:rPr>
                <w:rFonts w:ascii="Arial" w:cs="Arial" w:eastAsia="Arial" w:hAnsi="Arial"/>
                <w:sz w:val="14"/>
                <w:szCs w:val="14"/>
                <w:b w:val="1"/>
                <w:bCs w:val="1"/>
                <w:color w:val="auto"/>
              </w:rPr>
              <w:t>Authorization dates</w:t>
            </w:r>
          </w:p>
        </w:tc>
        <w:tc>
          <w:tcPr>
            <w:tcW w:w="120" w:type="dxa"/>
            <w:vAlign w:val="bottom"/>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6/30/2019</w:t>
            </w:r>
          </w:p>
        </w:tc>
        <w:tc>
          <w:tcPr>
            <w:tcW w:w="120" w:type="dxa"/>
            <w:vAlign w:val="bottom"/>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4"/>
                <w:szCs w:val="14"/>
                <w:b w:val="1"/>
                <w:bCs w:val="1"/>
                <w:color w:val="auto"/>
              </w:rPr>
              <w:t>Purchased at 9/30/2019</w:t>
            </w:r>
          </w:p>
        </w:tc>
      </w:tr>
      <w:tr>
        <w:trPr>
          <w:trHeight w:val="246"/>
        </w:trPr>
        <w:tc>
          <w:tcPr>
            <w:tcW w:w="5400" w:type="dxa"/>
            <w:vAlign w:val="bottom"/>
          </w:tcPr>
          <w:p>
            <w:pPr>
              <w:ind w:left="20"/>
              <w:spacing w:after="0"/>
              <w:rPr>
                <w:sz w:val="20"/>
                <w:szCs w:val="20"/>
                <w:color w:val="auto"/>
              </w:rPr>
            </w:pPr>
            <w:r>
              <w:rPr>
                <w:rFonts w:ascii="Arial" w:cs="Arial" w:eastAsia="Arial" w:hAnsi="Arial"/>
                <w:sz w:val="18"/>
                <w:szCs w:val="18"/>
                <w:color w:val="auto"/>
              </w:rPr>
              <w:t>December 2016</w:t>
            </w:r>
          </w:p>
        </w:tc>
        <w:tc>
          <w:tcPr>
            <w:tcW w:w="1920" w:type="dxa"/>
            <w:vAlign w:val="bottom"/>
            <w:gridSpan w:val="2"/>
          </w:tcPr>
          <w:p>
            <w:pPr>
              <w:jc w:val="right"/>
              <w:ind w:right="48"/>
              <w:spacing w:after="0"/>
              <w:rPr>
                <w:sz w:val="20"/>
                <w:szCs w:val="20"/>
                <w:color w:val="auto"/>
              </w:rPr>
            </w:pPr>
            <w:r>
              <w:rPr>
                <w:rFonts w:ascii="Arial" w:cs="Arial" w:eastAsia="Arial" w:hAnsi="Arial"/>
                <w:sz w:val="18"/>
                <w:szCs w:val="18"/>
                <w:color w:val="auto"/>
              </w:rPr>
              <w:t>268,836</w:t>
            </w:r>
          </w:p>
        </w:tc>
        <w:tc>
          <w:tcPr>
            <w:tcW w:w="1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(268,836)</w:t>
            </w:r>
          </w:p>
        </w:tc>
        <w:tc>
          <w:tcPr>
            <w:tcW w:w="100" w:type="dxa"/>
            <w:vAlign w:val="bottom"/>
          </w:tcPr>
          <w:p>
            <w:pPr>
              <w:spacing w:after="0"/>
              <w:rPr>
                <w:sz w:val="21"/>
                <w:szCs w:val="21"/>
                <w:color w:val="auto"/>
              </w:rPr>
            </w:pPr>
          </w:p>
        </w:tc>
        <w:tc>
          <w:tcPr>
            <w:tcW w:w="178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75"/>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2018</w:t>
            </w:r>
          </w:p>
        </w:tc>
        <w:tc>
          <w:tcPr>
            <w:tcW w:w="19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spacing w:after="0"/>
              <w:rPr>
                <w:sz w:val="23"/>
                <w:szCs w:val="23"/>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(1,344,360)</w:t>
            </w:r>
          </w:p>
        </w:tc>
        <w:tc>
          <w:tcPr>
            <w:tcW w:w="10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8,655,640</w:t>
            </w:r>
          </w:p>
        </w:tc>
      </w:tr>
      <w:tr>
        <w:trPr>
          <w:trHeight w:val="26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February 2019</w:t>
            </w:r>
          </w:p>
        </w:tc>
        <w:tc>
          <w:tcPr>
            <w:tcW w:w="19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10,000,000</w:t>
            </w:r>
          </w:p>
        </w:tc>
        <w:tc>
          <w:tcPr>
            <w:tcW w:w="12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10,000,000</w:t>
            </w:r>
          </w:p>
        </w:tc>
      </w:tr>
      <w:tr>
        <w:trPr>
          <w:trHeight w:val="264"/>
        </w:trPr>
        <w:tc>
          <w:tcPr>
            <w:tcW w:w="54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20,268,836</w:t>
            </w:r>
          </w:p>
        </w:tc>
        <w:tc>
          <w:tcPr>
            <w:tcW w:w="12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(1,613,196)</w:t>
            </w:r>
          </w:p>
        </w:tc>
        <w:tc>
          <w:tcPr>
            <w:tcW w:w="10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18,655,640</w:t>
            </w: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On October 24, 2019, we issued an earnings release reporting our results of operations for the third quarter of 2019 and the first nine months of 2019. A copy of that earnings release is furnished herewith as Exhibit 99.1 This information shall not be deemed filed for purposes of Section 18 of the Securities Exchange Act of 1934, nor shall it be deemed incorporated by reference in any filing under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420"/>
          </w:cols>
          <w:pgMar w:left="240" w:top="57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6. Exhibits.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3(i)</w:t>
            </w:r>
          </w:p>
        </w:tc>
        <w:tc>
          <w:tcPr>
            <w:tcW w:w="10140" w:type="dxa"/>
            <w:vAlign w:val="bottom"/>
          </w:tcPr>
          <w:p>
            <w:pPr>
              <w:ind w:left="620"/>
              <w:spacing w:after="0"/>
              <w:rPr>
                <w:rFonts w:ascii="Arial" w:cs="Arial" w:eastAsia="Arial" w:hAnsi="Arial"/>
                <w:sz w:val="18"/>
                <w:szCs w:val="18"/>
                <w:color w:val="auto"/>
              </w:rPr>
            </w:pPr>
            <w:hyperlink r:id="rId24">
              <w:r>
                <w:rPr>
                  <w:rFonts w:ascii="Arial" w:cs="Arial" w:eastAsia="Arial" w:hAnsi="Arial"/>
                  <w:sz w:val="18"/>
                  <w:szCs w:val="18"/>
                  <w:color w:val="auto"/>
                </w:rPr>
                <w:t>Charter of T. Rowe Price Group, Inc., as reflected by Articles of Restatement dated June 20, 2018. (Incorporated by</w:t>
              </w:r>
            </w:hyperlink>
          </w:p>
        </w:tc>
      </w:tr>
      <w:tr>
        <w:trPr>
          <w:trHeight w:val="243"/>
        </w:trPr>
        <w:tc>
          <w:tcPr>
            <w:tcW w:w="1100" w:type="dxa"/>
            <w:vAlign w:val="bottom"/>
          </w:tcPr>
          <w:p>
            <w:pPr>
              <w:spacing w:after="0"/>
              <w:rPr>
                <w:sz w:val="21"/>
                <w:szCs w:val="21"/>
                <w:color w:val="auto"/>
              </w:rPr>
            </w:pPr>
          </w:p>
        </w:tc>
        <w:tc>
          <w:tcPr>
            <w:tcW w:w="10140" w:type="dxa"/>
            <w:vAlign w:val="bottom"/>
          </w:tcPr>
          <w:p>
            <w:pPr>
              <w:ind w:left="620"/>
              <w:spacing w:after="0"/>
              <w:rPr>
                <w:rFonts w:ascii="Arial" w:cs="Arial" w:eastAsia="Arial" w:hAnsi="Arial"/>
                <w:sz w:val="18"/>
                <w:szCs w:val="18"/>
                <w:color w:val="auto"/>
              </w:rPr>
            </w:pPr>
            <w:hyperlink r:id="rId24">
              <w:r>
                <w:rPr>
                  <w:rFonts w:ascii="Arial" w:cs="Arial" w:eastAsia="Arial" w:hAnsi="Arial"/>
                  <w:sz w:val="18"/>
                  <w:szCs w:val="18"/>
                  <w:color w:val="auto"/>
                </w:rPr>
                <w:t>reference from Form 10-Q Quarterly Report filed on July 25, 2018.)</w:t>
              </w:r>
            </w:hyperlink>
          </w:p>
        </w:tc>
      </w:tr>
      <w:tr>
        <w:trPr>
          <w:trHeight w:val="351"/>
        </w:trPr>
        <w:tc>
          <w:tcPr>
            <w:tcW w:w="1100" w:type="dxa"/>
            <w:vAlign w:val="bottom"/>
          </w:tcPr>
          <w:p>
            <w:pPr>
              <w:spacing w:after="0"/>
              <w:rPr>
                <w:sz w:val="20"/>
                <w:szCs w:val="20"/>
                <w:color w:val="auto"/>
              </w:rPr>
            </w:pPr>
            <w:r>
              <w:rPr>
                <w:rFonts w:ascii="Arial" w:cs="Arial" w:eastAsia="Arial" w:hAnsi="Arial"/>
                <w:sz w:val="18"/>
                <w:szCs w:val="18"/>
                <w:color w:val="auto"/>
              </w:rPr>
              <w:t>3(ii)</w:t>
            </w:r>
          </w:p>
        </w:tc>
        <w:tc>
          <w:tcPr>
            <w:tcW w:w="10140" w:type="dxa"/>
            <w:vAlign w:val="bottom"/>
          </w:tcPr>
          <w:p>
            <w:pPr>
              <w:ind w:left="620"/>
              <w:spacing w:after="0"/>
              <w:rPr>
                <w:rFonts w:ascii="Arial" w:cs="Arial" w:eastAsia="Arial" w:hAnsi="Arial"/>
                <w:sz w:val="18"/>
                <w:szCs w:val="18"/>
                <w:color w:val="auto"/>
                <w:w w:val="99"/>
              </w:rPr>
            </w:pPr>
            <w:hyperlink r:id="rId25">
              <w:r>
                <w:rPr>
                  <w:rFonts w:ascii="Arial" w:cs="Arial" w:eastAsia="Arial" w:hAnsi="Arial"/>
                  <w:sz w:val="18"/>
                  <w:szCs w:val="18"/>
                  <w:color w:val="auto"/>
                  <w:w w:val="99"/>
                </w:rPr>
                <w:t>Amended and Restated By-Laws of T. Rowe Price Group, Inc. as of February 12, 2019. (Incorporated by reference from</w:t>
              </w:r>
            </w:hyperlink>
          </w:p>
        </w:tc>
      </w:tr>
      <w:tr>
        <w:trPr>
          <w:trHeight w:val="243"/>
        </w:trPr>
        <w:tc>
          <w:tcPr>
            <w:tcW w:w="1100" w:type="dxa"/>
            <w:vAlign w:val="bottom"/>
          </w:tcPr>
          <w:p>
            <w:pPr>
              <w:spacing w:after="0"/>
              <w:rPr>
                <w:sz w:val="21"/>
                <w:szCs w:val="21"/>
                <w:color w:val="auto"/>
              </w:rPr>
            </w:pPr>
          </w:p>
        </w:tc>
        <w:tc>
          <w:tcPr>
            <w:tcW w:w="10140" w:type="dxa"/>
            <w:vAlign w:val="bottom"/>
          </w:tcPr>
          <w:p>
            <w:pPr>
              <w:ind w:left="620"/>
              <w:spacing w:after="0"/>
              <w:rPr>
                <w:rFonts w:ascii="Arial" w:cs="Arial" w:eastAsia="Arial" w:hAnsi="Arial"/>
                <w:sz w:val="18"/>
                <w:szCs w:val="18"/>
                <w:color w:val="auto"/>
              </w:rPr>
            </w:pPr>
            <w:hyperlink r:id="rId25">
              <w:r>
                <w:rPr>
                  <w:rFonts w:ascii="Arial" w:cs="Arial" w:eastAsia="Arial" w:hAnsi="Arial"/>
                  <w:sz w:val="18"/>
                  <w:szCs w:val="18"/>
                  <w:color w:val="auto"/>
                </w:rPr>
                <w:t>Form 8-K Current Report filed on February 13, 2019.)</w:t>
              </w:r>
            </w:hyperlink>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15</w:t>
            </w:r>
          </w:p>
        </w:tc>
        <w:tc>
          <w:tcPr>
            <w:tcW w:w="10140" w:type="dxa"/>
            <w:vAlign w:val="bottom"/>
          </w:tcPr>
          <w:p>
            <w:pPr>
              <w:ind w:left="620"/>
              <w:spacing w:after="0"/>
              <w:rPr>
                <w:rFonts w:ascii="Arial" w:cs="Arial" w:eastAsia="Arial" w:hAnsi="Arial"/>
                <w:sz w:val="18"/>
                <w:szCs w:val="18"/>
                <w:color w:val="auto"/>
              </w:rPr>
            </w:pPr>
            <w:hyperlink w:anchor="page42">
              <w:r>
                <w:rPr>
                  <w:rFonts w:ascii="Arial" w:cs="Arial" w:eastAsia="Arial" w:hAnsi="Arial"/>
                  <w:sz w:val="18"/>
                  <w:szCs w:val="18"/>
                  <w:color w:val="auto"/>
                </w:rPr>
                <w:t>Letter from KPMG LLP, independent registered public accounting firm, re unaudited interim financial information.</w:t>
              </w:r>
            </w:hyperlink>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31(i).1</w:t>
            </w:r>
          </w:p>
        </w:tc>
        <w:tc>
          <w:tcPr>
            <w:tcW w:w="10140" w:type="dxa"/>
            <w:vAlign w:val="bottom"/>
          </w:tcPr>
          <w:p>
            <w:pPr>
              <w:ind w:left="620"/>
              <w:spacing w:after="0"/>
              <w:rPr>
                <w:rFonts w:ascii="Arial" w:cs="Arial" w:eastAsia="Arial" w:hAnsi="Arial"/>
                <w:sz w:val="18"/>
                <w:szCs w:val="18"/>
                <w:color w:val="auto"/>
              </w:rPr>
            </w:pPr>
            <w:hyperlink w:anchor="page43">
              <w:r>
                <w:rPr>
                  <w:rFonts w:ascii="Arial" w:cs="Arial" w:eastAsia="Arial" w:hAnsi="Arial"/>
                  <w:sz w:val="18"/>
                  <w:szCs w:val="18"/>
                  <w:color w:val="auto"/>
                </w:rPr>
                <w:t>Rule 13a-14(a) Certification of Principal Executive Officer.</w:t>
              </w:r>
            </w:hyperlink>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31(i).2</w:t>
            </w:r>
          </w:p>
        </w:tc>
        <w:tc>
          <w:tcPr>
            <w:tcW w:w="10140" w:type="dxa"/>
            <w:vAlign w:val="bottom"/>
          </w:tcPr>
          <w:p>
            <w:pPr>
              <w:ind w:left="620"/>
              <w:spacing w:after="0"/>
              <w:rPr>
                <w:rFonts w:ascii="Arial" w:cs="Arial" w:eastAsia="Arial" w:hAnsi="Arial"/>
                <w:sz w:val="18"/>
                <w:szCs w:val="18"/>
                <w:color w:val="auto"/>
              </w:rPr>
            </w:pPr>
            <w:hyperlink w:anchor="page44">
              <w:r>
                <w:rPr>
                  <w:rFonts w:ascii="Arial" w:cs="Arial" w:eastAsia="Arial" w:hAnsi="Arial"/>
                  <w:sz w:val="18"/>
                  <w:szCs w:val="18"/>
                  <w:color w:val="auto"/>
                </w:rPr>
                <w:t>Rule 13a-14(a) Certification of Principal Financial Officer.</w:t>
              </w:r>
            </w:hyperlink>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32</w:t>
            </w:r>
          </w:p>
        </w:tc>
        <w:tc>
          <w:tcPr>
            <w:tcW w:w="10140" w:type="dxa"/>
            <w:vAlign w:val="bottom"/>
          </w:tcPr>
          <w:p>
            <w:pPr>
              <w:ind w:left="620"/>
              <w:spacing w:after="0"/>
              <w:rPr>
                <w:rFonts w:ascii="Arial" w:cs="Arial" w:eastAsia="Arial" w:hAnsi="Arial"/>
                <w:sz w:val="18"/>
                <w:szCs w:val="18"/>
                <w:color w:val="auto"/>
              </w:rPr>
            </w:pPr>
            <w:hyperlink w:anchor="page45">
              <w:r>
                <w:rPr>
                  <w:rFonts w:ascii="Arial" w:cs="Arial" w:eastAsia="Arial" w:hAnsi="Arial"/>
                  <w:sz w:val="18"/>
                  <w:szCs w:val="18"/>
                  <w:color w:val="auto"/>
                </w:rPr>
                <w:t>Section 1350 Certifications.</w:t>
              </w:r>
            </w:hyperlink>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99.1</w:t>
            </w:r>
          </w:p>
        </w:tc>
        <w:tc>
          <w:tcPr>
            <w:tcW w:w="10140" w:type="dxa"/>
            <w:vAlign w:val="bottom"/>
          </w:tcPr>
          <w:p>
            <w:pPr>
              <w:ind w:left="620"/>
              <w:spacing w:after="0"/>
              <w:rPr>
                <w:rFonts w:ascii="Arial" w:cs="Arial" w:eastAsia="Arial" w:hAnsi="Arial"/>
                <w:sz w:val="18"/>
                <w:szCs w:val="18"/>
                <w:color w:val="auto"/>
              </w:rPr>
            </w:pPr>
            <w:hyperlink w:anchor="page46">
              <w:r>
                <w:rPr>
                  <w:rFonts w:ascii="Arial" w:cs="Arial" w:eastAsia="Arial" w:hAnsi="Arial"/>
                  <w:sz w:val="18"/>
                  <w:szCs w:val="18"/>
                  <w:color w:val="auto"/>
                </w:rPr>
                <w:t>Earnings release issued October 24, 2019, reporting our results of operations for the third quarter of 2019.</w:t>
              </w:r>
            </w:hyperlink>
          </w:p>
        </w:tc>
      </w:tr>
      <w:tr>
        <w:trPr>
          <w:trHeight w:val="351"/>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10140" w:type="dxa"/>
            <w:vAlign w:val="bottom"/>
          </w:tcPr>
          <w:p>
            <w:pPr>
              <w:ind w:left="620"/>
              <w:spacing w:after="0"/>
              <w:rPr>
                <w:sz w:val="20"/>
                <w:szCs w:val="20"/>
                <w:color w:val="auto"/>
              </w:rPr>
            </w:pPr>
            <w:r>
              <w:rPr>
                <w:rFonts w:ascii="Arial" w:cs="Arial" w:eastAsia="Arial" w:hAnsi="Arial"/>
                <w:sz w:val="18"/>
                <w:szCs w:val="18"/>
                <w:color w:val="auto"/>
              </w:rPr>
              <w:t>The following series of unaudited XBRL-formatted documents are collectively included herewith as Exhibit 101. The</w:t>
            </w:r>
          </w:p>
        </w:tc>
      </w:tr>
      <w:tr>
        <w:trPr>
          <w:trHeight w:val="203"/>
        </w:trPr>
        <w:tc>
          <w:tcPr>
            <w:tcW w:w="1100" w:type="dxa"/>
            <w:vAlign w:val="bottom"/>
          </w:tcPr>
          <w:p>
            <w:pPr>
              <w:spacing w:after="0"/>
              <w:rPr>
                <w:sz w:val="17"/>
                <w:szCs w:val="17"/>
                <w:color w:val="auto"/>
              </w:rPr>
            </w:pPr>
          </w:p>
        </w:tc>
        <w:tc>
          <w:tcPr>
            <w:tcW w:w="10140" w:type="dxa"/>
            <w:vAlign w:val="bottom"/>
          </w:tcPr>
          <w:p>
            <w:pPr>
              <w:ind w:left="620"/>
              <w:spacing w:after="0" w:line="202" w:lineRule="exact"/>
              <w:rPr>
                <w:sz w:val="20"/>
                <w:szCs w:val="20"/>
                <w:color w:val="auto"/>
              </w:rPr>
            </w:pPr>
            <w:r>
              <w:rPr>
                <w:rFonts w:ascii="Arial" w:cs="Arial" w:eastAsia="Arial" w:hAnsi="Arial"/>
                <w:sz w:val="18"/>
                <w:szCs w:val="18"/>
                <w:color w:val="auto"/>
              </w:rPr>
              <w:t>financial information is extracted from T. Rowe Price Group’s unaudited condensed consolidated interim financial</w:t>
            </w:r>
          </w:p>
        </w:tc>
      </w:tr>
      <w:tr>
        <w:trPr>
          <w:trHeight w:val="243"/>
        </w:trPr>
        <w:tc>
          <w:tcPr>
            <w:tcW w:w="1100" w:type="dxa"/>
            <w:vAlign w:val="bottom"/>
          </w:tcPr>
          <w:p>
            <w:pPr>
              <w:spacing w:after="0"/>
              <w:rPr>
                <w:sz w:val="21"/>
                <w:szCs w:val="21"/>
                <w:color w:val="auto"/>
              </w:rPr>
            </w:pPr>
          </w:p>
        </w:tc>
        <w:tc>
          <w:tcPr>
            <w:tcW w:w="10140" w:type="dxa"/>
            <w:vAlign w:val="bottom"/>
          </w:tcPr>
          <w:p>
            <w:pPr>
              <w:ind w:left="620"/>
              <w:spacing w:after="0"/>
              <w:rPr>
                <w:sz w:val="20"/>
                <w:szCs w:val="20"/>
                <w:color w:val="auto"/>
              </w:rPr>
            </w:pPr>
            <w:r>
              <w:rPr>
                <w:rFonts w:ascii="Arial" w:cs="Arial" w:eastAsia="Arial" w:hAnsi="Arial"/>
                <w:sz w:val="18"/>
                <w:szCs w:val="18"/>
                <w:color w:val="auto"/>
              </w:rPr>
              <w:t>statements and notes that are included in this Form 10-Q Report.</w:t>
            </w:r>
          </w:p>
        </w:tc>
      </w:tr>
    </w:tbl>
    <w:p>
      <w:pPr>
        <w:spacing w:after="0" w:line="149" w:lineRule="exact"/>
        <w:rPr>
          <w:sz w:val="20"/>
          <w:szCs w:val="20"/>
          <w:color w:val="auto"/>
        </w:rPr>
      </w:pPr>
    </w:p>
    <w:p>
      <w:pPr>
        <w:sectPr>
          <w:pgSz w:w="11900" w:h="16838" w:orient="portrait"/>
          <w:cols w:equalWidth="0" w:num="1">
            <w:col w:w="11280"/>
          </w:cols>
          <w:pgMar w:left="240" w:top="574" w:right="379" w:bottom="1440" w:gutter="0" w:footer="0" w:header="0"/>
        </w:sectPr>
      </w:pPr>
    </w:p>
    <w:p>
      <w:pPr>
        <w:ind w:left="40"/>
        <w:spacing w:after="0"/>
        <w:rPr>
          <w:sz w:val="20"/>
          <w:szCs w:val="20"/>
          <w:color w:val="auto"/>
        </w:rPr>
      </w:pPr>
      <w:r>
        <w:rPr>
          <w:rFonts w:ascii="Arial" w:cs="Arial" w:eastAsia="Arial" w:hAnsi="Arial"/>
          <w:sz w:val="18"/>
          <w:szCs w:val="18"/>
          <w:color w:val="auto"/>
        </w:rPr>
        <w:t>101.INS</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101.SCH</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101.CAL</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101.LAB</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101.PRE</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101.DEF</w:t>
      </w:r>
    </w:p>
    <w:p>
      <w:pPr>
        <w:spacing w:after="0" w:line="20" w:lineRule="exact"/>
        <w:rPr>
          <w:sz w:val="20"/>
          <w:szCs w:val="20"/>
          <w:color w:val="auto"/>
        </w:rPr>
      </w:pPr>
      <w:r>
        <w:rPr>
          <w:sz w:val="20"/>
          <w:szCs w:val="20"/>
          <w:color w:val="auto"/>
        </w:rPr>
        <w:br w:type="column"/>
      </w:r>
    </w:p>
    <w:p>
      <w:pPr>
        <w:ind w:right="120"/>
        <w:spacing w:after="0" w:line="276"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Calculation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Label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Presentation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Definition Linkbase Document</w:t>
      </w:r>
    </w:p>
    <w:p>
      <w:pPr>
        <w:spacing w:after="0" w:line="200" w:lineRule="exact"/>
        <w:rPr>
          <w:sz w:val="20"/>
          <w:szCs w:val="20"/>
          <w:color w:val="auto"/>
        </w:rPr>
      </w:pPr>
    </w:p>
    <w:p>
      <w:pPr>
        <w:sectPr>
          <w:pgSz w:w="11900" w:h="16838" w:orient="portrait"/>
          <w:cols w:equalWidth="0" w:num="2">
            <w:col w:w="1040" w:space="720"/>
            <w:col w:w="9520"/>
          </w:cols>
          <w:pgMar w:left="240" w:top="574" w:right="37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Page 40</w:t>
      </w:r>
    </w:p>
    <w:p>
      <w:pPr>
        <w:sectPr>
          <w:pgSz w:w="11900" w:h="16838" w:orient="portrait"/>
          <w:cols w:equalWidth="0" w:num="1">
            <w:col w:w="11280"/>
          </w:cols>
          <w:pgMar w:left="240" w:top="574" w:right="379" w:bottom="1440" w:gutter="0" w:footer="0" w:header="0"/>
          <w:type w:val="continuous"/>
        </w:sectPr>
      </w:pPr>
    </w:p>
    <w:bookmarkStart w:id="40" w:name="page41"/>
    <w:bookmarkEnd w:id="40"/>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17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October 24, 2019.</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Céline S. Dufétel</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4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Page 41</w:t>
      </w:r>
    </w:p>
    <w:p>
      <w:pPr>
        <w:sectPr>
          <w:pgSz w:w="11900" w:h="16838" w:orient="portrait"/>
          <w:cols w:equalWidth="0" w:num="1">
            <w:col w:w="11120"/>
          </w:cols>
          <w:pgMar w:left="240" w:top="574" w:right="539" w:bottom="1440" w:gutter="0" w:footer="0" w:header="0"/>
        </w:sectPr>
      </w:pPr>
    </w:p>
    <w:bookmarkStart w:id="41" w:name="page42"/>
    <w:bookmarkEnd w:id="41"/>
    <w:p>
      <w:pPr>
        <w:ind w:left="4040"/>
        <w:spacing w:after="0"/>
        <w:rPr>
          <w:sz w:val="20"/>
          <w:szCs w:val="20"/>
          <w:color w:val="auto"/>
        </w:rPr>
      </w:pPr>
      <w:r>
        <w:rPr>
          <w:rFonts w:ascii="Arial" w:cs="Arial" w:eastAsia="Arial" w:hAnsi="Arial"/>
          <w:sz w:val="18"/>
          <w:szCs w:val="18"/>
          <w:color w:val="auto"/>
        </w:rPr>
        <w:t>EXHIBIT 15</w:t>
      </w:r>
    </w:p>
    <w:p>
      <w:pPr>
        <w:spacing w:after="0" w:line="20" w:lineRule="exact"/>
        <w:rPr>
          <w:sz w:val="20"/>
          <w:szCs w:val="20"/>
          <w:color w:val="auto"/>
        </w:rPr>
      </w:pPr>
      <w:r>
        <w:rPr>
          <w:sz w:val="20"/>
          <w:szCs w:val="20"/>
          <w:color w:val="auto"/>
        </w:rPr>
        <w:br w:type="column"/>
      </w:r>
    </w:p>
    <w:p>
      <w:pPr>
        <w:jc w:val="right"/>
        <w:spacing w:after="0" w:line="292"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5120" w:space="720"/>
            <w:col w:w="5580"/>
          </w:cols>
          <w:pgMar w:left="240" w:top="576" w:right="2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October 24,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00" w:lineRule="exact"/>
        <w:rPr>
          <w:sz w:val="20"/>
          <w:szCs w:val="20"/>
          <w:color w:val="auto"/>
        </w:rPr>
      </w:pPr>
    </w:p>
    <w:p>
      <w:pPr>
        <w:spacing w:after="0" w:line="217" w:lineRule="exact"/>
        <w:rPr>
          <w:sz w:val="20"/>
          <w:szCs w:val="20"/>
          <w:color w:val="auto"/>
        </w:rPr>
      </w:pPr>
    </w:p>
    <w:p>
      <w:pPr>
        <w:ind w:right="120"/>
        <w:spacing w:after="0" w:line="303" w:lineRule="auto"/>
        <w:rPr>
          <w:sz w:val="20"/>
          <w:szCs w:val="20"/>
          <w:color w:val="auto"/>
        </w:rPr>
      </w:pPr>
      <w:r>
        <w:rPr>
          <w:rFonts w:ascii="Arial" w:cs="Arial" w:eastAsia="Arial" w:hAnsi="Arial"/>
          <w:sz w:val="18"/>
          <w:szCs w:val="18"/>
          <w:color w:val="auto"/>
        </w:rPr>
        <w:t xml:space="preserve">Re: Registration Statements on Form S-8: No. </w:t>
      </w:r>
      <w:r>
        <w:rPr>
          <w:rFonts w:ascii="Arial" w:cs="Arial" w:eastAsia="Arial" w:hAnsi="Arial"/>
          <w:sz w:val="18"/>
          <w:szCs w:val="18"/>
          <w:b w:val="1"/>
          <w:bCs w:val="1"/>
          <w:color w:val="auto"/>
        </w:rPr>
        <w:t>33-7012</w:t>
      </w:r>
      <w:r>
        <w:rPr>
          <w:rFonts w:ascii="Arial" w:cs="Arial" w:eastAsia="Arial" w:hAnsi="Arial"/>
          <w:sz w:val="18"/>
          <w:szCs w:val="18"/>
          <w:color w:val="auto"/>
        </w:rPr>
        <w:t xml:space="preserve">, No. </w:t>
      </w:r>
      <w:r>
        <w:rPr>
          <w:rFonts w:ascii="Arial" w:cs="Arial" w:eastAsia="Arial" w:hAnsi="Arial"/>
          <w:sz w:val="18"/>
          <w:szCs w:val="18"/>
          <w:b w:val="1"/>
          <w:bCs w:val="1"/>
          <w:color w:val="auto"/>
        </w:rPr>
        <w:t>333-59714</w:t>
      </w:r>
      <w:r>
        <w:rPr>
          <w:rFonts w:ascii="Arial" w:cs="Arial" w:eastAsia="Arial" w:hAnsi="Arial"/>
          <w:sz w:val="18"/>
          <w:szCs w:val="18"/>
          <w:color w:val="auto"/>
        </w:rPr>
        <w:t xml:space="preserve">, No. </w:t>
      </w:r>
      <w:r>
        <w:rPr>
          <w:rFonts w:ascii="Arial" w:cs="Arial" w:eastAsia="Arial" w:hAnsi="Arial"/>
          <w:sz w:val="18"/>
          <w:szCs w:val="18"/>
          <w:b w:val="1"/>
          <w:bCs w:val="1"/>
          <w:color w:val="auto"/>
        </w:rPr>
        <w:t>333-120882</w:t>
      </w:r>
      <w:r>
        <w:rPr>
          <w:rFonts w:ascii="Arial" w:cs="Arial" w:eastAsia="Arial" w:hAnsi="Arial"/>
          <w:sz w:val="18"/>
          <w:szCs w:val="18"/>
          <w:color w:val="auto"/>
        </w:rPr>
        <w:t xml:space="preserve">, No. </w:t>
      </w:r>
      <w:r>
        <w:rPr>
          <w:rFonts w:ascii="Arial" w:cs="Arial" w:eastAsia="Arial" w:hAnsi="Arial"/>
          <w:sz w:val="18"/>
          <w:szCs w:val="18"/>
          <w:b w:val="1"/>
          <w:bCs w:val="1"/>
          <w:color w:val="auto"/>
        </w:rPr>
        <w:t>333-120883</w:t>
      </w:r>
      <w:r>
        <w:rPr>
          <w:rFonts w:ascii="Arial" w:cs="Arial" w:eastAsia="Arial" w:hAnsi="Arial"/>
          <w:sz w:val="18"/>
          <w:szCs w:val="18"/>
          <w:color w:val="auto"/>
        </w:rPr>
        <w:t xml:space="preserve">, No. </w:t>
      </w:r>
      <w:r>
        <w:rPr>
          <w:rFonts w:ascii="Arial" w:cs="Arial" w:eastAsia="Arial" w:hAnsi="Arial"/>
          <w:sz w:val="18"/>
          <w:szCs w:val="18"/>
          <w:b w:val="1"/>
          <w:bCs w:val="1"/>
          <w:color w:val="auto"/>
        </w:rPr>
        <w:t>333-142092</w:t>
      </w:r>
      <w:r>
        <w:rPr>
          <w:rFonts w:ascii="Arial" w:cs="Arial" w:eastAsia="Arial" w:hAnsi="Arial"/>
          <w:sz w:val="18"/>
          <w:szCs w:val="18"/>
          <w:color w:val="auto"/>
        </w:rPr>
        <w:t xml:space="preserve">, No. </w:t>
      </w:r>
      <w:r>
        <w:rPr>
          <w:rFonts w:ascii="Arial" w:cs="Arial" w:eastAsia="Arial" w:hAnsi="Arial"/>
          <w:sz w:val="18"/>
          <w:szCs w:val="18"/>
          <w:b w:val="1"/>
          <w:bCs w:val="1"/>
          <w:color w:val="auto"/>
        </w:rPr>
        <w:t>333-167317</w:t>
      </w:r>
      <w:r>
        <w:rPr>
          <w:rFonts w:ascii="Arial" w:cs="Arial" w:eastAsia="Arial" w:hAnsi="Arial"/>
          <w:sz w:val="18"/>
          <w:szCs w:val="18"/>
          <w:color w:val="auto"/>
        </w:rPr>
        <w:t xml:space="preserve">, No. </w:t>
      </w:r>
      <w:r>
        <w:rPr>
          <w:rFonts w:ascii="Arial" w:cs="Arial" w:eastAsia="Arial" w:hAnsi="Arial"/>
          <w:sz w:val="18"/>
          <w:szCs w:val="18"/>
          <w:b w:val="1"/>
          <w:bCs w:val="1"/>
          <w:color w:val="auto"/>
        </w:rPr>
        <w:t>333-180904</w:t>
      </w:r>
      <w:r>
        <w:rPr>
          <w:rFonts w:ascii="Arial" w:cs="Arial" w:eastAsia="Arial" w:hAnsi="Arial"/>
          <w:sz w:val="18"/>
          <w:szCs w:val="18"/>
          <w:color w:val="auto"/>
        </w:rPr>
        <w:t xml:space="preserve">, No. </w:t>
      </w:r>
      <w:r>
        <w:rPr>
          <w:rFonts w:ascii="Arial" w:cs="Arial" w:eastAsia="Arial" w:hAnsi="Arial"/>
          <w:sz w:val="18"/>
          <w:szCs w:val="18"/>
          <w:b w:val="1"/>
          <w:bCs w:val="1"/>
          <w:color w:val="auto"/>
        </w:rPr>
        <w:t>333-199560</w:t>
      </w:r>
      <w:r>
        <w:rPr>
          <w:rFonts w:ascii="Arial" w:cs="Arial" w:eastAsia="Arial" w:hAnsi="Arial"/>
          <w:sz w:val="18"/>
          <w:szCs w:val="18"/>
          <w:color w:val="auto"/>
        </w:rPr>
        <w:t xml:space="preserve">, No. </w:t>
      </w:r>
      <w:r>
        <w:rPr>
          <w:rFonts w:ascii="Arial" w:cs="Arial" w:eastAsia="Arial" w:hAnsi="Arial"/>
          <w:sz w:val="18"/>
          <w:szCs w:val="18"/>
          <w:b w:val="1"/>
          <w:bCs w:val="1"/>
          <w:color w:val="auto"/>
        </w:rPr>
        <w:t>333-212705</w:t>
      </w:r>
      <w:r>
        <w:rPr>
          <w:rFonts w:ascii="Arial" w:cs="Arial" w:eastAsia="Arial" w:hAnsi="Arial"/>
          <w:sz w:val="18"/>
          <w:szCs w:val="18"/>
          <w:color w:val="auto"/>
        </w:rPr>
        <w:t xml:space="preserve"> , and </w:t>
      </w:r>
      <w:r>
        <w:rPr>
          <w:rFonts w:ascii="Arial" w:cs="Arial" w:eastAsia="Arial" w:hAnsi="Arial"/>
          <w:sz w:val="18"/>
          <w:szCs w:val="18"/>
          <w:b w:val="1"/>
          <w:bCs w:val="1"/>
          <w:color w:val="auto"/>
        </w:rPr>
        <w:t>333-217483</w:t>
      </w:r>
      <w:r>
        <w:rPr>
          <w:rFonts w:ascii="Arial" w:cs="Arial" w:eastAsia="Arial" w:hAnsi="Arial"/>
          <w:sz w:val="18"/>
          <w:szCs w:val="18"/>
          <w:color w:val="auto"/>
        </w:rPr>
        <w:t>.</w:t>
      </w:r>
    </w:p>
    <w:p>
      <w:pPr>
        <w:spacing w:after="0" w:line="128"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October 24, 2019 related to our review of interim financial information.</w:t>
      </w:r>
    </w:p>
    <w:p>
      <w:pPr>
        <w:spacing w:after="0" w:line="14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ectPr>
          <w:pgSz w:w="11900" w:h="16838" w:orient="portrait"/>
          <w:cols w:equalWidth="0" w:num="1">
            <w:col w:w="11420"/>
          </w:cols>
          <w:pgMar w:left="240" w:top="576" w:right="239" w:bottom="1440" w:gutter="0" w:footer="0" w:header="0"/>
          <w:type w:val="continuous"/>
        </w:sectPr>
      </w:pPr>
    </w:p>
    <w:bookmarkStart w:id="42" w:name="page43"/>
    <w:bookmarkEnd w:id="42"/>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William J. Stromberg, certify that:</w:t>
      </w:r>
    </w:p>
    <w:p>
      <w:pPr>
        <w:spacing w:after="0" w:line="171"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September 30, 2019 of T. Rowe Price Group, Inc.;</w:t>
      </w:r>
    </w:p>
    <w:p>
      <w:pPr>
        <w:spacing w:after="0" w:line="171" w:lineRule="exact"/>
        <w:rPr>
          <w:rFonts w:ascii="Arial" w:cs="Arial" w:eastAsia="Arial" w:hAnsi="Arial"/>
          <w:sz w:val="18"/>
          <w:szCs w:val="18"/>
          <w:color w:val="auto"/>
        </w:rPr>
      </w:pPr>
    </w:p>
    <w:p>
      <w:pPr>
        <w:ind w:left="180" w:right="80" w:hanging="172"/>
        <w:spacing w:after="0" w:line="271"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180" w:right="20" w:hanging="172"/>
        <w:spacing w:after="0" w:line="292"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0" w:lineRule="exact"/>
        <w:rPr>
          <w:rFonts w:ascii="Arial" w:cs="Arial" w:eastAsia="Arial" w:hAnsi="Arial"/>
          <w:sz w:val="18"/>
          <w:szCs w:val="18"/>
          <w:color w:val="auto"/>
        </w:rPr>
      </w:pPr>
    </w:p>
    <w:p>
      <w:pPr>
        <w:ind w:left="180" w:right="120" w:hanging="172"/>
        <w:spacing w:after="0" w:line="271"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Arial" w:cs="Arial" w:eastAsia="Arial" w:hAnsi="Arial"/>
          <w:sz w:val="18"/>
          <w:szCs w:val="18"/>
          <w:color w:val="auto"/>
        </w:rPr>
      </w:pPr>
    </w:p>
    <w:p>
      <w:pPr>
        <w:ind w:left="180" w:right="440" w:firstLine="71"/>
        <w:spacing w:after="0" w:line="271" w:lineRule="auto"/>
        <w:tabs>
          <w:tab w:leader="none" w:pos="53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180" w:right="100" w:firstLine="71"/>
        <w:spacing w:after="0" w:line="271" w:lineRule="auto"/>
        <w:tabs>
          <w:tab w:leader="none" w:pos="53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left="180" w:right="60" w:firstLine="71"/>
        <w:spacing w:after="0" w:line="323" w:lineRule="auto"/>
        <w:tabs>
          <w:tab w:leader="none" w:pos="521"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7"/>
          <w:szCs w:val="17"/>
          <w:color w:val="auto"/>
        </w:rPr>
      </w:pPr>
    </w:p>
    <w:p>
      <w:pPr>
        <w:ind w:left="180" w:firstLine="71"/>
        <w:spacing w:after="0" w:line="271" w:lineRule="auto"/>
        <w:tabs>
          <w:tab w:leader="none" w:pos="53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180" w:right="160" w:hanging="172"/>
        <w:spacing w:after="0" w:line="323" w:lineRule="auto"/>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7"/>
          <w:szCs w:val="17"/>
          <w:color w:val="auto"/>
        </w:rPr>
      </w:pPr>
    </w:p>
    <w:p>
      <w:pPr>
        <w:ind w:left="180" w:right="540" w:firstLine="71"/>
        <w:spacing w:after="0" w:line="292" w:lineRule="auto"/>
        <w:tabs>
          <w:tab w:leader="none" w:pos="53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0" w:lineRule="exact"/>
        <w:rPr>
          <w:rFonts w:ascii="Arial" w:cs="Arial" w:eastAsia="Arial" w:hAnsi="Arial"/>
          <w:sz w:val="18"/>
          <w:szCs w:val="18"/>
          <w:color w:val="auto"/>
        </w:rPr>
      </w:pPr>
    </w:p>
    <w:p>
      <w:pPr>
        <w:ind w:left="180" w:right="120" w:firstLine="71"/>
        <w:spacing w:after="0" w:line="292" w:lineRule="auto"/>
        <w:tabs>
          <w:tab w:leader="none" w:pos="53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October 24, 2019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80"/>
          </w:cols>
          <w:pgMar w:left="240" w:top="657" w:right="279" w:bottom="1440" w:gutter="0" w:footer="0" w:header="0"/>
        </w:sectPr>
      </w:pPr>
    </w:p>
    <w:bookmarkStart w:id="43" w:name="page44"/>
    <w:bookmarkEnd w:id="43"/>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Céline S. Dufétel, certify that:</w:t>
      </w:r>
    </w:p>
    <w:p>
      <w:pPr>
        <w:spacing w:after="0" w:line="171"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September 30, 2019 of T. Rowe Price Group, Inc.;</w:t>
      </w:r>
    </w:p>
    <w:p>
      <w:pPr>
        <w:spacing w:after="0" w:line="171" w:lineRule="exact"/>
        <w:rPr>
          <w:rFonts w:ascii="Arial" w:cs="Arial" w:eastAsia="Arial" w:hAnsi="Arial"/>
          <w:sz w:val="18"/>
          <w:szCs w:val="18"/>
          <w:color w:val="auto"/>
        </w:rPr>
      </w:pPr>
    </w:p>
    <w:p>
      <w:pPr>
        <w:ind w:left="180" w:right="80" w:hanging="172"/>
        <w:spacing w:after="0" w:line="271"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180" w:right="20" w:hanging="172"/>
        <w:spacing w:after="0" w:line="292"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0" w:lineRule="exact"/>
        <w:rPr>
          <w:rFonts w:ascii="Arial" w:cs="Arial" w:eastAsia="Arial" w:hAnsi="Arial"/>
          <w:sz w:val="18"/>
          <w:szCs w:val="18"/>
          <w:color w:val="auto"/>
        </w:rPr>
      </w:pPr>
    </w:p>
    <w:p>
      <w:pPr>
        <w:ind w:left="180" w:right="120" w:hanging="172"/>
        <w:spacing w:after="0" w:line="271"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Arial" w:cs="Arial" w:eastAsia="Arial" w:hAnsi="Arial"/>
          <w:sz w:val="18"/>
          <w:szCs w:val="18"/>
          <w:color w:val="auto"/>
        </w:rPr>
      </w:pPr>
    </w:p>
    <w:p>
      <w:pPr>
        <w:ind w:left="180" w:right="440" w:firstLine="71"/>
        <w:spacing w:after="0" w:line="271" w:lineRule="auto"/>
        <w:tabs>
          <w:tab w:leader="none" w:pos="5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180" w:right="100" w:firstLine="71"/>
        <w:spacing w:after="0" w:line="271" w:lineRule="auto"/>
        <w:tabs>
          <w:tab w:leader="none" w:pos="5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left="180" w:right="60" w:firstLine="71"/>
        <w:spacing w:after="0" w:line="323" w:lineRule="auto"/>
        <w:tabs>
          <w:tab w:leader="none" w:pos="521"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7"/>
          <w:szCs w:val="17"/>
          <w:color w:val="auto"/>
        </w:rPr>
      </w:pPr>
    </w:p>
    <w:p>
      <w:pPr>
        <w:ind w:left="180" w:firstLine="71"/>
        <w:spacing w:after="0" w:line="271" w:lineRule="auto"/>
        <w:tabs>
          <w:tab w:leader="none" w:pos="5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180" w:right="160" w:hanging="172"/>
        <w:spacing w:after="0" w:line="323"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7"/>
          <w:szCs w:val="17"/>
          <w:color w:val="auto"/>
        </w:rPr>
      </w:pPr>
    </w:p>
    <w:p>
      <w:pPr>
        <w:ind w:left="180" w:right="540" w:firstLine="71"/>
        <w:spacing w:after="0" w:line="292" w:lineRule="auto"/>
        <w:tabs>
          <w:tab w:leader="none" w:pos="5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0" w:lineRule="exact"/>
        <w:rPr>
          <w:rFonts w:ascii="Arial" w:cs="Arial" w:eastAsia="Arial" w:hAnsi="Arial"/>
          <w:sz w:val="18"/>
          <w:szCs w:val="18"/>
          <w:color w:val="auto"/>
        </w:rPr>
      </w:pPr>
    </w:p>
    <w:p>
      <w:pPr>
        <w:ind w:left="180" w:right="120" w:firstLine="71"/>
        <w:spacing w:after="0" w:line="292" w:lineRule="auto"/>
        <w:tabs>
          <w:tab w:leader="none" w:pos="5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October 24, 2019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657" w:right="279" w:bottom="1440" w:gutter="0" w:footer="0" w:header="0"/>
        </w:sectPr>
      </w:pPr>
    </w:p>
    <w:bookmarkStart w:id="44" w:name="page45"/>
    <w:bookmarkEnd w:id="44"/>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September 30, 2019, of T. Rowe Price Group, Inc., that:</w:t>
      </w:r>
    </w:p>
    <w:p>
      <w:pPr>
        <w:spacing w:after="0" w:line="91" w:lineRule="exact"/>
        <w:rPr>
          <w:sz w:val="20"/>
          <w:szCs w:val="20"/>
          <w:color w:val="auto"/>
        </w:rPr>
      </w:pPr>
    </w:p>
    <w:p>
      <w:pPr>
        <w:ind w:firstLine="8"/>
        <w:spacing w:after="0" w:line="292" w:lineRule="auto"/>
        <w:tabs>
          <w:tab w:leader="none" w:pos="2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Form 10-Q Quarterly Report fully complies with the requirements of Section 13(a) of the Securities Exchange Act of 1934, as amended; and</w:t>
      </w:r>
    </w:p>
    <w:p>
      <w:pPr>
        <w:spacing w:after="0" w:line="90" w:lineRule="exact"/>
        <w:rPr>
          <w:rFonts w:ascii="Arial" w:cs="Arial" w:eastAsia="Arial" w:hAnsi="Arial"/>
          <w:sz w:val="18"/>
          <w:szCs w:val="18"/>
          <w:color w:val="auto"/>
        </w:rPr>
      </w:pPr>
    </w:p>
    <w:p>
      <w:pPr>
        <w:ind w:right="220" w:firstLine="8"/>
        <w:spacing w:after="0" w:line="292" w:lineRule="auto"/>
        <w:tabs>
          <w:tab w:leader="none" w:pos="2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October 24, 2019</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00"/>
          </w:cols>
          <w:pgMar w:left="240" w:top="657" w:right="25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389255</wp:posOffset>
            </wp:positionV>
            <wp:extent cx="5866130" cy="548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866130" cy="54864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29"/>
          <w:szCs w:val="29"/>
          <w:b w:val="1"/>
          <w:bCs w:val="1"/>
          <w:color w:val="05C3DE"/>
        </w:rPr>
        <w:t>NEWS RELEASE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 ROWE PRICE GROUP REPORTS THIRD QUARTER 2019 RESULTS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BALTIMORE (October 24, 2019) - T. Rowe Price Group, Inc. (NASDAQ-GS: TROW) today reported its results for the third quarter of 2019.</w:t>
      </w:r>
    </w:p>
    <w:p>
      <w:pPr>
        <w:spacing w:after="0" w:line="12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b w:val="1"/>
          <w:bCs w:val="1"/>
          <w:color w:val="40AEFF"/>
        </w:rPr>
      </w:pPr>
      <w:r>
        <w:rPr>
          <w:rFonts w:ascii="Arial" w:cs="Arial" w:eastAsia="Arial" w:hAnsi="Arial"/>
          <w:sz w:val="18"/>
          <w:szCs w:val="18"/>
          <w:b w:val="1"/>
          <w:bCs w:val="1"/>
          <w:color w:val="auto"/>
        </w:rPr>
        <w:t>Assets under management end quarter at $1.126 trillion</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18"/>
        </w:numPr>
        <w:rPr>
          <w:rFonts w:ascii="Arial" w:cs="Arial" w:eastAsia="Arial" w:hAnsi="Arial"/>
          <w:sz w:val="22"/>
          <w:szCs w:val="22"/>
          <w:b w:val="1"/>
          <w:bCs w:val="1"/>
          <w:color w:val="40AEFF"/>
        </w:rPr>
      </w:pPr>
      <w:r>
        <w:rPr>
          <w:rFonts w:ascii="Arial" w:cs="Arial" w:eastAsia="Arial" w:hAnsi="Arial"/>
          <w:sz w:val="18"/>
          <w:szCs w:val="18"/>
          <w:b w:val="1"/>
          <w:bCs w:val="1"/>
          <w:color w:val="auto"/>
        </w:rPr>
        <w:t>Net revenues of $1.4 billion</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18"/>
        </w:numPr>
        <w:rPr>
          <w:rFonts w:ascii="Arial" w:cs="Arial" w:eastAsia="Arial" w:hAnsi="Arial"/>
          <w:sz w:val="22"/>
          <w:szCs w:val="22"/>
          <w:b w:val="1"/>
          <w:bCs w:val="1"/>
          <w:color w:val="40AEFF"/>
        </w:rPr>
      </w:pPr>
      <w:r>
        <w:rPr>
          <w:rFonts w:ascii="Arial" w:cs="Arial" w:eastAsia="Arial" w:hAnsi="Arial"/>
          <w:sz w:val="18"/>
          <w:szCs w:val="18"/>
          <w:b w:val="1"/>
          <w:bCs w:val="1"/>
          <w:color w:val="auto"/>
        </w:rPr>
        <w:t>Diluted earnings per common share of $2.23</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18"/>
        </w:numPr>
        <w:rPr>
          <w:rFonts w:ascii="Arial" w:cs="Arial" w:eastAsia="Arial" w:hAnsi="Arial"/>
          <w:sz w:val="22"/>
          <w:szCs w:val="22"/>
          <w:b w:val="1"/>
          <w:bCs w:val="1"/>
          <w:color w:val="40AEFF"/>
        </w:rPr>
      </w:pPr>
      <w:r>
        <w:rPr>
          <w:rFonts w:ascii="Arial" w:cs="Arial" w:eastAsia="Arial" w:hAnsi="Arial"/>
          <w:sz w:val="18"/>
          <w:szCs w:val="18"/>
          <w:b w:val="1"/>
          <w:bCs w:val="1"/>
          <w:color w:val="auto"/>
        </w:rPr>
        <w:t>Adjusted non-GAAP diluted earnings per common share of $2.13</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18"/>
        </w:numPr>
        <w:rPr>
          <w:rFonts w:ascii="Arial" w:cs="Arial" w:eastAsia="Arial" w:hAnsi="Arial"/>
          <w:sz w:val="22"/>
          <w:szCs w:val="22"/>
          <w:b w:val="1"/>
          <w:bCs w:val="1"/>
          <w:color w:val="40AEFF"/>
        </w:rPr>
      </w:pPr>
      <w:r>
        <w:rPr>
          <w:rFonts w:ascii="Arial" w:cs="Arial" w:eastAsia="Arial" w:hAnsi="Arial"/>
          <w:sz w:val="18"/>
          <w:szCs w:val="18"/>
          <w:b w:val="1"/>
          <w:bCs w:val="1"/>
          <w:color w:val="auto"/>
        </w:rPr>
        <w:t>Long-term investment performance remains strong</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18"/>
        </w:numPr>
        <w:rPr>
          <w:rFonts w:ascii="Arial" w:cs="Arial" w:eastAsia="Arial" w:hAnsi="Arial"/>
          <w:sz w:val="22"/>
          <w:szCs w:val="22"/>
          <w:b w:val="1"/>
          <w:bCs w:val="1"/>
          <w:color w:val="40AEFF"/>
        </w:rPr>
      </w:pPr>
      <w:r>
        <w:rPr>
          <w:rFonts w:ascii="Arial" w:cs="Arial" w:eastAsia="Arial" w:hAnsi="Arial"/>
          <w:sz w:val="18"/>
          <w:szCs w:val="18"/>
          <w:b w:val="1"/>
          <w:bCs w:val="1"/>
          <w:color w:val="auto"/>
        </w:rPr>
        <w:t>Net client inflows of $2.5 billion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54875" cy="3858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54875" cy="385889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gridSpan w:val="5"/>
            <w:shd w:val="clear" w:color="auto" w:fill="CCEEFF"/>
          </w:tcPr>
          <w:p>
            <w:pPr>
              <w:ind w:left="20"/>
              <w:spacing w:after="0"/>
              <w:rPr>
                <w:sz w:val="20"/>
                <w:szCs w:val="20"/>
                <w:color w:val="auto"/>
              </w:rPr>
            </w:pPr>
            <w:r>
              <w:rPr>
                <w:rFonts w:ascii="Arial" w:cs="Arial" w:eastAsia="Arial" w:hAnsi="Arial"/>
                <w:sz w:val="14"/>
                <w:szCs w:val="14"/>
                <w:color w:val="auto"/>
              </w:rPr>
              <w:t>Three Months ended</w:t>
            </w:r>
          </w:p>
        </w:tc>
        <w:tc>
          <w:tcPr>
            <w:tcW w:w="94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gridSpan w:val="5"/>
            <w:shd w:val="clear" w:color="auto" w:fill="CCEEFF"/>
          </w:tcPr>
          <w:p>
            <w:pPr>
              <w:ind w:left="40"/>
              <w:spacing w:after="0"/>
              <w:rPr>
                <w:sz w:val="20"/>
                <w:szCs w:val="20"/>
                <w:color w:val="auto"/>
              </w:rPr>
            </w:pPr>
            <w:r>
              <w:rPr>
                <w:rFonts w:ascii="Arial" w:cs="Arial" w:eastAsia="Arial" w:hAnsi="Arial"/>
                <w:sz w:val="14"/>
                <w:szCs w:val="14"/>
                <w:color w:val="auto"/>
              </w:rPr>
              <w:t>Nine Months ended</w:t>
            </w:r>
          </w:p>
        </w:tc>
        <w:tc>
          <w:tcPr>
            <w:tcW w:w="96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400" w:type="dxa"/>
            <w:vAlign w:val="bottom"/>
            <w:gridSpan w:val="4"/>
          </w:tcPr>
          <w:p>
            <w:pPr>
              <w:spacing w:after="0"/>
              <w:rPr>
                <w:sz w:val="20"/>
                <w:szCs w:val="20"/>
                <w:color w:val="auto"/>
              </w:rPr>
            </w:pPr>
            <w:r>
              <w:rPr>
                <w:rFonts w:ascii="Arial" w:cs="Arial" w:eastAsia="Arial" w:hAnsi="Arial"/>
                <w:sz w:val="14"/>
                <w:szCs w:val="14"/>
                <w:color w:val="auto"/>
              </w:rPr>
              <w:t>(in millions, except per-share data)</w:t>
            </w:r>
          </w:p>
        </w:tc>
        <w:tc>
          <w:tcPr>
            <w:tcW w:w="160" w:type="dxa"/>
            <w:vAlign w:val="bottom"/>
          </w:tcPr>
          <w:p>
            <w:pPr>
              <w:spacing w:after="0"/>
              <w:rPr>
                <w:sz w:val="22"/>
                <w:szCs w:val="22"/>
                <w:color w:val="auto"/>
              </w:rPr>
            </w:pPr>
          </w:p>
        </w:tc>
        <w:tc>
          <w:tcPr>
            <w:tcW w:w="860" w:type="dxa"/>
            <w:vAlign w:val="bottom"/>
          </w:tcPr>
          <w:p>
            <w:pPr>
              <w:jc w:val="right"/>
              <w:ind w:right="104"/>
              <w:spacing w:after="0"/>
              <w:rPr>
                <w:sz w:val="20"/>
                <w:szCs w:val="20"/>
                <w:color w:val="auto"/>
              </w:rPr>
            </w:pPr>
            <w:r>
              <w:rPr>
                <w:rFonts w:ascii="Arial" w:cs="Arial" w:eastAsia="Arial" w:hAnsi="Arial"/>
                <w:sz w:val="14"/>
                <w:szCs w:val="14"/>
                <w:color w:val="auto"/>
              </w:rPr>
              <w:t>9/30/2019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24"/>
              <w:spacing w:after="0"/>
              <w:rPr>
                <w:sz w:val="20"/>
                <w:szCs w:val="20"/>
                <w:color w:val="auto"/>
              </w:rPr>
            </w:pPr>
            <w:r>
              <w:rPr>
                <w:rFonts w:ascii="Arial" w:cs="Arial" w:eastAsia="Arial" w:hAnsi="Arial"/>
                <w:sz w:val="14"/>
                <w:szCs w:val="14"/>
                <w:color w:val="auto"/>
              </w:rPr>
              <w:t>9/30/2018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 change</w:t>
            </w:r>
          </w:p>
        </w:tc>
        <w:tc>
          <w:tcPr>
            <w:tcW w:w="160" w:type="dxa"/>
            <w:vAlign w:val="bottom"/>
          </w:tcPr>
          <w:p>
            <w:pPr>
              <w:spacing w:after="0"/>
              <w:rPr>
                <w:sz w:val="22"/>
                <w:szCs w:val="22"/>
                <w:color w:val="auto"/>
              </w:rPr>
            </w:pPr>
          </w:p>
        </w:tc>
        <w:tc>
          <w:tcPr>
            <w:tcW w:w="880" w:type="dxa"/>
            <w:vAlign w:val="bottom"/>
          </w:tcPr>
          <w:p>
            <w:pPr>
              <w:jc w:val="right"/>
              <w:ind w:right="124"/>
              <w:spacing w:after="0"/>
              <w:rPr>
                <w:sz w:val="20"/>
                <w:szCs w:val="20"/>
                <w:color w:val="auto"/>
              </w:rPr>
            </w:pPr>
            <w:r>
              <w:rPr>
                <w:rFonts w:ascii="Arial" w:cs="Arial" w:eastAsia="Arial" w:hAnsi="Arial"/>
                <w:sz w:val="14"/>
                <w:szCs w:val="14"/>
                <w:color w:val="auto"/>
              </w:rPr>
              <w:t>9/30/2019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04"/>
              <w:spacing w:after="0"/>
              <w:rPr>
                <w:sz w:val="20"/>
                <w:szCs w:val="20"/>
                <w:color w:val="auto"/>
              </w:rPr>
            </w:pPr>
            <w:r>
              <w:rPr>
                <w:rFonts w:ascii="Arial" w:cs="Arial" w:eastAsia="Arial" w:hAnsi="Arial"/>
                <w:sz w:val="14"/>
                <w:szCs w:val="14"/>
                <w:color w:val="auto"/>
              </w:rPr>
              <w:t>9/30/2018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164"/>
              <w:spacing w:after="0"/>
              <w:rPr>
                <w:sz w:val="20"/>
                <w:szCs w:val="20"/>
                <w:color w:val="auto"/>
              </w:rPr>
            </w:pPr>
            <w:r>
              <w:rPr>
                <w:rFonts w:ascii="Arial" w:cs="Arial" w:eastAsia="Arial" w:hAnsi="Arial"/>
                <w:sz w:val="14"/>
                <w:szCs w:val="14"/>
                <w:color w:val="auto"/>
              </w:rPr>
              <w:t>% change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4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4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00" w:type="dxa"/>
            <w:vAlign w:val="bottom"/>
            <w:gridSpan w:val="4"/>
          </w:tcPr>
          <w:p>
            <w:pPr>
              <w:spacing w:after="0"/>
              <w:rPr>
                <w:sz w:val="20"/>
                <w:szCs w:val="20"/>
                <w:color w:val="auto"/>
              </w:rPr>
            </w:pPr>
            <w:r>
              <w:rPr>
                <w:rFonts w:ascii="Arial" w:cs="Arial" w:eastAsia="Arial" w:hAnsi="Arial"/>
                <w:sz w:val="15"/>
                <w:szCs w:val="15"/>
                <w:b w:val="1"/>
                <w:bCs w:val="1"/>
                <w:color w:val="auto"/>
              </w:rPr>
              <w:t>U.S. GAAP basis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Investment advisory fees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1,303.4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1,263.3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3.2 %</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3,767.8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3,666.9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4400" w:type="dxa"/>
            <w:vAlign w:val="bottom"/>
            <w:gridSpan w:val="4"/>
          </w:tcPr>
          <w:p>
            <w:pPr>
              <w:spacing w:after="0"/>
              <w:rPr>
                <w:sz w:val="20"/>
                <w:szCs w:val="20"/>
                <w:color w:val="auto"/>
              </w:rPr>
            </w:pPr>
            <w:r>
              <w:rPr>
                <w:rFonts w:ascii="Arial" w:cs="Arial" w:eastAsia="Arial" w:hAnsi="Arial"/>
                <w:sz w:val="15"/>
                <w:szCs w:val="15"/>
                <w:color w:val="auto"/>
              </w:rPr>
              <w:t>Net revenues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1,426.7</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1,394.6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2.3 %</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4,149.2</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4,067.6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2.0 %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0" w:type="dxa"/>
            <w:vAlign w:val="bottom"/>
            <w:shd w:val="clear" w:color="auto" w:fill="CCEEFF"/>
          </w:tcPr>
          <w:p>
            <w:pPr>
              <w:spacing w:after="0"/>
              <w:rPr>
                <w:sz w:val="23"/>
                <w:szCs w:val="23"/>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Operating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767.6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754.0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1.8 %</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2,342.5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2,248.5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4400" w:type="dxa"/>
            <w:vAlign w:val="bottom"/>
            <w:gridSpan w:val="4"/>
          </w:tcPr>
          <w:p>
            <w:pPr>
              <w:spacing w:after="0"/>
              <w:rPr>
                <w:sz w:val="20"/>
                <w:szCs w:val="20"/>
                <w:color w:val="auto"/>
              </w:rPr>
            </w:pPr>
            <w:r>
              <w:rPr>
                <w:rFonts w:ascii="Arial" w:cs="Arial" w:eastAsia="Arial" w:hAnsi="Arial"/>
                <w:sz w:val="15"/>
                <w:szCs w:val="15"/>
                <w:color w:val="auto"/>
              </w:rPr>
              <w:t>Net operating income</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659.1</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640.6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2.9 %</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1,806.7</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1,819.1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0" w:type="dxa"/>
            <w:vAlign w:val="bottom"/>
            <w:shd w:val="clear" w:color="auto" w:fill="CCEEFF"/>
          </w:tcPr>
          <w:p>
            <w:pPr>
              <w:spacing w:after="0"/>
              <w:rPr>
                <w:sz w:val="23"/>
                <w:szCs w:val="23"/>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Non-operating income</w:t>
            </w:r>
            <w:r>
              <w:rPr>
                <w:rFonts w:ascii="Arial" w:cs="Arial" w:eastAsia="Arial" w:hAnsi="Arial"/>
                <w:sz w:val="12"/>
                <w:szCs w:val="12"/>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43.0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124.9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n/m</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370.3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175.1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n/m</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400" w:type="dxa"/>
            <w:vAlign w:val="bottom"/>
            <w:gridSpan w:val="4"/>
          </w:tcPr>
          <w:p>
            <w:pPr>
              <w:spacing w:after="0"/>
              <w:rPr>
                <w:sz w:val="20"/>
                <w:szCs w:val="20"/>
                <w:color w:val="auto"/>
              </w:rPr>
            </w:pPr>
            <w:r>
              <w:rPr>
                <w:rFonts w:ascii="Arial" w:cs="Arial" w:eastAsia="Arial" w:hAnsi="Arial"/>
                <w:sz w:val="15"/>
                <w:szCs w:val="15"/>
                <w:color w:val="auto"/>
              </w:rPr>
              <w:t>Net income attributable to T. Rowe Price Group</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vMerge w:val="restart"/>
          </w:tcPr>
          <w:p>
            <w:pPr>
              <w:jc w:val="right"/>
              <w:ind w:right="24"/>
              <w:spacing w:after="0"/>
              <w:rPr>
                <w:sz w:val="20"/>
                <w:szCs w:val="20"/>
                <w:color w:val="auto"/>
              </w:rPr>
            </w:pPr>
            <w:r>
              <w:rPr>
                <w:rFonts w:ascii="Arial" w:cs="Arial" w:eastAsia="Arial" w:hAnsi="Arial"/>
                <w:sz w:val="15"/>
                <w:szCs w:val="15"/>
                <w:color w:val="auto"/>
              </w:rPr>
              <w:t>545.9</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24"/>
              <w:spacing w:after="0"/>
              <w:rPr>
                <w:sz w:val="20"/>
                <w:szCs w:val="20"/>
                <w:color w:val="auto"/>
              </w:rPr>
            </w:pPr>
            <w:r>
              <w:rPr>
                <w:rFonts w:ascii="Arial" w:cs="Arial" w:eastAsia="Arial" w:hAnsi="Arial"/>
                <w:sz w:val="15"/>
                <w:szCs w:val="15"/>
                <w:color w:val="auto"/>
              </w:rPr>
              <w:t>583.0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(6.4)%</w:t>
            </w:r>
          </w:p>
        </w:tc>
        <w:tc>
          <w:tcPr>
            <w:tcW w:w="2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44"/>
              <w:spacing w:after="0"/>
              <w:rPr>
                <w:sz w:val="20"/>
                <w:szCs w:val="20"/>
                <w:color w:val="auto"/>
              </w:rPr>
            </w:pPr>
            <w:r>
              <w:rPr>
                <w:rFonts w:ascii="Arial" w:cs="Arial" w:eastAsia="Arial" w:hAnsi="Arial"/>
                <w:sz w:val="15"/>
                <w:szCs w:val="15"/>
                <w:color w:val="auto"/>
              </w:rPr>
              <w:t>1,586.0</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24"/>
              <w:spacing w:after="0"/>
              <w:rPr>
                <w:sz w:val="20"/>
                <w:szCs w:val="20"/>
                <w:color w:val="auto"/>
              </w:rPr>
            </w:pPr>
            <w:r>
              <w:rPr>
                <w:rFonts w:ascii="Arial" w:cs="Arial" w:eastAsia="Arial" w:hAnsi="Arial"/>
                <w:sz w:val="15"/>
                <w:szCs w:val="15"/>
                <w:color w:val="auto"/>
              </w:rPr>
              <w:t>1,485.6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6.8 %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40" w:type="dxa"/>
            <w:vAlign w:val="bottom"/>
            <w:shd w:val="clear" w:color="auto" w:fill="CCEEFF"/>
          </w:tcPr>
          <w:p>
            <w:pPr>
              <w:spacing w:after="0"/>
              <w:rPr>
                <w:sz w:val="23"/>
                <w:szCs w:val="23"/>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Diluted earnings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2.30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6.47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5.85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4400" w:type="dxa"/>
            <w:vAlign w:val="bottom"/>
            <w:gridSpan w:val="4"/>
          </w:tcPr>
          <w:p>
            <w:pPr>
              <w:spacing w:after="0" w:line="166" w:lineRule="exact"/>
              <w:rPr>
                <w:sz w:val="20"/>
                <w:szCs w:val="20"/>
                <w:color w:val="auto"/>
              </w:rPr>
            </w:pPr>
            <w:r>
              <w:rPr>
                <w:rFonts w:ascii="Arial" w:cs="Arial" w:eastAsia="Arial" w:hAnsi="Arial"/>
                <w:sz w:val="15"/>
                <w:szCs w:val="15"/>
                <w:color w:val="auto"/>
              </w:rPr>
              <w:t>Weighted average common shares outstanding assuming</w:t>
            </w:r>
          </w:p>
        </w:tc>
        <w:tc>
          <w:tcPr>
            <w:tcW w:w="160" w:type="dxa"/>
            <w:vAlign w:val="bottom"/>
          </w:tcPr>
          <w:p>
            <w:pPr>
              <w:spacing w:after="0"/>
              <w:rPr>
                <w:sz w:val="14"/>
                <w:szCs w:val="14"/>
                <w:color w:val="auto"/>
              </w:rPr>
            </w:pPr>
          </w:p>
        </w:tc>
        <w:tc>
          <w:tcPr>
            <w:tcW w:w="860" w:type="dxa"/>
            <w:vAlign w:val="bottom"/>
            <w:vMerge w:val="restart"/>
          </w:tcPr>
          <w:p>
            <w:pPr>
              <w:jc w:val="right"/>
              <w:ind w:right="24"/>
              <w:spacing w:after="0"/>
              <w:rPr>
                <w:sz w:val="20"/>
                <w:szCs w:val="20"/>
                <w:color w:val="auto"/>
              </w:rPr>
            </w:pPr>
            <w:r>
              <w:rPr>
                <w:rFonts w:ascii="Arial" w:cs="Arial" w:eastAsia="Arial" w:hAnsi="Arial"/>
                <w:sz w:val="15"/>
                <w:szCs w:val="15"/>
                <w:color w:val="auto"/>
              </w:rPr>
              <w:t>238.2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24"/>
              <w:spacing w:after="0"/>
              <w:rPr>
                <w:sz w:val="20"/>
                <w:szCs w:val="20"/>
                <w:color w:val="auto"/>
              </w:rPr>
            </w:pPr>
            <w:r>
              <w:rPr>
                <w:rFonts w:ascii="Arial" w:cs="Arial" w:eastAsia="Arial" w:hAnsi="Arial"/>
                <w:sz w:val="15"/>
                <w:szCs w:val="15"/>
                <w:color w:val="auto"/>
              </w:rPr>
              <w:t>247.5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(3.8)%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44"/>
              <w:spacing w:after="0"/>
              <w:rPr>
                <w:sz w:val="20"/>
                <w:szCs w:val="20"/>
                <w:color w:val="auto"/>
              </w:rPr>
            </w:pPr>
            <w:r>
              <w:rPr>
                <w:rFonts w:ascii="Arial" w:cs="Arial" w:eastAsia="Arial" w:hAnsi="Arial"/>
                <w:sz w:val="15"/>
                <w:szCs w:val="15"/>
                <w:color w:val="auto"/>
              </w:rPr>
              <w:t>239.0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24"/>
              <w:spacing w:after="0"/>
              <w:rPr>
                <w:sz w:val="20"/>
                <w:szCs w:val="20"/>
                <w:color w:val="auto"/>
              </w:rPr>
            </w:pPr>
            <w:r>
              <w:rPr>
                <w:rFonts w:ascii="Arial" w:cs="Arial" w:eastAsia="Arial" w:hAnsi="Arial"/>
                <w:sz w:val="15"/>
                <w:szCs w:val="15"/>
                <w:color w:val="auto"/>
              </w:rPr>
              <w:t>248.2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400" w:type="dxa"/>
            <w:vAlign w:val="bottom"/>
            <w:gridSpan w:val="4"/>
          </w:tcPr>
          <w:p>
            <w:pPr>
              <w:spacing w:after="0"/>
              <w:rPr>
                <w:sz w:val="20"/>
                <w:szCs w:val="20"/>
                <w:color w:val="auto"/>
              </w:rPr>
            </w:pPr>
            <w:r>
              <w:rPr>
                <w:rFonts w:ascii="Arial" w:cs="Arial" w:eastAsia="Arial" w:hAnsi="Arial"/>
                <w:sz w:val="15"/>
                <w:szCs w:val="15"/>
                <w:color w:val="auto"/>
              </w:rPr>
              <w:t>dilution</w:t>
            </w: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4400" w:type="dxa"/>
            <w:vAlign w:val="bottom"/>
            <w:gridSpan w:val="4"/>
          </w:tcPr>
          <w:p>
            <w:pPr>
              <w:spacing w:after="0" w:line="87" w:lineRule="exact"/>
              <w:rPr>
                <w:sz w:val="20"/>
                <w:szCs w:val="20"/>
                <w:color w:val="auto"/>
              </w:rPr>
            </w:pPr>
            <w:r>
              <w:rPr>
                <w:rFonts w:ascii="Arial" w:cs="Arial" w:eastAsia="Arial" w:hAnsi="Arial"/>
                <w:sz w:val="10"/>
                <w:szCs w:val="10"/>
                <w:b w:val="1"/>
                <w:bCs w:val="1"/>
                <w:color w:val="auto"/>
              </w:rPr>
              <w:t>Adjusted non-GAAP basis</w:t>
            </w: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4440" w:type="dxa"/>
            <w:vAlign w:val="bottom"/>
            <w:gridSpan w:val="5"/>
          </w:tcPr>
          <w:p>
            <w:pPr>
              <w:jc w:val="right"/>
              <w:ind w:right="2340"/>
              <w:spacing w:after="0" w:line="143" w:lineRule="exact"/>
              <w:rPr>
                <w:sz w:val="20"/>
                <w:szCs w:val="20"/>
                <w:color w:val="auto"/>
              </w:rPr>
            </w:pPr>
            <w:r>
              <w:rPr>
                <w:rFonts w:ascii="Arial" w:cs="Arial" w:eastAsia="Arial" w:hAnsi="Arial"/>
                <w:sz w:val="13"/>
                <w:szCs w:val="13"/>
                <w:b w:val="1"/>
                <w:bCs w:val="1"/>
                <w:color w:val="auto"/>
              </w:rPr>
              <w:t>(2)</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Operating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765.1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744.5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2.8 %</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2,286.3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2,230.8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4400" w:type="dxa"/>
            <w:vAlign w:val="bottom"/>
            <w:gridSpan w:val="4"/>
          </w:tcPr>
          <w:p>
            <w:pPr>
              <w:spacing w:after="0"/>
              <w:rPr>
                <w:sz w:val="20"/>
                <w:szCs w:val="20"/>
                <w:color w:val="auto"/>
              </w:rPr>
            </w:pPr>
            <w:r>
              <w:rPr>
                <w:rFonts w:ascii="Arial" w:cs="Arial" w:eastAsia="Arial" w:hAnsi="Arial"/>
                <w:sz w:val="15"/>
                <w:szCs w:val="15"/>
                <w:color w:val="auto"/>
              </w:rPr>
              <w:t>Net operating income</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664.2</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651.6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1.9 %</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1,869.2</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1,841.4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0" w:type="dxa"/>
            <w:vAlign w:val="bottom"/>
            <w:shd w:val="clear" w:color="auto" w:fill="CCEEFF"/>
          </w:tcPr>
          <w:p>
            <w:pPr>
              <w:spacing w:after="0"/>
              <w:rPr>
                <w:sz w:val="23"/>
                <w:szCs w:val="23"/>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Non-operating income</w:t>
            </w:r>
            <w:r>
              <w:rPr>
                <w:rFonts w:ascii="Arial" w:cs="Arial" w:eastAsia="Arial" w:hAnsi="Arial"/>
                <w:sz w:val="12"/>
                <w:szCs w:val="12"/>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17.7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n/m</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98.8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25.7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n/m</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4400" w:type="dxa"/>
            <w:vAlign w:val="bottom"/>
            <w:gridSpan w:val="4"/>
          </w:tcPr>
          <w:p>
            <w:pPr>
              <w:spacing w:after="0"/>
              <w:rPr>
                <w:sz w:val="20"/>
                <w:szCs w:val="20"/>
                <w:color w:val="auto"/>
              </w:rPr>
            </w:pPr>
            <w:r>
              <w:rPr>
                <w:rFonts w:ascii="Arial" w:cs="Arial" w:eastAsia="Arial" w:hAnsi="Arial"/>
                <w:sz w:val="15"/>
                <w:szCs w:val="15"/>
                <w:color w:val="auto"/>
              </w:rPr>
              <w:t>Net income attributable to T. Rowe Price Group</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521.7</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505.0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3.3 %</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1,480.4</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1,423.4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4.0 %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0" w:type="dxa"/>
            <w:vAlign w:val="bottom"/>
            <w:shd w:val="clear" w:color="auto" w:fill="CCEEFF"/>
          </w:tcPr>
          <w:p>
            <w:pPr>
              <w:spacing w:after="0"/>
              <w:rPr>
                <w:sz w:val="23"/>
                <w:szCs w:val="23"/>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Diluted earnings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1.99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7.0 %</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6.04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5.60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5"/>
                <w:szCs w:val="15"/>
                <w:b w:val="1"/>
                <w:bCs w:val="1"/>
                <w:color w:val="auto"/>
              </w:rPr>
              <w:t xml:space="preserve">Assets under Management </w:t>
            </w:r>
            <w:r>
              <w:rPr>
                <w:rFonts w:ascii="Arial" w:cs="Arial" w:eastAsia="Arial" w:hAnsi="Arial"/>
                <w:sz w:val="12"/>
                <w:szCs w:val="12"/>
                <w:color w:val="auto"/>
              </w:rPr>
              <w:t>(in billions)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40" w:type="dxa"/>
            <w:vAlign w:val="bottom"/>
          </w:tcPr>
          <w:p>
            <w:pPr>
              <w:spacing w:after="0"/>
              <w:rPr>
                <w:sz w:val="23"/>
                <w:szCs w:val="23"/>
                <w:color w:val="auto"/>
              </w:rPr>
            </w:pPr>
          </w:p>
        </w:tc>
        <w:tc>
          <w:tcPr>
            <w:tcW w:w="4400" w:type="dxa"/>
            <w:vAlign w:val="bottom"/>
            <w:gridSpan w:val="4"/>
          </w:tcPr>
          <w:p>
            <w:pPr>
              <w:spacing w:after="0"/>
              <w:rPr>
                <w:sz w:val="20"/>
                <w:szCs w:val="20"/>
                <w:color w:val="auto"/>
              </w:rPr>
            </w:pPr>
            <w:r>
              <w:rPr>
                <w:rFonts w:ascii="Arial" w:cs="Arial" w:eastAsia="Arial" w:hAnsi="Arial"/>
                <w:sz w:val="15"/>
                <w:szCs w:val="15"/>
                <w:color w:val="auto"/>
              </w:rPr>
              <w:t>Average assets under management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1,130.2</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1,072.4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5.4 %</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1,091.5</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1,045.0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4.4 %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0" w:type="dxa"/>
            <w:vAlign w:val="bottom"/>
            <w:shd w:val="clear" w:color="auto" w:fill="CCEEFF"/>
          </w:tcPr>
          <w:p>
            <w:pPr>
              <w:spacing w:after="0"/>
              <w:rPr>
                <w:sz w:val="23"/>
                <w:szCs w:val="23"/>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Ending assets under management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1,126.3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1,083.8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3.9 %</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1,126.3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1,083.8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140" w:hanging="132"/>
        <w:spacing w:after="0"/>
        <w:tabs>
          <w:tab w:leader="none" w:pos="140" w:val="left"/>
        </w:tabs>
        <w:numPr>
          <w:ilvl w:val="0"/>
          <w:numId w:val="19"/>
        </w:numPr>
        <w:rPr>
          <w:rFonts w:ascii="Arial" w:cs="Arial" w:eastAsia="Arial" w:hAnsi="Arial"/>
          <w:sz w:val="9"/>
          <w:szCs w:val="9"/>
          <w:i w:val="1"/>
          <w:iCs w:val="1"/>
          <w:color w:val="auto"/>
        </w:rPr>
      </w:pPr>
      <w:r>
        <w:rPr>
          <w:rFonts w:ascii="Arial" w:cs="Arial" w:eastAsia="Arial" w:hAnsi="Arial"/>
          <w:sz w:val="13"/>
          <w:szCs w:val="13"/>
          <w:i w:val="1"/>
          <w:iCs w:val="1"/>
          <w:color w:val="auto"/>
        </w:rPr>
        <w:t>The percentage change in non-operating income is not meaningful (n/m).</w:t>
      </w:r>
    </w:p>
    <w:p>
      <w:pPr>
        <w:spacing w:after="0" w:line="6" w:lineRule="exact"/>
        <w:rPr>
          <w:rFonts w:ascii="Arial" w:cs="Arial" w:eastAsia="Arial" w:hAnsi="Arial"/>
          <w:sz w:val="9"/>
          <w:szCs w:val="9"/>
          <w:i w:val="1"/>
          <w:iCs w:val="1"/>
          <w:color w:val="auto"/>
        </w:rPr>
      </w:pPr>
    </w:p>
    <w:p>
      <w:pPr>
        <w:ind w:left="180" w:right="120" w:hanging="172"/>
        <w:spacing w:after="0" w:line="242" w:lineRule="auto"/>
        <w:tabs>
          <w:tab w:leader="none" w:pos="163" w:val="left"/>
        </w:tabs>
        <w:numPr>
          <w:ilvl w:val="0"/>
          <w:numId w:val="19"/>
        </w:numPr>
        <w:rPr>
          <w:rFonts w:ascii="Arial" w:cs="Arial" w:eastAsia="Arial" w:hAnsi="Arial"/>
          <w:sz w:val="9"/>
          <w:szCs w:val="9"/>
          <w:i w:val="1"/>
          <w:iCs w:val="1"/>
          <w:color w:val="auto"/>
        </w:rPr>
      </w:pPr>
      <w:r>
        <w:rPr>
          <w:rFonts w:ascii="Arial" w:cs="Arial" w:eastAsia="Arial" w:hAnsi="Arial"/>
          <w:sz w:val="13"/>
          <w:szCs w:val="13"/>
          <w:i w:val="1"/>
          <w:iCs w:val="1"/>
          <w:color w:val="auto"/>
        </w:rPr>
        <w:t>Adjusts the GAAP basis for the impact of consolidated T. Rowe Price investment products, the impact of market movements on the supplemental savings plan liability and related economic hedges, investment income related to certain other investments, and certain nonrecurring charges and gains. The firm believes the non-GAAP financial measures provide relevant and meaningful information to investors about its core operating results. See the reconciliation to the comparable U.S. GAAP measures at the end of this earnings release.</w:t>
      </w:r>
    </w:p>
    <w:p>
      <w:pPr>
        <w:sectPr>
          <w:pgSz w:w="11900" w:h="16838" w:orient="portrait"/>
          <w:cols w:equalWidth="0" w:num="1">
            <w:col w:w="11440"/>
          </w:cols>
          <w:pgMar w:left="240" w:top="1440"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40"/>
          </w:cols>
          <w:pgMar w:left="240" w:top="1440" w:right="21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Management Commentary</w:t>
      </w:r>
    </w:p>
    <w:p>
      <w:pPr>
        <w:spacing w:after="0" w:line="65" w:lineRule="exact"/>
        <w:rPr>
          <w:sz w:val="20"/>
          <w:szCs w:val="20"/>
          <w:color w:val="auto"/>
        </w:rPr>
      </w:pPr>
    </w:p>
    <w:p>
      <w:pPr>
        <w:jc w:val="both"/>
        <w:spacing w:after="0" w:line="439" w:lineRule="auto"/>
        <w:rPr>
          <w:sz w:val="20"/>
          <w:szCs w:val="20"/>
          <w:color w:val="auto"/>
        </w:rPr>
      </w:pPr>
      <w:r>
        <w:rPr>
          <w:rFonts w:ascii="Arial" w:cs="Arial" w:eastAsia="Arial" w:hAnsi="Arial"/>
          <w:sz w:val="17"/>
          <w:szCs w:val="17"/>
          <w:color w:val="auto"/>
        </w:rPr>
        <w:t>William J. Stromberg, president and chief executive officer, commented: "Despite a choppy market environment in the third quarter, total assets under management grew to $1.126 trillion as a result of continued solid investment performance combined with net client inflows of $2.5 billion.</w:t>
      </w:r>
    </w:p>
    <w:p>
      <w:pPr>
        <w:spacing w:after="0" w:line="217" w:lineRule="exact"/>
        <w:rPr>
          <w:sz w:val="20"/>
          <w:szCs w:val="20"/>
          <w:color w:val="auto"/>
        </w:rPr>
      </w:pPr>
    </w:p>
    <w:p>
      <w:pPr>
        <w:ind w:right="20"/>
        <w:spacing w:after="0" w:line="381" w:lineRule="auto"/>
        <w:rPr>
          <w:sz w:val="20"/>
          <w:szCs w:val="20"/>
          <w:color w:val="auto"/>
        </w:rPr>
      </w:pPr>
      <w:r>
        <w:rPr>
          <w:rFonts w:ascii="Arial" w:cs="Arial" w:eastAsia="Arial" w:hAnsi="Arial"/>
          <w:sz w:val="18"/>
          <w:szCs w:val="18"/>
          <w:color w:val="auto"/>
        </w:rPr>
        <w:t>“We remain pleased with our net flows, including the ongoing success of our Japanese Investment Trust (ITM) offering and strength in our U.S. Intermediaries channel. From an asset class standpoint, net flows were primarily driven by multi-asset and fixed income, while equities experienced modest outflows.</w:t>
      </w:r>
    </w:p>
    <w:p>
      <w:pPr>
        <w:spacing w:after="0" w:line="257" w:lineRule="exact"/>
        <w:rPr>
          <w:sz w:val="20"/>
          <w:szCs w:val="20"/>
          <w:color w:val="auto"/>
        </w:rPr>
      </w:pPr>
    </w:p>
    <w:p>
      <w:pPr>
        <w:ind w:right="20"/>
        <w:spacing w:after="0" w:line="374" w:lineRule="auto"/>
        <w:rPr>
          <w:sz w:val="20"/>
          <w:szCs w:val="20"/>
          <w:color w:val="auto"/>
        </w:rPr>
      </w:pPr>
      <w:r>
        <w:rPr>
          <w:rFonts w:ascii="Arial" w:cs="Arial" w:eastAsia="Arial" w:hAnsi="Arial"/>
          <w:sz w:val="18"/>
          <w:szCs w:val="18"/>
          <w:color w:val="auto"/>
        </w:rPr>
        <w:t>“Expense growth year-to-date has been slower than we had anticipated, primarily driven by lower than planned distribution and product-related expenses and, to a lesser extent, by a slower pace of spend related to the execution of our strategic plan. Nonetheless, our teams are executing effectively against our priorities across investments, products, distribution and technology, while driving operational efficiencies throughout. Recent highlights include:</w:t>
      </w:r>
    </w:p>
    <w:p>
      <w:pPr>
        <w:spacing w:after="0" w:line="263" w:lineRule="exact"/>
        <w:rPr>
          <w:sz w:val="20"/>
          <w:szCs w:val="20"/>
          <w:color w:val="auto"/>
        </w:rPr>
      </w:pPr>
    </w:p>
    <w:p>
      <w:pPr>
        <w:ind w:left="660" w:right="40" w:hanging="328"/>
        <w:spacing w:after="0" w:line="381" w:lineRule="auto"/>
        <w:tabs>
          <w:tab w:leader="none" w:pos="660" w:val="left"/>
        </w:tabs>
        <w:numPr>
          <w:ilvl w:val="0"/>
          <w:numId w:val="20"/>
        </w:numPr>
        <w:rPr>
          <w:rFonts w:ascii="Arial" w:cs="Arial" w:eastAsia="Arial" w:hAnsi="Arial"/>
          <w:sz w:val="18"/>
          <w:szCs w:val="18"/>
          <w:b w:val="1"/>
          <w:bCs w:val="1"/>
          <w:color w:val="40AEFF"/>
        </w:rPr>
      </w:pPr>
      <w:r>
        <w:rPr>
          <w:rFonts w:ascii="Arial" w:cs="Arial" w:eastAsia="Arial" w:hAnsi="Arial"/>
          <w:sz w:val="18"/>
          <w:szCs w:val="18"/>
          <w:color w:val="auto"/>
        </w:rPr>
        <w:t>Continued build-out of our investment teams globally. This quarter we created a Tokyo-based multi-asset team to serve local investors’ needs for solutions and diversification, in alignment with our strategic priority to ensure the continued success of our multi-asset business globally.</w:t>
      </w:r>
    </w:p>
    <w:p>
      <w:pPr>
        <w:spacing w:after="0" w:line="256" w:lineRule="exact"/>
        <w:rPr>
          <w:rFonts w:ascii="Arial" w:cs="Arial" w:eastAsia="Arial" w:hAnsi="Arial"/>
          <w:sz w:val="18"/>
          <w:szCs w:val="18"/>
          <w:b w:val="1"/>
          <w:bCs w:val="1"/>
          <w:color w:val="40AEFF"/>
        </w:rPr>
      </w:pPr>
    </w:p>
    <w:p>
      <w:pPr>
        <w:jc w:val="both"/>
        <w:ind w:left="660" w:right="40" w:hanging="328"/>
        <w:spacing w:after="0" w:line="439" w:lineRule="auto"/>
        <w:tabs>
          <w:tab w:leader="none" w:pos="660" w:val="left"/>
        </w:tabs>
        <w:numPr>
          <w:ilvl w:val="0"/>
          <w:numId w:val="20"/>
        </w:numPr>
        <w:rPr>
          <w:rFonts w:ascii="Arial" w:cs="Arial" w:eastAsia="Arial" w:hAnsi="Arial"/>
          <w:sz w:val="17"/>
          <w:szCs w:val="17"/>
          <w:b w:val="1"/>
          <w:bCs w:val="1"/>
          <w:color w:val="40AEFF"/>
        </w:rPr>
      </w:pPr>
      <w:r>
        <w:rPr>
          <w:rFonts w:ascii="Arial" w:cs="Arial" w:eastAsia="Arial" w:hAnsi="Arial"/>
          <w:sz w:val="17"/>
          <w:szCs w:val="17"/>
          <w:color w:val="auto"/>
        </w:rPr>
        <w:t>Launch of two new strategies—European Select Equity and Global Government Bond—as part of our SICAV lineup, and the launch of the Target Allocation Active Series Model Portfolios, which are available on Envestnet and Morningstar platforms for financial advisors.</w:t>
      </w:r>
    </w:p>
    <w:p>
      <w:pPr>
        <w:spacing w:after="0" w:line="216" w:lineRule="exact"/>
        <w:rPr>
          <w:rFonts w:ascii="Arial" w:cs="Arial" w:eastAsia="Arial" w:hAnsi="Arial"/>
          <w:sz w:val="17"/>
          <w:szCs w:val="17"/>
          <w:b w:val="1"/>
          <w:bCs w:val="1"/>
          <w:color w:val="40AEFF"/>
        </w:rPr>
      </w:pPr>
    </w:p>
    <w:p>
      <w:pPr>
        <w:ind w:left="660" w:right="340" w:hanging="328"/>
        <w:spacing w:after="0" w:line="401" w:lineRule="auto"/>
        <w:tabs>
          <w:tab w:leader="none" w:pos="660" w:val="left"/>
        </w:tabs>
        <w:numPr>
          <w:ilvl w:val="0"/>
          <w:numId w:val="20"/>
        </w:numPr>
        <w:rPr>
          <w:rFonts w:ascii="Arial" w:cs="Arial" w:eastAsia="Arial" w:hAnsi="Arial"/>
          <w:sz w:val="18"/>
          <w:szCs w:val="18"/>
          <w:b w:val="1"/>
          <w:bCs w:val="1"/>
          <w:color w:val="40AEFF"/>
        </w:rPr>
      </w:pPr>
      <w:r>
        <w:rPr>
          <w:rFonts w:ascii="Arial" w:cs="Arial" w:eastAsia="Arial" w:hAnsi="Arial"/>
          <w:sz w:val="18"/>
          <w:szCs w:val="18"/>
          <w:color w:val="auto"/>
        </w:rPr>
        <w:t>Continued success in North American distribution, with early returns from the strategic build-out of our broker-dealer channel in the U.S. and increased traction in Canada with our intermediary clients.</w:t>
      </w:r>
    </w:p>
    <w:p>
      <w:pPr>
        <w:spacing w:after="0" w:line="240" w:lineRule="exact"/>
        <w:rPr>
          <w:rFonts w:ascii="Arial" w:cs="Arial" w:eastAsia="Arial" w:hAnsi="Arial"/>
          <w:sz w:val="18"/>
          <w:szCs w:val="18"/>
          <w:b w:val="1"/>
          <w:bCs w:val="1"/>
          <w:color w:val="40AEFF"/>
        </w:rPr>
      </w:pPr>
    </w:p>
    <w:p>
      <w:pPr>
        <w:ind w:left="660" w:right="420" w:hanging="328"/>
        <w:spacing w:after="0" w:line="401" w:lineRule="auto"/>
        <w:tabs>
          <w:tab w:leader="none" w:pos="660" w:val="left"/>
        </w:tabs>
        <w:numPr>
          <w:ilvl w:val="0"/>
          <w:numId w:val="20"/>
        </w:numPr>
        <w:rPr>
          <w:rFonts w:ascii="Arial" w:cs="Arial" w:eastAsia="Arial" w:hAnsi="Arial"/>
          <w:sz w:val="18"/>
          <w:szCs w:val="18"/>
          <w:b w:val="1"/>
          <w:bCs w:val="1"/>
          <w:color w:val="40AEFF"/>
        </w:rPr>
      </w:pPr>
      <w:r>
        <w:rPr>
          <w:rFonts w:ascii="Arial" w:cs="Arial" w:eastAsia="Arial" w:hAnsi="Arial"/>
          <w:sz w:val="18"/>
          <w:szCs w:val="18"/>
          <w:color w:val="auto"/>
        </w:rPr>
        <w:t>Further strengthening and modernization of our operations and technology platforms. This is part of our ongoing long-term plan to make our operating platform more secure, more efficient, and more scalable.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 remain ever-grateful to our associates for their hard work on behalf of our clients and, ultimately,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87" w:right="2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Assets Under Management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During Q3 2019, assets under management increased $1.3 billion to $1.126 trillion. Net cash inflows were</w:t>
      </w:r>
    </w:p>
    <w:p>
      <w:pPr>
        <w:spacing w:after="0" w:line="104" w:lineRule="exact"/>
        <w:rPr>
          <w:sz w:val="20"/>
          <w:szCs w:val="20"/>
          <w:color w:val="auto"/>
        </w:rPr>
      </w:pPr>
    </w:p>
    <w:p>
      <w:pPr>
        <w:ind w:right="180"/>
        <w:spacing w:after="0" w:line="401" w:lineRule="auto"/>
        <w:rPr>
          <w:sz w:val="20"/>
          <w:szCs w:val="20"/>
          <w:color w:val="auto"/>
        </w:rPr>
      </w:pPr>
      <w:r>
        <w:rPr>
          <w:rFonts w:ascii="Arial" w:cs="Arial" w:eastAsia="Arial" w:hAnsi="Arial"/>
          <w:sz w:val="18"/>
          <w:szCs w:val="18"/>
          <w:color w:val="auto"/>
        </w:rPr>
        <w:t>$2.5 billion, and clients transferred $7.5 billion in net assets from the U.S. mutual funds to other investment products, primarily the target-date trusts. The components of the change in assets under management, by vehicle and asset class, are shown in the tables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5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280" w:type="dxa"/>
            <w:vAlign w:val="bottom"/>
            <w:tcBorders>
              <w:bottom w:val="single" w:sz="8" w:color="auto"/>
            </w:tcBorders>
            <w:gridSpan w:val="6"/>
            <w:shd w:val="clear" w:color="auto" w:fill="CCEEFF"/>
          </w:tcPr>
          <w:p>
            <w:pPr>
              <w:ind w:left="20"/>
              <w:spacing w:after="0"/>
              <w:rPr>
                <w:sz w:val="20"/>
                <w:szCs w:val="20"/>
                <w:color w:val="auto"/>
              </w:rPr>
            </w:pPr>
            <w:r>
              <w:rPr>
                <w:rFonts w:ascii="Arial" w:cs="Arial" w:eastAsia="Arial" w:hAnsi="Arial"/>
                <w:sz w:val="14"/>
                <w:szCs w:val="14"/>
                <w:color w:val="auto"/>
              </w:rPr>
              <w:t>Three months ended 9/30/2019</w:t>
            </w: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280" w:type="dxa"/>
            <w:vAlign w:val="bottom"/>
            <w:tcBorders>
              <w:bottom w:val="single" w:sz="8" w:color="auto"/>
            </w:tcBorders>
            <w:gridSpan w:val="6"/>
            <w:shd w:val="clear" w:color="auto" w:fill="CCEEFF"/>
          </w:tcPr>
          <w:p>
            <w:pPr>
              <w:ind w:left="80"/>
              <w:spacing w:after="0"/>
              <w:rPr>
                <w:sz w:val="20"/>
                <w:szCs w:val="20"/>
                <w:color w:val="auto"/>
              </w:rPr>
            </w:pPr>
            <w:r>
              <w:rPr>
                <w:rFonts w:ascii="Arial" w:cs="Arial" w:eastAsia="Arial" w:hAnsi="Arial"/>
                <w:sz w:val="14"/>
                <w:szCs w:val="14"/>
                <w:color w:val="auto"/>
              </w:rPr>
              <w:t>Nine months ended 9/30/2019</w:t>
            </w: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rPr>
              <w:t>Subadvised</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rPr>
              <w:t>Subadvised</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color w:val="auto"/>
              </w:rPr>
              <w:t>U.S. mutual</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color w:val="auto"/>
              </w:rPr>
              <w:t>and separate</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rPr>
              <w:t>U.S. mutual</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color w:val="auto"/>
              </w:rPr>
              <w:t>and separate</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520" w:type="dxa"/>
            <w:vAlign w:val="bottom"/>
          </w:tcPr>
          <w:p>
            <w:pPr>
              <w:ind w:left="40"/>
              <w:spacing w:after="0"/>
              <w:rPr>
                <w:sz w:val="20"/>
                <w:szCs w:val="20"/>
                <w:color w:val="auto"/>
              </w:rPr>
            </w:pPr>
            <w:r>
              <w:rPr>
                <w:rFonts w:ascii="Arial" w:cs="Arial" w:eastAsia="Arial" w:hAnsi="Arial"/>
                <w:sz w:val="14"/>
                <w:szCs w:val="14"/>
                <w:color w:val="auto"/>
              </w:rPr>
              <w:t>(in billions)</w:t>
            </w: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funds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accounts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rPr>
              <w:t>products</w:t>
            </w:r>
          </w:p>
        </w:tc>
        <w:tc>
          <w:tcPr>
            <w:tcW w:w="180" w:type="dxa"/>
            <w:vAlign w:val="bottom"/>
          </w:tcPr>
          <w:p>
            <w:pPr>
              <w:spacing w:after="0"/>
              <w:rPr>
                <w:sz w:val="17"/>
                <w:szCs w:val="17"/>
                <w:color w:val="auto"/>
              </w:rPr>
            </w:pPr>
          </w:p>
        </w:tc>
        <w:tc>
          <w:tcPr>
            <w:tcW w:w="860" w:type="dxa"/>
            <w:vAlign w:val="bottom"/>
            <w:tcBorders>
              <w:right w:val="single" w:sz="8" w:color="auto"/>
            </w:tcBorders>
            <w:gridSpan w:val="2"/>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rPr>
              <w:t>funds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accounts</w:t>
            </w: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color w:val="auto"/>
              </w:rPr>
              <w:t>products</w:t>
            </w:r>
          </w:p>
        </w:tc>
        <w:tc>
          <w:tcPr>
            <w:tcW w:w="180" w:type="dxa"/>
            <w:vAlign w:val="bottom"/>
          </w:tcPr>
          <w:p>
            <w:pPr>
              <w:spacing w:after="0"/>
              <w:rPr>
                <w:sz w:val="17"/>
                <w:szCs w:val="17"/>
                <w:color w:val="auto"/>
              </w:rPr>
            </w:pPr>
          </w:p>
        </w:tc>
        <w:tc>
          <w:tcPr>
            <w:tcW w:w="720" w:type="dxa"/>
            <w:vAlign w:val="bottom"/>
          </w:tcPr>
          <w:p>
            <w:pPr>
              <w:jc w:val="right"/>
              <w:ind w:righ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2"/>
        </w:trPr>
        <w:tc>
          <w:tcPr>
            <w:tcW w:w="2520" w:type="dxa"/>
            <w:vAlign w:val="bottom"/>
            <w:tcBorders>
              <w:top w:val="single" w:sz="8" w:color="CCEEFF"/>
            </w:tcBorders>
            <w:shd w:val="clear" w:color="auto" w:fill="CCEEFF"/>
          </w:tcPr>
          <w:p>
            <w:pPr>
              <w:ind w:left="40"/>
              <w:spacing w:after="0" w:line="182" w:lineRule="exact"/>
              <w:rPr>
                <w:sz w:val="20"/>
                <w:szCs w:val="20"/>
                <w:color w:val="auto"/>
              </w:rPr>
            </w:pPr>
            <w:r>
              <w:rPr>
                <w:rFonts w:ascii="Arial" w:cs="Arial" w:eastAsia="Arial" w:hAnsi="Arial"/>
                <w:sz w:val="16"/>
                <w:szCs w:val="16"/>
                <w:color w:val="auto"/>
              </w:rPr>
              <w:t>Assets under management at</w:t>
            </w: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648.3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292.6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1,125.0</w:t>
            </w: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564.5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147.8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962.3</w:t>
            </w:r>
          </w:p>
        </w:tc>
        <w:tc>
          <w:tcPr>
            <w:tcW w:w="0" w:type="dxa"/>
            <w:vAlign w:val="bottom"/>
          </w:tcPr>
          <w:p>
            <w:pPr>
              <w:spacing w:after="0"/>
              <w:rPr>
                <w:sz w:val="1"/>
                <w:szCs w:val="1"/>
                <w:color w:val="auto"/>
              </w:rPr>
            </w:pPr>
          </w:p>
        </w:tc>
      </w:tr>
      <w:tr>
        <w:trPr>
          <w:trHeight w:val="176"/>
        </w:trPr>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flows before client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transfers</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64"/>
        </w:trPr>
        <w:tc>
          <w:tcPr>
            <w:tcW w:w="2520" w:type="dxa"/>
            <w:vAlign w:val="bottom"/>
          </w:tcPr>
          <w:p>
            <w:pPr>
              <w:ind w:left="40"/>
              <w:spacing w:after="0"/>
              <w:rPr>
                <w:sz w:val="20"/>
                <w:szCs w:val="20"/>
                <w:color w:val="auto"/>
              </w:rPr>
            </w:pPr>
            <w:r>
              <w:rPr>
                <w:rFonts w:ascii="Arial" w:cs="Arial" w:eastAsia="Arial" w:hAnsi="Arial"/>
                <w:sz w:val="16"/>
                <w:szCs w:val="16"/>
                <w:color w:val="auto"/>
              </w:rPr>
              <w:t>Client transfers</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after client</w:t>
            </w: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transfers</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98"/>
        </w:trPr>
        <w:tc>
          <w:tcPr>
            <w:tcW w:w="2520" w:type="dxa"/>
            <w:vAlign w:val="bottom"/>
          </w:tcPr>
          <w:p>
            <w:pPr>
              <w:ind w:left="40"/>
              <w:spacing w:after="0"/>
              <w:rPr>
                <w:sz w:val="20"/>
                <w:szCs w:val="20"/>
                <w:color w:val="auto"/>
              </w:rPr>
            </w:pPr>
            <w:r>
              <w:rPr>
                <w:rFonts w:ascii="Arial" w:cs="Arial" w:eastAsia="Arial" w:hAnsi="Arial"/>
                <w:sz w:val="16"/>
                <w:szCs w:val="16"/>
                <w:color w:val="auto"/>
              </w:rPr>
              <w:t>Net market appreciation</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520" w:type="dxa"/>
            <w:vAlign w:val="bottom"/>
          </w:tcPr>
          <w:p>
            <w:pPr>
              <w:ind w:left="40"/>
              <w:spacing w:after="0"/>
              <w:rPr>
                <w:sz w:val="20"/>
                <w:szCs w:val="20"/>
                <w:color w:val="auto"/>
              </w:rPr>
            </w:pPr>
            <w:r>
              <w:rPr>
                <w:rFonts w:ascii="Arial" w:cs="Arial" w:eastAsia="Arial" w:hAnsi="Arial"/>
                <w:sz w:val="16"/>
                <w:szCs w:val="16"/>
                <w:color w:val="auto"/>
              </w:rPr>
              <w:t>(depreciation) and income</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153.7</w:t>
            </w:r>
          </w:p>
        </w:tc>
        <w:tc>
          <w:tcPr>
            <w:tcW w:w="0" w:type="dxa"/>
            <w:vAlign w:val="bottom"/>
          </w:tcPr>
          <w:p>
            <w:pPr>
              <w:spacing w:after="0"/>
              <w:rPr>
                <w:sz w:val="1"/>
                <w:szCs w:val="1"/>
                <w:color w:val="auto"/>
              </w:rPr>
            </w:pPr>
          </w:p>
        </w:tc>
      </w:tr>
      <w:tr>
        <w:trPr>
          <w:trHeight w:val="206"/>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distributions reinvested</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(not reinvested)</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Change during the period</w:t>
            </w: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1.3</w:t>
            </w:r>
          </w:p>
        </w:tc>
        <w:tc>
          <w:tcPr>
            <w:tcW w:w="14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78.1</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43.0</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42.9</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164.0</w:t>
            </w:r>
          </w:p>
        </w:tc>
        <w:tc>
          <w:tcPr>
            <w:tcW w:w="0" w:type="dxa"/>
            <w:vAlign w:val="bottom"/>
          </w:tcPr>
          <w:p>
            <w:pPr>
              <w:spacing w:after="0"/>
              <w:rPr>
                <w:sz w:val="1"/>
                <w:szCs w:val="1"/>
                <w:color w:val="auto"/>
              </w:rPr>
            </w:pPr>
          </w:p>
        </w:tc>
      </w:tr>
      <w:tr>
        <w:trPr>
          <w:trHeight w:val="122"/>
        </w:trPr>
        <w:tc>
          <w:tcPr>
            <w:tcW w:w="2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520" w:type="dxa"/>
            <w:vAlign w:val="bottom"/>
          </w:tcPr>
          <w:p>
            <w:pPr>
              <w:ind w:left="40"/>
              <w:spacing w:after="0"/>
              <w:rPr>
                <w:sz w:val="20"/>
                <w:szCs w:val="20"/>
                <w:color w:val="auto"/>
              </w:rPr>
            </w:pPr>
            <w:r>
              <w:rPr>
                <w:rFonts w:ascii="Arial" w:cs="Arial" w:eastAsia="Arial" w:hAnsi="Arial"/>
                <w:sz w:val="16"/>
                <w:szCs w:val="16"/>
                <w:color w:val="auto"/>
              </w:rPr>
              <w:t>Assets under management at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41"/>
              <w:spacing w:after="0"/>
              <w:rPr>
                <w:sz w:val="20"/>
                <w:szCs w:val="20"/>
                <w:color w:val="auto"/>
              </w:rPr>
            </w:pPr>
            <w:r>
              <w:rPr>
                <w:rFonts w:ascii="Arial" w:cs="Arial" w:eastAsia="Arial" w:hAnsi="Arial"/>
                <w:sz w:val="16"/>
                <w:szCs w:val="16"/>
                <w:color w:val="auto"/>
              </w:rPr>
              <w:t>642.6</w:t>
            </w:r>
          </w:p>
        </w:tc>
        <w:tc>
          <w:tcPr>
            <w:tcW w:w="1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41"/>
              <w:spacing w:after="0"/>
              <w:rPr>
                <w:sz w:val="20"/>
                <w:szCs w:val="20"/>
                <w:color w:val="auto"/>
              </w:rPr>
            </w:pPr>
            <w:r>
              <w:rPr>
                <w:rFonts w:ascii="Arial" w:cs="Arial" w:eastAsia="Arial" w:hAnsi="Arial"/>
                <w:sz w:val="16"/>
                <w:szCs w:val="16"/>
                <w:color w:val="auto"/>
              </w:rPr>
              <w:t>293.0</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21"/>
              <w:spacing w:after="0"/>
              <w:rPr>
                <w:sz w:val="20"/>
                <w:szCs w:val="20"/>
                <w:color w:val="auto"/>
              </w:rPr>
            </w:pPr>
            <w:r>
              <w:rPr>
                <w:rFonts w:ascii="Arial" w:cs="Arial" w:eastAsia="Arial" w:hAnsi="Arial"/>
                <w:sz w:val="16"/>
                <w:szCs w:val="16"/>
                <w:color w:val="auto"/>
              </w:rPr>
              <w:t>190.7</w:t>
            </w:r>
          </w:p>
        </w:tc>
        <w:tc>
          <w:tcPr>
            <w:tcW w:w="12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20"/>
              <w:spacing w:after="0"/>
              <w:rPr>
                <w:sz w:val="20"/>
                <w:szCs w:val="20"/>
                <w:color w:val="auto"/>
              </w:rPr>
            </w:pPr>
            <w:r>
              <w:rPr>
                <w:rFonts w:ascii="Arial" w:cs="Arial" w:eastAsia="Arial" w:hAnsi="Arial"/>
                <w:sz w:val="16"/>
                <w:szCs w:val="16"/>
                <w:color w:val="auto"/>
              </w:rPr>
              <w:t>1,126.3</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21"/>
              <w:spacing w:after="0"/>
              <w:rPr>
                <w:sz w:val="20"/>
                <w:szCs w:val="20"/>
                <w:color w:val="auto"/>
              </w:rPr>
            </w:pPr>
            <w:r>
              <w:rPr>
                <w:rFonts w:ascii="Arial" w:cs="Arial" w:eastAsia="Arial" w:hAnsi="Arial"/>
                <w:sz w:val="16"/>
                <w:szCs w:val="16"/>
                <w:color w:val="auto"/>
              </w:rPr>
              <w:t>642.6</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41"/>
              <w:spacing w:after="0"/>
              <w:rPr>
                <w:sz w:val="20"/>
                <w:szCs w:val="20"/>
                <w:color w:val="auto"/>
              </w:rPr>
            </w:pPr>
            <w:r>
              <w:rPr>
                <w:rFonts w:ascii="Arial" w:cs="Arial" w:eastAsia="Arial" w:hAnsi="Arial"/>
                <w:sz w:val="16"/>
                <w:szCs w:val="16"/>
                <w:color w:val="auto"/>
              </w:rPr>
              <w:t>293.0</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21"/>
              <w:spacing w:after="0"/>
              <w:rPr>
                <w:sz w:val="20"/>
                <w:szCs w:val="20"/>
                <w:color w:val="auto"/>
              </w:rPr>
            </w:pPr>
            <w:r>
              <w:rPr>
                <w:rFonts w:ascii="Arial" w:cs="Arial" w:eastAsia="Arial" w:hAnsi="Arial"/>
                <w:sz w:val="16"/>
                <w:szCs w:val="16"/>
                <w:color w:val="auto"/>
              </w:rPr>
              <w:t>190.7</w:t>
            </w:r>
          </w:p>
        </w:tc>
        <w:tc>
          <w:tcPr>
            <w:tcW w:w="12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20"/>
              <w:spacing w:after="0"/>
              <w:rPr>
                <w:sz w:val="20"/>
                <w:szCs w:val="20"/>
                <w:color w:val="auto"/>
              </w:rPr>
            </w:pPr>
            <w:r>
              <w:rPr>
                <w:rFonts w:ascii="Arial" w:cs="Arial" w:eastAsia="Arial" w:hAnsi="Arial"/>
                <w:sz w:val="16"/>
                <w:szCs w:val="16"/>
                <w:color w:val="auto"/>
              </w:rPr>
              <w:t>1,126.3</w:t>
            </w:r>
          </w:p>
        </w:tc>
        <w:tc>
          <w:tcPr>
            <w:tcW w:w="0" w:type="dxa"/>
            <w:vAlign w:val="bottom"/>
          </w:tcPr>
          <w:p>
            <w:pPr>
              <w:spacing w:after="0"/>
              <w:rPr>
                <w:sz w:val="1"/>
                <w:szCs w:val="1"/>
                <w:color w:val="auto"/>
              </w:rPr>
            </w:pPr>
          </w:p>
        </w:tc>
      </w:tr>
      <w:tr>
        <w:trPr>
          <w:trHeight w:val="225"/>
        </w:trPr>
        <w:tc>
          <w:tcPr>
            <w:tcW w:w="2520" w:type="dxa"/>
            <w:vAlign w:val="bottom"/>
          </w:tcPr>
          <w:p>
            <w:pPr>
              <w:ind w:left="40"/>
              <w:spacing w:after="0"/>
              <w:rPr>
                <w:sz w:val="20"/>
                <w:szCs w:val="20"/>
                <w:color w:val="auto"/>
              </w:rPr>
            </w:pPr>
            <w:r>
              <w:rPr>
                <w:rFonts w:ascii="Arial" w:cs="Arial" w:eastAsia="Arial" w:hAnsi="Arial"/>
                <w:sz w:val="16"/>
                <w:szCs w:val="16"/>
                <w:color w:val="auto"/>
              </w:rPr>
              <w:t>September 30, 2019</w:t>
            </w:r>
          </w:p>
        </w:tc>
        <w:tc>
          <w:tcPr>
            <w:tcW w:w="14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5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280" w:type="dxa"/>
            <w:vAlign w:val="bottom"/>
            <w:tcBorders>
              <w:bottom w:val="single" w:sz="8" w:color="auto"/>
            </w:tcBorders>
            <w:gridSpan w:val="6"/>
            <w:shd w:val="clear" w:color="auto" w:fill="CCEEFF"/>
          </w:tcPr>
          <w:p>
            <w:pPr>
              <w:ind w:left="20"/>
              <w:spacing w:after="0"/>
              <w:rPr>
                <w:sz w:val="20"/>
                <w:szCs w:val="20"/>
                <w:color w:val="auto"/>
              </w:rPr>
            </w:pPr>
            <w:r>
              <w:rPr>
                <w:rFonts w:ascii="Arial" w:cs="Arial" w:eastAsia="Arial" w:hAnsi="Arial"/>
                <w:sz w:val="14"/>
                <w:szCs w:val="14"/>
                <w:color w:val="auto"/>
              </w:rPr>
              <w:t>Three months ended 9/30/2019</w:t>
            </w: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280" w:type="dxa"/>
            <w:vAlign w:val="bottom"/>
            <w:tcBorders>
              <w:bottom w:val="single" w:sz="8" w:color="auto"/>
            </w:tcBorders>
            <w:gridSpan w:val="6"/>
            <w:shd w:val="clear" w:color="auto" w:fill="CCEEFF"/>
          </w:tcPr>
          <w:p>
            <w:pPr>
              <w:ind w:left="80"/>
              <w:spacing w:after="0"/>
              <w:rPr>
                <w:sz w:val="20"/>
                <w:szCs w:val="20"/>
                <w:color w:val="auto"/>
              </w:rPr>
            </w:pPr>
            <w:r>
              <w:rPr>
                <w:rFonts w:ascii="Arial" w:cs="Arial" w:eastAsia="Arial" w:hAnsi="Arial"/>
                <w:sz w:val="14"/>
                <w:szCs w:val="14"/>
                <w:color w:val="auto"/>
              </w:rPr>
              <w:t>Nine months ended 9/30/2019</w:t>
            </w: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color w:val="auto"/>
              </w:rPr>
              <w:t>Fixed income,</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color w:val="auto"/>
              </w:rPr>
              <w:t>Fixed income,</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rPr>
              <w:t>including</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rPr>
              <w:t>including</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520" w:type="dxa"/>
            <w:vAlign w:val="bottom"/>
          </w:tcPr>
          <w:p>
            <w:pPr>
              <w:ind w:left="40"/>
              <w:spacing w:after="0"/>
              <w:rPr>
                <w:sz w:val="20"/>
                <w:szCs w:val="20"/>
                <w:color w:val="auto"/>
              </w:rPr>
            </w:pPr>
            <w:r>
              <w:rPr>
                <w:rFonts w:ascii="Arial" w:cs="Arial" w:eastAsia="Arial" w:hAnsi="Arial"/>
                <w:sz w:val="14"/>
                <w:szCs w:val="14"/>
                <w:color w:val="auto"/>
              </w:rPr>
              <w:t>(in billions)</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rPr>
              <w:t>Equity</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color w:val="auto"/>
              </w:rPr>
              <w:t>money market</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color w:val="auto"/>
                <w:w w:val="98"/>
              </w:rPr>
              <w:t>Multi-asset</w:t>
            </w:r>
            <w:r>
              <w:rPr>
                <w:rFonts w:ascii="Arial" w:cs="Arial" w:eastAsia="Arial" w:hAnsi="Arial"/>
                <w:sz w:val="17"/>
                <w:szCs w:val="17"/>
                <w:color w:val="auto"/>
                <w:w w:val="98"/>
                <w:vertAlign w:val="superscript"/>
              </w:rPr>
              <w:t>(1)</w:t>
            </w:r>
          </w:p>
        </w:tc>
        <w:tc>
          <w:tcPr>
            <w:tcW w:w="180" w:type="dxa"/>
            <w:vAlign w:val="bottom"/>
          </w:tcPr>
          <w:p>
            <w:pPr>
              <w:spacing w:after="0"/>
              <w:rPr>
                <w:sz w:val="17"/>
                <w:szCs w:val="17"/>
                <w:color w:val="auto"/>
              </w:rPr>
            </w:pPr>
          </w:p>
        </w:tc>
        <w:tc>
          <w:tcPr>
            <w:tcW w:w="860" w:type="dxa"/>
            <w:vAlign w:val="bottom"/>
            <w:tcBorders>
              <w:right w:val="single" w:sz="8" w:color="auto"/>
            </w:tcBorders>
            <w:gridSpan w:val="2"/>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rPr>
              <w:t>Equity</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color w:val="auto"/>
              </w:rPr>
              <w:t>money market</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color w:val="auto"/>
                <w:w w:val="98"/>
              </w:rPr>
              <w:t>Multi-asset</w:t>
            </w:r>
            <w:r>
              <w:rPr>
                <w:rFonts w:ascii="Arial" w:cs="Arial" w:eastAsia="Arial" w:hAnsi="Arial"/>
                <w:sz w:val="17"/>
                <w:szCs w:val="17"/>
                <w:color w:val="auto"/>
                <w:w w:val="98"/>
                <w:vertAlign w:val="superscript"/>
              </w:rPr>
              <w:t>(1)</w:t>
            </w:r>
          </w:p>
        </w:tc>
        <w:tc>
          <w:tcPr>
            <w:tcW w:w="180" w:type="dxa"/>
            <w:vAlign w:val="bottom"/>
          </w:tcPr>
          <w:p>
            <w:pPr>
              <w:spacing w:after="0"/>
              <w:rPr>
                <w:sz w:val="17"/>
                <w:szCs w:val="17"/>
                <w:color w:val="auto"/>
              </w:rPr>
            </w:pPr>
          </w:p>
        </w:tc>
        <w:tc>
          <w:tcPr>
            <w:tcW w:w="720" w:type="dxa"/>
            <w:vAlign w:val="bottom"/>
          </w:tcPr>
          <w:p>
            <w:pPr>
              <w:jc w:val="right"/>
              <w:ind w:righ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8"/>
        </w:trPr>
        <w:tc>
          <w:tcPr>
            <w:tcW w:w="2520" w:type="dxa"/>
            <w:vAlign w:val="bottom"/>
            <w:tcBorders>
              <w:top w:val="single" w:sz="8" w:color="CCEEFF"/>
            </w:tcBorders>
            <w:shd w:val="clear" w:color="auto" w:fill="CCEEFF"/>
          </w:tcPr>
          <w:p>
            <w:pPr>
              <w:ind w:left="40"/>
              <w:spacing w:after="0" w:line="178" w:lineRule="exact"/>
              <w:rPr>
                <w:sz w:val="20"/>
                <w:szCs w:val="20"/>
                <w:color w:val="auto"/>
              </w:rPr>
            </w:pPr>
            <w:r>
              <w:rPr>
                <w:rFonts w:ascii="Arial" w:cs="Arial" w:eastAsia="Arial" w:hAnsi="Arial"/>
                <w:sz w:val="16"/>
                <w:szCs w:val="16"/>
                <w:color w:val="auto"/>
              </w:rPr>
              <w:t>Assets under management at</w:t>
            </w: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648.4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332.5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1,125.0</w:t>
            </w: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539.9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286.3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962.3</w:t>
            </w:r>
          </w:p>
        </w:tc>
        <w:tc>
          <w:tcPr>
            <w:tcW w:w="0" w:type="dxa"/>
            <w:vAlign w:val="bottom"/>
          </w:tcPr>
          <w:p>
            <w:pPr>
              <w:spacing w:after="0"/>
              <w:rPr>
                <w:sz w:val="1"/>
                <w:szCs w:val="1"/>
                <w:color w:val="auto"/>
              </w:rPr>
            </w:pPr>
          </w:p>
        </w:tc>
      </w:tr>
      <w:tr>
        <w:trPr>
          <w:trHeight w:val="176"/>
        </w:trPr>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flows</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98"/>
        </w:trPr>
        <w:tc>
          <w:tcPr>
            <w:tcW w:w="2520" w:type="dxa"/>
            <w:vAlign w:val="bottom"/>
          </w:tcPr>
          <w:p>
            <w:pPr>
              <w:ind w:left="40"/>
              <w:spacing w:after="0"/>
              <w:rPr>
                <w:sz w:val="20"/>
                <w:szCs w:val="20"/>
                <w:color w:val="auto"/>
              </w:rPr>
            </w:pPr>
            <w:r>
              <w:rPr>
                <w:rFonts w:ascii="Arial" w:cs="Arial" w:eastAsia="Arial" w:hAnsi="Arial"/>
                <w:sz w:val="16"/>
                <w:szCs w:val="16"/>
                <w:color w:val="auto"/>
              </w:rPr>
              <w:t>Net market appreciation</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tcBorders>
              <w:bottom w:val="single" w:sz="8" w:color="CCEEFF"/>
            </w:tcBorders>
          </w:tcPr>
          <w:p>
            <w:pPr>
              <w:ind w:left="40"/>
              <w:spacing w:after="0" w:line="234" w:lineRule="exact"/>
              <w:rPr>
                <w:sz w:val="20"/>
                <w:szCs w:val="20"/>
                <w:color w:val="auto"/>
              </w:rPr>
            </w:pPr>
            <w:r>
              <w:rPr>
                <w:rFonts w:ascii="Arial" w:cs="Arial" w:eastAsia="Arial" w:hAnsi="Arial"/>
                <w:sz w:val="16"/>
                <w:szCs w:val="16"/>
                <w:color w:val="auto"/>
              </w:rPr>
              <w:t>(depreciation) and income</w:t>
            </w:r>
            <w:r>
              <w:rPr>
                <w:rFonts w:ascii="Arial" w:cs="Arial" w:eastAsia="Arial" w:hAnsi="Arial"/>
                <w:sz w:val="21"/>
                <w:szCs w:val="21"/>
                <w:color w:val="auto"/>
                <w:vertAlign w:val="superscript"/>
              </w:rPr>
              <w:t>(2)</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40" w:type="dxa"/>
            <w:vAlign w:val="bottom"/>
            <w:tcBorders>
              <w:bottom w:val="single" w:sz="8" w:color="CCEEFF"/>
              <w:right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103.8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42.9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153.6</w:t>
            </w:r>
          </w:p>
        </w:tc>
        <w:tc>
          <w:tcPr>
            <w:tcW w:w="0" w:type="dxa"/>
            <w:vAlign w:val="bottom"/>
          </w:tcPr>
          <w:p>
            <w:pPr>
              <w:spacing w:after="0"/>
              <w:rPr>
                <w:sz w:val="1"/>
                <w:szCs w:val="1"/>
                <w:color w:val="auto"/>
              </w:rPr>
            </w:pPr>
          </w:p>
        </w:tc>
      </w:tr>
      <w:tr>
        <w:trPr>
          <w:trHeight w:val="25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during the period</w:t>
            </w: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103.6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49.9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164.0</w:t>
            </w:r>
          </w:p>
        </w:tc>
        <w:tc>
          <w:tcPr>
            <w:tcW w:w="0" w:type="dxa"/>
            <w:vAlign w:val="bottom"/>
          </w:tcPr>
          <w:p>
            <w:pPr>
              <w:spacing w:after="0"/>
              <w:rPr>
                <w:sz w:val="1"/>
                <w:szCs w:val="1"/>
                <w:color w:val="auto"/>
              </w:rPr>
            </w:pPr>
          </w:p>
        </w:tc>
      </w:tr>
      <w:tr>
        <w:trPr>
          <w:trHeight w:val="178"/>
        </w:trPr>
        <w:tc>
          <w:tcPr>
            <w:tcW w:w="2520" w:type="dxa"/>
            <w:vAlign w:val="bottom"/>
          </w:tcPr>
          <w:p>
            <w:pPr>
              <w:ind w:left="40"/>
              <w:spacing w:after="0" w:line="178" w:lineRule="exact"/>
              <w:rPr>
                <w:sz w:val="20"/>
                <w:szCs w:val="20"/>
                <w:color w:val="auto"/>
              </w:rPr>
            </w:pPr>
            <w:r>
              <w:rPr>
                <w:rFonts w:ascii="Arial" w:cs="Arial" w:eastAsia="Arial" w:hAnsi="Arial"/>
                <w:sz w:val="16"/>
                <w:szCs w:val="16"/>
                <w:color w:val="auto"/>
              </w:rPr>
              <w:t>Assets under management at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41"/>
              <w:spacing w:after="0"/>
              <w:rPr>
                <w:sz w:val="20"/>
                <w:szCs w:val="20"/>
                <w:color w:val="auto"/>
              </w:rPr>
            </w:pPr>
            <w:r>
              <w:rPr>
                <w:rFonts w:ascii="Arial" w:cs="Arial" w:eastAsia="Arial" w:hAnsi="Arial"/>
                <w:sz w:val="16"/>
                <w:szCs w:val="16"/>
                <w:color w:val="auto"/>
              </w:rPr>
              <w:t>643.5</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41"/>
              <w:spacing w:after="0"/>
              <w:rPr>
                <w:sz w:val="20"/>
                <w:szCs w:val="20"/>
                <w:color w:val="auto"/>
              </w:rPr>
            </w:pPr>
            <w:r>
              <w:rPr>
                <w:rFonts w:ascii="Arial" w:cs="Arial" w:eastAsia="Arial" w:hAnsi="Arial"/>
                <w:sz w:val="16"/>
                <w:szCs w:val="16"/>
                <w:color w:val="auto"/>
              </w:rPr>
              <w:t>146.6</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21"/>
              <w:spacing w:after="0"/>
              <w:rPr>
                <w:sz w:val="20"/>
                <w:szCs w:val="20"/>
                <w:color w:val="auto"/>
              </w:rPr>
            </w:pPr>
            <w:r>
              <w:rPr>
                <w:rFonts w:ascii="Arial" w:cs="Arial" w:eastAsia="Arial" w:hAnsi="Arial"/>
                <w:sz w:val="16"/>
                <w:szCs w:val="16"/>
                <w:color w:val="auto"/>
              </w:rPr>
              <w:t>336.2</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20"/>
              <w:spacing w:after="0"/>
              <w:rPr>
                <w:sz w:val="20"/>
                <w:szCs w:val="20"/>
                <w:color w:val="auto"/>
              </w:rPr>
            </w:pPr>
            <w:r>
              <w:rPr>
                <w:rFonts w:ascii="Arial" w:cs="Arial" w:eastAsia="Arial" w:hAnsi="Arial"/>
                <w:sz w:val="16"/>
                <w:szCs w:val="16"/>
                <w:color w:val="auto"/>
              </w:rPr>
              <w:t>1,126.3</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21"/>
              <w:spacing w:after="0"/>
              <w:rPr>
                <w:sz w:val="20"/>
                <w:szCs w:val="20"/>
                <w:color w:val="auto"/>
              </w:rPr>
            </w:pPr>
            <w:r>
              <w:rPr>
                <w:rFonts w:ascii="Arial" w:cs="Arial" w:eastAsia="Arial" w:hAnsi="Arial"/>
                <w:sz w:val="16"/>
                <w:szCs w:val="16"/>
                <w:color w:val="auto"/>
              </w:rPr>
              <w:t>643.5</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41"/>
              <w:spacing w:after="0"/>
              <w:rPr>
                <w:sz w:val="20"/>
                <w:szCs w:val="20"/>
                <w:color w:val="auto"/>
              </w:rPr>
            </w:pPr>
            <w:r>
              <w:rPr>
                <w:rFonts w:ascii="Arial" w:cs="Arial" w:eastAsia="Arial" w:hAnsi="Arial"/>
                <w:sz w:val="16"/>
                <w:szCs w:val="16"/>
                <w:color w:val="auto"/>
              </w:rPr>
              <w:t>146.6</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21"/>
              <w:spacing w:after="0"/>
              <w:rPr>
                <w:sz w:val="20"/>
                <w:szCs w:val="20"/>
                <w:color w:val="auto"/>
              </w:rPr>
            </w:pPr>
            <w:r>
              <w:rPr>
                <w:rFonts w:ascii="Arial" w:cs="Arial" w:eastAsia="Arial" w:hAnsi="Arial"/>
                <w:sz w:val="16"/>
                <w:szCs w:val="16"/>
                <w:color w:val="auto"/>
              </w:rPr>
              <w:t>336.2</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20"/>
              <w:spacing w:after="0"/>
              <w:rPr>
                <w:sz w:val="20"/>
                <w:szCs w:val="20"/>
                <w:color w:val="auto"/>
              </w:rPr>
            </w:pPr>
            <w:r>
              <w:rPr>
                <w:rFonts w:ascii="Arial" w:cs="Arial" w:eastAsia="Arial" w:hAnsi="Arial"/>
                <w:sz w:val="16"/>
                <w:szCs w:val="16"/>
                <w:color w:val="auto"/>
              </w:rPr>
              <w:t>1,126.3</w:t>
            </w:r>
          </w:p>
        </w:tc>
        <w:tc>
          <w:tcPr>
            <w:tcW w:w="0" w:type="dxa"/>
            <w:vAlign w:val="bottom"/>
          </w:tcPr>
          <w:p>
            <w:pPr>
              <w:spacing w:after="0"/>
              <w:rPr>
                <w:sz w:val="1"/>
                <w:szCs w:val="1"/>
                <w:color w:val="auto"/>
              </w:rPr>
            </w:pPr>
          </w:p>
        </w:tc>
      </w:tr>
      <w:tr>
        <w:trPr>
          <w:trHeight w:val="225"/>
        </w:trPr>
        <w:tc>
          <w:tcPr>
            <w:tcW w:w="2520" w:type="dxa"/>
            <w:vAlign w:val="bottom"/>
          </w:tcPr>
          <w:p>
            <w:pPr>
              <w:ind w:left="40"/>
              <w:spacing w:after="0"/>
              <w:rPr>
                <w:sz w:val="20"/>
                <w:szCs w:val="20"/>
                <w:color w:val="auto"/>
              </w:rPr>
            </w:pPr>
            <w:r>
              <w:rPr>
                <w:rFonts w:ascii="Arial" w:cs="Arial" w:eastAsia="Arial" w:hAnsi="Arial"/>
                <w:sz w:val="16"/>
                <w:szCs w:val="16"/>
                <w:color w:val="auto"/>
              </w:rPr>
              <w:t>September 30, 2019</w:t>
            </w:r>
          </w:p>
        </w:tc>
        <w:tc>
          <w:tcPr>
            <w:tcW w:w="14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9"/>
          <w:szCs w:val="9"/>
          <w:i w:val="1"/>
          <w:iCs w:val="1"/>
          <w:color w:val="auto"/>
        </w:rPr>
      </w:pPr>
      <w:r>
        <w:rPr>
          <w:rFonts w:ascii="Arial" w:cs="Arial" w:eastAsia="Arial" w:hAnsi="Arial"/>
          <w:sz w:val="13"/>
          <w:szCs w:val="13"/>
          <w:i w:val="1"/>
          <w:iCs w:val="1"/>
          <w:color w:val="auto"/>
        </w:rPr>
        <w:t>The underlying assets under management of the multi-asset portfolios have been aggregated and presented in this category and not reported in the equity and fixed income columns.</w:t>
      </w:r>
    </w:p>
    <w:p>
      <w:pPr>
        <w:spacing w:after="0" w:line="13" w:lineRule="exact"/>
        <w:rPr>
          <w:rFonts w:ascii="Arial" w:cs="Arial" w:eastAsia="Arial" w:hAnsi="Arial"/>
          <w:sz w:val="9"/>
          <w:szCs w:val="9"/>
          <w:i w:val="1"/>
          <w:iCs w:val="1"/>
          <w:color w:val="auto"/>
        </w:rPr>
      </w:pPr>
    </w:p>
    <w:p>
      <w:pPr>
        <w:ind w:left="160" w:hanging="152"/>
        <w:spacing w:after="0"/>
        <w:tabs>
          <w:tab w:leader="none" w:pos="160" w:val="left"/>
        </w:tabs>
        <w:numPr>
          <w:ilvl w:val="0"/>
          <w:numId w:val="21"/>
        </w:numPr>
        <w:rPr>
          <w:rFonts w:ascii="Arial" w:cs="Arial" w:eastAsia="Arial" w:hAnsi="Arial"/>
          <w:sz w:val="9"/>
          <w:szCs w:val="9"/>
          <w:i w:val="1"/>
          <w:iCs w:val="1"/>
          <w:color w:val="auto"/>
        </w:rPr>
      </w:pPr>
      <w:r>
        <w:rPr>
          <w:rFonts w:ascii="Arial" w:cs="Arial" w:eastAsia="Arial" w:hAnsi="Arial"/>
          <w:sz w:val="13"/>
          <w:szCs w:val="13"/>
          <w:i w:val="1"/>
          <w:iCs w:val="1"/>
          <w:color w:val="auto"/>
        </w:rPr>
        <w:t>Includes distributions reinvested and not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-193675</wp:posOffset>
            </wp:positionV>
            <wp:extent cx="5651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5651500" cy="8890"/>
                    </a:xfrm>
                    <a:prstGeom prst="rect">
                      <a:avLst/>
                    </a:prstGeom>
                    <a:noFill/>
                  </pic:spPr>
                </pic:pic>
              </a:graphicData>
            </a:graphic>
          </wp:anchor>
        </w:drawing>
      </w:r>
    </w:p>
    <w:p>
      <w:pPr>
        <w:spacing w:after="0" w:line="232" w:lineRule="exact"/>
        <w:rPr>
          <w:sz w:val="20"/>
          <w:szCs w:val="20"/>
          <w:color w:val="auto"/>
        </w:rPr>
      </w:pPr>
    </w:p>
    <w:p>
      <w:pPr>
        <w:ind w:right="20"/>
        <w:spacing w:after="0" w:line="360" w:lineRule="auto"/>
        <w:rPr>
          <w:sz w:val="20"/>
          <w:szCs w:val="20"/>
          <w:color w:val="auto"/>
        </w:rPr>
      </w:pPr>
      <w:r>
        <w:rPr>
          <w:rFonts w:ascii="Arial" w:cs="Arial" w:eastAsia="Arial" w:hAnsi="Arial"/>
          <w:sz w:val="18"/>
          <w:szCs w:val="18"/>
          <w:color w:val="auto"/>
        </w:rPr>
        <w:t>Assets under management in the firm's target date retirement products, which are reported as part of the multi-asset column in the table above, were $272.0 billion at September 30, 2019, compared with $268.7 billion at</w:t>
      </w:r>
    </w:p>
    <w:p>
      <w:pPr>
        <w:ind w:right="100"/>
        <w:spacing w:after="0" w:line="401" w:lineRule="auto"/>
        <w:rPr>
          <w:sz w:val="20"/>
          <w:szCs w:val="20"/>
          <w:color w:val="auto"/>
        </w:rPr>
      </w:pPr>
      <w:r>
        <w:rPr>
          <w:rFonts w:ascii="Arial" w:cs="Arial" w:eastAsia="Arial" w:hAnsi="Arial"/>
          <w:sz w:val="18"/>
          <w:szCs w:val="18"/>
          <w:color w:val="auto"/>
        </w:rPr>
        <w:t>June 30, 2019 and $230.4 billion at December 31, 2018. Net cash inflows into these portfolios were $2.0 billion in the third quarter of 2019 and $6.6 billion for the first nine months of 2019.</w:t>
      </w:r>
    </w:p>
    <w:p>
      <w:pPr>
        <w:spacing w:after="0" w:line="240" w:lineRule="exact"/>
        <w:rPr>
          <w:sz w:val="20"/>
          <w:szCs w:val="20"/>
          <w:color w:val="auto"/>
        </w:rPr>
      </w:pPr>
    </w:p>
    <w:p>
      <w:pPr>
        <w:ind w:right="160"/>
        <w:spacing w:after="0" w:line="401" w:lineRule="auto"/>
        <w:rPr>
          <w:sz w:val="20"/>
          <w:szCs w:val="20"/>
          <w:color w:val="auto"/>
        </w:rPr>
      </w:pPr>
      <w:r>
        <w:rPr>
          <w:rFonts w:ascii="Arial" w:cs="Arial" w:eastAsia="Arial" w:hAnsi="Arial"/>
          <w:sz w:val="18"/>
          <w:szCs w:val="18"/>
          <w:color w:val="auto"/>
        </w:rPr>
        <w:t>Investors domiciled outside the United States accounted for 6.5% of the firm's assets under management at September 30, 2019 and 6.2% at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4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Financial Results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earned in Q3 2019 were $1.4 billion, up 2.3% from Q3 2018.</w:t>
      </w:r>
    </w:p>
    <w:p>
      <w:pPr>
        <w:spacing w:after="0" w:line="133" w:lineRule="exact"/>
        <w:rPr>
          <w:sz w:val="20"/>
          <w:szCs w:val="20"/>
          <w:color w:val="auto"/>
        </w:rPr>
      </w:pPr>
    </w:p>
    <w:p>
      <w:pPr>
        <w:ind w:left="660" w:right="160" w:hanging="328"/>
        <w:spacing w:after="0" w:line="411" w:lineRule="auto"/>
        <w:tabs>
          <w:tab w:leader="none" w:pos="660" w:val="left"/>
        </w:tabs>
        <w:numPr>
          <w:ilvl w:val="0"/>
          <w:numId w:val="22"/>
        </w:numPr>
        <w:rPr>
          <w:rFonts w:ascii="Arial" w:cs="Arial" w:eastAsia="Arial" w:hAnsi="Arial"/>
          <w:sz w:val="22"/>
          <w:szCs w:val="22"/>
          <w:color w:val="40AEFF"/>
        </w:rPr>
      </w:pPr>
      <w:r>
        <w:rPr>
          <w:rFonts w:ascii="Arial" w:cs="Arial" w:eastAsia="Arial" w:hAnsi="Arial"/>
          <w:sz w:val="18"/>
          <w:szCs w:val="18"/>
          <w:color w:val="auto"/>
        </w:rPr>
        <w:t>Investment advisory revenues earned in Q3 2019 from the firm's U.S. mutual funds were $881.0 million, an increase of 0.4% from Q3 2018. Average assets under management in these funds increased 1.4% to $650.5 billion in Q3 2019.</w:t>
      </w:r>
    </w:p>
    <w:p>
      <w:pPr>
        <w:spacing w:after="0" w:line="252" w:lineRule="exact"/>
        <w:rPr>
          <w:rFonts w:ascii="Arial" w:cs="Arial" w:eastAsia="Arial" w:hAnsi="Arial"/>
          <w:sz w:val="22"/>
          <w:szCs w:val="22"/>
          <w:color w:val="40AEFF"/>
        </w:rPr>
      </w:pPr>
    </w:p>
    <w:p>
      <w:pPr>
        <w:ind w:left="660" w:right="80" w:hanging="328"/>
        <w:spacing w:after="0" w:line="399" w:lineRule="auto"/>
        <w:tabs>
          <w:tab w:leader="none" w:pos="660" w:val="left"/>
        </w:tabs>
        <w:numPr>
          <w:ilvl w:val="0"/>
          <w:numId w:val="22"/>
        </w:numPr>
        <w:rPr>
          <w:rFonts w:ascii="Arial" w:cs="Arial" w:eastAsia="Arial" w:hAnsi="Arial"/>
          <w:sz w:val="22"/>
          <w:szCs w:val="22"/>
          <w:color w:val="40AEFF"/>
        </w:rPr>
      </w:pPr>
      <w:r>
        <w:rPr>
          <w:rFonts w:ascii="Arial" w:cs="Arial" w:eastAsia="Arial" w:hAnsi="Arial"/>
          <w:sz w:val="18"/>
          <w:szCs w:val="18"/>
          <w:color w:val="auto"/>
        </w:rPr>
        <w:t>Investment advisory revenues earned in Q3 2019 from subadvised, separate accounts, and other investment products were $422.4 million, an increase of 9.4% from Q3 2018. Average assets under management for these products increased 11.3% to $479.7 billion in Q3 2019.</w:t>
      </w:r>
    </w:p>
    <w:p>
      <w:pPr>
        <w:spacing w:after="0" w:line="295" w:lineRule="exact"/>
        <w:rPr>
          <w:rFonts w:ascii="Arial" w:cs="Arial" w:eastAsia="Arial" w:hAnsi="Arial"/>
          <w:sz w:val="22"/>
          <w:szCs w:val="22"/>
          <w:color w:val="40AEFF"/>
        </w:rPr>
      </w:pPr>
    </w:p>
    <w:p>
      <w:pPr>
        <w:ind w:left="660" w:right="120" w:hanging="328"/>
        <w:spacing w:after="0" w:line="412" w:lineRule="auto"/>
        <w:tabs>
          <w:tab w:leader="none" w:pos="660" w:val="left"/>
        </w:tabs>
        <w:numPr>
          <w:ilvl w:val="0"/>
          <w:numId w:val="22"/>
        </w:numPr>
        <w:rPr>
          <w:rFonts w:ascii="Arial" w:cs="Arial" w:eastAsia="Arial" w:hAnsi="Arial"/>
          <w:sz w:val="22"/>
          <w:szCs w:val="22"/>
          <w:color w:val="40AEFF"/>
        </w:rPr>
      </w:pPr>
      <w:r>
        <w:rPr>
          <w:rFonts w:ascii="Arial" w:cs="Arial" w:eastAsia="Arial" w:hAnsi="Arial"/>
          <w:sz w:val="18"/>
          <w:szCs w:val="18"/>
          <w:color w:val="auto"/>
        </w:rPr>
        <w:t>The effective fee rate of 45.8 basis points in Q3 2019 decreased from 46.3 basis points in Q2 2019 and was lower than the 46.7 basis points in Q3 2018. The decline in the effective fee rate from Q2 2019 is largely due to a market-driven shift of assets under management from higher fee international equity strategies to lower fee strategies. Client transfers to lower fee vehicles or share classes over the last twelve months and, to a lesser extent, fee reductions the firm has made since Q3 2018 also drove the effective fee rate lower compared to Q3 2018. Over time, the firm's effective fee rate can be impacted by market or cash flow related shifts among asset and share classes, price changes in existing products, and asset level changes in products with tiered-fee structures.</w:t>
      </w:r>
    </w:p>
    <w:p>
      <w:pPr>
        <w:spacing w:after="0" w:line="287" w:lineRule="exact"/>
        <w:rPr>
          <w:rFonts w:ascii="Arial" w:cs="Arial" w:eastAsia="Arial" w:hAnsi="Arial"/>
          <w:sz w:val="22"/>
          <w:szCs w:val="22"/>
          <w:color w:val="40AEFF"/>
        </w:rPr>
      </w:pPr>
    </w:p>
    <w:p>
      <w:pPr>
        <w:jc w:val="both"/>
        <w:ind w:left="660" w:right="20" w:hanging="328"/>
        <w:spacing w:after="0" w:line="406" w:lineRule="auto"/>
        <w:tabs>
          <w:tab w:leader="none" w:pos="660" w:val="left"/>
        </w:tabs>
        <w:numPr>
          <w:ilvl w:val="0"/>
          <w:numId w:val="22"/>
        </w:numPr>
        <w:rPr>
          <w:rFonts w:ascii="Arial" w:cs="Arial" w:eastAsia="Arial" w:hAnsi="Arial"/>
          <w:sz w:val="22"/>
          <w:szCs w:val="22"/>
          <w:color w:val="40AEFF"/>
        </w:rPr>
      </w:pPr>
      <w:r>
        <w:rPr>
          <w:rFonts w:ascii="Arial" w:cs="Arial" w:eastAsia="Arial" w:hAnsi="Arial"/>
          <w:sz w:val="18"/>
          <w:szCs w:val="18"/>
          <w:color w:val="auto"/>
        </w:rPr>
        <w:t>Administrative, distribution, and servicing fees in Q3 2019 were $123.3 million, a decrease of $8.0 million from Q3 2018. The decrease was primarily attributable to lower 12b-1 revenue earned on certain share classes of the U.S. mutual funds. The 12b-1 revenue decline is offset entirely by a reduction in the costs paid to third-party intermediaries that source these assets and is reported in distribution and servicing expense.</w:t>
      </w:r>
    </w:p>
    <w:p>
      <w:pPr>
        <w:spacing w:after="0" w:line="262" w:lineRule="exact"/>
        <w:rPr>
          <w:sz w:val="20"/>
          <w:szCs w:val="20"/>
          <w:color w:val="auto"/>
        </w:rPr>
      </w:pPr>
    </w:p>
    <w:p>
      <w:pPr>
        <w:spacing w:after="0" w:line="361"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were $767.6 million in Q3 2019 compared with $754.0 million in Q3 2018. The increase in operating expenses for this</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was primarily due to higher salary, annual bonus accrual, and benefits expense; and the firm's continued strategic investments. Partially offsetting these increases was lower market-related compensation expense related to the supplemental savings plan in the third quarter of 2019 as compared to the third quarter of 2018.</w:t>
      </w:r>
    </w:p>
    <w:p>
      <w:pPr>
        <w:spacing w:after="0" w:line="26" w:lineRule="exact"/>
        <w:rPr>
          <w:sz w:val="20"/>
          <w:szCs w:val="20"/>
          <w:color w:val="auto"/>
        </w:rPr>
      </w:pPr>
    </w:p>
    <w:p>
      <w:pPr>
        <w:ind w:left="660" w:right="60" w:hanging="328"/>
        <w:spacing w:after="0" w:line="366" w:lineRule="auto"/>
        <w:tabs>
          <w:tab w:leader="none" w:pos="660" w:val="left"/>
        </w:tabs>
        <w:numPr>
          <w:ilvl w:val="0"/>
          <w:numId w:val="23"/>
        </w:numPr>
        <w:rPr>
          <w:rFonts w:ascii="Arial" w:cs="Arial" w:eastAsia="Arial" w:hAnsi="Arial"/>
          <w:sz w:val="22"/>
          <w:szCs w:val="22"/>
          <w:color w:val="40AEFF"/>
        </w:rPr>
      </w:pPr>
      <w:r>
        <w:rPr>
          <w:rFonts w:ascii="Arial" w:cs="Arial" w:eastAsia="Arial" w:hAnsi="Arial"/>
          <w:sz w:val="18"/>
          <w:szCs w:val="18"/>
          <w:color w:val="auto"/>
        </w:rPr>
        <w:t>On a non-GAAP basis, the firm's operating expenses in Q3 2019 increased 2.8% to $765.1 million compared with Q3 2018, while non-GAAP operating expense growth for the nine months ended</w:t>
      </w:r>
    </w:p>
    <w:p>
      <w:pPr>
        <w:ind w:left="660" w:right="80"/>
        <w:spacing w:after="0" w:line="370" w:lineRule="auto"/>
        <w:rPr>
          <w:rFonts w:ascii="Arial" w:cs="Arial" w:eastAsia="Arial" w:hAnsi="Arial"/>
          <w:sz w:val="22"/>
          <w:szCs w:val="22"/>
          <w:color w:val="40AEFF"/>
        </w:rPr>
      </w:pPr>
      <w:r>
        <w:rPr>
          <w:rFonts w:ascii="Arial" w:cs="Arial" w:eastAsia="Arial" w:hAnsi="Arial"/>
          <w:sz w:val="18"/>
          <w:szCs w:val="18"/>
          <w:color w:val="auto"/>
        </w:rPr>
        <w:t>September 30, 2019 was 2.5%. The firm is changing its full-year 2019 non-GAAP operating expense growth guidance from a range of 4% to 7% to a range of 4% to 5% as year-to-date distribution, product-related, and professional fee expenses, as well as headcount growth, have been lower than planned. This expense guidance includes continued investments in the business, the firm's cost optimization efforts, and the phased implementation of paying for all third-party investment research. The firm currently expects that its 2020 operating expenses will reflect a full year of all third-party investment research costs.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641" w:right="259" w:bottom="1440" w:gutter="0" w:footer="0" w:header="0"/>
        </w:sectPr>
      </w:pPr>
    </w:p>
    <w:bookmarkStart w:id="49" w:name="page50"/>
    <w:bookmarkEnd w:id="49"/>
    <w:p>
      <w:pPr>
        <w:ind w:left="660" w:hanging="328"/>
        <w:spacing w:after="0" w:line="407" w:lineRule="auto"/>
        <w:tabs>
          <w:tab w:leader="none" w:pos="660" w:val="left"/>
        </w:tabs>
        <w:numPr>
          <w:ilvl w:val="0"/>
          <w:numId w:val="24"/>
        </w:numPr>
        <w:rPr>
          <w:rFonts w:ascii="Arial" w:cs="Arial" w:eastAsia="Arial" w:hAnsi="Arial"/>
          <w:sz w:val="22"/>
          <w:szCs w:val="22"/>
          <w:color w:val="40AEFF"/>
        </w:rPr>
      </w:pPr>
      <w:r>
        <w:rPr>
          <w:rFonts w:ascii="Arial" w:cs="Arial" w:eastAsia="Arial" w:hAnsi="Arial"/>
          <w:sz w:val="18"/>
          <w:szCs w:val="18"/>
          <w:b w:val="1"/>
          <w:bCs w:val="1"/>
          <w:color w:val="auto"/>
        </w:rPr>
        <w:t xml:space="preserve">Compensation and related costs </w:t>
      </w:r>
      <w:r>
        <w:rPr>
          <w:rFonts w:ascii="Arial" w:cs="Arial" w:eastAsia="Arial" w:hAnsi="Arial"/>
          <w:sz w:val="18"/>
          <w:szCs w:val="18"/>
          <w:color w:val="auto"/>
        </w:rPr>
        <w:t>were $466.3 million in Q3 2019, an increase of 2.6%. This increase was primarily related to a 3.3%</w:t>
      </w:r>
      <w:r>
        <w:rPr>
          <w:rFonts w:ascii="Arial" w:cs="Arial" w:eastAsia="Arial" w:hAnsi="Arial"/>
          <w:sz w:val="18"/>
          <w:szCs w:val="18"/>
          <w:b w:val="1"/>
          <w:bCs w:val="1"/>
          <w:color w:val="auto"/>
        </w:rPr>
        <w:t xml:space="preserve"> </w:t>
      </w:r>
      <w:r>
        <w:rPr>
          <w:rFonts w:ascii="Arial" w:cs="Arial" w:eastAsia="Arial" w:hAnsi="Arial"/>
          <w:sz w:val="18"/>
          <w:szCs w:val="18"/>
          <w:color w:val="auto"/>
        </w:rPr>
        <w:t>growth in average headcount, the annual bonus accrual, and other employee-related expenses. The firm employed 7,262 associates at September 30, 2019. These increases in compensation expense were partially offset by lower market-driven compensation expenses related to the supplemental savings plan in Q3 2019 as compared to Q3 2018.</w:t>
      </w:r>
    </w:p>
    <w:p>
      <w:pPr>
        <w:spacing w:after="0" w:line="287" w:lineRule="exact"/>
        <w:rPr>
          <w:rFonts w:ascii="Arial" w:cs="Arial" w:eastAsia="Arial" w:hAnsi="Arial"/>
          <w:sz w:val="22"/>
          <w:szCs w:val="22"/>
          <w:color w:val="40AEFF"/>
        </w:rPr>
      </w:pPr>
    </w:p>
    <w:p>
      <w:pPr>
        <w:ind w:left="660" w:right="400" w:hanging="328"/>
        <w:spacing w:after="0" w:line="367" w:lineRule="auto"/>
        <w:tabs>
          <w:tab w:leader="none" w:pos="660" w:val="left"/>
        </w:tabs>
        <w:numPr>
          <w:ilvl w:val="0"/>
          <w:numId w:val="24"/>
        </w:numPr>
        <w:rPr>
          <w:rFonts w:ascii="Arial" w:cs="Arial" w:eastAsia="Arial" w:hAnsi="Arial"/>
          <w:sz w:val="22"/>
          <w:szCs w:val="22"/>
          <w:color w:val="40AEFF"/>
        </w:rPr>
      </w:pPr>
      <w:r>
        <w:rPr>
          <w:rFonts w:ascii="Arial" w:cs="Arial" w:eastAsia="Arial" w:hAnsi="Arial"/>
          <w:sz w:val="18"/>
          <w:szCs w:val="18"/>
          <w:b w:val="1"/>
          <w:bCs w:val="1"/>
          <w:color w:val="auto"/>
        </w:rPr>
        <w:t xml:space="preserve">Distribution and servicing </w:t>
      </w:r>
      <w:r>
        <w:rPr>
          <w:rFonts w:ascii="Arial" w:cs="Arial" w:eastAsia="Arial" w:hAnsi="Arial"/>
          <w:sz w:val="18"/>
          <w:szCs w:val="18"/>
          <w:color w:val="auto"/>
        </w:rPr>
        <w:t>includes those costs incurred to distribute T. Rowe Price products and to provide client or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servicing, recordkeeping, and administrative services. These costs were</w:t>
      </w:r>
    </w:p>
    <w:p>
      <w:pPr>
        <w:ind w:left="660" w:right="440"/>
        <w:spacing w:after="0" w:line="401" w:lineRule="auto"/>
        <w:rPr>
          <w:rFonts w:ascii="Arial" w:cs="Arial" w:eastAsia="Arial" w:hAnsi="Arial"/>
          <w:sz w:val="22"/>
          <w:szCs w:val="22"/>
          <w:color w:val="40AEFF"/>
        </w:rPr>
      </w:pPr>
      <w:r>
        <w:rPr>
          <w:rFonts w:ascii="Arial" w:cs="Arial" w:eastAsia="Arial" w:hAnsi="Arial"/>
          <w:sz w:val="18"/>
          <w:szCs w:val="18"/>
          <w:color w:val="auto"/>
        </w:rPr>
        <w:t>$64.5 million in Q3 2019, a decrease of 9.7% from the $71.4 million recognized in Q3 2018. The decrease was primarily driven by client transfers from U.S. mutual funds to lower fee vehicles or share classes over the last twelve months.</w:t>
      </w:r>
    </w:p>
    <w:p>
      <w:pPr>
        <w:spacing w:after="0" w:line="170" w:lineRule="exact"/>
        <w:rPr>
          <w:rFonts w:ascii="Arial" w:cs="Arial" w:eastAsia="Arial" w:hAnsi="Arial"/>
          <w:sz w:val="22"/>
          <w:szCs w:val="22"/>
          <w:color w:val="40AEFF"/>
        </w:rPr>
      </w:pPr>
    </w:p>
    <w:p>
      <w:pPr>
        <w:ind w:left="660" w:hanging="328"/>
        <w:spacing w:after="0" w:line="400" w:lineRule="auto"/>
        <w:tabs>
          <w:tab w:leader="none" w:pos="660" w:val="left"/>
        </w:tabs>
        <w:numPr>
          <w:ilvl w:val="0"/>
          <w:numId w:val="24"/>
        </w:numPr>
        <w:rPr>
          <w:rFonts w:ascii="Arial" w:cs="Arial" w:eastAsia="Arial" w:hAnsi="Arial"/>
          <w:sz w:val="22"/>
          <w:szCs w:val="22"/>
          <w:color w:val="40AEFF"/>
        </w:rPr>
      </w:pPr>
      <w:r>
        <w:rPr>
          <w:rFonts w:ascii="Arial" w:cs="Arial" w:eastAsia="Arial" w:hAnsi="Arial"/>
          <w:sz w:val="18"/>
          <w:szCs w:val="18"/>
          <w:b w:val="1"/>
          <w:bCs w:val="1"/>
          <w:color w:val="auto"/>
        </w:rPr>
        <w:t xml:space="preserve">Technology, occupancy, and facility costs </w:t>
      </w:r>
      <w:r>
        <w:rPr>
          <w:rFonts w:ascii="Arial" w:cs="Arial" w:eastAsia="Arial" w:hAnsi="Arial"/>
          <w:sz w:val="18"/>
          <w:szCs w:val="18"/>
          <w:color w:val="auto"/>
        </w:rPr>
        <w:t>were $106.5 million in Q3 2019, an increase of 10.4% from the $96.5 million recognized</w:t>
      </w:r>
      <w:r>
        <w:rPr>
          <w:rFonts w:ascii="Arial" w:cs="Arial" w:eastAsia="Arial" w:hAnsi="Arial"/>
          <w:sz w:val="18"/>
          <w:szCs w:val="18"/>
          <w:b w:val="1"/>
          <w:bCs w:val="1"/>
          <w:color w:val="auto"/>
        </w:rPr>
        <w:t xml:space="preserve"> </w:t>
      </w:r>
      <w:r>
        <w:rPr>
          <w:rFonts w:ascii="Arial" w:cs="Arial" w:eastAsia="Arial" w:hAnsi="Arial"/>
          <w:sz w:val="18"/>
          <w:szCs w:val="18"/>
          <w:color w:val="auto"/>
        </w:rPr>
        <w:t>in Q3 2018. The increase was due to incremental investment in the firm's technology capabilities, including related depreciation, hosted solution licenses, and maintenance programs, as well as increased office facility costs.</w:t>
      </w:r>
    </w:p>
    <w:p>
      <w:pPr>
        <w:spacing w:after="0" w:line="266" w:lineRule="exact"/>
        <w:rPr>
          <w:sz w:val="20"/>
          <w:szCs w:val="20"/>
          <w:color w:val="auto"/>
        </w:rPr>
      </w:pPr>
    </w:p>
    <w:p>
      <w:pPr>
        <w:ind w:right="100"/>
        <w:spacing w:after="0" w:line="374" w:lineRule="auto"/>
        <w:rPr>
          <w:sz w:val="20"/>
          <w:szCs w:val="20"/>
          <w:color w:val="auto"/>
        </w:rPr>
      </w:pPr>
      <w:r>
        <w:rPr>
          <w:rFonts w:ascii="Arial" w:cs="Arial" w:eastAsia="Arial" w:hAnsi="Arial"/>
          <w:sz w:val="18"/>
          <w:szCs w:val="18"/>
          <w:b w:val="1"/>
          <w:bCs w:val="1"/>
          <w:color w:val="auto"/>
        </w:rPr>
        <w:t xml:space="preserve">Non-operating income </w:t>
      </w:r>
      <w:r>
        <w:rPr>
          <w:rFonts w:ascii="Arial" w:cs="Arial" w:eastAsia="Arial" w:hAnsi="Arial"/>
          <w:sz w:val="18"/>
          <w:szCs w:val="18"/>
          <w:color w:val="auto"/>
        </w:rPr>
        <w:t>was $43.0 million in Q3 2019, a decrease of $81.9 million from the $124.9 million recognized in Q3 2018. The</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was due primarily to the absence of the gain the firm realized in Q3 2018 from the sale of its 10% holding in Daiwa SB Investments Ltd. The components of non-operating income for the third quarter and the first nine months of 2019 and 2018 are included in the tables at the end of this release.</w:t>
      </w:r>
    </w:p>
    <w:p>
      <w:pPr>
        <w:spacing w:after="0" w:line="263" w:lineRule="exact"/>
        <w:rPr>
          <w:sz w:val="20"/>
          <w:szCs w:val="20"/>
          <w:color w:val="auto"/>
        </w:rPr>
      </w:pPr>
    </w:p>
    <w:p>
      <w:pPr>
        <w:ind w:right="220"/>
        <w:spacing w:after="0" w:line="374"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firm's effective tax rate was 22.4% in Q3 2019 compared with 24.0% in Q3 2018. These rates contribute to effective tax</w:t>
      </w:r>
      <w:r>
        <w:rPr>
          <w:rFonts w:ascii="Arial" w:cs="Arial" w:eastAsia="Arial" w:hAnsi="Arial"/>
          <w:sz w:val="18"/>
          <w:szCs w:val="18"/>
          <w:b w:val="1"/>
          <w:bCs w:val="1"/>
          <w:color w:val="auto"/>
        </w:rPr>
        <w:t xml:space="preserve"> </w:t>
      </w:r>
      <w:r>
        <w:rPr>
          <w:rFonts w:ascii="Arial" w:cs="Arial" w:eastAsia="Arial" w:hAnsi="Arial"/>
          <w:sz w:val="18"/>
          <w:szCs w:val="18"/>
          <w:color w:val="auto"/>
        </w:rPr>
        <w:t>rates for the first nine months of 2019 and 2018 of 24.0% and 24.9%, respectively. The income tax provision for the first nine months of 2018 includes nonrecurring charges totaling $28.7 million related to the enactment of U.S. tax reform and Maryland state tax legislation. The components of the firm's effective tax rate for the third quarter and the first nine months of 2019 and 2018 are included in the table below.</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668" w:right="259" w:bottom="1440" w:gutter="0" w:footer="0" w:header="0"/>
        </w:sectPr>
      </w:pPr>
    </w:p>
    <w:bookmarkStart w:id="50" w:name="page51"/>
    <w:bookmarkEnd w:id="50"/>
    <w:p>
      <w:pPr>
        <w:ind w:right="420"/>
        <w:spacing w:after="0" w:line="401" w:lineRule="auto"/>
        <w:rPr>
          <w:sz w:val="20"/>
          <w:szCs w:val="20"/>
          <w:color w:val="auto"/>
        </w:rPr>
      </w:pPr>
      <w:r>
        <w:rPr>
          <w:rFonts w:ascii="Arial" w:cs="Arial" w:eastAsia="Arial" w:hAnsi="Arial"/>
          <w:sz w:val="18"/>
          <w:szCs w:val="18"/>
          <w:color w:val="auto"/>
        </w:rPr>
        <w:t>The following reconciles the statutory federal income tax rate to the firm's effective tax rate for the third quarter and the first nine months of 2019 and 2018:</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6140" w:type="dxa"/>
            <w:vAlign w:val="bottom"/>
            <w:shd w:val="clear" w:color="auto" w:fill="CCEEFF"/>
          </w:tcPr>
          <w:p>
            <w:pPr>
              <w:spacing w:after="0"/>
              <w:rPr>
                <w:sz w:val="23"/>
                <w:szCs w:val="23"/>
                <w:color w:val="auto"/>
              </w:rPr>
            </w:pPr>
          </w:p>
        </w:tc>
        <w:tc>
          <w:tcPr>
            <w:tcW w:w="2580" w:type="dxa"/>
            <w:vAlign w:val="bottom"/>
            <w:tcBorders>
              <w:right w:val="single" w:sz="8" w:color="auto"/>
            </w:tcBorders>
            <w:gridSpan w:val="4"/>
            <w:shd w:val="clear" w:color="auto" w:fill="CCEEFF"/>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23"/>
                <w:szCs w:val="23"/>
                <w:color w:val="auto"/>
              </w:rPr>
            </w:pPr>
          </w:p>
        </w:tc>
        <w:tc>
          <w:tcPr>
            <w:tcW w:w="260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14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9/30/2019</w:t>
            </w:r>
          </w:p>
        </w:tc>
        <w:tc>
          <w:tcPr>
            <w:tcW w:w="120" w:type="dxa"/>
            <w:vAlign w:val="bottom"/>
            <w:tcBorders>
              <w:top w:val="single" w:sz="8" w:color="auto"/>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9/30/2018</w:t>
            </w:r>
          </w:p>
        </w:tc>
        <w:tc>
          <w:tcPr>
            <w:tcW w:w="12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9/30/2019</w:t>
            </w:r>
          </w:p>
        </w:tc>
        <w:tc>
          <w:tcPr>
            <w:tcW w:w="12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9/30/2018</w:t>
            </w:r>
          </w:p>
        </w:tc>
      </w:tr>
      <w:tr>
        <w:trPr>
          <w:trHeight w:val="251"/>
        </w:trPr>
        <w:tc>
          <w:tcPr>
            <w:tcW w:w="6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Statutory U.S. federal income tax rate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198"/>
        </w:trPr>
        <w:tc>
          <w:tcPr>
            <w:tcW w:w="6140" w:type="dxa"/>
            <w:vAlign w:val="bottom"/>
          </w:tcPr>
          <w:p>
            <w:pPr>
              <w:ind w:left="40"/>
              <w:spacing w:after="0"/>
              <w:rPr>
                <w:sz w:val="20"/>
                <w:szCs w:val="20"/>
                <w:color w:val="auto"/>
              </w:rPr>
            </w:pPr>
            <w:r>
              <w:rPr>
                <w:rFonts w:ascii="Arial" w:cs="Arial" w:eastAsia="Arial" w:hAnsi="Arial"/>
                <w:sz w:val="16"/>
                <w:szCs w:val="16"/>
                <w:color w:val="auto"/>
              </w:rPr>
              <w:t>Impact of nonrecurring charge related to U.S. tax reform recognized in the second</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6"/>
        </w:trPr>
        <w:tc>
          <w:tcPr>
            <w:tcW w:w="6140" w:type="dxa"/>
            <w:vAlign w:val="bottom"/>
          </w:tcPr>
          <w:p>
            <w:pPr>
              <w:ind w:left="40"/>
              <w:spacing w:after="0"/>
              <w:rPr>
                <w:sz w:val="20"/>
                <w:szCs w:val="20"/>
                <w:color w:val="auto"/>
              </w:rPr>
            </w:pPr>
            <w:r>
              <w:rPr>
                <w:rFonts w:ascii="Arial" w:cs="Arial" w:eastAsia="Arial" w:hAnsi="Arial"/>
                <w:sz w:val="16"/>
                <w:szCs w:val="16"/>
                <w:color w:val="auto"/>
              </w:rPr>
              <w:t>quarter</w:t>
            </w:r>
          </w:p>
        </w:tc>
        <w:tc>
          <w:tcPr>
            <w:tcW w:w="13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1.0</w:t>
            </w:r>
          </w:p>
        </w:tc>
      </w:tr>
      <w:tr>
        <w:trPr>
          <w:trHeight w:val="206"/>
        </w:trPr>
        <w:tc>
          <w:tcPr>
            <w:tcW w:w="6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Impact of nonrecurring charge related to new Maryland state tax legislation</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4"/>
        </w:trPr>
        <w:tc>
          <w:tcPr>
            <w:tcW w:w="6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recognized in the second quarter</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w:t>
            </w:r>
          </w:p>
        </w:tc>
      </w:tr>
      <w:tr>
        <w:trPr>
          <w:trHeight w:val="270"/>
        </w:trPr>
        <w:tc>
          <w:tcPr>
            <w:tcW w:w="6140" w:type="dxa"/>
            <w:vAlign w:val="bottom"/>
          </w:tcPr>
          <w:p>
            <w:pPr>
              <w:ind w:left="40"/>
              <w:spacing w:after="0"/>
              <w:rPr>
                <w:sz w:val="20"/>
                <w:szCs w:val="20"/>
                <w:color w:val="auto"/>
              </w:rPr>
            </w:pPr>
            <w:r>
              <w:rPr>
                <w:rFonts w:ascii="Arial" w:cs="Arial" w:eastAsia="Arial" w:hAnsi="Arial"/>
                <w:sz w:val="16"/>
                <w:szCs w:val="16"/>
                <w:color w:val="auto"/>
              </w:rPr>
              <w:t>State income taxes for current year, net of federal income tax benefits</w:t>
            </w:r>
            <w:r>
              <w:rPr>
                <w:rFonts w:ascii="Arial" w:cs="Arial" w:eastAsia="Arial" w:hAnsi="Arial"/>
                <w:sz w:val="21"/>
                <w:szCs w:val="21"/>
                <w:color w:val="auto"/>
                <w:vertAlign w:val="superscript"/>
              </w:rPr>
              <w:t>(1)</w:t>
            </w:r>
          </w:p>
        </w:tc>
        <w:tc>
          <w:tcPr>
            <w:tcW w:w="1220" w:type="dxa"/>
            <w:vAlign w:val="bottom"/>
          </w:tcPr>
          <w:p>
            <w:pPr>
              <w:jc w:val="right"/>
              <w:ind w:right="141"/>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3"/>
                <w:szCs w:val="23"/>
                <w:color w:val="auto"/>
              </w:rPr>
            </w:pP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4.8</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3"/>
                <w:szCs w:val="23"/>
                <w:color w:val="auto"/>
              </w:rPr>
            </w:pP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4.6</w:t>
            </w:r>
          </w:p>
        </w:tc>
      </w:tr>
      <w:tr>
        <w:trPr>
          <w:trHeight w:val="270"/>
        </w:trPr>
        <w:tc>
          <w:tcPr>
            <w:tcW w:w="6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 redeemable non-controlling interests</w:t>
            </w:r>
          </w:p>
        </w:tc>
        <w:tc>
          <w:tcPr>
            <w:tcW w:w="1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r>
      <w:tr>
        <w:trPr>
          <w:trHeight w:val="262"/>
        </w:trPr>
        <w:tc>
          <w:tcPr>
            <w:tcW w:w="6140" w:type="dxa"/>
            <w:vAlign w:val="bottom"/>
          </w:tcPr>
          <w:p>
            <w:pPr>
              <w:ind w:left="40"/>
              <w:spacing w:after="0"/>
              <w:rPr>
                <w:sz w:val="20"/>
                <w:szCs w:val="20"/>
                <w:color w:val="auto"/>
              </w:rPr>
            </w:pPr>
            <w:r>
              <w:rPr>
                <w:rFonts w:ascii="Arial" w:cs="Arial" w:eastAsia="Arial" w:hAnsi="Arial"/>
                <w:sz w:val="16"/>
                <w:szCs w:val="16"/>
                <w:color w:val="auto"/>
              </w:rPr>
              <w:t>Net excess tax benefits from stock-based compensation plans activity</w:t>
            </w: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2"/>
                <w:szCs w:val="22"/>
                <w:color w:val="auto"/>
              </w:rPr>
            </w:pP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(1.8)</w:t>
            </w:r>
          </w:p>
        </w:tc>
      </w:tr>
      <w:tr>
        <w:trPr>
          <w:trHeight w:val="271"/>
        </w:trPr>
        <w:tc>
          <w:tcPr>
            <w:tcW w:w="6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items</w:t>
            </w:r>
          </w:p>
        </w:tc>
        <w:tc>
          <w:tcPr>
            <w:tcW w:w="12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(.9)</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r>
      <w:tr>
        <w:trPr>
          <w:trHeight w:val="242"/>
        </w:trPr>
        <w:tc>
          <w:tcPr>
            <w:tcW w:w="6140" w:type="dxa"/>
            <w:vAlign w:val="bottom"/>
          </w:tcPr>
          <w:p>
            <w:pPr>
              <w:ind w:left="40"/>
              <w:spacing w:after="0"/>
              <w:rPr>
                <w:sz w:val="20"/>
                <w:szCs w:val="20"/>
                <w:color w:val="auto"/>
              </w:rPr>
            </w:pPr>
            <w:r>
              <w:rPr>
                <w:rFonts w:ascii="Arial" w:cs="Arial" w:eastAsia="Arial" w:hAnsi="Arial"/>
                <w:sz w:val="16"/>
                <w:szCs w:val="16"/>
                <w:color w:val="auto"/>
              </w:rPr>
              <w:t>Effective income tax rate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22.4 %</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24.0 %</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8890</wp:posOffset>
            </wp:positionV>
            <wp:extent cx="33534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ind w:left="140" w:hanging="132"/>
        <w:spacing w:after="0"/>
        <w:tabs>
          <w:tab w:leader="none" w:pos="140" w:val="left"/>
        </w:tabs>
        <w:numPr>
          <w:ilvl w:val="0"/>
          <w:numId w:val="2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State income tax benefits are reflected in the total benefits for net income attributable to redeemable non-controlling interests and stock-based compensation plans activity.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firm estimates its GAAP effective tax rate for the full year 2019 will be in the range of 23% to 25%.</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 Rowe Price remains debt-free with ample liquidity, including cash and investments in T. Rowe Price products as follows:</w:t>
      </w:r>
    </w:p>
    <w:p>
      <w:pPr>
        <w:spacing w:after="0" w:line="200" w:lineRule="exact"/>
        <w:rPr>
          <w:sz w:val="20"/>
          <w:szCs w:val="20"/>
          <w:color w:val="auto"/>
        </w:rPr>
      </w:pP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69"/>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9/30/2019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4"/>
                <w:szCs w:val="14"/>
                <w:b w:val="1"/>
                <w:bCs w:val="1"/>
                <w:color w:val="auto"/>
              </w:rPr>
              <w:t>12/31/2018</w:t>
            </w:r>
          </w:p>
        </w:tc>
      </w:tr>
      <w:tr>
        <w:trPr>
          <w:trHeight w:val="246"/>
        </w:trPr>
        <w:tc>
          <w:tcPr>
            <w:tcW w:w="85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2,213.2</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1,425.2</w:t>
            </w:r>
          </w:p>
        </w:tc>
      </w:tr>
      <w:tr>
        <w:trPr>
          <w:trHeight w:val="270"/>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 investments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1,695.1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1,597.1</w:t>
            </w:r>
          </w:p>
        </w:tc>
      </w:tr>
      <w:tr>
        <w:trPr>
          <w:trHeight w:val="250"/>
        </w:trPr>
        <w:tc>
          <w:tcPr>
            <w:tcW w:w="8520" w:type="dxa"/>
            <w:vAlign w:val="bottom"/>
          </w:tcPr>
          <w:p>
            <w:pPr>
              <w:ind w:left="20"/>
              <w:spacing w:after="0"/>
              <w:rPr>
                <w:sz w:val="20"/>
                <w:szCs w:val="20"/>
                <w:color w:val="auto"/>
              </w:rPr>
            </w:pPr>
            <w:r>
              <w:rPr>
                <w:rFonts w:ascii="Arial" w:cs="Arial" w:eastAsia="Arial" w:hAnsi="Arial"/>
                <w:sz w:val="16"/>
                <w:szCs w:val="16"/>
                <w:color w:val="auto"/>
              </w:rPr>
              <w:t>Total cash and discretionary investments</w:t>
            </w:r>
          </w:p>
        </w:tc>
        <w:tc>
          <w:tcPr>
            <w:tcW w:w="2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3,908.3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3,022.3</w:t>
            </w:r>
          </w:p>
        </w:tc>
      </w:tr>
      <w:tr>
        <w:trPr>
          <w:trHeight w:val="275"/>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seed capital investments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1,257.7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1,118.9</w:t>
            </w:r>
          </w:p>
        </w:tc>
      </w:tr>
      <w:tr>
        <w:trPr>
          <w:trHeight w:val="265"/>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443.0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381.3</w:t>
            </w:r>
          </w:p>
        </w:tc>
      </w:tr>
      <w:tr>
        <w:trPr>
          <w:trHeight w:val="254"/>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investments in T. Rowe Price products</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5,609.0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4,522.5</w:t>
            </w:r>
          </w:p>
        </w:tc>
      </w:tr>
      <w:tr>
        <w:trPr>
          <w:trHeight w:val="20"/>
        </w:trPr>
        <w:tc>
          <w:tcPr>
            <w:tcW w:w="8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22"/>
          <w:szCs w:val="22"/>
          <w:color w:val="40AEFF"/>
        </w:rPr>
      </w:pPr>
      <w:r>
        <w:rPr>
          <w:rFonts w:ascii="Arial" w:cs="Arial" w:eastAsia="Arial" w:hAnsi="Arial"/>
          <w:sz w:val="18"/>
          <w:szCs w:val="18"/>
          <w:color w:val="auto"/>
        </w:rPr>
        <w:t>The firm's common shares outstanding were 234.7 million at September 30, 2019, compared with 238.1 million at the end of 2018.</w:t>
      </w:r>
    </w:p>
    <w:p>
      <w:pPr>
        <w:spacing w:after="0" w:line="200" w:lineRule="exact"/>
        <w:rPr>
          <w:rFonts w:ascii="Arial" w:cs="Arial" w:eastAsia="Arial" w:hAnsi="Arial"/>
          <w:sz w:val="22"/>
          <w:szCs w:val="22"/>
          <w:color w:val="40AEFF"/>
        </w:rPr>
      </w:pPr>
    </w:p>
    <w:p>
      <w:pPr>
        <w:spacing w:after="0" w:line="232" w:lineRule="exact"/>
        <w:rPr>
          <w:rFonts w:ascii="Arial" w:cs="Arial" w:eastAsia="Arial" w:hAnsi="Arial"/>
          <w:sz w:val="22"/>
          <w:szCs w:val="22"/>
          <w:color w:val="40AEFF"/>
        </w:rPr>
      </w:pPr>
    </w:p>
    <w:p>
      <w:pPr>
        <w:ind w:left="340" w:right="400" w:hanging="332"/>
        <w:spacing w:after="0" w:line="411" w:lineRule="auto"/>
        <w:tabs>
          <w:tab w:leader="none" w:pos="340" w:val="left"/>
        </w:tabs>
        <w:numPr>
          <w:ilvl w:val="0"/>
          <w:numId w:val="26"/>
        </w:numPr>
        <w:rPr>
          <w:rFonts w:ascii="Arial" w:cs="Arial" w:eastAsia="Arial" w:hAnsi="Arial"/>
          <w:sz w:val="22"/>
          <w:szCs w:val="22"/>
          <w:color w:val="40AEFF"/>
        </w:rPr>
      </w:pPr>
      <w:r>
        <w:rPr>
          <w:rFonts w:ascii="Arial" w:cs="Arial" w:eastAsia="Arial" w:hAnsi="Arial"/>
          <w:sz w:val="18"/>
          <w:szCs w:val="18"/>
          <w:color w:val="auto"/>
        </w:rPr>
        <w:t>In the first nine months of 2019, the firm expended $566.7 million to repurchase 5.7 million shares, or 2.4%, of its outstanding common shares at an average price of $99.57, including $173.1 million to repurchase 1.6 million shares during Q3 2019.</w:t>
      </w:r>
    </w:p>
    <w:p>
      <w:pPr>
        <w:spacing w:after="0" w:line="252" w:lineRule="exact"/>
        <w:rPr>
          <w:rFonts w:ascii="Arial" w:cs="Arial" w:eastAsia="Arial" w:hAnsi="Arial"/>
          <w:sz w:val="22"/>
          <w:szCs w:val="22"/>
          <w:color w:val="40AEFF"/>
        </w:rPr>
      </w:pPr>
    </w:p>
    <w:p>
      <w:pPr>
        <w:ind w:left="340" w:right="520" w:hanging="332"/>
        <w:spacing w:after="0" w:line="399" w:lineRule="auto"/>
        <w:tabs>
          <w:tab w:leader="none" w:pos="340" w:val="left"/>
        </w:tabs>
        <w:numPr>
          <w:ilvl w:val="0"/>
          <w:numId w:val="26"/>
        </w:numPr>
        <w:rPr>
          <w:rFonts w:ascii="Arial" w:cs="Arial" w:eastAsia="Arial" w:hAnsi="Arial"/>
          <w:sz w:val="22"/>
          <w:szCs w:val="22"/>
          <w:color w:val="40AEFF"/>
        </w:rPr>
      </w:pPr>
      <w:r>
        <w:rPr>
          <w:rFonts w:ascii="Arial" w:cs="Arial" w:eastAsia="Arial" w:hAnsi="Arial"/>
          <w:sz w:val="18"/>
          <w:szCs w:val="18"/>
          <w:color w:val="auto"/>
        </w:rPr>
        <w:t>The firm invested $148.9 million during the first nine months of 2019 in capitalized facilities and technology and expects capital expenditures for 2019 to be up to $200 million, of which about two-thirds is planned for technology initiatives. These expenditures are expected to continue to be funded from the firm's operating resources.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43"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Investment Performance</w:t>
      </w:r>
      <w:r>
        <w:rPr>
          <w:rFonts w:ascii="Arial" w:cs="Arial" w:eastAsia="Arial" w:hAnsi="Arial"/>
          <w:sz w:val="21"/>
          <w:szCs w:val="21"/>
          <w:b w:val="1"/>
          <w:bCs w:val="1"/>
          <w:color w:val="auto"/>
          <w:vertAlign w:val="superscript"/>
        </w:rPr>
        <w:t>(1)</w:t>
      </w:r>
    </w:p>
    <w:p>
      <w:pPr>
        <w:spacing w:after="0" w:line="69" w:lineRule="exact"/>
        <w:rPr>
          <w:sz w:val="20"/>
          <w:szCs w:val="20"/>
          <w:color w:val="auto"/>
        </w:rPr>
      </w:pPr>
    </w:p>
    <w:p>
      <w:pPr>
        <w:ind w:right="160"/>
        <w:spacing w:after="0" w:line="413" w:lineRule="auto"/>
        <w:rPr>
          <w:sz w:val="20"/>
          <w:szCs w:val="20"/>
          <w:color w:val="auto"/>
        </w:rPr>
      </w:pPr>
      <w:r>
        <w:rPr>
          <w:rFonts w:ascii="Arial" w:cs="Arial" w:eastAsia="Arial" w:hAnsi="Arial"/>
          <w:sz w:val="18"/>
          <w:szCs w:val="18"/>
          <w:color w:val="auto"/>
        </w:rPr>
        <w:t>The percentage of the firm's U.S. mutual funds</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(across primary share classes) that outperformed their comparable Morningstar median on a total return basis and that are in the top Morningstar quartile for the one-, three-, five-, and 10-years ended September 30, 2019, were: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80" w:type="dxa"/>
            <w:vAlign w:val="bottom"/>
            <w:shd w:val="clear" w:color="auto" w:fill="CCEEFF"/>
          </w:tcPr>
          <w:p>
            <w:pPr>
              <w:spacing w:after="0"/>
              <w:rPr>
                <w:sz w:val="23"/>
                <w:szCs w:val="23"/>
                <w:color w:val="auto"/>
              </w:rPr>
            </w:pP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1 year</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3 years</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5 years</w:t>
            </w: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 years</w:t>
            </w:r>
          </w:p>
        </w:tc>
      </w:tr>
      <w:tr>
        <w:trPr>
          <w:trHeight w:val="256"/>
        </w:trPr>
        <w:tc>
          <w:tcPr>
            <w:tcW w:w="3780" w:type="dxa"/>
            <w:vAlign w:val="bottom"/>
          </w:tcPr>
          <w:p>
            <w:pPr>
              <w:ind w:left="40"/>
              <w:spacing w:after="0"/>
              <w:rPr>
                <w:sz w:val="20"/>
                <w:szCs w:val="20"/>
                <w:color w:val="auto"/>
              </w:rPr>
            </w:pPr>
            <w:r>
              <w:rPr>
                <w:rFonts w:ascii="Arial" w:cs="Arial" w:eastAsia="Arial" w:hAnsi="Arial"/>
                <w:sz w:val="16"/>
                <w:szCs w:val="16"/>
                <w:color w:val="auto"/>
              </w:rPr>
              <w:t>Outperformed Morningstar median</w:t>
            </w: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r>
      <w:tr>
        <w:trPr>
          <w:trHeight w:val="278"/>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73%</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75%</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81%</w:t>
            </w:r>
          </w:p>
        </w:tc>
      </w:tr>
      <w:tr>
        <w:trPr>
          <w:trHeight w:val="262"/>
        </w:trPr>
        <w:tc>
          <w:tcPr>
            <w:tcW w:w="3780" w:type="dxa"/>
            <w:vAlign w:val="bottom"/>
          </w:tcPr>
          <w:p>
            <w:pPr>
              <w:ind w:left="220"/>
              <w:spacing w:after="0"/>
              <w:rPr>
                <w:sz w:val="20"/>
                <w:szCs w:val="20"/>
                <w:color w:val="auto"/>
              </w:rPr>
            </w:pPr>
            <w:r>
              <w:rPr>
                <w:rFonts w:ascii="Arial" w:cs="Arial" w:eastAsia="Arial" w:hAnsi="Arial"/>
                <w:sz w:val="16"/>
                <w:szCs w:val="16"/>
                <w:color w:val="auto"/>
              </w:rPr>
              <w:t>Multi-asset funds</w:t>
            </w: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86%</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74%</w:t>
            </w:r>
          </w:p>
        </w:tc>
        <w:tc>
          <w:tcPr>
            <w:tcW w:w="10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85%</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84%</w:t>
            </w:r>
          </w:p>
        </w:tc>
      </w:tr>
      <w:tr>
        <w:trPr>
          <w:trHeight w:val="170"/>
        </w:trPr>
        <w:tc>
          <w:tcPr>
            <w:tcW w:w="3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r>
        <w:trPr>
          <w:trHeight w:val="262"/>
        </w:trPr>
        <w:tc>
          <w:tcPr>
            <w:tcW w:w="3780" w:type="dxa"/>
            <w:vAlign w:val="bottom"/>
          </w:tcPr>
          <w:p>
            <w:pPr>
              <w:ind w:left="40"/>
              <w:spacing w:after="0"/>
              <w:rPr>
                <w:sz w:val="20"/>
                <w:szCs w:val="20"/>
                <w:color w:val="auto"/>
              </w:rPr>
            </w:pPr>
            <w:r>
              <w:rPr>
                <w:rFonts w:ascii="Arial" w:cs="Arial" w:eastAsia="Arial" w:hAnsi="Arial"/>
                <w:sz w:val="16"/>
                <w:szCs w:val="16"/>
                <w:color w:val="auto"/>
              </w:rPr>
              <w:t>Top Morningstar quartile</w:t>
            </w: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78"/>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43%</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45%</w:t>
            </w: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52%</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57%</w:t>
            </w:r>
          </w:p>
        </w:tc>
      </w:tr>
      <w:tr>
        <w:trPr>
          <w:trHeight w:val="255"/>
        </w:trPr>
        <w:tc>
          <w:tcPr>
            <w:tcW w:w="3780" w:type="dxa"/>
            <w:vAlign w:val="bottom"/>
          </w:tcPr>
          <w:p>
            <w:pPr>
              <w:ind w:left="220"/>
              <w:spacing w:after="0"/>
              <w:rPr>
                <w:sz w:val="20"/>
                <w:szCs w:val="20"/>
                <w:color w:val="auto"/>
              </w:rPr>
            </w:pPr>
            <w:r>
              <w:rPr>
                <w:rFonts w:ascii="Arial" w:cs="Arial" w:eastAsia="Arial" w:hAnsi="Arial"/>
                <w:sz w:val="16"/>
                <w:szCs w:val="16"/>
                <w:color w:val="auto"/>
              </w:rPr>
              <w:t>Multi-asset funds</w:t>
            </w: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47%</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56%</w:t>
            </w:r>
          </w:p>
        </w:tc>
        <w:tc>
          <w:tcPr>
            <w:tcW w:w="10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62%</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79%</w:t>
            </w:r>
          </w:p>
        </w:tc>
      </w:tr>
    </w:tbl>
    <w:p>
      <w:pPr>
        <w:ind w:left="180" w:right="200" w:hanging="172"/>
        <w:spacing w:after="0" w:line="243" w:lineRule="auto"/>
        <w:tabs>
          <w:tab w:leader="none" w:pos="153" w:val="left"/>
        </w:tabs>
        <w:numPr>
          <w:ilvl w:val="0"/>
          <w:numId w:val="27"/>
        </w:numPr>
        <w:rPr>
          <w:rFonts w:ascii="Arial" w:cs="Arial" w:eastAsia="Arial" w:hAnsi="Arial"/>
          <w:sz w:val="9"/>
          <w:szCs w:val="9"/>
          <w:i w:val="1"/>
          <w:iCs w:val="1"/>
          <w:color w:val="auto"/>
        </w:rPr>
      </w:pPr>
      <w:r>
        <w:rPr>
          <w:rFonts w:ascii="Arial" w:cs="Arial" w:eastAsia="Arial" w:hAnsi="Arial"/>
          <w:sz w:val="13"/>
          <w:szCs w:val="13"/>
          <w:i w:val="1"/>
          <w:iCs w:val="1"/>
          <w:color w:val="auto"/>
        </w:rPr>
        <w:t>Source: © 2019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 Past performance is no guarantee of future results.</w:t>
      </w:r>
    </w:p>
    <w:p>
      <w:pPr>
        <w:spacing w:after="0" w:line="1" w:lineRule="exact"/>
        <w:rPr>
          <w:rFonts w:ascii="Arial" w:cs="Arial" w:eastAsia="Arial" w:hAnsi="Arial"/>
          <w:sz w:val="9"/>
          <w:szCs w:val="9"/>
          <w:i w:val="1"/>
          <w:iCs w:val="1"/>
          <w:color w:val="auto"/>
        </w:rPr>
      </w:pPr>
    </w:p>
    <w:p>
      <w:pPr>
        <w:ind w:left="160" w:hanging="152"/>
        <w:spacing w:after="0"/>
        <w:tabs>
          <w:tab w:leader="none" w:pos="160" w:val="left"/>
        </w:tabs>
        <w:numPr>
          <w:ilvl w:val="0"/>
          <w:numId w:val="27"/>
        </w:numPr>
        <w:rPr>
          <w:rFonts w:ascii="Arial" w:cs="Arial" w:eastAsia="Arial" w:hAnsi="Arial"/>
          <w:sz w:val="9"/>
          <w:szCs w:val="9"/>
          <w:i w:val="1"/>
          <w:iCs w:val="1"/>
          <w:color w:val="auto"/>
        </w:rPr>
      </w:pPr>
      <w:r>
        <w:rPr>
          <w:rFonts w:ascii="Arial" w:cs="Arial" w:eastAsia="Arial" w:hAnsi="Arial"/>
          <w:sz w:val="13"/>
          <w:szCs w:val="13"/>
          <w:i w:val="1"/>
          <w:iCs w:val="1"/>
          <w:color w:val="auto"/>
        </w:rPr>
        <w:t>Excludes passive and fund categories not ranked by Morningstar.</w:t>
      </w:r>
    </w:p>
    <w:p>
      <w:pPr>
        <w:spacing w:after="0" w:line="347" w:lineRule="exact"/>
        <w:rPr>
          <w:sz w:val="20"/>
          <w:szCs w:val="20"/>
          <w:color w:val="auto"/>
        </w:rPr>
      </w:pPr>
    </w:p>
    <w:p>
      <w:pPr>
        <w:ind w:right="120"/>
        <w:spacing w:after="0" w:line="381" w:lineRule="auto"/>
        <w:rPr>
          <w:sz w:val="20"/>
          <w:szCs w:val="20"/>
          <w:color w:val="auto"/>
        </w:rPr>
      </w:pPr>
      <w:r>
        <w:rPr>
          <w:rFonts w:ascii="Arial" w:cs="Arial" w:eastAsia="Arial" w:hAnsi="Arial"/>
          <w:sz w:val="18"/>
          <w:szCs w:val="18"/>
          <w:color w:val="auto"/>
        </w:rPr>
        <w:t>In addition, 84.7% of the firm's rated U.S. mutual funds' assets under management ended the quarter with an overall rating of four or five stars from Morningstar. The performance of the firm's institutional strategies against their benchmarks remains competitive, especially over longer time periods.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65" w:lineRule="exact"/>
        <w:rPr>
          <w:sz w:val="20"/>
          <w:szCs w:val="20"/>
          <w:color w:val="auto"/>
        </w:rPr>
      </w:pPr>
    </w:p>
    <w:p>
      <w:pPr>
        <w:ind w:right="40"/>
        <w:spacing w:after="0" w:line="381" w:lineRule="auto"/>
        <w:rPr>
          <w:sz w:val="20"/>
          <w:szCs w:val="20"/>
          <w:color w:val="auto"/>
        </w:rPr>
      </w:pPr>
      <w:r>
        <w:rPr>
          <w:rFonts w:ascii="Arial" w:cs="Arial" w:eastAsia="Arial" w:hAnsi="Arial"/>
          <w:sz w:val="18"/>
          <w:szCs w:val="18"/>
          <w:color w:val="auto"/>
        </w:rPr>
        <w:t>The financial results presented in this release are unaudited. The firm expects that it will file its Form 10-Q Quarterly Report for the third quarter of 2019 with the U.S. Securities and Exchange Commission later today. The Form 10-Q will include additional information on the firm's unaudited consolidated financial results at September 30, 2019.</w:t>
      </w:r>
    </w:p>
    <w:p>
      <w:pPr>
        <w:spacing w:after="0" w:line="162" w:lineRule="exact"/>
        <w:rPr>
          <w:sz w:val="20"/>
          <w:szCs w:val="20"/>
          <w:color w:val="auto"/>
        </w:rPr>
      </w:pPr>
    </w:p>
    <w:p>
      <w:pPr>
        <w:ind w:right="20"/>
        <w:spacing w:after="0" w:line="368" w:lineRule="auto"/>
        <w:rPr>
          <w:sz w:val="20"/>
          <w:szCs w:val="20"/>
          <w:color w:val="auto"/>
        </w:rPr>
      </w:pPr>
      <w:r>
        <w:rPr>
          <w:rFonts w:ascii="Arial" w:cs="Arial" w:eastAsia="Arial" w:hAnsi="Arial"/>
          <w:sz w:val="18"/>
          <w:szCs w:val="18"/>
          <w:color w:val="auto"/>
        </w:rPr>
        <w:t>Certain statements in this earnings release may represent “forward-looking information,” including information relating to anticipated changes in revenues, net income and earnings per common share, anticipated changes in the amount and composition of assets under management, anticipated expense levels, estimated tax rates, and expectations regarding financial results, future transactions, new products and services, investments, capital expenditures, dividends, stock repurchases, the timing of the assumption of all third party research payments, changes in our effective fee rate, and other market conditions. For a discussion concerning risks and other factors that could affect future results, see the firm's 2018 Form 10-K.</w:t>
      </w:r>
    </w:p>
    <w:p>
      <w:pPr>
        <w:spacing w:after="0" w:line="174" w:lineRule="exact"/>
        <w:rPr>
          <w:sz w:val="20"/>
          <w:szCs w:val="20"/>
          <w:color w:val="auto"/>
        </w:rPr>
      </w:pPr>
    </w:p>
    <w:p>
      <w:pPr>
        <w:ind w:right="100"/>
        <w:spacing w:after="0" w:line="374" w:lineRule="auto"/>
        <w:rPr>
          <w:sz w:val="20"/>
          <w:szCs w:val="20"/>
          <w:color w:val="auto"/>
        </w:rPr>
      </w:pPr>
      <w:r>
        <w:rPr>
          <w:rFonts w:ascii="Arial" w:cs="Arial" w:eastAsia="Arial" w:hAnsi="Arial"/>
          <w:sz w:val="18"/>
          <w:szCs w:val="18"/>
          <w:color w:val="auto"/>
        </w:rPr>
        <w:t>Founded in 1937, Baltimore-based T. Rowe Price (</w:t>
      </w:r>
      <w:r>
        <w:rPr>
          <w:rFonts w:ascii="Arial" w:cs="Arial" w:eastAsia="Arial" w:hAnsi="Arial"/>
          <w:sz w:val="18"/>
          <w:szCs w:val="18"/>
          <w:b w:val="1"/>
          <w:bCs w:val="1"/>
          <w:color w:val="054C70"/>
        </w:rPr>
        <w:t>troweprice.com</w:t>
      </w:r>
      <w:r>
        <w:rPr>
          <w:rFonts w:ascii="Arial" w:cs="Arial" w:eastAsia="Arial" w:hAnsi="Arial"/>
          <w:sz w:val="18"/>
          <w:szCs w:val="18"/>
          <w:color w:val="auto"/>
        </w:rPr>
        <w:t>)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80" w:type="dxa"/>
            <w:vAlign w:val="bottom"/>
            <w:gridSpan w:val="3"/>
          </w:tcPr>
          <w:p>
            <w:pPr>
              <w:spacing w:after="0"/>
              <w:rPr>
                <w:sz w:val="20"/>
                <w:szCs w:val="20"/>
                <w:color w:val="auto"/>
              </w:rPr>
            </w:pPr>
            <w:r>
              <w:rPr>
                <w:rFonts w:ascii="Arial" w:cs="Arial" w:eastAsia="Arial" w:hAnsi="Arial"/>
                <w:sz w:val="18"/>
                <w:szCs w:val="18"/>
                <w:b w:val="1"/>
                <w:bCs w:val="1"/>
                <w:color w:val="05C3DE"/>
              </w:rPr>
              <w:t>CONTACTS:</w:t>
            </w:r>
          </w:p>
        </w:tc>
        <w:tc>
          <w:tcPr>
            <w:tcW w:w="2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380"/>
        </w:trPr>
        <w:tc>
          <w:tcPr>
            <w:tcW w:w="4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054C70"/>
                <w:w w:val="98"/>
              </w:rPr>
              <w:t>Public Relations</w:t>
            </w:r>
          </w:p>
        </w:tc>
        <w:tc>
          <w:tcPr>
            <w:tcW w:w="27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b w:val="1"/>
                <w:bCs w:val="1"/>
                <w:color w:val="054C70"/>
              </w:rPr>
              <w:t>Investor Relations</w:t>
            </w:r>
          </w:p>
        </w:tc>
      </w:tr>
      <w:tr>
        <w:trPr>
          <w:trHeight w:val="295"/>
        </w:trPr>
        <w:tc>
          <w:tcPr>
            <w:tcW w:w="40" w:type="dxa"/>
            <w:vAlign w:val="bottom"/>
          </w:tcPr>
          <w:p>
            <w:pPr>
              <w:spacing w:after="0"/>
              <w:rPr>
                <w:sz w:val="24"/>
                <w:szCs w:val="24"/>
                <w:color w:val="auto"/>
              </w:rPr>
            </w:pPr>
          </w:p>
        </w:tc>
        <w:tc>
          <w:tcPr>
            <w:tcW w:w="1400" w:type="dxa"/>
            <w:vAlign w:val="bottom"/>
            <w:tcBorders>
              <w:top w:val="single" w:sz="8" w:color="054C70"/>
            </w:tcBorders>
          </w:tcPr>
          <w:p>
            <w:pPr>
              <w:spacing w:after="0"/>
              <w:rPr>
                <w:sz w:val="20"/>
                <w:szCs w:val="20"/>
                <w:color w:val="auto"/>
              </w:rPr>
            </w:pPr>
            <w:r>
              <w:rPr>
                <w:rFonts w:ascii="Arial" w:cs="Arial" w:eastAsia="Arial" w:hAnsi="Arial"/>
                <w:sz w:val="18"/>
                <w:szCs w:val="18"/>
                <w:color w:val="3B3B3B"/>
              </w:rPr>
              <w:t>Brian Lewbart</w:t>
            </w:r>
          </w:p>
        </w:tc>
        <w:tc>
          <w:tcPr>
            <w:tcW w:w="27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560" w:type="dxa"/>
            <w:vAlign w:val="bottom"/>
            <w:tcBorders>
              <w:top w:val="single" w:sz="8" w:color="054C70"/>
            </w:tcBorders>
          </w:tcPr>
          <w:p>
            <w:pPr>
              <w:spacing w:after="0"/>
              <w:rPr>
                <w:sz w:val="20"/>
                <w:szCs w:val="20"/>
                <w:color w:val="auto"/>
              </w:rPr>
            </w:pPr>
            <w:r>
              <w:rPr>
                <w:rFonts w:ascii="Arial" w:cs="Arial" w:eastAsia="Arial" w:hAnsi="Arial"/>
                <w:sz w:val="18"/>
                <w:szCs w:val="18"/>
                <w:color w:val="3B3B3B"/>
              </w:rPr>
              <w:t>Meghan Azevedo</w:t>
            </w:r>
          </w:p>
        </w:tc>
        <w:tc>
          <w:tcPr>
            <w:tcW w:w="1460" w:type="dxa"/>
            <w:vAlign w:val="bottom"/>
          </w:tcPr>
          <w:p>
            <w:pPr>
              <w:spacing w:after="0"/>
              <w:rPr>
                <w:sz w:val="24"/>
                <w:szCs w:val="24"/>
                <w:color w:val="auto"/>
              </w:rPr>
            </w:pPr>
          </w:p>
        </w:tc>
      </w:tr>
      <w:tr>
        <w:trPr>
          <w:trHeight w:val="270"/>
        </w:trPr>
        <w:tc>
          <w:tcPr>
            <w:tcW w:w="1440" w:type="dxa"/>
            <w:vAlign w:val="bottom"/>
            <w:gridSpan w:val="2"/>
          </w:tcPr>
          <w:p>
            <w:pPr>
              <w:ind w:left="40"/>
              <w:spacing w:after="0"/>
              <w:rPr>
                <w:sz w:val="20"/>
                <w:szCs w:val="20"/>
                <w:color w:val="auto"/>
              </w:rPr>
            </w:pPr>
            <w:r>
              <w:rPr>
                <w:rFonts w:ascii="Arial" w:cs="Arial" w:eastAsia="Arial" w:hAnsi="Arial"/>
                <w:sz w:val="18"/>
                <w:szCs w:val="18"/>
                <w:color w:val="3B3B3B"/>
              </w:rPr>
              <w:t>410-345-2242</w:t>
            </w:r>
          </w:p>
        </w:tc>
        <w:tc>
          <w:tcPr>
            <w:tcW w:w="2740" w:type="dxa"/>
            <w:vAlign w:val="bottom"/>
          </w:tcPr>
          <w:p>
            <w:pPr>
              <w:spacing w:after="0"/>
              <w:rPr>
                <w:sz w:val="23"/>
                <w:szCs w:val="23"/>
                <w:color w:val="auto"/>
              </w:rPr>
            </w:pPr>
          </w:p>
        </w:tc>
        <w:tc>
          <w:tcPr>
            <w:tcW w:w="3920" w:type="dxa"/>
            <w:vAlign w:val="bottom"/>
            <w:gridSpan w:val="2"/>
          </w:tcPr>
          <w:p>
            <w:pPr>
              <w:ind w:left="2360"/>
              <w:spacing w:after="0"/>
              <w:rPr>
                <w:sz w:val="20"/>
                <w:szCs w:val="20"/>
                <w:color w:val="auto"/>
              </w:rPr>
            </w:pPr>
            <w:r>
              <w:rPr>
                <w:rFonts w:ascii="Arial" w:cs="Arial" w:eastAsia="Arial" w:hAnsi="Arial"/>
                <w:sz w:val="18"/>
                <w:szCs w:val="18"/>
                <w:color w:val="3B3B3B"/>
              </w:rPr>
              <w:t>410-345-2756</w:t>
            </w:r>
          </w:p>
        </w:tc>
        <w:tc>
          <w:tcPr>
            <w:tcW w:w="1460" w:type="dxa"/>
            <w:vAlign w:val="bottom"/>
          </w:tcPr>
          <w:p>
            <w:pPr>
              <w:spacing w:after="0"/>
              <w:rPr>
                <w:sz w:val="23"/>
                <w:szCs w:val="23"/>
                <w:color w:val="auto"/>
              </w:rPr>
            </w:pPr>
          </w:p>
        </w:tc>
      </w:tr>
      <w:tr>
        <w:trPr>
          <w:trHeight w:val="278"/>
        </w:trPr>
        <w:tc>
          <w:tcPr>
            <w:tcW w:w="4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b w:val="1"/>
                <w:bCs w:val="1"/>
                <w:color w:val="054C70"/>
              </w:rPr>
              <w:t>brian_lewbart@troweprice.com</w:t>
            </w:r>
          </w:p>
        </w:tc>
        <w:tc>
          <w:tcPr>
            <w:tcW w:w="236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b w:val="1"/>
                <w:bCs w:val="1"/>
                <w:color w:val="054C70"/>
                <w:w w:val="99"/>
              </w:rPr>
              <w:t>meghan_azevedo@troweprice.com</w:t>
            </w:r>
          </w:p>
        </w:tc>
      </w:tr>
      <w:tr>
        <w:trPr>
          <w:trHeight w:val="681"/>
        </w:trPr>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360" w:type="dxa"/>
            <w:vAlign w:val="bottom"/>
          </w:tcPr>
          <w:p>
            <w:pPr>
              <w:jc w:val="right"/>
              <w:ind w:right="690"/>
              <w:spacing w:after="0"/>
              <w:rPr>
                <w:sz w:val="20"/>
                <w:szCs w:val="20"/>
                <w:color w:val="auto"/>
              </w:rPr>
            </w:pPr>
            <w:r>
              <w:rPr>
                <w:rFonts w:ascii="Arial" w:cs="Arial" w:eastAsia="Arial" w:hAnsi="Arial"/>
                <w:sz w:val="18"/>
                <w:szCs w:val="18"/>
                <w:color w:val="auto"/>
              </w:rPr>
              <w:t>7</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595" w:right="239" w:bottom="1440" w:gutter="0" w:footer="0" w:header="0"/>
        </w:sectPr>
      </w:pPr>
    </w:p>
    <w:bookmarkStart w:id="52" w:name="page53"/>
    <w:bookmarkEnd w:id="52"/>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166370</wp:posOffset>
            </wp:positionH>
            <wp:positionV relativeFrom="page">
              <wp:posOffset>474980</wp:posOffset>
            </wp:positionV>
            <wp:extent cx="72377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t>Unaudited Consolidated Statements of Income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 except per-share amounts)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160" w:type="dxa"/>
            <w:vAlign w:val="bottom"/>
            <w:tcBorders>
              <w:right w:val="single" w:sz="8" w:color="auto"/>
            </w:tcBorders>
            <w:gridSpan w:val="5"/>
            <w:shd w:val="clear" w:color="auto" w:fill="CCEEFF"/>
          </w:tcPr>
          <w:p>
            <w:pPr>
              <w:ind w:left="280"/>
              <w:spacing w:after="0"/>
              <w:rPr>
                <w:sz w:val="20"/>
                <w:szCs w:val="20"/>
                <w:color w:val="auto"/>
              </w:rPr>
            </w:pPr>
            <w:r>
              <w:rPr>
                <w:rFonts w:ascii="Arial" w:cs="Arial" w:eastAsia="Arial" w:hAnsi="Arial"/>
                <w:sz w:val="14"/>
                <w:szCs w:val="14"/>
                <w:color w:val="auto"/>
              </w:rPr>
              <w:t>Three months ended</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0" w:type="dxa"/>
            <w:vAlign w:val="bottom"/>
            <w:gridSpan w:val="4"/>
            <w:shd w:val="clear" w:color="auto" w:fill="CCEEFF"/>
          </w:tcPr>
          <w:p>
            <w:pPr>
              <w:jc w:val="right"/>
              <w:ind w:right="368"/>
              <w:spacing w:after="0"/>
              <w:rPr>
                <w:sz w:val="20"/>
                <w:szCs w:val="20"/>
                <w:color w:val="auto"/>
              </w:rPr>
            </w:pPr>
            <w:r>
              <w:rPr>
                <w:rFonts w:ascii="Arial" w:cs="Arial" w:eastAsia="Arial" w:hAnsi="Arial"/>
                <w:sz w:val="14"/>
                <w:szCs w:val="14"/>
                <w:color w:val="auto"/>
              </w:rPr>
              <w:t>Nine months ended</w:t>
            </w:r>
          </w:p>
        </w:tc>
      </w:tr>
      <w:tr>
        <w:trPr>
          <w:trHeight w:val="263"/>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9/30/2019</w:t>
            </w:r>
          </w:p>
        </w:tc>
        <w:tc>
          <w:tcPr>
            <w:tcW w:w="12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9/30/2018</w:t>
            </w:r>
          </w:p>
        </w:tc>
        <w:tc>
          <w:tcPr>
            <w:tcW w:w="12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9/30/2019</w:t>
            </w:r>
          </w:p>
        </w:tc>
        <w:tc>
          <w:tcPr>
            <w:tcW w:w="1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9/30/2018</w:t>
            </w:r>
          </w:p>
        </w:tc>
      </w:tr>
      <w:tr>
        <w:trPr>
          <w:trHeight w:val="251"/>
        </w:trPr>
        <w:tc>
          <w:tcPr>
            <w:tcW w:w="6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 advisory fees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1,303.4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1,263.3</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3,767.8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3,666.9</w:t>
            </w:r>
          </w:p>
        </w:tc>
      </w:tr>
      <w:tr>
        <w:trPr>
          <w:trHeight w:val="266"/>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Administrative, distribution, and servicing fees</w:t>
            </w: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131.3</w:t>
            </w:r>
          </w:p>
        </w:tc>
        <w:tc>
          <w:tcPr>
            <w:tcW w:w="12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381.4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400.7</w:t>
            </w:r>
          </w:p>
        </w:tc>
      </w:tr>
      <w:tr>
        <w:trPr>
          <w:trHeight w:val="253"/>
        </w:trPr>
        <w:tc>
          <w:tcPr>
            <w:tcW w:w="68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Net revenues</w:t>
            </w: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1,426.7</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1,394.6</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4,149.2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4,067.6</w:t>
            </w:r>
          </w:p>
        </w:tc>
      </w:tr>
      <w:tr>
        <w:trPr>
          <w:trHeight w:val="116"/>
        </w:trPr>
        <w:tc>
          <w:tcPr>
            <w:tcW w:w="6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70"/>
        </w:trPr>
        <w:tc>
          <w:tcPr>
            <w:tcW w:w="6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6"/>
        </w:trPr>
        <w:tc>
          <w:tcPr>
            <w:tcW w:w="6840" w:type="dxa"/>
            <w:vAlign w:val="bottom"/>
          </w:tcPr>
          <w:p>
            <w:pPr>
              <w:ind w:left="140"/>
              <w:spacing w:after="0"/>
              <w:rPr>
                <w:sz w:val="20"/>
                <w:szCs w:val="20"/>
                <w:color w:val="auto"/>
              </w:rPr>
            </w:pPr>
            <w:r>
              <w:rPr>
                <w:rFonts w:ascii="Arial" w:cs="Arial" w:eastAsia="Arial" w:hAnsi="Arial"/>
                <w:sz w:val="14"/>
                <w:szCs w:val="14"/>
                <w:color w:val="auto"/>
              </w:rPr>
              <w:t>Compensation and related costs</w:t>
            </w: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466.3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454.3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1,441.0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1,351.7</w:t>
            </w:r>
          </w:p>
        </w:tc>
      </w:tr>
      <w:tr>
        <w:trPr>
          <w:trHeight w:val="274"/>
        </w:trPr>
        <w:tc>
          <w:tcPr>
            <w:tcW w:w="6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Distribution and servicing</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71.4</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213.3</w:t>
            </w:r>
          </w:p>
        </w:tc>
      </w:tr>
      <w:tr>
        <w:trPr>
          <w:trHeight w:val="266"/>
        </w:trPr>
        <w:tc>
          <w:tcPr>
            <w:tcW w:w="6840" w:type="dxa"/>
            <w:vAlign w:val="bottom"/>
          </w:tcPr>
          <w:p>
            <w:pPr>
              <w:ind w:left="140"/>
              <w:spacing w:after="0"/>
              <w:rPr>
                <w:sz w:val="20"/>
                <w:szCs w:val="20"/>
                <w:color w:val="auto"/>
              </w:rPr>
            </w:pPr>
            <w:r>
              <w:rPr>
                <w:rFonts w:ascii="Arial" w:cs="Arial" w:eastAsia="Arial" w:hAnsi="Arial"/>
                <w:sz w:val="14"/>
                <w:szCs w:val="14"/>
                <w:color w:val="auto"/>
              </w:rPr>
              <w:t>Advertising and promotion</w:t>
            </w: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20.2</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58.5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63.8</w:t>
            </w:r>
          </w:p>
        </w:tc>
      </w:tr>
      <w:tr>
        <w:trPr>
          <w:trHeight w:val="274"/>
        </w:trPr>
        <w:tc>
          <w:tcPr>
            <w:tcW w:w="6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Product-related costs</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37.9</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117.1</w:t>
            </w:r>
          </w:p>
        </w:tc>
      </w:tr>
      <w:tr>
        <w:trPr>
          <w:trHeight w:val="266"/>
        </w:trPr>
        <w:tc>
          <w:tcPr>
            <w:tcW w:w="6840" w:type="dxa"/>
            <w:vAlign w:val="bottom"/>
          </w:tcPr>
          <w:p>
            <w:pPr>
              <w:ind w:left="140"/>
              <w:spacing w:after="0"/>
              <w:rPr>
                <w:sz w:val="20"/>
                <w:szCs w:val="20"/>
                <w:color w:val="auto"/>
              </w:rPr>
            </w:pPr>
            <w:r>
              <w:rPr>
                <w:rFonts w:ascii="Arial" w:cs="Arial" w:eastAsia="Arial" w:hAnsi="Arial"/>
                <w:sz w:val="14"/>
                <w:szCs w:val="14"/>
                <w:color w:val="auto"/>
              </w:rPr>
              <w:t>Technology, occupancy, and facility costs</w:t>
            </w: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96.5</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283.8</w:t>
            </w:r>
          </w:p>
        </w:tc>
      </w:tr>
      <w:tr>
        <w:trPr>
          <w:trHeight w:val="270"/>
        </w:trPr>
        <w:tc>
          <w:tcPr>
            <w:tcW w:w="6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General, administrative, and other</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73.7</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222.6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218.8</w:t>
            </w:r>
          </w:p>
        </w:tc>
      </w:tr>
      <w:tr>
        <w:trPr>
          <w:trHeight w:val="253"/>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operating expenses</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767.6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754.0</w:t>
            </w:r>
          </w:p>
        </w:tc>
        <w:tc>
          <w:tcPr>
            <w:tcW w:w="12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2,342.5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2,248.5</w:t>
            </w:r>
          </w:p>
        </w:tc>
      </w:tr>
      <w:tr>
        <w:trPr>
          <w:trHeight w:val="170"/>
        </w:trPr>
        <w:tc>
          <w:tcPr>
            <w:tcW w:w="6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69"/>
        </w:trPr>
        <w:tc>
          <w:tcPr>
            <w:tcW w:w="6840" w:type="dxa"/>
            <w:vAlign w:val="bottom"/>
          </w:tcPr>
          <w:p>
            <w:pPr>
              <w:ind w:left="20"/>
              <w:spacing w:after="0"/>
              <w:rPr>
                <w:sz w:val="20"/>
                <w:szCs w:val="20"/>
                <w:color w:val="auto"/>
              </w:rPr>
            </w:pPr>
            <w:r>
              <w:rPr>
                <w:rFonts w:ascii="Arial" w:cs="Arial" w:eastAsia="Arial" w:hAnsi="Arial"/>
                <w:sz w:val="14"/>
                <w:szCs w:val="14"/>
                <w:b w:val="1"/>
                <w:bCs w:val="1"/>
                <w:color w:val="auto"/>
              </w:rPr>
              <w:t>Net operating income</w:t>
            </w: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659.1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640.6</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1,806.7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1,819.1</w:t>
            </w:r>
          </w:p>
        </w:tc>
      </w:tr>
      <w:tr>
        <w:trPr>
          <w:trHeight w:val="177"/>
        </w:trPr>
        <w:tc>
          <w:tcPr>
            <w:tcW w:w="6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69"/>
        </w:trPr>
        <w:tc>
          <w:tcPr>
            <w:tcW w:w="6840" w:type="dxa"/>
            <w:vAlign w:val="bottom"/>
          </w:tcPr>
          <w:p>
            <w:pPr>
              <w:ind w:left="20"/>
              <w:spacing w:after="0"/>
              <w:rPr>
                <w:sz w:val="20"/>
                <w:szCs w:val="20"/>
                <w:color w:val="auto"/>
              </w:rPr>
            </w:pPr>
            <w:r>
              <w:rPr>
                <w:rFonts w:ascii="Arial" w:cs="Arial" w:eastAsia="Arial" w:hAnsi="Arial"/>
                <w:sz w:val="14"/>
                <w:szCs w:val="14"/>
                <w:b w:val="1"/>
                <w:bCs w:val="1"/>
                <w:color w:val="auto"/>
              </w:rPr>
              <w:t>Non-operating income</w:t>
            </w: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1"/>
        </w:trPr>
        <w:tc>
          <w:tcPr>
            <w:tcW w:w="6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gains on investments</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116.1</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147.9</w:t>
            </w:r>
          </w:p>
        </w:tc>
      </w:tr>
      <w:tr>
        <w:trPr>
          <w:trHeight w:val="266"/>
        </w:trPr>
        <w:tc>
          <w:tcPr>
            <w:tcW w:w="6840" w:type="dxa"/>
            <w:vAlign w:val="bottom"/>
          </w:tcPr>
          <w:p>
            <w:pPr>
              <w:ind w:left="160"/>
              <w:spacing w:after="0"/>
              <w:rPr>
                <w:sz w:val="20"/>
                <w:szCs w:val="20"/>
                <w:color w:val="auto"/>
              </w:rPr>
            </w:pPr>
            <w:r>
              <w:rPr>
                <w:rFonts w:ascii="Arial" w:cs="Arial" w:eastAsia="Arial" w:hAnsi="Arial"/>
                <w:sz w:val="14"/>
                <w:szCs w:val="14"/>
                <w:color w:val="auto"/>
              </w:rPr>
              <w:t>Net gains on consolidated investment products</w:t>
            </w: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28.6</w:t>
            </w:r>
          </w:p>
        </w:tc>
      </w:tr>
      <w:tr>
        <w:trPr>
          <w:trHeight w:val="270"/>
        </w:trPr>
        <w:tc>
          <w:tcPr>
            <w:tcW w:w="6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income (loss)</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253"/>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non-operating income</w:t>
            </w:r>
          </w:p>
        </w:tc>
        <w:tc>
          <w:tcPr>
            <w:tcW w:w="1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43.0</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124.9</w:t>
            </w:r>
          </w:p>
        </w:tc>
        <w:tc>
          <w:tcPr>
            <w:tcW w:w="12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370.3</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175.1</w:t>
            </w:r>
          </w:p>
        </w:tc>
      </w:tr>
      <w:tr>
        <w:trPr>
          <w:trHeight w:val="157"/>
        </w:trPr>
        <w:tc>
          <w:tcPr>
            <w:tcW w:w="6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66"/>
        </w:trPr>
        <w:tc>
          <w:tcPr>
            <w:tcW w:w="684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702.1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765.5</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2,177.0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1,994.2</w:t>
            </w:r>
          </w:p>
        </w:tc>
      </w:tr>
      <w:tr>
        <w:trPr>
          <w:trHeight w:val="270"/>
        </w:trPr>
        <w:tc>
          <w:tcPr>
            <w:tcW w:w="6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157.0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183.9</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522.0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497.5</w:t>
            </w:r>
          </w:p>
        </w:tc>
      </w:tr>
      <w:tr>
        <w:trPr>
          <w:trHeight w:val="250"/>
        </w:trPr>
        <w:tc>
          <w:tcPr>
            <w:tcW w:w="68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545.1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581.6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1,655.0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1,496.7</w:t>
            </w:r>
          </w:p>
        </w:tc>
      </w:tr>
      <w:tr>
        <w:trPr>
          <w:trHeight w:val="270"/>
        </w:trPr>
        <w:tc>
          <w:tcPr>
            <w:tcW w:w="6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net income (loss) attributable to redeemable non-controlling interests</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r>
      <w:tr>
        <w:trPr>
          <w:trHeight w:val="253"/>
        </w:trPr>
        <w:tc>
          <w:tcPr>
            <w:tcW w:w="684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T. Rowe Price Group</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545.9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583.0</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1,586.0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1,485.6</w:t>
            </w:r>
          </w:p>
        </w:tc>
      </w:tr>
      <w:tr>
        <w:trPr>
          <w:trHeight w:val="267"/>
        </w:trPr>
        <w:tc>
          <w:tcPr>
            <w:tcW w:w="6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net income allocated to outstanding restricted stock and stock unit holders</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34.8</w:t>
            </w:r>
          </w:p>
        </w:tc>
      </w:tr>
      <w:tr>
        <w:trPr>
          <w:trHeight w:val="281"/>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allocated to T. Rowe Price Group common stockholders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532.0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569.3</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1,545.3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1,450.8</w:t>
            </w:r>
          </w:p>
        </w:tc>
      </w:tr>
      <w:tr>
        <w:trPr>
          <w:trHeight w:val="210"/>
        </w:trPr>
        <w:tc>
          <w:tcPr>
            <w:tcW w:w="6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69"/>
        </w:trPr>
        <w:tc>
          <w:tcPr>
            <w:tcW w:w="6840" w:type="dxa"/>
            <w:vAlign w:val="bottom"/>
          </w:tcPr>
          <w:p>
            <w:pPr>
              <w:ind w:left="20"/>
              <w:spacing w:after="0"/>
              <w:rPr>
                <w:sz w:val="20"/>
                <w:szCs w:val="20"/>
                <w:color w:val="auto"/>
              </w:rPr>
            </w:pPr>
            <w:r>
              <w:rPr>
                <w:rFonts w:ascii="Arial" w:cs="Arial" w:eastAsia="Arial" w:hAnsi="Arial"/>
                <w:sz w:val="14"/>
                <w:szCs w:val="14"/>
                <w:b w:val="1"/>
                <w:bCs w:val="1"/>
                <w:color w:val="auto"/>
              </w:rPr>
              <w:t>Earnings per share</w:t>
            </w: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8"/>
        </w:trPr>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5.97</w:t>
            </w: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2.30</w:t>
            </w:r>
          </w:p>
        </w:tc>
        <w:tc>
          <w:tcPr>
            <w:tcW w:w="12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6.47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5.85</w:t>
            </w:r>
          </w:p>
        </w:tc>
      </w:tr>
      <w:tr>
        <w:trPr>
          <w:trHeight w:val="170"/>
        </w:trPr>
        <w:tc>
          <w:tcPr>
            <w:tcW w:w="6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66"/>
        </w:trPr>
        <w:tc>
          <w:tcPr>
            <w:tcW w:w="6840" w:type="dxa"/>
            <w:vAlign w:val="bottom"/>
          </w:tcPr>
          <w:p>
            <w:pPr>
              <w:ind w:left="20"/>
              <w:spacing w:after="0"/>
              <w:rPr>
                <w:sz w:val="20"/>
                <w:szCs w:val="20"/>
                <w:color w:val="auto"/>
              </w:rPr>
            </w:pPr>
            <w:r>
              <w:rPr>
                <w:rFonts w:ascii="Arial" w:cs="Arial" w:eastAsia="Arial" w:hAnsi="Arial"/>
                <w:sz w:val="14"/>
                <w:szCs w:val="14"/>
                <w:color w:val="auto"/>
              </w:rPr>
              <w:t>Weighted-average common shares</w:t>
            </w: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61"/>
        </w:trPr>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Outstanding</w:t>
            </w: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242.8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243.1</w:t>
            </w: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6840" w:type="dxa"/>
            <w:vAlign w:val="bottom"/>
          </w:tcPr>
          <w:p>
            <w:pPr>
              <w:ind w:left="140"/>
              <w:spacing w:after="0"/>
              <w:rPr>
                <w:sz w:val="20"/>
                <w:szCs w:val="20"/>
                <w:color w:val="auto"/>
              </w:rPr>
            </w:pPr>
            <w:r>
              <w:rPr>
                <w:rFonts w:ascii="Arial" w:cs="Arial" w:eastAsia="Arial" w:hAnsi="Arial"/>
                <w:sz w:val="14"/>
                <w:szCs w:val="14"/>
                <w:color w:val="auto"/>
              </w:rPr>
              <w:t>Outstanding assuming dilution</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238.2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247.5</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239.0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248.2</w:t>
            </w: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813"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69"/>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Investment Advisory Revenues (in millions)</w:t>
            </w:r>
          </w:p>
        </w:tc>
        <w:tc>
          <w:tcPr>
            <w:tcW w:w="5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2220" w:type="dxa"/>
            <w:vAlign w:val="bottom"/>
            <w:tcBorders>
              <w:bottom w:val="single" w:sz="8" w:color="auto"/>
            </w:tcBorders>
            <w:gridSpan w:val="6"/>
            <w:shd w:val="clear" w:color="auto" w:fill="CCEEFF"/>
          </w:tcPr>
          <w:p>
            <w:pPr>
              <w:jc w:val="right"/>
              <w:ind w:right="468"/>
              <w:spacing w:after="0"/>
              <w:rPr>
                <w:sz w:val="20"/>
                <w:szCs w:val="20"/>
                <w:color w:val="auto"/>
              </w:rPr>
            </w:pPr>
            <w:r>
              <w:rPr>
                <w:rFonts w:ascii="Arial" w:cs="Arial" w:eastAsia="Arial" w:hAnsi="Arial"/>
                <w:sz w:val="14"/>
                <w:szCs w:val="14"/>
                <w:color w:val="auto"/>
              </w:rPr>
              <w:t>Three months ended</w:t>
            </w: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2180" w:type="dxa"/>
            <w:vAlign w:val="bottom"/>
            <w:tcBorders>
              <w:bottom w:val="single" w:sz="8" w:color="auto"/>
            </w:tcBorders>
            <w:gridSpan w:val="4"/>
            <w:shd w:val="clear" w:color="auto" w:fill="CCEEFF"/>
          </w:tcPr>
          <w:p>
            <w:pPr>
              <w:jc w:val="right"/>
              <w:ind w:right="468"/>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261"/>
        </w:trPr>
        <w:tc>
          <w:tcPr>
            <w:tcW w:w="378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9/30/2019</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9/30/2018</w:t>
            </w:r>
          </w:p>
        </w:tc>
        <w:tc>
          <w:tcPr>
            <w:tcW w:w="120" w:type="dxa"/>
            <w:vAlign w:val="bottom"/>
            <w:tcBorders>
              <w:bottom w:val="single" w:sz="8" w:color="CCEEFF"/>
              <w:right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9/30/2019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9/30/2018</w:t>
            </w:r>
          </w:p>
        </w:tc>
        <w:tc>
          <w:tcPr>
            <w:tcW w:w="0" w:type="dxa"/>
            <w:vAlign w:val="bottom"/>
          </w:tcPr>
          <w:p>
            <w:pPr>
              <w:spacing w:after="0"/>
              <w:rPr>
                <w:sz w:val="1"/>
                <w:szCs w:val="1"/>
                <w:color w:val="auto"/>
              </w:rPr>
            </w:pPr>
          </w:p>
        </w:tc>
      </w:tr>
      <w:tr>
        <w:trPr>
          <w:trHeight w:val="268"/>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mutual funds</w:t>
            </w:r>
          </w:p>
        </w:tc>
        <w:tc>
          <w:tcPr>
            <w:tcW w:w="5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780" w:type="dxa"/>
            <w:vAlign w:val="bottom"/>
          </w:tcPr>
          <w:p>
            <w:pPr>
              <w:ind w:left="180"/>
              <w:spacing w:after="0"/>
              <w:rPr>
                <w:sz w:val="20"/>
                <w:szCs w:val="20"/>
                <w:color w:val="auto"/>
              </w:rPr>
            </w:pPr>
            <w:r>
              <w:rPr>
                <w:rFonts w:ascii="Arial" w:cs="Arial" w:eastAsia="Arial" w:hAnsi="Arial"/>
                <w:sz w:val="14"/>
                <w:szCs w:val="14"/>
                <w:color w:val="auto"/>
              </w:rPr>
              <w:t>Equity and blended assets</w:t>
            </w: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754.0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745.5</w:t>
            </w:r>
          </w:p>
        </w:tc>
        <w:tc>
          <w:tcPr>
            <w:tcW w:w="120" w:type="dxa"/>
            <w:vAlign w:val="bottom"/>
            <w:tcBorders>
              <w:right w:val="single" w:sz="8" w:color="auto"/>
            </w:tcBorders>
          </w:tcPr>
          <w:p>
            <w:pPr>
              <w:spacing w:after="0"/>
              <w:rPr>
                <w:sz w:val="23"/>
                <w:szCs w:val="23"/>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2,185.3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2,169.0</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 including money market</w:t>
            </w:r>
          </w:p>
        </w:tc>
        <w:tc>
          <w:tcPr>
            <w:tcW w:w="5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127.0</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131.8</w:t>
            </w: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372.3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388.1</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881.0</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877.3</w:t>
            </w: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2,557.6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2,557.1</w:t>
            </w:r>
          </w:p>
        </w:tc>
        <w:tc>
          <w:tcPr>
            <w:tcW w:w="0" w:type="dxa"/>
            <w:vAlign w:val="bottom"/>
          </w:tcPr>
          <w:p>
            <w:pPr>
              <w:spacing w:after="0"/>
              <w:rPr>
                <w:sz w:val="1"/>
                <w:szCs w:val="1"/>
                <w:color w:val="auto"/>
              </w:rPr>
            </w:pPr>
          </w:p>
        </w:tc>
      </w:tr>
      <w:tr>
        <w:trPr>
          <w:trHeight w:val="268"/>
        </w:trPr>
        <w:tc>
          <w:tcPr>
            <w:tcW w:w="4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Subadvised and separate accounts and other investment products</w:t>
            </w: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780" w:type="dxa"/>
            <w:vAlign w:val="bottom"/>
          </w:tcPr>
          <w:p>
            <w:pPr>
              <w:ind w:left="180"/>
              <w:spacing w:after="0"/>
              <w:rPr>
                <w:sz w:val="20"/>
                <w:szCs w:val="20"/>
                <w:color w:val="auto"/>
              </w:rPr>
            </w:pPr>
            <w:r>
              <w:rPr>
                <w:rFonts w:ascii="Arial" w:cs="Arial" w:eastAsia="Arial" w:hAnsi="Arial"/>
                <w:sz w:val="14"/>
                <w:szCs w:val="14"/>
                <w:color w:val="auto"/>
              </w:rPr>
              <w:t>Equity and blended assets</w:t>
            </w: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355.9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326.0</w:t>
            </w: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1,020.8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931.0</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 including money market</w:t>
            </w:r>
          </w:p>
        </w:tc>
        <w:tc>
          <w:tcPr>
            <w:tcW w:w="5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66.5</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60.0</w:t>
            </w: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189.4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178.8</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422.4</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386.0</w:t>
            </w: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1,210.2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1,109.8</w:t>
            </w: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5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1,303.4</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1,263.3</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3,767.8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3,666.9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1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 Under Management (in billions)</w:t>
            </w:r>
          </w:p>
        </w:tc>
        <w:tc>
          <w:tcPr>
            <w:tcW w:w="5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60" w:type="dxa"/>
            <w:vAlign w:val="bottom"/>
            <w:gridSpan w:val="8"/>
            <w:shd w:val="clear" w:color="auto" w:fill="CCEEFF"/>
          </w:tcPr>
          <w:p>
            <w:pPr>
              <w:ind w:left="600"/>
              <w:spacing w:after="0"/>
              <w:rPr>
                <w:sz w:val="20"/>
                <w:szCs w:val="20"/>
                <w:color w:val="auto"/>
              </w:rPr>
            </w:pPr>
            <w:r>
              <w:rPr>
                <w:rFonts w:ascii="Arial" w:cs="Arial" w:eastAsia="Arial" w:hAnsi="Arial"/>
                <w:sz w:val="14"/>
                <w:szCs w:val="14"/>
                <w:color w:val="auto"/>
              </w:rPr>
              <w:t>Average during</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60" w:type="dxa"/>
            <w:vAlign w:val="bottom"/>
            <w:tcBorders>
              <w:right w:val="single" w:sz="8" w:color="auto"/>
            </w:tcBorders>
            <w:gridSpan w:val="5"/>
          </w:tcPr>
          <w:p>
            <w:pPr>
              <w:ind w:left="40"/>
              <w:spacing w:after="0"/>
              <w:rPr>
                <w:sz w:val="20"/>
                <w:szCs w:val="20"/>
                <w:color w:val="auto"/>
              </w:rPr>
            </w:pPr>
            <w:r>
              <w:rPr>
                <w:rFonts w:ascii="Arial" w:cs="Arial" w:eastAsia="Arial" w:hAnsi="Arial"/>
                <w:sz w:val="14"/>
                <w:szCs w:val="14"/>
                <w:color w:val="auto"/>
              </w:rPr>
              <w:t>Three months ended</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20" w:type="dxa"/>
            <w:vAlign w:val="bottom"/>
            <w:gridSpan w:val="6"/>
          </w:tcPr>
          <w:p>
            <w:pPr>
              <w:jc w:val="right"/>
              <w:ind w:right="468"/>
              <w:spacing w:after="0"/>
              <w:rPr>
                <w:sz w:val="20"/>
                <w:szCs w:val="20"/>
                <w:color w:val="auto"/>
              </w:rPr>
            </w:pPr>
            <w:r>
              <w:rPr>
                <w:rFonts w:ascii="Arial" w:cs="Arial" w:eastAsia="Arial" w:hAnsi="Arial"/>
                <w:sz w:val="14"/>
                <w:szCs w:val="14"/>
                <w:color w:val="auto"/>
              </w:rPr>
              <w:t>Nine months ended</w:t>
            </w: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As of</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78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bottom w:val="single" w:sz="8" w:color="auto"/>
            </w:tcBorders>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9/30/2019</w:t>
            </w:r>
          </w:p>
        </w:tc>
        <w:tc>
          <w:tcPr>
            <w:tcW w:w="12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9/30/2018</w:t>
            </w:r>
          </w:p>
        </w:tc>
        <w:tc>
          <w:tcPr>
            <w:tcW w:w="140" w:type="dxa"/>
            <w:vAlign w:val="bottom"/>
            <w:tcBorders>
              <w:top w:val="single" w:sz="8" w:color="CCEEFF"/>
              <w:right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9/30/2019</w:t>
            </w:r>
          </w:p>
        </w:tc>
        <w:tc>
          <w:tcPr>
            <w:tcW w:w="40" w:type="dxa"/>
            <w:vAlign w:val="bottom"/>
            <w:tcBorders>
              <w:top w:val="single" w:sz="8" w:color="auto"/>
              <w:bottom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9/30/2018</w:t>
            </w:r>
          </w:p>
        </w:tc>
        <w:tc>
          <w:tcPr>
            <w:tcW w:w="120" w:type="dxa"/>
            <w:vAlign w:val="bottom"/>
            <w:tcBorders>
              <w:top w:val="single" w:sz="8" w:color="CCEEFF"/>
              <w:right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rPr>
              <w:t>9/30/2019</w:t>
            </w:r>
          </w:p>
        </w:tc>
        <w:tc>
          <w:tcPr>
            <w:tcW w:w="1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center"/>
              <w:ind w:right="68"/>
              <w:spacing w:after="0"/>
              <w:rPr>
                <w:sz w:val="20"/>
                <w:szCs w:val="20"/>
                <w:color w:val="auto"/>
              </w:rPr>
            </w:pPr>
            <w:r>
              <w:rPr>
                <w:rFonts w:ascii="Arial" w:cs="Arial" w:eastAsia="Arial" w:hAnsi="Arial"/>
                <w:sz w:val="14"/>
                <w:szCs w:val="14"/>
                <w:color w:val="auto"/>
              </w:rPr>
              <w:t>12/31/2018</w:t>
            </w:r>
          </w:p>
        </w:tc>
        <w:tc>
          <w:tcPr>
            <w:tcW w:w="0" w:type="dxa"/>
            <w:vAlign w:val="bottom"/>
          </w:tcPr>
          <w:p>
            <w:pPr>
              <w:spacing w:after="0"/>
              <w:rPr>
                <w:sz w:val="1"/>
                <w:szCs w:val="1"/>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4"/>
                <w:szCs w:val="14"/>
                <w:color w:val="auto"/>
              </w:rPr>
              <w:t>U.S. mutual funds</w:t>
            </w: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and blended assets</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511.6</w:t>
            </w:r>
          </w:p>
        </w:tc>
        <w:tc>
          <w:tcPr>
            <w:tcW w:w="140" w:type="dxa"/>
            <w:vAlign w:val="bottom"/>
            <w:tcBorders>
              <w:right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507.5</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500.8</w:t>
            </w:r>
          </w:p>
        </w:tc>
        <w:tc>
          <w:tcPr>
            <w:tcW w:w="120" w:type="dxa"/>
            <w:vAlign w:val="bottom"/>
            <w:tcBorders>
              <w:right w:val="single" w:sz="8" w:color="auto"/>
            </w:tcBorders>
            <w:shd w:val="clear" w:color="auto" w:fill="CCEEFF"/>
          </w:tcPr>
          <w:p>
            <w:pPr>
              <w:spacing w:after="0"/>
              <w:rPr>
                <w:sz w:val="23"/>
                <w:szCs w:val="23"/>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513.0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441.1</w:t>
            </w:r>
          </w:p>
        </w:tc>
        <w:tc>
          <w:tcPr>
            <w:tcW w:w="0" w:type="dxa"/>
            <w:vAlign w:val="bottom"/>
          </w:tcPr>
          <w:p>
            <w:pPr>
              <w:spacing w:after="0"/>
              <w:rPr>
                <w:sz w:val="1"/>
                <w:szCs w:val="1"/>
                <w:color w:val="auto"/>
              </w:rPr>
            </w:pPr>
          </w:p>
        </w:tc>
      </w:tr>
      <w:tr>
        <w:trPr>
          <w:trHeight w:val="266"/>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Fixed income, including money market</w:t>
            </w:r>
          </w:p>
        </w:tc>
        <w:tc>
          <w:tcPr>
            <w:tcW w:w="5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129.9</w:t>
            </w:r>
          </w:p>
        </w:tc>
        <w:tc>
          <w:tcPr>
            <w:tcW w:w="140" w:type="dxa"/>
            <w:vAlign w:val="bottom"/>
            <w:tcBorders>
              <w:bottom w:val="single" w:sz="8" w:color="CCEEFF"/>
              <w:right w:val="single" w:sz="8" w:color="auto"/>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125.7</w:t>
            </w: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128.6</w:t>
            </w:r>
          </w:p>
        </w:tc>
        <w:tc>
          <w:tcPr>
            <w:tcW w:w="120" w:type="dxa"/>
            <w:vAlign w:val="bottom"/>
            <w:tcBorders>
              <w:bottom w:val="single" w:sz="8" w:color="CCEEFF"/>
              <w:right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123.4</w:t>
            </w:r>
          </w:p>
        </w:tc>
        <w:tc>
          <w:tcPr>
            <w:tcW w:w="0" w:type="dxa"/>
            <w:vAlign w:val="bottom"/>
          </w:tcPr>
          <w:p>
            <w:pPr>
              <w:spacing w:after="0"/>
              <w:rPr>
                <w:sz w:val="1"/>
                <w:szCs w:val="1"/>
                <w:color w:val="auto"/>
              </w:rPr>
            </w:pPr>
          </w:p>
        </w:tc>
      </w:tr>
      <w:tr>
        <w:trPr>
          <w:trHeight w:val="250"/>
        </w:trPr>
        <w:tc>
          <w:tcPr>
            <w:tcW w:w="37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650.5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641.5</w:t>
            </w:r>
          </w:p>
        </w:tc>
        <w:tc>
          <w:tcPr>
            <w:tcW w:w="140" w:type="dxa"/>
            <w:vAlign w:val="bottom"/>
            <w:tcBorders>
              <w:right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633.2</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629.4</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642.6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564.5</w:t>
            </w: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Subadvised and separate accounts and other investment</w:t>
            </w: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products</w:t>
            </w: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3780" w:type="dxa"/>
            <w:vAlign w:val="bottom"/>
          </w:tcPr>
          <w:p>
            <w:pPr>
              <w:ind w:left="180"/>
              <w:spacing w:after="0"/>
              <w:rPr>
                <w:sz w:val="20"/>
                <w:szCs w:val="20"/>
                <w:color w:val="auto"/>
              </w:rPr>
            </w:pPr>
            <w:r>
              <w:rPr>
                <w:rFonts w:ascii="Arial" w:cs="Arial" w:eastAsia="Arial" w:hAnsi="Arial"/>
                <w:sz w:val="14"/>
                <w:szCs w:val="14"/>
                <w:color w:val="auto"/>
              </w:rPr>
              <w:t>Equity and blended assets</w:t>
            </w:r>
          </w:p>
        </w:tc>
        <w:tc>
          <w:tcPr>
            <w:tcW w:w="52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370.2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331.8</w:t>
            </w: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353.3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318.4</w:t>
            </w: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373.4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299.2</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 including money market</w:t>
            </w:r>
          </w:p>
        </w:tc>
        <w:tc>
          <w:tcPr>
            <w:tcW w:w="5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109.5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99.1</w:t>
            </w:r>
          </w:p>
        </w:tc>
        <w:tc>
          <w:tcPr>
            <w:tcW w:w="140" w:type="dxa"/>
            <w:vAlign w:val="bottom"/>
            <w:tcBorders>
              <w:right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105.0</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97.2</w:t>
            </w: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479.7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430.9</w:t>
            </w:r>
          </w:p>
        </w:tc>
        <w:tc>
          <w:tcPr>
            <w:tcW w:w="140" w:type="dxa"/>
            <w:vAlign w:val="bottom"/>
            <w:tcBorders>
              <w:bottom w:val="single" w:sz="8" w:color="CCEEFF"/>
              <w:right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458.3</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415.6</w:t>
            </w: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483.7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397.8</w:t>
            </w: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1,072.4</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1,091.5</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1,045.0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962.3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400" w:type="dxa"/>
            <w:vAlign w:val="bottom"/>
            <w:gridSpan w:val="8"/>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Net Cash Flows After Client Transfers (by investment vehicle and underlying asset class)</w:t>
            </w:r>
            <w:r>
              <w:rPr>
                <w:rFonts w:ascii="Arial" w:cs="Arial" w:eastAsia="Arial" w:hAnsi="Arial"/>
                <w:sz w:val="17"/>
                <w:szCs w:val="17"/>
                <w:b w:val="1"/>
                <w:bCs w:val="1"/>
                <w:color w:val="auto"/>
                <w:vertAlign w:val="superscript"/>
              </w:rPr>
              <w:t>(1)(2)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center"/>
              <w:ind w:right="140"/>
              <w:spacing w:after="0"/>
              <w:rPr>
                <w:sz w:val="20"/>
                <w:szCs w:val="20"/>
                <w:color w:val="auto"/>
              </w:rPr>
            </w:pPr>
            <w:r>
              <w:rPr>
                <w:rFonts w:ascii="Arial" w:cs="Arial" w:eastAsia="Arial" w:hAnsi="Arial"/>
                <w:sz w:val="14"/>
                <w:szCs w:val="14"/>
                <w:color w:val="auto"/>
              </w:rPr>
              <w:t>Three months</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202"/>
        </w:trPr>
        <w:tc>
          <w:tcPr>
            <w:tcW w:w="6400" w:type="dxa"/>
            <w:vAlign w:val="bottom"/>
            <w:gridSpan w:val="8"/>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color w:val="auto"/>
              </w:rPr>
              <w:t>ended</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ended</w:t>
            </w: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billions)</w:t>
            </w:r>
          </w:p>
        </w:tc>
        <w:tc>
          <w:tcPr>
            <w:tcW w:w="52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center"/>
              <w:ind w:right="128"/>
              <w:spacing w:after="0"/>
              <w:rPr>
                <w:sz w:val="20"/>
                <w:szCs w:val="20"/>
                <w:color w:val="auto"/>
              </w:rPr>
            </w:pPr>
            <w:r>
              <w:rPr>
                <w:rFonts w:ascii="Arial" w:cs="Arial" w:eastAsia="Arial" w:hAnsi="Arial"/>
                <w:sz w:val="14"/>
                <w:szCs w:val="14"/>
                <w:color w:val="auto"/>
              </w:rPr>
              <w:t>9/30/2019</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color w:val="auto"/>
              </w:rPr>
              <w:t>9/30/2019</w:t>
            </w:r>
          </w:p>
        </w:tc>
        <w:tc>
          <w:tcPr>
            <w:tcW w:w="0" w:type="dxa"/>
            <w:vAlign w:val="bottom"/>
          </w:tcPr>
          <w:p>
            <w:pPr>
              <w:spacing w:after="0"/>
              <w:rPr>
                <w:sz w:val="1"/>
                <w:szCs w:val="1"/>
                <w:color w:val="auto"/>
              </w:rPr>
            </w:pPr>
          </w:p>
        </w:tc>
      </w:tr>
      <w:tr>
        <w:trPr>
          <w:trHeight w:val="265"/>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mutual funds</w:t>
            </w:r>
          </w:p>
        </w:tc>
        <w:tc>
          <w:tcPr>
            <w:tcW w:w="5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780" w:type="dxa"/>
            <w:vAlign w:val="bottom"/>
          </w:tcPr>
          <w:p>
            <w:pPr>
              <w:ind w:left="180"/>
              <w:spacing w:after="0"/>
              <w:rPr>
                <w:sz w:val="20"/>
                <w:szCs w:val="20"/>
                <w:color w:val="auto"/>
              </w:rPr>
            </w:pPr>
            <w:r>
              <w:rPr>
                <w:rFonts w:ascii="Arial" w:cs="Arial" w:eastAsia="Arial" w:hAnsi="Arial"/>
                <w:sz w:val="14"/>
                <w:szCs w:val="14"/>
                <w:color w:val="auto"/>
              </w:rPr>
              <w:t>Equity and blended assets</w:t>
            </w: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gridSpan w:val="4"/>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 including money market</w:t>
            </w:r>
          </w:p>
        </w:tc>
        <w:tc>
          <w:tcPr>
            <w:tcW w:w="5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68"/>
        </w:trPr>
        <w:tc>
          <w:tcPr>
            <w:tcW w:w="4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Subadvised and separate accounts and other investment products</w:t>
            </w: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780" w:type="dxa"/>
            <w:vAlign w:val="bottom"/>
          </w:tcPr>
          <w:p>
            <w:pPr>
              <w:ind w:left="180"/>
              <w:spacing w:after="0"/>
              <w:rPr>
                <w:sz w:val="20"/>
                <w:szCs w:val="20"/>
                <w:color w:val="auto"/>
              </w:rPr>
            </w:pPr>
            <w:r>
              <w:rPr>
                <w:rFonts w:ascii="Arial" w:cs="Arial" w:eastAsia="Arial" w:hAnsi="Arial"/>
                <w:sz w:val="14"/>
                <w:szCs w:val="14"/>
                <w:color w:val="auto"/>
              </w:rPr>
              <w:t>Equity and blended assets</w:t>
            </w: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 including money market</w:t>
            </w:r>
          </w:p>
        </w:tc>
        <w:tc>
          <w:tcPr>
            <w:tcW w:w="5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net cash flows after client transfers</w:t>
            </w:r>
          </w:p>
        </w:tc>
        <w:tc>
          <w:tcPr>
            <w:tcW w:w="5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8890</wp:posOffset>
            </wp:positionV>
            <wp:extent cx="15093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ind w:left="140" w:hanging="132"/>
        <w:spacing w:after="0"/>
        <w:tabs>
          <w:tab w:leader="none" w:pos="140" w:val="left"/>
        </w:tabs>
        <w:numPr>
          <w:ilvl w:val="0"/>
          <w:numId w:val="28"/>
        </w:numPr>
        <w:rPr>
          <w:rFonts w:ascii="Arial" w:cs="Arial" w:eastAsia="Arial" w:hAnsi="Arial"/>
          <w:sz w:val="16"/>
          <w:szCs w:val="16"/>
          <w:i w:val="1"/>
          <w:iCs w:val="1"/>
          <w:color w:val="auto"/>
          <w:vertAlign w:val="superscript"/>
        </w:rPr>
      </w:pPr>
      <w:r>
        <w:rPr>
          <w:rFonts w:ascii="Arial" w:cs="Arial" w:eastAsia="Arial" w:hAnsi="Arial"/>
          <w:sz w:val="11"/>
          <w:szCs w:val="11"/>
          <w:i w:val="1"/>
          <w:iCs w:val="1"/>
          <w:color w:val="auto"/>
        </w:rPr>
        <w:t>The asset class net cash flows above include, in addition to net client flows, rebalancing within the target date portfolios in order to maintain their targeted asset allocations.</w:t>
      </w:r>
    </w:p>
    <w:p>
      <w:pPr>
        <w:ind w:left="160" w:hanging="152"/>
        <w:spacing w:after="0"/>
        <w:tabs>
          <w:tab w:leader="none" w:pos="160" w:val="left"/>
        </w:tabs>
        <w:numPr>
          <w:ilvl w:val="0"/>
          <w:numId w:val="28"/>
        </w:numPr>
        <w:rPr>
          <w:rFonts w:ascii="Arial" w:cs="Arial" w:eastAsia="Arial" w:hAnsi="Arial"/>
          <w:sz w:val="9"/>
          <w:szCs w:val="9"/>
          <w:i w:val="1"/>
          <w:iCs w:val="1"/>
          <w:color w:val="auto"/>
        </w:rPr>
      </w:pPr>
      <w:r>
        <w:rPr>
          <w:rFonts w:ascii="Arial" w:cs="Arial" w:eastAsia="Arial" w:hAnsi="Arial"/>
          <w:sz w:val="13"/>
          <w:szCs w:val="13"/>
          <w:i w:val="1"/>
          <w:iCs w:val="1"/>
          <w:color w:val="auto"/>
        </w:rPr>
        <w:t>The underlying assets of the multi-asset portfolios that invest in T. Rowe Price products have been broken out and included in their respective vehicle and asset class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7"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69"/>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Non-Operating Income (in millions)</w:t>
            </w:r>
          </w:p>
        </w:tc>
        <w:tc>
          <w:tcPr>
            <w:tcW w:w="260" w:type="dxa"/>
            <w:vAlign w:val="bottom"/>
            <w:shd w:val="clear" w:color="auto" w:fill="CCEEFF"/>
          </w:tcPr>
          <w:p>
            <w:pPr>
              <w:spacing w:after="0"/>
              <w:rPr>
                <w:sz w:val="23"/>
                <w:szCs w:val="23"/>
                <w:color w:val="auto"/>
              </w:rPr>
            </w:pPr>
          </w:p>
        </w:tc>
        <w:tc>
          <w:tcPr>
            <w:tcW w:w="2300" w:type="dxa"/>
            <w:vAlign w:val="bottom"/>
            <w:tcBorders>
              <w:right w:val="single" w:sz="8" w:color="auto"/>
            </w:tcBorders>
            <w:gridSpan w:val="5"/>
            <w:shd w:val="clear" w:color="auto" w:fill="CCEEFF"/>
          </w:tcPr>
          <w:p>
            <w:pPr>
              <w:ind w:left="320"/>
              <w:spacing w:after="0"/>
              <w:rPr>
                <w:sz w:val="20"/>
                <w:szCs w:val="20"/>
                <w:color w:val="auto"/>
              </w:rPr>
            </w:pPr>
            <w:r>
              <w:rPr>
                <w:rFonts w:ascii="Arial" w:cs="Arial" w:eastAsia="Arial" w:hAnsi="Arial"/>
                <w:sz w:val="14"/>
                <w:szCs w:val="14"/>
                <w:color w:val="auto"/>
              </w:rPr>
              <w:t>Three months ended</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100" w:type="dxa"/>
            <w:vAlign w:val="bottom"/>
            <w:gridSpan w:val="4"/>
            <w:shd w:val="clear" w:color="auto" w:fill="CCEEFF"/>
          </w:tcPr>
          <w:p>
            <w:pPr>
              <w:jc w:val="right"/>
              <w:ind w:right="468"/>
              <w:spacing w:after="0"/>
              <w:rPr>
                <w:sz w:val="20"/>
                <w:szCs w:val="20"/>
                <w:color w:val="auto"/>
              </w:rPr>
            </w:pPr>
            <w:r>
              <w:rPr>
                <w:rFonts w:ascii="Arial" w:cs="Arial" w:eastAsia="Arial" w:hAnsi="Arial"/>
                <w:sz w:val="14"/>
                <w:szCs w:val="14"/>
                <w:color w:val="auto"/>
              </w:rPr>
              <w:t>Nine months ended</w:t>
            </w:r>
          </w:p>
        </w:tc>
      </w:tr>
      <w:tr>
        <w:trPr>
          <w:trHeight w:val="261"/>
        </w:trPr>
        <w:tc>
          <w:tcPr>
            <w:tcW w:w="64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9/30/2019</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9/30/2018</w:t>
            </w:r>
          </w:p>
        </w:tc>
        <w:tc>
          <w:tcPr>
            <w:tcW w:w="120" w:type="dxa"/>
            <w:vAlign w:val="bottom"/>
            <w:tcBorders>
              <w:bottom w:val="single" w:sz="8" w:color="CCEEFF"/>
              <w:right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9/30/2019</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9/30/2018</w:t>
            </w:r>
          </w:p>
        </w:tc>
      </w:tr>
      <w:tr>
        <w:trPr>
          <w:trHeight w:val="268"/>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gains (losses) from non-consolidated T. Rowe Price investment products</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6"/>
        </w:trPr>
        <w:tc>
          <w:tcPr>
            <w:tcW w:w="6400" w:type="dxa"/>
            <w:vAlign w:val="bottom"/>
          </w:tcPr>
          <w:p>
            <w:pPr>
              <w:ind w:left="180"/>
              <w:spacing w:after="0"/>
              <w:rPr>
                <w:sz w:val="20"/>
                <w:szCs w:val="20"/>
                <w:color w:val="auto"/>
              </w:rPr>
            </w:pPr>
            <w:r>
              <w:rPr>
                <w:rFonts w:ascii="Arial" w:cs="Arial" w:eastAsia="Arial" w:hAnsi="Arial"/>
                <w:sz w:val="14"/>
                <w:szCs w:val="14"/>
                <w:color w:val="auto"/>
              </w:rPr>
              <w:t>Cash and discretionary investments</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4"/>
        </w:trPr>
        <w:tc>
          <w:tcPr>
            <w:tcW w:w="6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 income</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w:t>
            </w:r>
          </w:p>
        </w:tc>
        <w:tc>
          <w:tcPr>
            <w:tcW w:w="120" w:type="dxa"/>
            <w:vAlign w:val="bottom"/>
            <w:tcBorders>
              <w:right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w:t>
            </w:r>
          </w:p>
        </w:tc>
      </w:tr>
      <w:tr>
        <w:trPr>
          <w:trHeight w:val="266"/>
        </w:trPr>
        <w:tc>
          <w:tcPr>
            <w:tcW w:w="6400" w:type="dxa"/>
            <w:vAlign w:val="bottom"/>
          </w:tcPr>
          <w:p>
            <w:pPr>
              <w:ind w:left="280"/>
              <w:spacing w:after="0"/>
              <w:rPr>
                <w:sz w:val="20"/>
                <w:szCs w:val="20"/>
                <w:color w:val="auto"/>
              </w:rPr>
            </w:pPr>
            <w:r>
              <w:rPr>
                <w:rFonts w:ascii="Arial" w:cs="Arial" w:eastAsia="Arial" w:hAnsi="Arial"/>
                <w:sz w:val="14"/>
                <w:szCs w:val="14"/>
                <w:color w:val="auto"/>
              </w:rPr>
              <w:t>Market related gains (losses) and equity in earnings</w:t>
            </w:r>
          </w:p>
        </w:tc>
        <w:tc>
          <w:tcPr>
            <w:tcW w:w="2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74"/>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Seed capital investments</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6"/>
        </w:trPr>
        <w:tc>
          <w:tcPr>
            <w:tcW w:w="6400" w:type="dxa"/>
            <w:vAlign w:val="bottom"/>
          </w:tcPr>
          <w:p>
            <w:pPr>
              <w:ind w:left="280"/>
              <w:spacing w:after="0"/>
              <w:rPr>
                <w:sz w:val="20"/>
                <w:szCs w:val="20"/>
                <w:color w:val="auto"/>
              </w:rPr>
            </w:pPr>
            <w:r>
              <w:rPr>
                <w:rFonts w:ascii="Arial" w:cs="Arial" w:eastAsia="Arial" w:hAnsi="Arial"/>
                <w:sz w:val="14"/>
                <w:szCs w:val="14"/>
                <w:color w:val="auto"/>
              </w:rPr>
              <w:t>Dividend income</w:t>
            </w:r>
          </w:p>
        </w:tc>
        <w:tc>
          <w:tcPr>
            <w:tcW w:w="2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w:t>
            </w:r>
          </w:p>
        </w:tc>
      </w:tr>
      <w:tr>
        <w:trPr>
          <w:trHeight w:val="274"/>
        </w:trPr>
        <w:tc>
          <w:tcPr>
            <w:tcW w:w="6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Market related gains (losses) and equity in earnings</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tcBorders>
              <w:right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266"/>
        </w:trPr>
        <w:tc>
          <w:tcPr>
            <w:tcW w:w="6400" w:type="dxa"/>
            <w:vAlign w:val="bottom"/>
          </w:tcPr>
          <w:p>
            <w:pPr>
              <w:ind w:left="180"/>
              <w:spacing w:after="0"/>
              <w:rPr>
                <w:sz w:val="20"/>
                <w:szCs w:val="20"/>
                <w:color w:val="auto"/>
              </w:rPr>
            </w:pPr>
            <w:r>
              <w:rPr>
                <w:rFonts w:ascii="Arial" w:cs="Arial" w:eastAsia="Arial" w:hAnsi="Arial"/>
                <w:sz w:val="14"/>
                <w:szCs w:val="14"/>
                <w:color w:val="auto"/>
              </w:rPr>
              <w:t>Net gain (loss) recognized upon deconsolidation</w:t>
            </w: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3.6</w:t>
            </w:r>
          </w:p>
        </w:tc>
      </w:tr>
      <w:tr>
        <w:trPr>
          <w:trHeight w:val="270"/>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Investments used to hedge the supplemental savings plan liability</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tcBorders>
              <w:right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w:t>
            </w:r>
          </w:p>
        </w:tc>
      </w:tr>
      <w:tr>
        <w:trPr>
          <w:trHeight w:val="253"/>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Total net gains from non-consolidated T. Rowe Price investment products</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23.2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27.8</w:t>
            </w: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175.6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45.0</w:t>
            </w:r>
          </w:p>
        </w:tc>
      </w:tr>
      <w:tr>
        <w:trPr>
          <w:trHeight w:val="267"/>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investment income</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88.3</w:t>
            </w:r>
          </w:p>
        </w:tc>
        <w:tc>
          <w:tcPr>
            <w:tcW w:w="120" w:type="dxa"/>
            <w:vAlign w:val="bottom"/>
            <w:tcBorders>
              <w:right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102.9</w:t>
            </w:r>
          </w:p>
        </w:tc>
      </w:tr>
      <w:tr>
        <w:trPr>
          <w:trHeight w:val="253"/>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Net gains on investments</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32.1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116.1</w:t>
            </w: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194.0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147.9</w:t>
            </w:r>
          </w:p>
        </w:tc>
      </w:tr>
      <w:tr>
        <w:trPr>
          <w:trHeight w:val="271"/>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gains on consolidated sponsored investment portfolios</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tcBorders>
              <w:right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w:t>
            </w:r>
          </w:p>
        </w:tc>
      </w:tr>
      <w:tr>
        <w:trPr>
          <w:trHeight w:val="266"/>
        </w:trPr>
        <w:tc>
          <w:tcPr>
            <w:tcW w:w="6400" w:type="dxa"/>
            <w:vAlign w:val="bottom"/>
          </w:tcPr>
          <w:p>
            <w:pPr>
              <w:ind w:left="40"/>
              <w:spacing w:after="0"/>
              <w:rPr>
                <w:sz w:val="20"/>
                <w:szCs w:val="20"/>
                <w:color w:val="auto"/>
              </w:rPr>
            </w:pPr>
            <w:r>
              <w:rPr>
                <w:rFonts w:ascii="Arial" w:cs="Arial" w:eastAsia="Arial" w:hAnsi="Arial"/>
                <w:sz w:val="14"/>
                <w:szCs w:val="14"/>
                <w:color w:val="auto"/>
              </w:rPr>
              <w:t>Other income (loss), including foreign currency gains and losses</w:t>
            </w: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41"/>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Non-operating income</w:t>
            </w:r>
          </w:p>
        </w:tc>
        <w:tc>
          <w:tcPr>
            <w:tcW w:w="2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124.9</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175.1</w:t>
            </w: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Unaudited Condensed Consolidated Cash Flows Information (in millions)</w:t>
      </w:r>
    </w:p>
    <w:p>
      <w:pPr>
        <w:spacing w:after="0" w:line="111" w:lineRule="exact"/>
        <w:rPr>
          <w:sz w:val="20"/>
          <w:szCs w:val="20"/>
          <w:color w:val="auto"/>
        </w:rPr>
      </w:pPr>
    </w:p>
    <w:p>
      <w:pPr>
        <w:ind w:left="6480"/>
        <w:spacing w:after="0"/>
        <w:rPr>
          <w:sz w:val="20"/>
          <w:szCs w:val="20"/>
          <w:color w:val="auto"/>
        </w:rPr>
      </w:pPr>
      <w:r>
        <w:rPr>
          <w:rFonts w:ascii="Arial" w:cs="Arial" w:eastAsia="Arial" w:hAnsi="Arial"/>
          <w:sz w:val="14"/>
          <w:szCs w:val="14"/>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line="258" w:lineRule="auto"/>
        <w:rPr>
          <w:sz w:val="20"/>
          <w:szCs w:val="20"/>
          <w:color w:val="auto"/>
        </w:rPr>
      </w:pPr>
      <w:r>
        <w:rPr>
          <w:rFonts w:ascii="Arial" w:cs="Arial" w:eastAsia="Arial" w:hAnsi="Arial"/>
          <w:sz w:val="14"/>
          <w:szCs w:val="14"/>
          <w:color w:val="auto"/>
        </w:rPr>
        <w:t>Cash provided by (used in) operating activities, including $136.1 of stock-based compensation expense and $131.7 of depreciation expense in 2019</w:t>
      </w:r>
    </w:p>
    <w:p>
      <w:pPr>
        <w:spacing w:after="0" w:line="10" w:lineRule="exact"/>
        <w:rPr>
          <w:sz w:val="20"/>
          <w:szCs w:val="20"/>
          <w:color w:val="auto"/>
        </w:rPr>
      </w:pPr>
    </w:p>
    <w:p>
      <w:pPr>
        <w:ind w:left="40" w:right="40"/>
        <w:spacing w:after="0" w:line="254" w:lineRule="auto"/>
        <w:rPr>
          <w:sz w:val="20"/>
          <w:szCs w:val="20"/>
          <w:color w:val="auto"/>
        </w:rPr>
      </w:pPr>
      <w:r>
        <w:rPr>
          <w:rFonts w:ascii="Arial" w:cs="Arial" w:eastAsia="Arial" w:hAnsi="Arial"/>
          <w:sz w:val="14"/>
          <w:szCs w:val="14"/>
          <w:color w:val="auto"/>
        </w:rPr>
        <w:t>Cash provided by (used in) investing activities, including ($148.9) for additions to property and equipment and ($35.0) of additions to T. Rowe Price investment products in 2019</w:t>
      </w:r>
    </w:p>
    <w:p>
      <w:pPr>
        <w:spacing w:after="0" w:line="12" w:lineRule="exact"/>
        <w:rPr>
          <w:sz w:val="20"/>
          <w:szCs w:val="20"/>
          <w:color w:val="auto"/>
        </w:rPr>
      </w:pPr>
    </w:p>
    <w:p>
      <w:pPr>
        <w:ind w:left="40" w:right="100"/>
        <w:spacing w:after="0" w:line="258" w:lineRule="auto"/>
        <w:rPr>
          <w:sz w:val="20"/>
          <w:szCs w:val="20"/>
          <w:color w:val="auto"/>
        </w:rPr>
      </w:pPr>
      <w:r>
        <w:rPr>
          <w:rFonts w:ascii="Arial" w:cs="Arial" w:eastAsia="Arial" w:hAnsi="Arial"/>
          <w:sz w:val="14"/>
          <w:szCs w:val="14"/>
          <w:color w:val="auto"/>
        </w:rPr>
        <w:t>Cash provided by (used in) financing activities, including T. Rowe Price Group common stock repurchases of ($576.0)* and dividends paid of ($550.4) in 2019</w:t>
      </w:r>
    </w:p>
    <w:p>
      <w:pPr>
        <w:spacing w:after="0" w:line="10" w:lineRule="exact"/>
        <w:rPr>
          <w:sz w:val="20"/>
          <w:szCs w:val="20"/>
          <w:color w:val="auto"/>
        </w:rPr>
      </w:pPr>
    </w:p>
    <w:p>
      <w:pPr>
        <w:ind w:left="40" w:right="60"/>
        <w:spacing w:after="0" w:line="281" w:lineRule="auto"/>
        <w:rPr>
          <w:sz w:val="20"/>
          <w:szCs w:val="20"/>
          <w:color w:val="auto"/>
        </w:rPr>
      </w:pPr>
      <w:r>
        <w:rPr>
          <w:rFonts w:ascii="Arial" w:cs="Arial" w:eastAsia="Arial" w:hAnsi="Arial"/>
          <w:sz w:val="14"/>
          <w:szCs w:val="14"/>
          <w:color w:val="auto"/>
        </w:rPr>
        <w:t>Effect of exchange rate changes on cash and cash equivalents</w:t>
      </w:r>
    </w:p>
    <w:p>
      <w:pPr>
        <w:spacing w:after="0" w:line="1" w:lineRule="exact"/>
        <w:rPr>
          <w:sz w:val="20"/>
          <w:szCs w:val="20"/>
          <w:color w:val="auto"/>
        </w:rPr>
      </w:pPr>
    </w:p>
    <w:p>
      <w:pPr>
        <w:ind w:left="40" w:right="40"/>
        <w:spacing w:after="0" w:line="291" w:lineRule="auto"/>
        <w:rPr>
          <w:sz w:val="20"/>
          <w:szCs w:val="20"/>
          <w:color w:val="auto"/>
        </w:rPr>
      </w:pPr>
      <w:r>
        <w:rPr>
          <w:rFonts w:ascii="Arial" w:cs="Arial" w:eastAsia="Arial" w:hAnsi="Arial"/>
          <w:sz w:val="14"/>
          <w:szCs w:val="14"/>
          <w:color w:val="auto"/>
        </w:rPr>
        <w:t>Net change in cash and cash equivalents during period</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1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9/30/2019</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right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color w:val="auto"/>
              </w:rPr>
              <w:t>9/30/2018</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Cash flow</w:t>
            </w: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Cash flow</w:t>
            </w:r>
          </w:p>
        </w:tc>
        <w:tc>
          <w:tcPr>
            <w:tcW w:w="120" w:type="dxa"/>
            <w:vAlign w:val="bottom"/>
          </w:tcPr>
          <w:p>
            <w:pPr>
              <w:spacing w:after="0"/>
              <w:rPr>
                <w:sz w:val="15"/>
                <w:szCs w:val="15"/>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color w:val="auto"/>
              </w:rPr>
              <w:t>Cash flow attributable to</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color w:val="auto"/>
              </w:rPr>
              <w:t>Cash flow attributable to</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rPr>
              <w:t>consolidated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attributable to</w:t>
            </w:r>
          </w:p>
        </w:tc>
        <w:tc>
          <w:tcPr>
            <w:tcW w:w="100" w:type="dxa"/>
            <w:vAlign w:val="bottom"/>
          </w:tcPr>
          <w:p>
            <w:pPr>
              <w:spacing w:after="0"/>
              <w:rPr>
                <w:sz w:val="14"/>
                <w:szCs w:val="14"/>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color w:val="auto"/>
              </w:rPr>
              <w:t>consolidated</w:t>
            </w:r>
          </w:p>
        </w:tc>
        <w:tc>
          <w:tcPr>
            <w:tcW w:w="116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color w:val="auto"/>
              </w:rPr>
              <w:t>As reported on</w:t>
            </w:r>
          </w:p>
        </w:tc>
        <w:tc>
          <w:tcPr>
            <w:tcW w:w="100" w:type="dxa"/>
            <w:vAlign w:val="bottom"/>
          </w:tcPr>
          <w:p>
            <w:pPr>
              <w:spacing w:after="0"/>
              <w:rPr>
                <w:sz w:val="14"/>
                <w:szCs w:val="14"/>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attributable to</w:t>
            </w:r>
          </w:p>
        </w:tc>
        <w:tc>
          <w:tcPr>
            <w:tcW w:w="1920" w:type="dxa"/>
            <w:vAlign w:val="bottom"/>
            <w:gridSpan w:val="3"/>
          </w:tcPr>
          <w:p>
            <w:pPr>
              <w:jc w:val="center"/>
              <w:ind w:right="100"/>
              <w:spacing w:after="0"/>
              <w:rPr>
                <w:sz w:val="20"/>
                <w:szCs w:val="20"/>
                <w:color w:val="auto"/>
              </w:rPr>
            </w:pPr>
            <w:r>
              <w:rPr>
                <w:rFonts w:ascii="Arial" w:cs="Arial" w:eastAsia="Arial" w:hAnsi="Arial"/>
                <w:sz w:val="14"/>
                <w:szCs w:val="14"/>
                <w:color w:val="auto"/>
              </w:rPr>
              <w:t>T. Rowe Price investment</w:t>
            </w:r>
          </w:p>
        </w:tc>
        <w:tc>
          <w:tcPr>
            <w:tcW w:w="1020" w:type="dxa"/>
            <w:vAlign w:val="bottom"/>
            <w:gridSpan w:val="2"/>
          </w:tcPr>
          <w:p>
            <w:pPr>
              <w:ind w:left="40"/>
              <w:spacing w:after="0"/>
              <w:rPr>
                <w:sz w:val="20"/>
                <w:szCs w:val="20"/>
                <w:color w:val="auto"/>
              </w:rPr>
            </w:pPr>
            <w:r>
              <w:rPr>
                <w:rFonts w:ascii="Arial" w:cs="Arial" w:eastAsia="Arial" w:hAnsi="Arial"/>
                <w:sz w:val="14"/>
                <w:szCs w:val="14"/>
                <w:color w:val="auto"/>
              </w:rPr>
              <w:t>As reported on</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 Rowe Price</w:t>
            </w:r>
          </w:p>
        </w:tc>
        <w:tc>
          <w:tcPr>
            <w:tcW w:w="100" w:type="dxa"/>
            <w:vAlign w:val="bottom"/>
          </w:tcPr>
          <w:p>
            <w:pPr>
              <w:spacing w:after="0"/>
              <w:rPr>
                <w:sz w:val="14"/>
                <w:szCs w:val="14"/>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color w:val="auto"/>
              </w:rPr>
              <w:t>T. Rowe Price investment</w:t>
            </w:r>
          </w:p>
        </w:tc>
        <w:tc>
          <w:tcPr>
            <w:tcW w:w="120" w:type="dxa"/>
            <w:vAlign w:val="bottom"/>
          </w:tcPr>
          <w:p>
            <w:pPr>
              <w:spacing w:after="0"/>
              <w:rPr>
                <w:sz w:val="14"/>
                <w:szCs w:val="14"/>
                <w:color w:val="auto"/>
              </w:rPr>
            </w:pPr>
          </w:p>
        </w:tc>
        <w:tc>
          <w:tcPr>
            <w:tcW w:w="10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statement of</w:t>
            </w:r>
          </w:p>
        </w:tc>
        <w:tc>
          <w:tcPr>
            <w:tcW w:w="100" w:type="dxa"/>
            <w:vAlign w:val="bottom"/>
          </w:tcPr>
          <w:p>
            <w:pPr>
              <w:spacing w:after="0"/>
              <w:rPr>
                <w:sz w:val="14"/>
                <w:szCs w:val="14"/>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 Rowe Price</w:t>
            </w:r>
          </w:p>
        </w:tc>
        <w:tc>
          <w:tcPr>
            <w:tcW w:w="120" w:type="dxa"/>
            <w:vAlign w:val="bottom"/>
          </w:tcPr>
          <w:p>
            <w:pPr>
              <w:spacing w:after="0"/>
              <w:rPr>
                <w:sz w:val="14"/>
                <w:szCs w:val="14"/>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rPr>
              <w:t>products, net of</w:t>
            </w:r>
          </w:p>
        </w:tc>
        <w:tc>
          <w:tcPr>
            <w:tcW w:w="1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w w:val="98"/>
              </w:rPr>
              <w:t>statement of</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Group</w:t>
            </w:r>
          </w:p>
        </w:tc>
        <w:tc>
          <w:tcPr>
            <w:tcW w:w="1960" w:type="dxa"/>
            <w:vAlign w:val="bottom"/>
            <w:gridSpan w:val="3"/>
          </w:tcPr>
          <w:p>
            <w:pPr>
              <w:jc w:val="center"/>
              <w:ind w:right="120"/>
              <w:spacing w:after="0"/>
              <w:rPr>
                <w:sz w:val="20"/>
                <w:szCs w:val="20"/>
                <w:color w:val="auto"/>
              </w:rPr>
            </w:pPr>
            <w:r>
              <w:rPr>
                <w:rFonts w:ascii="Arial" w:cs="Arial" w:eastAsia="Arial" w:hAnsi="Arial"/>
                <w:sz w:val="14"/>
                <w:szCs w:val="14"/>
                <w:color w:val="auto"/>
              </w:rPr>
              <w:t>products, net of eliminations</w:t>
            </w:r>
          </w:p>
        </w:tc>
        <w:tc>
          <w:tcPr>
            <w:tcW w:w="120" w:type="dxa"/>
            <w:vAlign w:val="bottom"/>
          </w:tcPr>
          <w:p>
            <w:pPr>
              <w:spacing w:after="0"/>
              <w:rPr>
                <w:sz w:val="17"/>
                <w:szCs w:val="17"/>
                <w:color w:val="auto"/>
              </w:rPr>
            </w:pPr>
          </w:p>
        </w:tc>
        <w:tc>
          <w:tcPr>
            <w:tcW w:w="10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cash flows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Group</w:t>
            </w:r>
          </w:p>
        </w:tc>
        <w:tc>
          <w:tcPr>
            <w:tcW w:w="120" w:type="dxa"/>
            <w:vAlign w:val="bottom"/>
          </w:tcPr>
          <w:p>
            <w:pPr>
              <w:spacing w:after="0"/>
              <w:rPr>
                <w:sz w:val="17"/>
                <w:szCs w:val="17"/>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rPr>
              <w:t>eliminations</w:t>
            </w:r>
          </w:p>
        </w:tc>
        <w:tc>
          <w:tcPr>
            <w:tcW w:w="120" w:type="dxa"/>
            <w:vAlign w:val="bottom"/>
          </w:tcPr>
          <w:p>
            <w:pPr>
              <w:spacing w:after="0"/>
              <w:rPr>
                <w:sz w:val="17"/>
                <w:szCs w:val="17"/>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cash flows</w:t>
            </w:r>
          </w:p>
        </w:tc>
        <w:tc>
          <w:tcPr>
            <w:tcW w:w="0" w:type="dxa"/>
            <w:vAlign w:val="bottom"/>
          </w:tcPr>
          <w:p>
            <w:pPr>
              <w:spacing w:after="0"/>
              <w:rPr>
                <w:sz w:val="1"/>
                <w:szCs w:val="1"/>
                <w:color w:val="auto"/>
              </w:rPr>
            </w:pPr>
          </w:p>
        </w:tc>
      </w:tr>
      <w:tr>
        <w:trPr>
          <w:trHeight w:val="681"/>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2,028.1</w:t>
            </w:r>
          </w:p>
        </w:tc>
        <w:tc>
          <w:tcPr>
            <w:tcW w:w="1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(527.4)</w:t>
            </w:r>
          </w:p>
        </w:tc>
        <w:tc>
          <w:tcPr>
            <w:tcW w:w="120" w:type="dxa"/>
            <w:vAlign w:val="bottom"/>
          </w:tcPr>
          <w:p>
            <w:pPr>
              <w:spacing w:after="0"/>
              <w:rPr>
                <w:sz w:val="24"/>
                <w:szCs w:val="24"/>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1,500.7</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2,060.9</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(574.5)</w:t>
            </w:r>
          </w:p>
        </w:tc>
        <w:tc>
          <w:tcPr>
            <w:tcW w:w="100" w:type="dxa"/>
            <w:vAlign w:val="bottom"/>
          </w:tcPr>
          <w:p>
            <w:pPr>
              <w:spacing w:after="0"/>
              <w:rPr>
                <w:sz w:val="24"/>
                <w:szCs w:val="24"/>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1,486.4</w:t>
            </w:r>
          </w:p>
        </w:tc>
        <w:tc>
          <w:tcPr>
            <w:tcW w:w="0" w:type="dxa"/>
            <w:vAlign w:val="bottom"/>
          </w:tcPr>
          <w:p>
            <w:pPr>
              <w:spacing w:after="0"/>
              <w:rPr>
                <w:sz w:val="1"/>
                <w:szCs w:val="1"/>
                <w:color w:val="auto"/>
              </w:rPr>
            </w:pPr>
          </w:p>
        </w:tc>
      </w:tr>
      <w:tr>
        <w:trPr>
          <w:trHeight w:val="864"/>
        </w:trPr>
        <w:tc>
          <w:tcPr>
            <w:tcW w:w="12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(230.0)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153.3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(76.7)</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(923.7)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93.3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(830.4)</w:t>
            </w:r>
          </w:p>
        </w:tc>
        <w:tc>
          <w:tcPr>
            <w:tcW w:w="0" w:type="dxa"/>
            <w:vAlign w:val="bottom"/>
          </w:tcPr>
          <w:p>
            <w:pPr>
              <w:spacing w:after="0"/>
              <w:rPr>
                <w:sz w:val="1"/>
                <w:szCs w:val="1"/>
                <w:color w:val="auto"/>
              </w:rPr>
            </w:pPr>
          </w:p>
        </w:tc>
      </w:tr>
      <w:tr>
        <w:trPr>
          <w:trHeight w:val="702"/>
        </w:trPr>
        <w:tc>
          <w:tcPr>
            <w:tcW w:w="12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(1,010.1)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387.1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(623.0)</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(949.3)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486.2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(463.1)</w:t>
            </w:r>
          </w:p>
        </w:tc>
        <w:tc>
          <w:tcPr>
            <w:tcW w:w="0" w:type="dxa"/>
            <w:vAlign w:val="bottom"/>
          </w:tcPr>
          <w:p>
            <w:pPr>
              <w:spacing w:after="0"/>
              <w:rPr>
                <w:sz w:val="1"/>
                <w:szCs w:val="1"/>
                <w:color w:val="auto"/>
              </w:rPr>
            </w:pPr>
          </w:p>
        </w:tc>
      </w:tr>
      <w:tr>
        <w:trPr>
          <w:trHeight w:val="379"/>
        </w:trPr>
        <w:tc>
          <w:tcPr>
            <w:tcW w:w="12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174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345"/>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788.0</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798.8</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187.9</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190.5</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-1937385</wp:posOffset>
            </wp:positionV>
            <wp:extent cx="7246620" cy="445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-942975</wp:posOffset>
            </wp:positionV>
            <wp:extent cx="7246620"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-256540</wp:posOffset>
            </wp:positionV>
            <wp:extent cx="7246620" cy="240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61" w:lineRule="exact"/>
        <w:rPr>
          <w:sz w:val="20"/>
          <w:szCs w:val="20"/>
          <w:color w:val="auto"/>
        </w:rPr>
      </w:pPr>
    </w:p>
    <w:p>
      <w:pPr>
        <w:sectPr>
          <w:pgSz w:w="11900" w:h="16838" w:orient="portrait"/>
          <w:cols w:equalWidth="0" w:num="2">
            <w:col w:w="2700" w:space="40"/>
            <w:col w:w="8680"/>
          </w:cols>
          <w:pgMar w:left="240" w:top="747" w:right="239" w:bottom="1440" w:gutter="0" w:footer="0" w:header="0"/>
          <w:type w:val="continuous"/>
        </w:sect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i w:val="1"/>
          <w:iCs w:val="1"/>
          <w:color w:val="auto"/>
        </w:rPr>
        <w:t>Cash flows for stock repurchases reflect the impact of the timing of the settlement of these transactions at each period beginning and end.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7" w:right="23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69"/>
        </w:trPr>
        <w:tc>
          <w:tcPr>
            <w:tcW w:w="20" w:type="dxa"/>
            <w:vAlign w:val="bottom"/>
            <w:shd w:val="clear" w:color="auto" w:fill="CCEEFF"/>
          </w:tcPr>
          <w:p>
            <w:pPr>
              <w:spacing w:after="0"/>
              <w:rPr>
                <w:sz w:val="23"/>
                <w:szCs w:val="23"/>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Unaudited Condensed Consolidated Balance Sheet Information (in millions)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4"/>
                <w:szCs w:val="14"/>
                <w:color w:val="auto"/>
                <w:w w:val="93"/>
              </w:rPr>
              <w:t>As of</w:t>
            </w:r>
          </w:p>
        </w:tc>
        <w:tc>
          <w:tcPr>
            <w:tcW w:w="11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tcPr>
          <w:p>
            <w:pPr>
              <w:spacing w:after="0"/>
              <w:rPr>
                <w:sz w:val="22"/>
                <w:szCs w:val="22"/>
                <w:color w:val="auto"/>
              </w:rPr>
            </w:pPr>
          </w:p>
        </w:tc>
        <w:tc>
          <w:tcPr>
            <w:tcW w:w="548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9/30/2019</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12/31/2018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shd w:val="clear" w:color="auto" w:fill="CCEEFF"/>
          </w:tcPr>
          <w:p>
            <w:pPr>
              <w:spacing w:after="0"/>
              <w:rPr>
                <w:sz w:val="22"/>
                <w:szCs w:val="22"/>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2,213.2</w:t>
            </w:r>
          </w:p>
        </w:tc>
        <w:tc>
          <w:tcPr>
            <w:tcW w:w="42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1,425.2</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480" w:type="dxa"/>
            <w:vAlign w:val="bottom"/>
          </w:tcPr>
          <w:p>
            <w:pPr>
              <w:ind w:left="20"/>
              <w:spacing w:after="0"/>
              <w:rPr>
                <w:sz w:val="20"/>
                <w:szCs w:val="20"/>
                <w:color w:val="auto"/>
              </w:rPr>
            </w:pPr>
            <w:r>
              <w:rPr>
                <w:rFonts w:ascii="Arial" w:cs="Arial" w:eastAsia="Arial" w:hAnsi="Arial"/>
                <w:sz w:val="14"/>
                <w:szCs w:val="14"/>
                <w:color w:val="auto"/>
              </w:rPr>
              <w:t>Accounts receivable and accrued revenue</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620.6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549.6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2,605.9</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2,453.4</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480" w:type="dxa"/>
            <w:vAlign w:val="bottom"/>
          </w:tcPr>
          <w:p>
            <w:pPr>
              <w:ind w:left="20"/>
              <w:spacing w:after="0"/>
              <w:rPr>
                <w:sz w:val="20"/>
                <w:szCs w:val="20"/>
                <w:color w:val="auto"/>
              </w:rPr>
            </w:pPr>
            <w:r>
              <w:rPr>
                <w:rFonts w:ascii="Arial" w:cs="Arial" w:eastAsia="Arial" w:hAnsi="Arial"/>
                <w:sz w:val="14"/>
                <w:szCs w:val="14"/>
                <w:color w:val="auto"/>
              </w:rPr>
              <w:t>Assets of consolidated T. Rowe Price investment products</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2,247.4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1,680.4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678.8</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661.3</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480" w:type="dxa"/>
            <w:vAlign w:val="bottom"/>
          </w:tcPr>
          <w:p>
            <w:pPr>
              <w:ind w:left="2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665.7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665.7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 including operating lease assets in 2019</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366.2</w:t>
            </w:r>
          </w:p>
        </w:tc>
        <w:tc>
          <w:tcPr>
            <w:tcW w:w="8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253.7</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9,397.8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7,689.3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560" w:type="dxa"/>
            <w:vAlign w:val="bottom"/>
            <w:gridSpan w:val="7"/>
            <w:shd w:val="clear" w:color="auto" w:fill="CCEEFF"/>
          </w:tcPr>
          <w:p>
            <w:pPr>
              <w:ind w:left="20"/>
              <w:spacing w:after="0"/>
              <w:rPr>
                <w:sz w:val="20"/>
                <w:szCs w:val="20"/>
                <w:color w:val="auto"/>
              </w:rPr>
            </w:pPr>
            <w:r>
              <w:rPr>
                <w:rFonts w:ascii="Arial" w:cs="Arial" w:eastAsia="Arial" w:hAnsi="Arial"/>
                <w:sz w:val="14"/>
                <w:szCs w:val="14"/>
                <w:color w:val="auto"/>
              </w:rPr>
              <w:t>Total liabilities, includes $80.4 at September 30, 2019, and $38.7 at December 31, 2018, from consolidated T. Rowe Price</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products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824.7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Arial" w:cs="Arial" w:eastAsia="Arial" w:hAnsi="Arial"/>
                <w:sz w:val="14"/>
                <w:szCs w:val="14"/>
                <w:color w:val="auto"/>
              </w:rPr>
              <w:t>Redeemable non-controlling interests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1,102.9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740.3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20" w:type="dxa"/>
            <w:vAlign w:val="bottom"/>
            <w:tcBorders>
              <w:bottom w:val="single" w:sz="8" w:color="CCEEFF"/>
            </w:tcBorders>
          </w:tcPr>
          <w:p>
            <w:pPr>
              <w:spacing w:after="0"/>
              <w:rPr>
                <w:sz w:val="5"/>
                <w:szCs w:val="5"/>
                <w:color w:val="auto"/>
              </w:rPr>
            </w:pPr>
          </w:p>
        </w:tc>
        <w:tc>
          <w:tcPr>
            <w:tcW w:w="548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 234.7 common shares outstanding at September 30, 2019</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6,839.8</w:t>
            </w:r>
          </w:p>
        </w:tc>
        <w:tc>
          <w:tcPr>
            <w:tcW w:w="42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6,124.3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Investments Information (in millions)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Net assets of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consolidated 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color w:val="auto"/>
              </w:rPr>
              <w:t>Cash and cash</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Rowe Price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equivalents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Investments</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investment products</w:t>
            </w:r>
          </w:p>
        </w:tc>
        <w:tc>
          <w:tcPr>
            <w:tcW w:w="120" w:type="dxa"/>
            <w:vAlign w:val="bottom"/>
            <w:tcBorders>
              <w:bottom w:val="single" w:sz="8" w:color="CCEEFF"/>
            </w:tcBorders>
            <w:gridSpan w:val="2"/>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9/30/2019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discretionary investments</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2,213.2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1,626.2</w:t>
            </w:r>
          </w:p>
        </w:tc>
        <w:tc>
          <w:tcPr>
            <w:tcW w:w="100" w:type="dxa"/>
            <w:vAlign w:val="bottom"/>
            <w:shd w:val="clear" w:color="auto" w:fill="CCEEFF"/>
          </w:tcPr>
          <w:p>
            <w:pPr>
              <w:spacing w:after="0"/>
              <w:rPr>
                <w:sz w:val="23"/>
                <w:szCs w:val="23"/>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42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3,908.3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480" w:type="dxa"/>
            <w:vAlign w:val="bottom"/>
          </w:tcPr>
          <w:p>
            <w:pPr>
              <w:ind w:left="20"/>
              <w:spacing w:after="0"/>
              <w:rPr>
                <w:sz w:val="20"/>
                <w:szCs w:val="20"/>
                <w:color w:val="auto"/>
              </w:rPr>
            </w:pPr>
            <w:r>
              <w:rPr>
                <w:rFonts w:ascii="Arial" w:cs="Arial" w:eastAsia="Arial" w:hAnsi="Arial"/>
                <w:sz w:val="14"/>
                <w:szCs w:val="14"/>
                <w:color w:val="auto"/>
              </w:rPr>
              <w:t>Seed capital investments</w:t>
            </w:r>
          </w:p>
        </w:tc>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262.5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995.2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1,257.7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used to hedge the supplemental savings plan liability</w:t>
            </w:r>
          </w:p>
        </w:tc>
        <w:tc>
          <w:tcPr>
            <w:tcW w:w="2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443.0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80" w:type="dxa"/>
            <w:vAlign w:val="bottom"/>
          </w:tcPr>
          <w:p>
            <w:pPr>
              <w:ind w:left="20"/>
              <w:spacing w:after="0" w:line="154" w:lineRule="exact"/>
              <w:rPr>
                <w:sz w:val="20"/>
                <w:szCs w:val="20"/>
                <w:color w:val="auto"/>
              </w:rPr>
            </w:pPr>
            <w:r>
              <w:rPr>
                <w:rFonts w:ascii="Arial" w:cs="Arial" w:eastAsia="Arial" w:hAnsi="Arial"/>
                <w:sz w:val="14"/>
                <w:szCs w:val="14"/>
                <w:b w:val="1"/>
                <w:bCs w:val="1"/>
                <w:color w:val="auto"/>
              </w:rPr>
              <w:t>Total cash and investments in T. Rowe Price products attributable to T. Rowe</w:t>
            </w: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Price Group</w:t>
            </w:r>
          </w:p>
        </w:tc>
        <w:tc>
          <w:tcPr>
            <w:tcW w:w="28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2,213.2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2,331.7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1,064.1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5,609.0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5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Investment in UTI and other investments</w:t>
            </w:r>
          </w:p>
        </w:tc>
        <w:tc>
          <w:tcPr>
            <w:tcW w:w="2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Total cash and investments attributable to T. Rowe Price Group</w:t>
            </w:r>
          </w:p>
        </w:tc>
        <w:tc>
          <w:tcPr>
            <w:tcW w:w="28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2,213.2</w:t>
            </w: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2,605.9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1,064.1</w:t>
            </w:r>
          </w:p>
        </w:tc>
        <w:tc>
          <w:tcPr>
            <w:tcW w:w="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5,883.2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non-controlling interests</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1,102.9</w:t>
            </w:r>
          </w:p>
        </w:tc>
        <w:tc>
          <w:tcPr>
            <w:tcW w:w="8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80" w:type="dxa"/>
            <w:vAlign w:val="bottom"/>
          </w:tcPr>
          <w:p>
            <w:pPr>
              <w:ind w:left="20"/>
              <w:spacing w:after="0" w:line="154" w:lineRule="exact"/>
              <w:rPr>
                <w:sz w:val="20"/>
                <w:szCs w:val="20"/>
                <w:color w:val="auto"/>
              </w:rPr>
            </w:pPr>
            <w:r>
              <w:rPr>
                <w:rFonts w:ascii="Arial" w:cs="Arial" w:eastAsia="Arial" w:hAnsi="Arial"/>
                <w:sz w:val="14"/>
                <w:szCs w:val="14"/>
                <w:b w:val="1"/>
                <w:bCs w:val="1"/>
                <w:color w:val="auto"/>
              </w:rPr>
              <w:t>As reported on unaudited condensed consolidated balance sheet at</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2,213.2</w:t>
            </w:r>
          </w:p>
        </w:tc>
        <w:tc>
          <w:tcPr>
            <w:tcW w:w="120" w:type="dxa"/>
            <w:vAlign w:val="bottom"/>
          </w:tcPr>
          <w:p>
            <w:pPr>
              <w:spacing w:after="0"/>
              <w:rPr>
                <w:sz w:val="13"/>
                <w:szCs w:val="13"/>
                <w:color w:val="auto"/>
              </w:rPr>
            </w:pP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2,605.9</w:t>
            </w:r>
          </w:p>
        </w:tc>
        <w:tc>
          <w:tcPr>
            <w:tcW w:w="100" w:type="dxa"/>
            <w:vAlign w:val="bottom"/>
          </w:tcPr>
          <w:p>
            <w:pPr>
              <w:spacing w:after="0"/>
              <w:rPr>
                <w:sz w:val="13"/>
                <w:szCs w:val="13"/>
                <w:color w:val="auto"/>
              </w:rPr>
            </w:pPr>
          </w:p>
        </w:tc>
        <w:tc>
          <w:tcPr>
            <w:tcW w:w="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2,167.0</w:t>
            </w:r>
          </w:p>
        </w:tc>
        <w:tc>
          <w:tcPr>
            <w:tcW w:w="42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6,986.1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September 30, 2019</w:t>
            </w:r>
          </w:p>
        </w:tc>
        <w:tc>
          <w:tcPr>
            <w:tcW w:w="28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420" w:type="dxa"/>
            <w:vAlign w:val="bottom"/>
            <w:gridSpan w:val="4"/>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auto"/>
        </w:rPr>
        <w:t>Non-GAAP Information and Reconciliation</w:t>
      </w:r>
    </w:p>
    <w:p>
      <w:pPr>
        <w:spacing w:after="0" w:line="230" w:lineRule="exact"/>
        <w:rPr>
          <w:sz w:val="20"/>
          <w:szCs w:val="20"/>
          <w:color w:val="auto"/>
        </w:rPr>
      </w:pPr>
    </w:p>
    <w:p>
      <w:pPr>
        <w:ind w:right="240"/>
        <w:spacing w:after="0" w:line="420" w:lineRule="auto"/>
        <w:rPr>
          <w:sz w:val="20"/>
          <w:szCs w:val="20"/>
          <w:color w:val="auto"/>
        </w:rPr>
      </w:pPr>
      <w:r>
        <w:rPr>
          <w:rFonts w:ascii="Arial" w:cs="Arial" w:eastAsia="Arial" w:hAnsi="Arial"/>
          <w:sz w:val="16"/>
          <w:szCs w:val="16"/>
          <w:color w:val="auto"/>
        </w:rPr>
        <w:t>The firm believes the non-GAAP financial measures below provide relevant and meaningful information to investors about its core operating results. These measures have been established in order to increase transparency for the purpose of evaluating the firm's core business, for comparing current results with prior period results, and to enable more appropriate comparison with industry peers. However, non-GAAP financial measures should not be considered as a substitute for financial measures calculated in accordance with U.S. GAAP and may be calculated differently by other companies. The following schedules reconcile U.S. GAAP financial measures to non-GAAP financial measures for the three months ended September 30, 2019 and 2018.</w:t>
      </w: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35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2360" w:type="dxa"/>
            <w:vAlign w:val="bottom"/>
            <w:tcBorders>
              <w:bottom w:val="single" w:sz="8" w:color="auto"/>
            </w:tcBorders>
            <w:gridSpan w:val="5"/>
            <w:shd w:val="clear" w:color="auto" w:fill="CCEEFF"/>
          </w:tcPr>
          <w:p>
            <w:pPr>
              <w:ind w:left="100"/>
              <w:spacing w:after="0"/>
              <w:rPr>
                <w:sz w:val="20"/>
                <w:szCs w:val="20"/>
                <w:color w:val="auto"/>
              </w:rPr>
            </w:pPr>
            <w:r>
              <w:rPr>
                <w:rFonts w:ascii="Arial" w:cs="Arial" w:eastAsia="Arial" w:hAnsi="Arial"/>
                <w:sz w:val="14"/>
                <w:szCs w:val="14"/>
                <w:b w:val="1"/>
                <w:bCs w:val="1"/>
                <w:color w:val="auto"/>
              </w:rPr>
              <w:t>Three months ended 9/30/2019</w:t>
            </w: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r>
      <w:tr>
        <w:trPr>
          <w:trHeight w:val="168"/>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Provision</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Net income</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Net operating</w:t>
            </w: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Non-operating</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(benefit) for</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attributable to T.</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Diluted earnings</w:t>
            </w:r>
          </w:p>
        </w:tc>
      </w:tr>
      <w:tr>
        <w:trPr>
          <w:trHeight w:val="204"/>
        </w:trPr>
        <w:tc>
          <w:tcPr>
            <w:tcW w:w="3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income</w:t>
            </w: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income taxes</w:t>
            </w:r>
            <w:r>
              <w:rPr>
                <w:rFonts w:ascii="Arial" w:cs="Arial" w:eastAsia="Arial" w:hAnsi="Arial"/>
                <w:sz w:val="17"/>
                <w:szCs w:val="17"/>
                <w:b w:val="1"/>
                <w:bCs w:val="1"/>
                <w:color w:val="auto"/>
                <w:w w:val="99"/>
                <w:vertAlign w:val="superscript"/>
              </w:rPr>
              <w:t>(6)</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Rowe Price Group</w:t>
            </w:r>
          </w:p>
        </w:tc>
        <w:tc>
          <w:tcPr>
            <w:tcW w:w="160" w:type="dxa"/>
            <w:vAlign w:val="bottom"/>
          </w:tcPr>
          <w:p>
            <w:pPr>
              <w:spacing w:after="0"/>
              <w:rPr>
                <w:sz w:val="17"/>
                <w:szCs w:val="17"/>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per share</w:t>
            </w:r>
            <w:r>
              <w:rPr>
                <w:rFonts w:ascii="Arial" w:cs="Arial" w:eastAsia="Arial" w:hAnsi="Arial"/>
                <w:sz w:val="17"/>
                <w:szCs w:val="17"/>
                <w:b w:val="1"/>
                <w:bCs w:val="1"/>
                <w:color w:val="auto"/>
                <w:w w:val="98"/>
                <w:vertAlign w:val="superscript"/>
              </w:rPr>
              <w:t>(7)</w:t>
            </w:r>
          </w:p>
        </w:tc>
      </w:tr>
      <w:tr>
        <w:trPr>
          <w:trHeight w:val="250"/>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Basis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767.6</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659.1</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157.0</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545.9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2.23</w:t>
            </w:r>
          </w:p>
        </w:tc>
      </w:tr>
      <w:tr>
        <w:trPr>
          <w:trHeight w:val="266"/>
        </w:trPr>
        <w:tc>
          <w:tcPr>
            <w:tcW w:w="354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180"/>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Consolidated T. Rowe Price</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2"/>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products</w:t>
            </w:r>
            <w:r>
              <w:rPr>
                <w:rFonts w:ascii="Arial" w:cs="Arial" w:eastAsia="Arial" w:hAnsi="Arial"/>
                <w:sz w:val="17"/>
                <w:szCs w:val="17"/>
                <w:color w:val="auto"/>
                <w:vertAlign w:val="superscript"/>
              </w:rPr>
              <w:t>(1)</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r>
      <w:tr>
        <w:trPr>
          <w:trHeight w:val="270"/>
        </w:trPr>
        <w:tc>
          <w:tcPr>
            <w:tcW w:w="3540" w:type="dxa"/>
            <w:vAlign w:val="bottom"/>
          </w:tcPr>
          <w:p>
            <w:pPr>
              <w:ind w:left="140"/>
              <w:spacing w:after="0"/>
              <w:rPr>
                <w:sz w:val="20"/>
                <w:szCs w:val="20"/>
                <w:color w:val="auto"/>
              </w:rPr>
            </w:pPr>
            <w:r>
              <w:rPr>
                <w:rFonts w:ascii="Arial" w:cs="Arial" w:eastAsia="Arial" w:hAnsi="Arial"/>
                <w:sz w:val="14"/>
                <w:szCs w:val="14"/>
                <w:color w:val="auto"/>
              </w:rPr>
              <w:t>Supplemental savings plan liability</w:t>
            </w:r>
            <w:r>
              <w:rPr>
                <w:rFonts w:ascii="Arial" w:cs="Arial" w:eastAsia="Arial" w:hAnsi="Arial"/>
                <w:sz w:val="17"/>
                <w:szCs w:val="17"/>
                <w:color w:val="auto"/>
                <w:vertAlign w:val="superscript"/>
              </w:rPr>
              <w:t>(2)</w:t>
            </w:r>
          </w:p>
        </w:tc>
        <w:tc>
          <w:tcPr>
            <w:tcW w:w="16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non-operating income</w:t>
            </w:r>
            <w:r>
              <w:rPr>
                <w:rFonts w:ascii="Arial" w:cs="Arial" w:eastAsia="Arial" w:hAnsi="Arial"/>
                <w:sz w:val="17"/>
                <w:szCs w:val="17"/>
                <w:color w:val="auto"/>
                <w:vertAlign w:val="superscript"/>
              </w:rPr>
              <w:t>(3)</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r>
      <w:tr>
        <w:trPr>
          <w:trHeight w:val="237"/>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Adjusted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765.1</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664.2</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161.3</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521.7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2.13</w:t>
            </w: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32"/>
        </w:trPr>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9"/>
        </w:trPr>
        <w:tc>
          <w:tcPr>
            <w:tcW w:w="35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2360" w:type="dxa"/>
            <w:vAlign w:val="bottom"/>
            <w:tcBorders>
              <w:bottom w:val="single" w:sz="8" w:color="auto"/>
            </w:tcBorders>
            <w:gridSpan w:val="5"/>
            <w:shd w:val="clear" w:color="auto" w:fill="CCEEFF"/>
          </w:tcPr>
          <w:p>
            <w:pPr>
              <w:ind w:left="100"/>
              <w:spacing w:after="0"/>
              <w:rPr>
                <w:sz w:val="20"/>
                <w:szCs w:val="20"/>
                <w:color w:val="auto"/>
              </w:rPr>
            </w:pPr>
            <w:r>
              <w:rPr>
                <w:rFonts w:ascii="Arial" w:cs="Arial" w:eastAsia="Arial" w:hAnsi="Arial"/>
                <w:sz w:val="14"/>
                <w:szCs w:val="14"/>
                <w:b w:val="1"/>
                <w:bCs w:val="1"/>
                <w:color w:val="auto"/>
              </w:rPr>
              <w:t>Three months ended 9/30/2018</w:t>
            </w: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r>
      <w:tr>
        <w:trPr>
          <w:trHeight w:val="168"/>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Provision</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Net income</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Net operating</w:t>
            </w: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Non-operating</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(benefit) for</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attributable to T.</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Diluted earnings</w:t>
            </w:r>
          </w:p>
        </w:tc>
      </w:tr>
      <w:tr>
        <w:trPr>
          <w:trHeight w:val="204"/>
        </w:trPr>
        <w:tc>
          <w:tcPr>
            <w:tcW w:w="3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income</w:t>
            </w: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income taxes</w:t>
            </w:r>
            <w:r>
              <w:rPr>
                <w:rFonts w:ascii="Arial" w:cs="Arial" w:eastAsia="Arial" w:hAnsi="Arial"/>
                <w:sz w:val="17"/>
                <w:szCs w:val="17"/>
                <w:b w:val="1"/>
                <w:bCs w:val="1"/>
                <w:color w:val="auto"/>
                <w:w w:val="99"/>
                <w:vertAlign w:val="superscript"/>
              </w:rPr>
              <w:t>(6)</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Rowe Price Group</w:t>
            </w:r>
          </w:p>
        </w:tc>
        <w:tc>
          <w:tcPr>
            <w:tcW w:w="160" w:type="dxa"/>
            <w:vAlign w:val="bottom"/>
          </w:tcPr>
          <w:p>
            <w:pPr>
              <w:spacing w:after="0"/>
              <w:rPr>
                <w:sz w:val="17"/>
                <w:szCs w:val="17"/>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per share</w:t>
            </w:r>
            <w:r>
              <w:rPr>
                <w:rFonts w:ascii="Arial" w:cs="Arial" w:eastAsia="Arial" w:hAnsi="Arial"/>
                <w:sz w:val="17"/>
                <w:szCs w:val="17"/>
                <w:b w:val="1"/>
                <w:bCs w:val="1"/>
                <w:color w:val="auto"/>
                <w:w w:val="98"/>
                <w:vertAlign w:val="superscript"/>
              </w:rPr>
              <w:t>(7)</w:t>
            </w:r>
          </w:p>
        </w:tc>
      </w:tr>
      <w:tr>
        <w:trPr>
          <w:trHeight w:val="250"/>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Basis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754.0</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640.6</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124.9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183.9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583.0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2.30</w:t>
            </w:r>
          </w:p>
        </w:tc>
      </w:tr>
      <w:tr>
        <w:trPr>
          <w:trHeight w:val="266"/>
        </w:trPr>
        <w:tc>
          <w:tcPr>
            <w:tcW w:w="354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180"/>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Consolidated T. Rowe Price</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2"/>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products</w:t>
            </w:r>
            <w:r>
              <w:rPr>
                <w:rFonts w:ascii="Arial" w:cs="Arial" w:eastAsia="Arial" w:hAnsi="Arial"/>
                <w:sz w:val="17"/>
                <w:szCs w:val="17"/>
                <w:color w:val="auto"/>
                <w:vertAlign w:val="superscript"/>
              </w:rPr>
              <w:t>(1)</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r>
      <w:tr>
        <w:trPr>
          <w:trHeight w:val="270"/>
        </w:trPr>
        <w:tc>
          <w:tcPr>
            <w:tcW w:w="3540" w:type="dxa"/>
            <w:vAlign w:val="bottom"/>
          </w:tcPr>
          <w:p>
            <w:pPr>
              <w:ind w:left="140"/>
              <w:spacing w:after="0"/>
              <w:rPr>
                <w:sz w:val="20"/>
                <w:szCs w:val="20"/>
                <w:color w:val="auto"/>
              </w:rPr>
            </w:pPr>
            <w:r>
              <w:rPr>
                <w:rFonts w:ascii="Arial" w:cs="Arial" w:eastAsia="Arial" w:hAnsi="Arial"/>
                <w:sz w:val="14"/>
                <w:szCs w:val="14"/>
                <w:color w:val="auto"/>
              </w:rPr>
              <w:t>Supplemental savings plan liability</w:t>
            </w:r>
            <w:r>
              <w:rPr>
                <w:rFonts w:ascii="Arial" w:cs="Arial" w:eastAsia="Arial" w:hAnsi="Arial"/>
                <w:sz w:val="17"/>
                <w:szCs w:val="17"/>
                <w:color w:val="auto"/>
                <w:vertAlign w:val="superscript"/>
              </w:rPr>
              <w:t>(2)</w:t>
            </w:r>
          </w:p>
        </w:tc>
        <w:tc>
          <w:tcPr>
            <w:tcW w:w="16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non-operating income</w:t>
            </w:r>
            <w:r>
              <w:rPr>
                <w:rFonts w:ascii="Arial" w:cs="Arial" w:eastAsia="Arial" w:hAnsi="Arial"/>
                <w:sz w:val="17"/>
                <w:szCs w:val="17"/>
                <w:color w:val="auto"/>
                <w:vertAlign w:val="superscript"/>
              </w:rPr>
              <w:t>(3)</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r>
      <w:tr>
        <w:trPr>
          <w:trHeight w:val="237"/>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Adjusted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744.5</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651.6</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164.3</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505.0</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1.99</w:t>
            </w: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643" w:right="25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The following schedules reconcile certain U.S. GAAP financial measures for the nine months ended September 30, 2019 and 2018.</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35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2360" w:type="dxa"/>
            <w:vAlign w:val="bottom"/>
            <w:tcBorders>
              <w:bottom w:val="single" w:sz="8" w:color="auto"/>
            </w:tcBorders>
            <w:gridSpan w:val="5"/>
            <w:shd w:val="clear" w:color="auto" w:fill="CCEEFF"/>
          </w:tcPr>
          <w:p>
            <w:pPr>
              <w:ind w:left="140"/>
              <w:spacing w:after="0"/>
              <w:rPr>
                <w:sz w:val="20"/>
                <w:szCs w:val="20"/>
                <w:color w:val="auto"/>
              </w:rPr>
            </w:pPr>
            <w:r>
              <w:rPr>
                <w:rFonts w:ascii="Arial" w:cs="Arial" w:eastAsia="Arial" w:hAnsi="Arial"/>
                <w:sz w:val="14"/>
                <w:szCs w:val="14"/>
                <w:b w:val="1"/>
                <w:bCs w:val="1"/>
                <w:color w:val="auto"/>
              </w:rPr>
              <w:t>Nine months ended 9/30/2019</w:t>
            </w: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r>
      <w:tr>
        <w:trPr>
          <w:trHeight w:val="168"/>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Provision</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Net income</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Net operating</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Non-operating</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(benefit) for</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attributable to T.</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Diluted earnings</w:t>
            </w:r>
          </w:p>
        </w:tc>
      </w:tr>
      <w:tr>
        <w:trPr>
          <w:trHeight w:val="204"/>
        </w:trPr>
        <w:tc>
          <w:tcPr>
            <w:tcW w:w="3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income taxes</w:t>
            </w:r>
            <w:r>
              <w:rPr>
                <w:rFonts w:ascii="Arial" w:cs="Arial" w:eastAsia="Arial" w:hAnsi="Arial"/>
                <w:sz w:val="17"/>
                <w:szCs w:val="17"/>
                <w:b w:val="1"/>
                <w:bCs w:val="1"/>
                <w:color w:val="auto"/>
                <w:w w:val="99"/>
                <w:vertAlign w:val="superscript"/>
              </w:rPr>
              <w:t>(6)</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Rowe Price Group</w:t>
            </w:r>
          </w:p>
        </w:tc>
        <w:tc>
          <w:tcPr>
            <w:tcW w:w="160" w:type="dxa"/>
            <w:vAlign w:val="bottom"/>
          </w:tcPr>
          <w:p>
            <w:pPr>
              <w:spacing w:after="0"/>
              <w:rPr>
                <w:sz w:val="17"/>
                <w:szCs w:val="17"/>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per share</w:t>
            </w:r>
            <w:r>
              <w:rPr>
                <w:rFonts w:ascii="Arial" w:cs="Arial" w:eastAsia="Arial" w:hAnsi="Arial"/>
                <w:sz w:val="17"/>
                <w:szCs w:val="17"/>
                <w:b w:val="1"/>
                <w:bCs w:val="1"/>
                <w:color w:val="auto"/>
                <w:w w:val="98"/>
                <w:vertAlign w:val="superscript"/>
              </w:rPr>
              <w:t>(7)</w:t>
            </w:r>
          </w:p>
        </w:tc>
      </w:tr>
      <w:tr>
        <w:trPr>
          <w:trHeight w:val="250"/>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Basis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2,342.5</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1,806.7</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370.3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522.0</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1,586.0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6.47</w:t>
            </w:r>
          </w:p>
        </w:tc>
      </w:tr>
      <w:tr>
        <w:trPr>
          <w:trHeight w:val="266"/>
        </w:trPr>
        <w:tc>
          <w:tcPr>
            <w:tcW w:w="354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180"/>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Consolidated T. Rowe Price</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2"/>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products</w:t>
            </w:r>
            <w:r>
              <w:rPr>
                <w:rFonts w:ascii="Arial" w:cs="Arial" w:eastAsia="Arial" w:hAnsi="Arial"/>
                <w:sz w:val="17"/>
                <w:szCs w:val="17"/>
                <w:color w:val="auto"/>
                <w:vertAlign w:val="superscript"/>
              </w:rPr>
              <w:t>(1)</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r>
      <w:tr>
        <w:trPr>
          <w:trHeight w:val="270"/>
        </w:trPr>
        <w:tc>
          <w:tcPr>
            <w:tcW w:w="3540" w:type="dxa"/>
            <w:vAlign w:val="bottom"/>
          </w:tcPr>
          <w:p>
            <w:pPr>
              <w:ind w:left="140"/>
              <w:spacing w:after="0"/>
              <w:rPr>
                <w:sz w:val="20"/>
                <w:szCs w:val="20"/>
                <w:color w:val="auto"/>
              </w:rPr>
            </w:pPr>
            <w:r>
              <w:rPr>
                <w:rFonts w:ascii="Arial" w:cs="Arial" w:eastAsia="Arial" w:hAnsi="Arial"/>
                <w:sz w:val="14"/>
                <w:szCs w:val="14"/>
                <w:color w:val="auto"/>
              </w:rPr>
              <w:t>Supplemental savings plan liability</w:t>
            </w:r>
            <w:r>
              <w:rPr>
                <w:rFonts w:ascii="Arial" w:cs="Arial" w:eastAsia="Arial" w:hAnsi="Arial"/>
                <w:sz w:val="17"/>
                <w:szCs w:val="17"/>
                <w:color w:val="auto"/>
                <w:vertAlign w:val="superscript"/>
              </w:rPr>
              <w:t>(2)</w:t>
            </w:r>
          </w:p>
        </w:tc>
        <w:tc>
          <w:tcPr>
            <w:tcW w:w="16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(51.9)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.03</w:t>
            </w:r>
          </w:p>
        </w:tc>
      </w:tr>
      <w:tr>
        <w:trPr>
          <w:trHeight w:val="270"/>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non-operating income</w:t>
            </w:r>
            <w:r>
              <w:rPr>
                <w:rFonts w:ascii="Arial" w:cs="Arial" w:eastAsia="Arial" w:hAnsi="Arial"/>
                <w:sz w:val="17"/>
                <w:szCs w:val="17"/>
                <w:color w:val="auto"/>
                <w:vertAlign w:val="superscript"/>
              </w:rPr>
              <w:t>(3)</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r>
      <w:tr>
        <w:trPr>
          <w:trHeight w:val="237"/>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Adjusted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2,286.3</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1,869.2</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98.8</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487.6</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1,480.4</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6.04</w:t>
            </w: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32"/>
        </w:trPr>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9"/>
        </w:trPr>
        <w:tc>
          <w:tcPr>
            <w:tcW w:w="35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2360" w:type="dxa"/>
            <w:vAlign w:val="bottom"/>
            <w:tcBorders>
              <w:bottom w:val="single" w:sz="8" w:color="auto"/>
            </w:tcBorders>
            <w:gridSpan w:val="5"/>
            <w:shd w:val="clear" w:color="auto" w:fill="CCEEFF"/>
          </w:tcPr>
          <w:p>
            <w:pPr>
              <w:ind w:left="140"/>
              <w:spacing w:after="0"/>
              <w:rPr>
                <w:sz w:val="20"/>
                <w:szCs w:val="20"/>
                <w:color w:val="auto"/>
              </w:rPr>
            </w:pPr>
            <w:r>
              <w:rPr>
                <w:rFonts w:ascii="Arial" w:cs="Arial" w:eastAsia="Arial" w:hAnsi="Arial"/>
                <w:sz w:val="14"/>
                <w:szCs w:val="14"/>
                <w:b w:val="1"/>
                <w:bCs w:val="1"/>
                <w:color w:val="auto"/>
              </w:rPr>
              <w:t>Nine months ended 9/30/2018</w:t>
            </w: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r>
      <w:tr>
        <w:trPr>
          <w:trHeight w:val="168"/>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Provision</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Net income</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Net operating</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Non-operating</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(benefit) for</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attributable to T.</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Diluted earnings</w:t>
            </w:r>
          </w:p>
        </w:tc>
      </w:tr>
      <w:tr>
        <w:trPr>
          <w:trHeight w:val="204"/>
        </w:trPr>
        <w:tc>
          <w:tcPr>
            <w:tcW w:w="3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income taxes</w:t>
            </w:r>
            <w:r>
              <w:rPr>
                <w:rFonts w:ascii="Arial" w:cs="Arial" w:eastAsia="Arial" w:hAnsi="Arial"/>
                <w:sz w:val="17"/>
                <w:szCs w:val="17"/>
                <w:b w:val="1"/>
                <w:bCs w:val="1"/>
                <w:color w:val="auto"/>
                <w:w w:val="99"/>
                <w:vertAlign w:val="superscript"/>
              </w:rPr>
              <w:t>(6)</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Rowe Price Group</w:t>
            </w:r>
          </w:p>
        </w:tc>
        <w:tc>
          <w:tcPr>
            <w:tcW w:w="160" w:type="dxa"/>
            <w:vAlign w:val="bottom"/>
          </w:tcPr>
          <w:p>
            <w:pPr>
              <w:spacing w:after="0"/>
              <w:rPr>
                <w:sz w:val="17"/>
                <w:szCs w:val="17"/>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per share</w:t>
            </w:r>
            <w:r>
              <w:rPr>
                <w:rFonts w:ascii="Arial" w:cs="Arial" w:eastAsia="Arial" w:hAnsi="Arial"/>
                <w:sz w:val="17"/>
                <w:szCs w:val="17"/>
                <w:b w:val="1"/>
                <w:bCs w:val="1"/>
                <w:color w:val="auto"/>
                <w:w w:val="98"/>
                <w:vertAlign w:val="superscript"/>
              </w:rPr>
              <w:t>(7)</w:t>
            </w:r>
          </w:p>
        </w:tc>
      </w:tr>
      <w:tr>
        <w:trPr>
          <w:trHeight w:val="250"/>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Basis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2,248.5</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1,819.1</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175.1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497.5</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1,485.6</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5.85</w:t>
            </w:r>
          </w:p>
        </w:tc>
      </w:tr>
      <w:tr>
        <w:trPr>
          <w:trHeight w:val="266"/>
        </w:trPr>
        <w:tc>
          <w:tcPr>
            <w:tcW w:w="354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180"/>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Consolidated T. Rowe Price</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2"/>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products</w:t>
            </w:r>
            <w:r>
              <w:rPr>
                <w:rFonts w:ascii="Arial" w:cs="Arial" w:eastAsia="Arial" w:hAnsi="Arial"/>
                <w:sz w:val="17"/>
                <w:szCs w:val="17"/>
                <w:color w:val="auto"/>
                <w:vertAlign w:val="superscript"/>
              </w:rPr>
              <w:t>(1)</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r>
      <w:tr>
        <w:trPr>
          <w:trHeight w:val="270"/>
        </w:trPr>
        <w:tc>
          <w:tcPr>
            <w:tcW w:w="3540" w:type="dxa"/>
            <w:vAlign w:val="bottom"/>
          </w:tcPr>
          <w:p>
            <w:pPr>
              <w:ind w:left="140"/>
              <w:spacing w:after="0"/>
              <w:rPr>
                <w:sz w:val="20"/>
                <w:szCs w:val="20"/>
                <w:color w:val="auto"/>
              </w:rPr>
            </w:pPr>
            <w:r>
              <w:rPr>
                <w:rFonts w:ascii="Arial" w:cs="Arial" w:eastAsia="Arial" w:hAnsi="Arial"/>
                <w:sz w:val="14"/>
                <w:szCs w:val="14"/>
                <w:color w:val="auto"/>
              </w:rPr>
              <w:t>Supplemental savings plan liability</w:t>
            </w:r>
            <w:r>
              <w:rPr>
                <w:rFonts w:ascii="Arial" w:cs="Arial" w:eastAsia="Arial" w:hAnsi="Arial"/>
                <w:sz w:val="17"/>
                <w:szCs w:val="17"/>
                <w:color w:val="auto"/>
                <w:vertAlign w:val="superscript"/>
              </w:rPr>
              <w:t>(2)</w:t>
            </w:r>
          </w:p>
        </w:tc>
        <w:tc>
          <w:tcPr>
            <w:tcW w:w="16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non-operating income</w:t>
            </w:r>
            <w:r>
              <w:rPr>
                <w:rFonts w:ascii="Arial" w:cs="Arial" w:eastAsia="Arial" w:hAnsi="Arial"/>
                <w:sz w:val="17"/>
                <w:szCs w:val="17"/>
                <w:color w:val="auto"/>
                <w:vertAlign w:val="superscript"/>
              </w:rPr>
              <w:t>(3)</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r>
      <w:tr>
        <w:trPr>
          <w:trHeight w:val="176"/>
        </w:trPr>
        <w:tc>
          <w:tcPr>
            <w:tcW w:w="3540" w:type="dxa"/>
            <w:vAlign w:val="bottom"/>
          </w:tcPr>
          <w:p>
            <w:pPr>
              <w:ind w:left="140"/>
              <w:spacing w:after="0"/>
              <w:rPr>
                <w:sz w:val="20"/>
                <w:szCs w:val="20"/>
                <w:color w:val="auto"/>
              </w:rPr>
            </w:pPr>
            <w:r>
              <w:rPr>
                <w:rFonts w:ascii="Arial" w:cs="Arial" w:eastAsia="Arial" w:hAnsi="Arial"/>
                <w:sz w:val="14"/>
                <w:szCs w:val="14"/>
                <w:color w:val="auto"/>
              </w:rPr>
              <w:t>Nonrecurring charge related to</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2"/>
        </w:trPr>
        <w:tc>
          <w:tcPr>
            <w:tcW w:w="3540" w:type="dxa"/>
            <w:vAlign w:val="bottom"/>
          </w:tcPr>
          <w:p>
            <w:pPr>
              <w:ind w:left="20"/>
              <w:spacing w:after="0"/>
              <w:rPr>
                <w:sz w:val="20"/>
                <w:szCs w:val="20"/>
                <w:color w:val="auto"/>
              </w:rPr>
            </w:pPr>
            <w:r>
              <w:rPr>
                <w:rFonts w:ascii="Arial" w:cs="Arial" w:eastAsia="Arial" w:hAnsi="Arial"/>
                <w:sz w:val="14"/>
                <w:szCs w:val="14"/>
                <w:color w:val="auto"/>
              </w:rPr>
              <w:t>enactment of U.S. tax reform</w:t>
            </w:r>
            <w:r>
              <w:rPr>
                <w:rFonts w:ascii="Arial" w:cs="Arial" w:eastAsia="Arial" w:hAnsi="Arial"/>
                <w:sz w:val="17"/>
                <w:szCs w:val="17"/>
                <w:color w:val="auto"/>
                <w:vertAlign w:val="superscript"/>
              </w:rPr>
              <w:t>(4)</w:t>
            </w:r>
          </w:p>
        </w:tc>
        <w:tc>
          <w:tcPr>
            <w:tcW w:w="16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.08</w:t>
            </w:r>
          </w:p>
        </w:tc>
      </w:tr>
      <w:tr>
        <w:trPr>
          <w:trHeight w:val="176"/>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Nonrecurring charge related to</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62"/>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enactment of Maryland state tax</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02"/>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legislation</w:t>
            </w:r>
            <w:r>
              <w:rPr>
                <w:rFonts w:ascii="Arial" w:cs="Arial" w:eastAsia="Arial" w:hAnsi="Arial"/>
                <w:sz w:val="17"/>
                <w:szCs w:val="17"/>
                <w:color w:val="auto"/>
                <w:vertAlign w:val="superscript"/>
              </w:rPr>
              <w:t>(5)</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r>
      <w:tr>
        <w:trPr>
          <w:trHeight w:val="237"/>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Adjusted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2,230.8</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1,841.4</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443.7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1,423.4</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5.60</w:t>
            </w: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right="100" w:hanging="332"/>
        <w:spacing w:after="0" w:line="273"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6"/>
          <w:szCs w:val="16"/>
          <w:color w:val="auto"/>
        </w:rPr>
        <w:t>These non-GAAP adjustments remove the impact the consolidated T. Rowe Price investment products have on the firm's U.S. GAAP consolidated statements of income. Specifically, the firm adds back the operating expenses and subtracts the investment income of the consolidated T. Rowe Price investment products. The adjustment to operating expenses represents the operating expenses of the consolidated products, net of the elimination of related management and administrative fees. The adjustment to net income attributable to T. Rowe Price Group represents the net income of the consolidated products, net of redeemable non-controlling interest. Management believes the consolidated T. Rowe Price investment products may impact the reader’s ability to understand the firm's core operating results.</w:t>
      </w:r>
    </w:p>
    <w:p>
      <w:pPr>
        <w:spacing w:after="0" w:line="162" w:lineRule="exact"/>
        <w:rPr>
          <w:rFonts w:ascii="Arial" w:cs="Arial" w:eastAsia="Arial" w:hAnsi="Arial"/>
          <w:sz w:val="14"/>
          <w:szCs w:val="14"/>
          <w:color w:val="auto"/>
        </w:rPr>
      </w:pPr>
    </w:p>
    <w:p>
      <w:pPr>
        <w:ind w:left="340" w:right="140" w:hanging="332"/>
        <w:spacing w:after="0" w:line="273"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6"/>
          <w:szCs w:val="16"/>
          <w:color w:val="auto"/>
        </w:rPr>
        <w:t>This non-GAAP adjustment removes the compensation expense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The firm uses T. Rowe Price investment products to economically hedge the exposure to these market movements. Management believes it is useful to offset the non-operating investment income (loss) realized on the hedges against the related compensation expense and remove the net impact to help the reader's ability to understand the firm's core operating results and to increase comparability period to period.</w:t>
      </w:r>
    </w:p>
    <w:p>
      <w:pPr>
        <w:spacing w:after="0" w:line="162" w:lineRule="exact"/>
        <w:rPr>
          <w:rFonts w:ascii="Arial" w:cs="Arial" w:eastAsia="Arial" w:hAnsi="Arial"/>
          <w:sz w:val="14"/>
          <w:szCs w:val="14"/>
          <w:color w:val="auto"/>
        </w:rPr>
      </w:pPr>
    </w:p>
    <w:p>
      <w:pPr>
        <w:ind w:left="340" w:right="80" w:hanging="332"/>
        <w:spacing w:after="0" w:line="273"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6"/>
          <w:szCs w:val="16"/>
          <w:color w:val="auto"/>
        </w:rPr>
        <w:t>This non-GAAP adjustment represents the other non-operating income (loss) and the net gains (losses) earned on the firm's non-consolidated investment portfolio that are not designated as economic hedges of the supplemental savings plan liability, and, beginning in the second quarter of 2018, those non-consolidated investments that are not part of the cash and discretionary investment portfolio. Management decided to retain the investment gains recognized on the non-consolidated cash and discretionary investments as these assets and related income (loss) are considered part of the firm's core operations. The impact on previously reported non-GAAP measures is immaterial. Management believes adjusting for these non-operating income (loss) items helps the reader’s ability to understand the firm's core operating results and increases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94" w:right="259" w:bottom="1440" w:gutter="0" w:footer="0" w:header="0"/>
        </w:sectPr>
      </w:pPr>
    </w:p>
    <w:bookmarkStart w:id="58" w:name="page59"/>
    <w:bookmarkEnd w:id="58"/>
    <w:p>
      <w:pPr>
        <w:ind w:left="332" w:right="560"/>
        <w:spacing w:after="0" w:line="379" w:lineRule="auto"/>
        <w:rPr>
          <w:sz w:val="20"/>
          <w:szCs w:val="20"/>
          <w:color w:val="auto"/>
        </w:rPr>
      </w:pPr>
      <w:r>
        <w:rPr>
          <w:rFonts w:ascii="Arial" w:cs="Arial" w:eastAsia="Arial" w:hAnsi="Arial"/>
          <w:sz w:val="16"/>
          <w:szCs w:val="16"/>
          <w:color w:val="auto"/>
        </w:rPr>
        <w:t>comparability to prior years. Additionally, management does not emphasize the impact of the portion of non-operating income (loss) removed when managing and evaluating the firm's performance.</w:t>
      </w:r>
    </w:p>
    <w:p>
      <w:pPr>
        <w:spacing w:after="0" w:line="108" w:lineRule="exact"/>
        <w:rPr>
          <w:sz w:val="20"/>
          <w:szCs w:val="20"/>
          <w:color w:val="auto"/>
        </w:rPr>
      </w:pPr>
    </w:p>
    <w:p>
      <w:pPr>
        <w:ind w:left="332" w:right="80" w:hanging="332"/>
        <w:spacing w:after="0" w:line="286" w:lineRule="auto"/>
        <w:tabs>
          <w:tab w:leader="none" w:pos="332" w:val="left"/>
        </w:tabs>
        <w:numPr>
          <w:ilvl w:val="0"/>
          <w:numId w:val="30"/>
        </w:numPr>
        <w:rPr>
          <w:rFonts w:ascii="Arial" w:cs="Arial" w:eastAsia="Arial" w:hAnsi="Arial"/>
          <w:sz w:val="14"/>
          <w:szCs w:val="14"/>
          <w:color w:val="auto"/>
        </w:rPr>
      </w:pPr>
      <w:r>
        <w:rPr>
          <w:rFonts w:ascii="Arial" w:cs="Arial" w:eastAsia="Arial" w:hAnsi="Arial"/>
          <w:sz w:val="16"/>
          <w:szCs w:val="16"/>
          <w:color w:val="auto"/>
        </w:rPr>
        <w:t>During the second quarter of 2018, the firm recognized a nonrecurring charge of $20.8 million for an adjustment made to the charge taken in 2017 related to the enactment of U.S. tax reform. Management believes it is useful to readers of its consolidated statements of income to adjust for this nonrecurring charge in arriving at net income attributable to T. Rowe Price Group and diluted earnings per share.</w:t>
      </w:r>
    </w:p>
    <w:p>
      <w:pPr>
        <w:spacing w:after="0" w:line="152" w:lineRule="exact"/>
        <w:rPr>
          <w:rFonts w:ascii="Arial" w:cs="Arial" w:eastAsia="Arial" w:hAnsi="Arial"/>
          <w:sz w:val="14"/>
          <w:szCs w:val="14"/>
          <w:color w:val="auto"/>
        </w:rPr>
      </w:pPr>
    </w:p>
    <w:p>
      <w:pPr>
        <w:ind w:left="332" w:hanging="332"/>
        <w:spacing w:after="0" w:line="286" w:lineRule="auto"/>
        <w:tabs>
          <w:tab w:leader="none" w:pos="332" w:val="left"/>
        </w:tabs>
        <w:numPr>
          <w:ilvl w:val="0"/>
          <w:numId w:val="30"/>
        </w:numPr>
        <w:rPr>
          <w:rFonts w:ascii="Arial" w:cs="Arial" w:eastAsia="Arial" w:hAnsi="Arial"/>
          <w:sz w:val="14"/>
          <w:szCs w:val="14"/>
          <w:color w:val="auto"/>
        </w:rPr>
      </w:pPr>
      <w:r>
        <w:rPr>
          <w:rFonts w:ascii="Arial" w:cs="Arial" w:eastAsia="Arial" w:hAnsi="Arial"/>
          <w:sz w:val="16"/>
          <w:szCs w:val="16"/>
          <w:color w:val="auto"/>
        </w:rPr>
        <w:t>During the second quarter of 2018, the firm recognized a nonrecurring charge of $7.9 million for the remeasurement of its deferred tax assets and liabilities to reflect the effect of Maryland state tax legislation enacted on April 24, 2018. Management believes it is useful to readers of its consolidated statements of income to adjust for this nonrecurring charge in arriving at net income attributable to T. Rowe Price Group and diluted earnings per share.</w:t>
      </w:r>
    </w:p>
    <w:p>
      <w:pPr>
        <w:spacing w:after="0" w:line="152" w:lineRule="exact"/>
        <w:rPr>
          <w:rFonts w:ascii="Arial" w:cs="Arial" w:eastAsia="Arial" w:hAnsi="Arial"/>
          <w:sz w:val="14"/>
          <w:szCs w:val="14"/>
          <w:color w:val="auto"/>
        </w:rPr>
      </w:pPr>
    </w:p>
    <w:p>
      <w:pPr>
        <w:jc w:val="both"/>
        <w:ind w:left="332" w:right="140" w:hanging="332"/>
        <w:spacing w:after="0" w:line="286" w:lineRule="auto"/>
        <w:tabs>
          <w:tab w:leader="none" w:pos="332" w:val="left"/>
        </w:tabs>
        <w:numPr>
          <w:ilvl w:val="0"/>
          <w:numId w:val="30"/>
        </w:numPr>
        <w:rPr>
          <w:rFonts w:ascii="Arial" w:cs="Arial" w:eastAsia="Arial" w:hAnsi="Arial"/>
          <w:sz w:val="14"/>
          <w:szCs w:val="14"/>
          <w:color w:val="auto"/>
        </w:rPr>
      </w:pPr>
      <w:r>
        <w:rPr>
          <w:rFonts w:ascii="Arial" w:cs="Arial" w:eastAsia="Arial" w:hAnsi="Arial"/>
          <w:sz w:val="16"/>
          <w:szCs w:val="16"/>
          <w:color w:val="auto"/>
        </w:rPr>
        <w:t>The income tax impacts were calculated in order to achieve an overall year-to-date non-GAAP effective tax rate of 24.8% in 2019 and 23.8% in 2018. As such, the non-GAAP effective tax rate for the third quarter was 23.6% in 2019 and 24.5% in 2018. The firm estimates that its effective tax rate for the full-year 2019 on a non-GAAP basis will be in the range of 23.5% to 25.5%.</w:t>
      </w:r>
    </w:p>
    <w:p>
      <w:pPr>
        <w:spacing w:after="0" w:line="152" w:lineRule="exact"/>
        <w:rPr>
          <w:rFonts w:ascii="Arial" w:cs="Arial" w:eastAsia="Arial" w:hAnsi="Arial"/>
          <w:sz w:val="14"/>
          <w:szCs w:val="14"/>
          <w:color w:val="auto"/>
        </w:rPr>
      </w:pPr>
    </w:p>
    <w:p>
      <w:pPr>
        <w:ind w:left="332" w:right="420" w:hanging="332"/>
        <w:spacing w:after="0" w:line="309" w:lineRule="auto"/>
        <w:tabs>
          <w:tab w:leader="none" w:pos="332" w:val="left"/>
        </w:tabs>
        <w:numPr>
          <w:ilvl w:val="0"/>
          <w:numId w:val="30"/>
        </w:numPr>
        <w:rPr>
          <w:rFonts w:ascii="Arial" w:cs="Arial" w:eastAsia="Arial" w:hAnsi="Arial"/>
          <w:sz w:val="14"/>
          <w:szCs w:val="14"/>
          <w:color w:val="auto"/>
        </w:rPr>
      </w:pPr>
      <w:r>
        <w:rPr>
          <w:rFonts w:ascii="Arial" w:cs="Arial" w:eastAsia="Arial" w:hAnsi="Arial"/>
          <w:sz w:val="16"/>
          <w:szCs w:val="16"/>
          <w:color w:val="auto"/>
        </w:rPr>
        <w:t>This non-GAAP measure was calculated by applying the two-class method to adjusted net income attributable to T. Rowe Price Group divided by the weighted-average common shares outstanding assuming dilution.</w:t>
      </w:r>
    </w:p>
    <w:p>
      <w:pPr>
        <w:spacing w:after="0" w:line="200" w:lineRule="exact"/>
        <w:rPr>
          <w:sz w:val="20"/>
          <w:szCs w:val="20"/>
          <w:color w:val="auto"/>
        </w:rPr>
      </w:pPr>
    </w:p>
    <w:p>
      <w:pPr>
        <w:spacing w:after="0" w:line="3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sectPr>
      <w:pgSz w:w="11900" w:h="16838" w:orient="portrait"/>
      <w:cols w:equalWidth="0" w:num="1">
        <w:col w:w="11392"/>
      </w:cols>
      <w:pgMar w:left="248" w:top="6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7"/>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lvl w:ilvl="1">
      <w:lvlJc w:val="left"/>
      <w:lvlText w:val="(%2)"/>
      <w:numFmt w:val="lowerLetter"/>
      <w:start w:val="1"/>
    </w:lvl>
  </w:abstractNum>
  <w:abstractNum w:abstractNumId="15">
    <w:nsid w:val="2D1D5AE9"/>
    <w:multiLevelType w:val="hybridMultilevel"/>
    <w:lvl w:ilvl="0">
      <w:lvlJc w:val="left"/>
      <w:lvlText w:val="%1."/>
      <w:numFmt w:val="decimal"/>
      <w:start w:val="1"/>
    </w:lvl>
    <w:lvl w:ilvl="1">
      <w:lvlJc w:val="left"/>
      <w:lvlText w:val="(%2)"/>
      <w:numFmt w:val="lowerLetter"/>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6" Type="http://schemas.openxmlformats.org/officeDocument/2006/relationships/image" Target="media/image17.jpe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24" Type="http://schemas.openxmlformats.org/officeDocument/2006/relationships/hyperlink" Target="http://www.sec.gov/Archives/edgar/data/1113169/000111316918000018/articlesofrestatementfin.htm" TargetMode="External"/><Relationship Id="rId25" Type="http://schemas.openxmlformats.org/officeDocument/2006/relationships/hyperlink" Target="http://www.sec.gov/Archives/edgar/data/1113169/000111316919000007/trpgamendedandrestated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2019-12-28T05:03:53Z</dcterms:created>
  <dcterms:modified xsi:type="dcterms:W3CDTF">2019-12-28T05:03:53Z</dcterms:modified>
</cp:coreProperties>
</file>