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25"/>
                <w:szCs w:val="25"/>
                <w:b w:val="1"/>
                <w:bCs w:val="1"/>
                <w:color w:val="auto"/>
                <w:w w:val="99"/>
              </w:rPr>
              <w:t>T. ROWE PRICE GROUP, INC.</w:t>
            </w:r>
          </w:p>
        </w:tc>
        <w:tc>
          <w:tcPr>
            <w:tcW w:w="11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20" w:type="dxa"/>
            <w:vAlign w:val="bottom"/>
            <w:gridSpan w:val="9"/>
          </w:tcPr>
          <w:p>
            <w:pPr>
              <w:jc w:val="center"/>
              <w:ind w:right="980"/>
              <w:spacing w:after="0"/>
              <w:rPr>
                <w:sz w:val="20"/>
                <w:szCs w:val="20"/>
                <w:color w:val="auto"/>
              </w:rPr>
            </w:pPr>
            <w:r>
              <w:rPr>
                <w:rFonts w:ascii="Arial" w:cs="Arial" w:eastAsia="Arial" w:hAnsi="Arial"/>
                <w:sz w:val="18"/>
                <w:szCs w:val="18"/>
                <w:color w:val="auto"/>
                <w:w w:val="90"/>
              </w:rPr>
              <w:t>(Exact name of registrant as specified in its charter)</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92"/>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2020" w:type="dxa"/>
            <w:vAlign w:val="bottom"/>
            <w:gridSpan w:val="4"/>
          </w:tcPr>
          <w:p>
            <w:pPr>
              <w:spacing w:after="0"/>
              <w:rPr>
                <w:sz w:val="24"/>
                <w:szCs w:val="24"/>
                <w:color w:val="auto"/>
              </w:rPr>
            </w:pPr>
          </w:p>
        </w:tc>
        <w:tc>
          <w:tcPr>
            <w:tcW w:w="436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52-2264646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2"/>
              </w:rPr>
              <w:t>State of incorporation</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7"/>
          </w:tcPr>
          <w:p>
            <w:pPr>
              <w:jc w:val="center"/>
              <w:ind w:right="320"/>
              <w:spacing w:after="0"/>
              <w:rPr>
                <w:sz w:val="20"/>
                <w:szCs w:val="20"/>
                <w:color w:val="auto"/>
              </w:rPr>
            </w:pPr>
            <w:r>
              <w:rPr>
                <w:rFonts w:ascii="Arial" w:cs="Arial" w:eastAsia="Arial" w:hAnsi="Arial"/>
                <w:sz w:val="18"/>
                <w:szCs w:val="18"/>
                <w:color w:val="auto"/>
                <w:w w:val="94"/>
              </w:rPr>
              <w:t>IRS Employer Identification No.</w:t>
            </w:r>
          </w:p>
        </w:tc>
      </w:tr>
      <w:tr>
        <w:trPr>
          <w:trHeight w:val="257"/>
        </w:trPr>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b w:val="1"/>
                <w:bCs w:val="1"/>
                <w:color w:val="auto"/>
                <w:w w:val="92"/>
              </w:rPr>
              <w:t>100 East Pratt Street, Baltimore, Maryland 21202</w:t>
            </w: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80" w:type="dxa"/>
            <w:vAlign w:val="bottom"/>
            <w:gridSpan w:val="10"/>
          </w:tcPr>
          <w:p>
            <w:pPr>
              <w:jc w:val="center"/>
              <w:ind w:right="320"/>
              <w:spacing w:after="0"/>
              <w:rPr>
                <w:sz w:val="20"/>
                <w:szCs w:val="20"/>
                <w:color w:val="auto"/>
              </w:rPr>
            </w:pPr>
            <w:r>
              <w:rPr>
                <w:rFonts w:ascii="Arial" w:cs="Arial" w:eastAsia="Arial" w:hAnsi="Arial"/>
                <w:sz w:val="18"/>
                <w:szCs w:val="18"/>
                <w:color w:val="auto"/>
                <w:w w:val="92"/>
              </w:rPr>
              <w:t>Address, including zip code, of principal executive offices</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(410) 345-2000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color w:val="auto"/>
                <w:w w:val="89"/>
              </w:rPr>
              <w:t>Registrant’s telephone number, including area code</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92"/>
        </w:trPr>
        <w:tc>
          <w:tcPr>
            <w:tcW w:w="1200" w:type="dxa"/>
            <w:vAlign w:val="bottom"/>
          </w:tcPr>
          <w:p>
            <w:pPr>
              <w:spacing w:after="0"/>
              <w:rPr>
                <w:sz w:val="24"/>
                <w:szCs w:val="24"/>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Common stock, $.20 par value per share</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160" w:type="dxa"/>
            <w:vAlign w:val="bottom"/>
          </w:tcPr>
          <w:p>
            <w:pPr>
              <w:spacing w:after="0"/>
              <w:rPr>
                <w:sz w:val="24"/>
                <w:szCs w:val="24"/>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4"/>
              </w:rPr>
              <w:t>(Title of class)</w:t>
            </w:r>
          </w:p>
        </w:tc>
        <w:tc>
          <w:tcPr>
            <w:tcW w:w="1120" w:type="dxa"/>
            <w:vAlign w:val="bottom"/>
          </w:tcPr>
          <w:p>
            <w:pPr>
              <w:spacing w:after="0"/>
              <w:rPr>
                <w:sz w:val="24"/>
                <w:szCs w:val="24"/>
                <w:color w:val="auto"/>
              </w:rPr>
            </w:pPr>
          </w:p>
        </w:tc>
        <w:tc>
          <w:tcPr>
            <w:tcW w:w="3880" w:type="dxa"/>
            <w:vAlign w:val="bottom"/>
            <w:gridSpan w:val="9"/>
          </w:tcPr>
          <w:p>
            <w:pPr>
              <w:jc w:val="center"/>
              <w:ind w:left="850"/>
              <w:spacing w:after="0"/>
              <w:rPr>
                <w:sz w:val="20"/>
                <w:szCs w:val="20"/>
                <w:color w:val="auto"/>
              </w:rPr>
            </w:pPr>
            <w:r>
              <w:rPr>
                <w:rFonts w:ascii="Arial" w:cs="Arial" w:eastAsia="Arial" w:hAnsi="Arial"/>
                <w:sz w:val="18"/>
                <w:szCs w:val="18"/>
                <w:color w:val="auto"/>
                <w:w w:val="90"/>
              </w:rPr>
              <w:t>(Name of exchange on which registered)</w:t>
            </w:r>
          </w:p>
        </w:tc>
      </w:tr>
      <w:tr>
        <w:trPr>
          <w:trHeight w:val="297"/>
        </w:trPr>
        <w:tc>
          <w:tcPr>
            <w:tcW w:w="8620" w:type="dxa"/>
            <w:vAlign w:val="bottom"/>
            <w:gridSpan w:val="1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[X] Yes  </w:t>
            </w: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 No</w:t>
            </w:r>
          </w:p>
        </w:tc>
      </w:tr>
      <w:tr>
        <w:trPr>
          <w:trHeight w:val="324"/>
        </w:trPr>
        <w:tc>
          <w:tcPr>
            <w:tcW w:w="8620" w:type="dxa"/>
            <w:vAlign w:val="bottom"/>
            <w:gridSpan w:val="1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  ] Yes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[X] No</w:t>
            </w:r>
          </w:p>
        </w:tc>
      </w:tr>
    </w:tbl>
    <w:p>
      <w:pPr>
        <w:spacing w:after="0" w:line="94"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7"/>
          <w:szCs w:val="17"/>
          <w:b w:val="1"/>
          <w:bCs w:val="1"/>
          <w:color w:val="auto"/>
        </w:rPr>
        <w:t>[X] Yes</w:t>
      </w:r>
      <w:r>
        <w:rPr>
          <w:rFonts w:ascii="Arial" w:cs="Arial" w:eastAsia="Arial" w:hAnsi="Arial"/>
          <w:sz w:val="17"/>
          <w:szCs w:val="17"/>
          <w:color w:val="auto"/>
        </w:rPr>
        <w:t xml:space="preserve"> [ ] No</w:t>
      </w:r>
    </w:p>
    <w:p>
      <w:pPr>
        <w:spacing w:after="0" w:line="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8"/>
          <w:szCs w:val="18"/>
          <w:b w:val="1"/>
          <w:bCs w:val="1"/>
          <w:color w:val="auto"/>
        </w:rPr>
        <w:t>[X] Yes</w:t>
      </w:r>
      <w:r>
        <w:rPr>
          <w:rFonts w:ascii="Arial" w:cs="Arial" w:eastAsia="Arial" w:hAnsi="Arial"/>
          <w:sz w:val="18"/>
          <w:szCs w:val="18"/>
          <w:color w:val="auto"/>
        </w:rPr>
        <w:t xml:space="preserve"> [ ] No</w:t>
      </w:r>
    </w:p>
    <w:p>
      <w:pPr>
        <w:spacing w:after="0" w:line="6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sectPr>
      </w:pPr>
    </w:p>
    <w:p>
      <w:pPr>
        <w:spacing w:after="0" w:line="8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63" w:lineRule="exact"/>
        <w:rPr>
          <w:sz w:val="24"/>
          <w:szCs w:val="24"/>
          <w:color w:val="auto"/>
        </w:rPr>
      </w:pPr>
    </w:p>
    <w:p>
      <w:pPr>
        <w:sectPr>
          <w:pgSz w:w="11900" w:h="16838" w:orient="portrait"/>
          <w:cols w:equalWidth="0" w:num="4">
            <w:col w:w="2700" w:space="720"/>
            <w:col w:w="3200" w:space="720"/>
            <w:col w:w="2520" w:space="720"/>
            <w:col w:w="780"/>
          </w:cols>
          <w:pgMar w:left="240" w:top="233"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16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86" w:lineRule="exact"/>
        <w:rPr>
          <w:sz w:val="24"/>
          <w:szCs w:val="24"/>
          <w:color w:val="auto"/>
        </w:rPr>
      </w:pPr>
    </w:p>
    <w:p>
      <w:pPr>
        <w:sectPr>
          <w:pgSz w:w="11900" w:h="16838" w:orient="portrait"/>
          <w:cols w:equalWidth="0" w:num="4">
            <w:col w:w="2700" w:space="720"/>
            <w:col w:w="3200" w:space="720"/>
            <w:col w:w="2520" w:space="720"/>
            <w:col w:w="780"/>
          </w:cols>
          <w:pgMar w:left="240" w:top="233" w:right="29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tabs>
          <w:tab w:leader="none" w:pos="100" w:val="left"/>
        </w:tabs>
        <w:rPr>
          <w:sz w:val="20"/>
          <w:szCs w:val="20"/>
          <w:color w:val="auto"/>
        </w:rPr>
      </w:pPr>
      <w:r>
        <w:rPr>
          <w:rFonts w:ascii="Arial" w:cs="Arial" w:eastAsia="Arial" w:hAnsi="Arial"/>
          <w:sz w:val="18"/>
          <w:szCs w:val="18"/>
          <w:color w:val="auto"/>
        </w:rPr>
        <w:t>[</w:t>
        <w:tab/>
        <w: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[X] No</w:t>
      </w:r>
    </w:p>
    <w:p>
      <w:pPr>
        <w:spacing w:after="0" w:line="121" w:lineRule="exact"/>
        <w:rPr>
          <w:sz w:val="24"/>
          <w:szCs w:val="24"/>
          <w:color w:val="auto"/>
        </w:rPr>
      </w:pPr>
    </w:p>
    <w:p>
      <w:pPr>
        <w:sectPr>
          <w:pgSz w:w="11900" w:h="16838" w:orient="portrait"/>
          <w:cols w:equalWidth="0" w:num="3">
            <w:col w:w="7440" w:space="180"/>
            <w:col w:w="600" w:space="180"/>
            <w:col w:w="2960"/>
          </w:cols>
          <w:pgMar w:left="240" w:top="233" w:right="299" w:bottom="1440" w:gutter="0" w:footer="0" w:header="0"/>
          <w:type w:val="continuous"/>
        </w:sectPr>
      </w:pPr>
    </w:p>
    <w:p>
      <w:pPr>
        <w:jc w:val="both"/>
        <w:ind w:right="440"/>
        <w:spacing w:after="0" w:line="264" w:lineRule="auto"/>
        <w:rPr>
          <w:sz w:val="20"/>
          <w:szCs w:val="20"/>
          <w:color w:val="auto"/>
        </w:rPr>
      </w:pPr>
      <w:r>
        <w:rPr>
          <w:rFonts w:ascii="Arial" w:cs="Arial" w:eastAsia="Arial" w:hAnsi="Arial"/>
          <w:sz w:val="18"/>
          <w:szCs w:val="18"/>
          <w:color w:val="auto"/>
        </w:rPr>
        <w:t>The aggregate market value of the common equity (all voting) held by non-affiliates (excludes current executive officers and directors) computed using $77.73 per share (the NASDAQ Official Closing Price on June 30, 2015, the last business day of the registrant’s most recently completed second fiscal quarter) was $19.4 billion.</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the latest practicable date, February 3, 2016, is 248,179,222.</w:t>
      </w:r>
    </w:p>
    <w:p>
      <w:pPr>
        <w:spacing w:after="0" w:line="11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2016 Annual Meeting of Stockholders to be filed pursuant to Regulation 14A.</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61.</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80" w:type="dxa"/>
            <w:vAlign w:val="bottom"/>
            <w:gridSpan w:val="16"/>
          </w:tcPr>
          <w:p>
            <w:pPr>
              <w:ind w:left="680"/>
              <w:spacing w:after="0"/>
              <w:rPr>
                <w:rFonts w:ascii="Arial" w:cs="Arial" w:eastAsia="Arial" w:hAnsi="Arial"/>
                <w:sz w:val="18"/>
                <w:szCs w:val="18"/>
                <w:color w:val="661DE8"/>
              </w:rPr>
            </w:pPr>
            <w:hyperlink w:anchor="page1">
              <w:r>
                <w:rPr>
                  <w:rFonts w:ascii="Arial" w:cs="Arial" w:eastAsia="Arial" w:hAnsi="Arial"/>
                  <w:sz w:val="18"/>
                  <w:szCs w:val="18"/>
                  <w:color w:val="661DE8"/>
                </w:rPr>
                <w:t>Table of Contents</w:t>
              </w:r>
            </w:hyperlink>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01"/>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661DE8"/>
            </w:tcBorders>
          </w:tcPr>
          <w:p>
            <w:pPr>
              <w:spacing w:after="0"/>
              <w:rPr>
                <w:sz w:val="24"/>
                <w:szCs w:val="24"/>
                <w:color w:val="auto"/>
              </w:rPr>
            </w:pPr>
          </w:p>
        </w:tc>
        <w:tc>
          <w:tcPr>
            <w:tcW w:w="60" w:type="dxa"/>
            <w:vAlign w:val="bottom"/>
            <w:tcBorders>
              <w:top w:val="single" w:sz="8" w:color="661DE8"/>
            </w:tcBorders>
          </w:tcPr>
          <w:p>
            <w:pPr>
              <w:spacing w:after="0"/>
              <w:rPr>
                <w:sz w:val="24"/>
                <w:szCs w:val="24"/>
                <w:color w:val="auto"/>
              </w:rPr>
            </w:pPr>
          </w:p>
        </w:tc>
        <w:tc>
          <w:tcPr>
            <w:tcW w:w="20" w:type="dxa"/>
            <w:vAlign w:val="bottom"/>
            <w:tcBorders>
              <w:top w:val="single" w:sz="8" w:color="661DE8"/>
            </w:tcBorders>
          </w:tcPr>
          <w:p>
            <w:pPr>
              <w:spacing w:after="0"/>
              <w:rPr>
                <w:sz w:val="24"/>
                <w:szCs w:val="24"/>
                <w:color w:val="auto"/>
              </w:rPr>
            </w:pPr>
          </w:p>
        </w:tc>
        <w:tc>
          <w:tcPr>
            <w:tcW w:w="40" w:type="dxa"/>
            <w:vAlign w:val="bottom"/>
            <w:tcBorders>
              <w:top w:val="single" w:sz="8" w:color="661DE8"/>
            </w:tcBorders>
          </w:tcPr>
          <w:p>
            <w:pPr>
              <w:spacing w:after="0"/>
              <w:rPr>
                <w:sz w:val="24"/>
                <w:szCs w:val="24"/>
                <w:color w:val="auto"/>
              </w:rPr>
            </w:pPr>
          </w:p>
        </w:tc>
        <w:tc>
          <w:tcPr>
            <w:tcW w:w="100" w:type="dxa"/>
            <w:vAlign w:val="bottom"/>
            <w:tcBorders>
              <w:top w:val="single" w:sz="8" w:color="661DE8"/>
            </w:tcBorders>
          </w:tcPr>
          <w:p>
            <w:pPr>
              <w:spacing w:after="0"/>
              <w:rPr>
                <w:sz w:val="24"/>
                <w:szCs w:val="24"/>
                <w:color w:val="auto"/>
              </w:rPr>
            </w:pPr>
          </w:p>
        </w:tc>
        <w:tc>
          <w:tcPr>
            <w:tcW w:w="440" w:type="dxa"/>
            <w:vAlign w:val="bottom"/>
            <w:tcBorders>
              <w:top w:val="single" w:sz="8" w:color="661DE8"/>
            </w:tcBorders>
          </w:tcPr>
          <w:p>
            <w:pPr>
              <w:spacing w:after="0"/>
              <w:rPr>
                <w:sz w:val="24"/>
                <w:szCs w:val="24"/>
                <w:color w:val="auto"/>
              </w:rPr>
            </w:pPr>
          </w:p>
        </w:tc>
        <w:tc>
          <w:tcPr>
            <w:tcW w:w="20" w:type="dxa"/>
            <w:vAlign w:val="bottom"/>
            <w:tcBorders>
              <w:top w:val="single" w:sz="8" w:color="661DE8"/>
            </w:tcBorders>
          </w:tcPr>
          <w:p>
            <w:pPr>
              <w:spacing w:after="0"/>
              <w:rPr>
                <w:sz w:val="24"/>
                <w:szCs w:val="24"/>
                <w:color w:val="auto"/>
              </w:rPr>
            </w:pPr>
          </w:p>
        </w:tc>
        <w:tc>
          <w:tcPr>
            <w:tcW w:w="40" w:type="dxa"/>
            <w:vAlign w:val="bottom"/>
            <w:tcBorders>
              <w:top w:val="single" w:sz="8" w:color="661DE8"/>
            </w:tcBorders>
          </w:tcPr>
          <w:p>
            <w:pPr>
              <w:spacing w:after="0"/>
              <w:rPr>
                <w:sz w:val="24"/>
                <w:szCs w:val="24"/>
                <w:color w:val="auto"/>
              </w:rPr>
            </w:pPr>
          </w:p>
        </w:tc>
        <w:tc>
          <w:tcPr>
            <w:tcW w:w="480" w:type="dxa"/>
            <w:vAlign w:val="bottom"/>
            <w:tcBorders>
              <w:top w:val="single" w:sz="8" w:color="661DE8"/>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40" w:type="dxa"/>
            <w:vAlign w:val="bottom"/>
            <w:gridSpan w:val="12"/>
          </w:tcPr>
          <w:p>
            <w:pPr>
              <w:jc w:val="center"/>
              <w:ind w:right="4120"/>
              <w:spacing w:after="0"/>
              <w:rPr>
                <w:rFonts w:ascii="Arial" w:cs="Arial" w:eastAsia="Arial" w:hAnsi="Arial"/>
                <w:sz w:val="18"/>
                <w:szCs w:val="18"/>
                <w:color w:val="auto"/>
                <w:w w:val="92"/>
              </w:rPr>
            </w:pPr>
            <w:hyperlink w:anchor="page2">
              <w:r>
                <w:rPr>
                  <w:rFonts w:ascii="Arial" w:cs="Arial" w:eastAsia="Arial" w:hAnsi="Arial"/>
                  <w:sz w:val="18"/>
                  <w:szCs w:val="18"/>
                  <w:color w:val="auto"/>
                  <w:w w:val="92"/>
                </w:rPr>
                <w:t>PART I</w:t>
              </w:r>
            </w:hyperlink>
          </w:p>
        </w:tc>
        <w:tc>
          <w:tcPr>
            <w:tcW w:w="840" w:type="dxa"/>
            <w:vAlign w:val="bottom"/>
          </w:tcPr>
          <w:p>
            <w:pPr>
              <w:spacing w:after="0"/>
              <w:rPr>
                <w:sz w:val="21"/>
                <w:szCs w:val="21"/>
                <w:color w:val="auto"/>
              </w:rPr>
            </w:pPr>
          </w:p>
        </w:tc>
        <w:tc>
          <w:tcPr>
            <w:tcW w:w="460" w:type="dxa"/>
            <w:vAlign w:val="bottom"/>
            <w:tcBorders>
              <w:top w:val="single" w:sz="8" w:color="auto"/>
            </w:tcBorders>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20" w:type="dxa"/>
            <w:vAlign w:val="bottom"/>
            <w:gridSpan w:val="18"/>
          </w:tcPr>
          <w:p>
            <w:pPr>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540" w:type="dxa"/>
            <w:vAlign w:val="bottom"/>
            <w:tcBorders>
              <w:top w:val="single" w:sz="8" w:color="auto"/>
            </w:tcBorders>
            <w:gridSpan w:val="2"/>
          </w:tcPr>
          <w:p>
            <w:pPr>
              <w:spacing w:after="0"/>
              <w:rPr>
                <w:sz w:val="21"/>
                <w:szCs w:val="21"/>
                <w:color w:val="auto"/>
              </w:rPr>
            </w:pPr>
          </w:p>
        </w:tc>
        <w:tc>
          <w:tcPr>
            <w:tcW w:w="4160" w:type="dxa"/>
            <w:vAlign w:val="bottom"/>
            <w:gridSpan w:val="9"/>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29"/>
          </w:tcPr>
          <w:p>
            <w:pPr>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1300" w:type="dxa"/>
            <w:vAlign w:val="bottom"/>
            <w:gridSpan w:val="2"/>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29"/>
          </w:tcPr>
          <w:p>
            <w:pPr>
              <w:spacing w:after="0"/>
              <w:rPr>
                <w:rFonts w:ascii="Arial" w:cs="Arial" w:eastAsia="Arial" w:hAnsi="Arial"/>
                <w:sz w:val="18"/>
                <w:szCs w:val="18"/>
                <w:color w:val="auto"/>
              </w:rPr>
            </w:pPr>
            <w:hyperlink w:anchor="page19">
              <w:r>
                <w:rPr>
                  <w:rFonts w:ascii="Arial" w:cs="Arial" w:eastAsia="Arial" w:hAnsi="Arial"/>
                  <w:sz w:val="18"/>
                  <w:szCs w:val="18"/>
                  <w:color w:val="auto"/>
                </w:rPr>
                <w:t>Unresolved Staff Comments</w:t>
              </w:r>
            </w:hyperlink>
          </w:p>
        </w:tc>
        <w:tc>
          <w:tcPr>
            <w:tcW w:w="130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auto"/>
              <w:bottom w:val="single" w:sz="8" w:color="auto"/>
            </w:tcBorders>
            <w:gridSpan w:val="2"/>
          </w:tcPr>
          <w:p>
            <w:pPr>
              <w:spacing w:after="0"/>
              <w:rPr>
                <w:rFonts w:ascii="Arial" w:cs="Arial" w:eastAsia="Arial" w:hAnsi="Arial"/>
                <w:sz w:val="18"/>
                <w:szCs w:val="18"/>
                <w:color w:val="auto"/>
                <w:w w:val="87"/>
              </w:rPr>
            </w:pPr>
            <w:hyperlink w:anchor="page19">
              <w:r>
                <w:rPr>
                  <w:rFonts w:ascii="Arial" w:cs="Arial" w:eastAsia="Arial" w:hAnsi="Arial"/>
                  <w:sz w:val="18"/>
                  <w:szCs w:val="18"/>
                  <w:color w:val="auto"/>
                  <w:w w:val="87"/>
                </w:rPr>
                <w:t>Properties</w:t>
              </w:r>
            </w:hyperlink>
          </w:p>
        </w:tc>
        <w:tc>
          <w:tcPr>
            <w:tcW w:w="1300" w:type="dxa"/>
            <w:vAlign w:val="bottom"/>
            <w:tcBorders>
              <w:top w:val="single" w:sz="8" w:color="auto"/>
            </w:tcBorders>
            <w:gridSpan w:val="7"/>
          </w:tcPr>
          <w:p>
            <w:pPr>
              <w:spacing w:after="0"/>
              <w:rPr>
                <w:sz w:val="21"/>
                <w:szCs w:val="21"/>
                <w:color w:val="auto"/>
              </w:rPr>
            </w:pPr>
          </w:p>
        </w:tc>
        <w:tc>
          <w:tcPr>
            <w:tcW w:w="6880" w:type="dxa"/>
            <w:vAlign w:val="bottom"/>
            <w:gridSpan w:val="20"/>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auto"/>
            </w:tcBorders>
            <w:gridSpan w:val="5"/>
          </w:tcPr>
          <w:p>
            <w:pPr>
              <w:spacing w:after="0"/>
              <w:rPr>
                <w:rFonts w:ascii="Arial" w:cs="Arial" w:eastAsia="Arial" w:hAnsi="Arial"/>
                <w:sz w:val="18"/>
                <w:szCs w:val="18"/>
                <w:color w:val="auto"/>
                <w:w w:val="88"/>
              </w:rPr>
            </w:pPr>
            <w:hyperlink w:anchor="page20">
              <w:r>
                <w:rPr>
                  <w:rFonts w:ascii="Arial" w:cs="Arial" w:eastAsia="Arial" w:hAnsi="Arial"/>
                  <w:sz w:val="18"/>
                  <w:szCs w:val="18"/>
                  <w:color w:val="auto"/>
                  <w:w w:val="88"/>
                </w:rPr>
                <w:t>Legal Proceedings</w:t>
              </w:r>
            </w:hyperlink>
          </w:p>
        </w:tc>
        <w:tc>
          <w:tcPr>
            <w:tcW w:w="7580" w:type="dxa"/>
            <w:vAlign w:val="bottom"/>
            <w:gridSpan w:val="2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auto"/>
            </w:tcBorders>
            <w:gridSpan w:val="7"/>
          </w:tcPr>
          <w:p>
            <w:pPr>
              <w:spacing w:after="0"/>
              <w:rPr>
                <w:rFonts w:ascii="Arial" w:cs="Arial" w:eastAsia="Arial" w:hAnsi="Arial"/>
                <w:sz w:val="18"/>
                <w:szCs w:val="18"/>
                <w:color w:val="auto"/>
                <w:w w:val="91"/>
              </w:rPr>
            </w:pPr>
            <w:hyperlink w:anchor="page20">
              <w:r>
                <w:rPr>
                  <w:rFonts w:ascii="Arial" w:cs="Arial" w:eastAsia="Arial" w:hAnsi="Arial"/>
                  <w:sz w:val="18"/>
                  <w:szCs w:val="18"/>
                  <w:color w:val="auto"/>
                  <w:w w:val="91"/>
                </w:rPr>
                <w:t>Mine Safety Disclosures</w:t>
              </w:r>
            </w:hyperlink>
          </w:p>
        </w:tc>
        <w:tc>
          <w:tcPr>
            <w:tcW w:w="7140" w:type="dxa"/>
            <w:vAlign w:val="bottom"/>
            <w:gridSpan w:val="2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w:t>
            </w:r>
          </w:p>
        </w:tc>
        <w:tc>
          <w:tcPr>
            <w:tcW w:w="8920" w:type="dxa"/>
            <w:vAlign w:val="bottom"/>
            <w:gridSpan w:val="29"/>
          </w:tcPr>
          <w:p>
            <w:pPr>
              <w:spacing w:after="0"/>
              <w:rPr>
                <w:rFonts w:ascii="Arial" w:cs="Arial" w:eastAsia="Arial" w:hAnsi="Arial"/>
                <w:sz w:val="18"/>
                <w:szCs w:val="18"/>
                <w:color w:val="auto"/>
              </w:rPr>
            </w:pPr>
            <w:hyperlink w:anchor="page20">
              <w:r>
                <w:rPr>
                  <w:rFonts w:ascii="Arial" w:cs="Arial" w:eastAsia="Arial" w:hAnsi="Arial"/>
                  <w:sz w:val="18"/>
                  <w:szCs w:val="18"/>
                  <w:color w:val="auto"/>
                </w:rPr>
                <w:t>Executive Officers of the Registrant</w:t>
              </w:r>
            </w:hyperlink>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2"/>
          </w:tcPr>
          <w:p>
            <w:pPr>
              <w:jc w:val="center"/>
              <w:ind w:right="4140"/>
              <w:spacing w:after="0"/>
              <w:rPr>
                <w:rFonts w:ascii="Arial" w:cs="Arial" w:eastAsia="Arial" w:hAnsi="Arial"/>
                <w:sz w:val="18"/>
                <w:szCs w:val="18"/>
                <w:color w:val="auto"/>
                <w:w w:val="95"/>
              </w:rPr>
            </w:pPr>
            <w:hyperlink w:anchor="page20">
              <w:r>
                <w:rPr>
                  <w:rFonts w:ascii="Arial" w:cs="Arial" w:eastAsia="Arial" w:hAnsi="Arial"/>
                  <w:sz w:val="18"/>
                  <w:szCs w:val="18"/>
                  <w:color w:val="auto"/>
                  <w:w w:val="95"/>
                </w:rPr>
                <w:t>PART II</w:t>
              </w:r>
            </w:hyperlink>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auto"/>
            </w:tcBorders>
            <w:gridSpan w:val="28"/>
          </w:tcPr>
          <w:p>
            <w:pPr>
              <w:spacing w:after="0"/>
              <w:rPr>
                <w:rFonts w:ascii="Arial" w:cs="Arial" w:eastAsia="Arial" w:hAnsi="Arial"/>
                <w:sz w:val="18"/>
                <w:szCs w:val="18"/>
                <w:color w:val="auto"/>
                <w:w w:val="90"/>
              </w:rPr>
            </w:pPr>
            <w:hyperlink w:anchor="page21">
              <w:r>
                <w:rPr>
                  <w:rFonts w:ascii="Arial" w:cs="Arial" w:eastAsia="Arial" w:hAnsi="Arial"/>
                  <w:sz w:val="18"/>
                  <w:szCs w:val="18"/>
                  <w:color w:val="auto"/>
                  <w:w w:val="90"/>
                </w:rPr>
                <w:t>Market for Registrant’s Common Equity, Related Stockholder Matters and Issuer Purchases of Equity Securities</w:t>
              </w:r>
            </w:hyperlink>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auto"/>
            </w:tcBorders>
            <w:gridSpan w:val="6"/>
          </w:tcPr>
          <w:p>
            <w:pPr>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Selected Financial Data</w:t>
              </w:r>
            </w:hyperlink>
          </w:p>
        </w:tc>
        <w:tc>
          <w:tcPr>
            <w:tcW w:w="7200" w:type="dxa"/>
            <w:vAlign w:val="bottom"/>
            <w:gridSpan w:val="2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29"/>
          </w:tcPr>
          <w:p>
            <w:pPr>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auto"/>
              <w:bottom w:val="single" w:sz="8" w:color="auto"/>
            </w:tcBorders>
            <w:gridSpan w:val="19"/>
          </w:tcPr>
          <w:p>
            <w:pPr>
              <w:spacing w:after="0"/>
              <w:rPr>
                <w:rFonts w:ascii="Arial" w:cs="Arial" w:eastAsia="Arial" w:hAnsi="Arial"/>
                <w:sz w:val="18"/>
                <w:szCs w:val="18"/>
                <w:color w:val="auto"/>
                <w:w w:val="91"/>
              </w:rPr>
            </w:pPr>
            <w:hyperlink w:anchor="page35">
              <w:r>
                <w:rPr>
                  <w:rFonts w:ascii="Arial" w:cs="Arial" w:eastAsia="Arial" w:hAnsi="Arial"/>
                  <w:sz w:val="18"/>
                  <w:szCs w:val="18"/>
                  <w:color w:val="auto"/>
                  <w:w w:val="91"/>
                </w:rPr>
                <w:t>Quantitative and Qualitative Disclosures about Market Risk</w:t>
              </w:r>
            </w:hyperlink>
          </w:p>
        </w:tc>
        <w:tc>
          <w:tcPr>
            <w:tcW w:w="2140" w:type="dxa"/>
            <w:vAlign w:val="bottom"/>
            <w:tcBorders>
              <w:top w:val="single" w:sz="8" w:color="auto"/>
            </w:tcBorders>
            <w:gridSpan w:val="6"/>
          </w:tcPr>
          <w:p>
            <w:pPr>
              <w:spacing w:after="0"/>
              <w:rPr>
                <w:sz w:val="21"/>
                <w:szCs w:val="21"/>
                <w:color w:val="auto"/>
              </w:rPr>
            </w:pPr>
          </w:p>
        </w:tc>
        <w:tc>
          <w:tcPr>
            <w:tcW w:w="2460" w:type="dxa"/>
            <w:vAlign w:val="bottom"/>
            <w:gridSpan w:val="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auto"/>
            </w:tcBorders>
            <w:gridSpan w:val="13"/>
          </w:tcPr>
          <w:p>
            <w:pPr>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Financial Statements and Supplementary Data</w:t>
              </w:r>
            </w:hyperlink>
          </w:p>
        </w:tc>
        <w:tc>
          <w:tcPr>
            <w:tcW w:w="5580" w:type="dxa"/>
            <w:vAlign w:val="bottom"/>
            <w:gridSpan w:val="16"/>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29"/>
          </w:tcPr>
          <w:p>
            <w:pPr>
              <w:spacing w:after="0"/>
              <w:rPr>
                <w:rFonts w:ascii="Arial" w:cs="Arial" w:eastAsia="Arial" w:hAnsi="Arial"/>
                <w:sz w:val="18"/>
                <w:szCs w:val="18"/>
                <w:color w:val="auto"/>
              </w:rPr>
            </w:pPr>
            <w:hyperlink w:anchor="page58">
              <w:r>
                <w:rPr>
                  <w:rFonts w:ascii="Arial" w:cs="Arial" w:eastAsia="Arial" w:hAnsi="Arial"/>
                  <w:sz w:val="18"/>
                  <w:szCs w:val="18"/>
                  <w:color w:val="auto"/>
                </w:rPr>
                <w:t>Changes in and Disagreements with Accountants on Accounting and Financial Disclosure</w:t>
              </w:r>
            </w:hyperlink>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88"/>
              </w:rPr>
              <w:t>Controls and Procedures</w:t>
            </w:r>
          </w:p>
        </w:tc>
        <w:tc>
          <w:tcPr>
            <w:tcW w:w="4700" w:type="dxa"/>
            <w:vAlign w:val="bottom"/>
            <w:tcBorders>
              <w:top w:val="single" w:sz="8" w:color="auto"/>
            </w:tcBorders>
            <w:gridSpan w:val="19"/>
          </w:tcPr>
          <w:p>
            <w:pPr>
              <w:spacing w:after="0"/>
              <w:rPr>
                <w:sz w:val="21"/>
                <w:szCs w:val="21"/>
                <w:color w:val="auto"/>
              </w:rPr>
            </w:pPr>
          </w:p>
        </w:tc>
        <w:tc>
          <w:tcPr>
            <w:tcW w:w="2440" w:type="dxa"/>
            <w:vAlign w:val="bottom"/>
            <w:gridSpan w:val="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20" w:type="dxa"/>
            <w:vAlign w:val="bottom"/>
            <w:gridSpan w:val="29"/>
          </w:tcPr>
          <w:p>
            <w:pPr>
              <w:spacing w:after="0"/>
              <w:rPr>
                <w:sz w:val="20"/>
                <w:szCs w:val="20"/>
                <w:color w:val="auto"/>
              </w:rPr>
            </w:pPr>
            <w:r>
              <w:rPr>
                <w:rFonts w:ascii="Arial" w:cs="Arial" w:eastAsia="Arial" w:hAnsi="Arial"/>
                <w:sz w:val="18"/>
                <w:szCs w:val="18"/>
                <w:color w:val="auto"/>
              </w:rPr>
              <w:t>Other Information</w:t>
            </w:r>
          </w:p>
        </w:tc>
        <w:tc>
          <w:tcPr>
            <w:tcW w:w="130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auto"/>
            </w:tcBorders>
            <w:gridSpan w:val="6"/>
          </w:tcPr>
          <w:p>
            <w:pPr>
              <w:jc w:val="center"/>
              <w:spacing w:after="0"/>
              <w:rPr>
                <w:rFonts w:ascii="Arial" w:cs="Arial" w:eastAsia="Arial" w:hAnsi="Arial"/>
                <w:sz w:val="18"/>
                <w:szCs w:val="18"/>
                <w:color w:val="auto"/>
                <w:w w:val="96"/>
              </w:rPr>
            </w:pPr>
            <w:hyperlink w:anchor="page61">
              <w:r>
                <w:rPr>
                  <w:rFonts w:ascii="Arial" w:cs="Arial" w:eastAsia="Arial" w:hAnsi="Arial"/>
                  <w:sz w:val="18"/>
                  <w:szCs w:val="18"/>
                  <w:color w:val="auto"/>
                  <w:w w:val="96"/>
                </w:rPr>
                <w:t>PART III</w:t>
              </w:r>
            </w:hyperlink>
          </w:p>
        </w:tc>
        <w:tc>
          <w:tcPr>
            <w:tcW w:w="4100" w:type="dxa"/>
            <w:vAlign w:val="bottom"/>
            <w:gridSpan w:val="7"/>
          </w:tcPr>
          <w:p>
            <w:pPr>
              <w:spacing w:after="0"/>
              <w:rPr>
                <w:sz w:val="24"/>
                <w:szCs w:val="24"/>
                <w:color w:val="auto"/>
              </w:rPr>
            </w:pPr>
          </w:p>
        </w:tc>
        <w:tc>
          <w:tcPr>
            <w:tcW w:w="1300" w:type="dxa"/>
            <w:vAlign w:val="bottom"/>
            <w:gridSpan w:val="2"/>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auto"/>
            </w:tcBorders>
            <w:gridSpan w:val="15"/>
          </w:tcPr>
          <w:p>
            <w:pPr>
              <w:spacing w:after="0"/>
              <w:rPr>
                <w:rFonts w:ascii="Arial" w:cs="Arial" w:eastAsia="Arial" w:hAnsi="Arial"/>
                <w:sz w:val="18"/>
                <w:szCs w:val="18"/>
                <w:color w:val="auto"/>
                <w:w w:val="90"/>
              </w:rPr>
            </w:pPr>
            <w:hyperlink w:anchor="page62">
              <w:r>
                <w:rPr>
                  <w:rFonts w:ascii="Arial" w:cs="Arial" w:eastAsia="Arial" w:hAnsi="Arial"/>
                  <w:sz w:val="18"/>
                  <w:szCs w:val="18"/>
                  <w:color w:val="auto"/>
                  <w:w w:val="90"/>
                </w:rPr>
                <w:t>Directors, Executive Officers and Corporate Governance</w:t>
              </w:r>
            </w:hyperlink>
          </w:p>
        </w:tc>
        <w:tc>
          <w:tcPr>
            <w:tcW w:w="4820" w:type="dxa"/>
            <w:vAlign w:val="bottom"/>
            <w:gridSpan w:val="1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8920" w:type="dxa"/>
            <w:vAlign w:val="bottom"/>
            <w:gridSpan w:val="29"/>
          </w:tcPr>
          <w:p>
            <w:pPr>
              <w:spacing w:after="0"/>
              <w:rPr>
                <w:rFonts w:ascii="Arial" w:cs="Arial" w:eastAsia="Arial" w:hAnsi="Arial"/>
                <w:sz w:val="18"/>
                <w:szCs w:val="18"/>
                <w:color w:val="auto"/>
              </w:rPr>
            </w:pPr>
            <w:hyperlink w:anchor="page62">
              <w:r>
                <w:rPr>
                  <w:rFonts w:ascii="Arial" w:cs="Arial" w:eastAsia="Arial" w:hAnsi="Arial"/>
                  <w:sz w:val="18"/>
                  <w:szCs w:val="18"/>
                  <w:color w:val="auto"/>
                </w:rPr>
                <w:t>Executive Compensation</w:t>
              </w:r>
            </w:hyperlink>
          </w:p>
        </w:tc>
        <w:tc>
          <w:tcPr>
            <w:tcW w:w="130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8"/>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auto"/>
            </w:tcBorders>
            <w:gridSpan w:val="27"/>
          </w:tcPr>
          <w:p>
            <w:pPr>
              <w:spacing w:after="0"/>
              <w:rPr>
                <w:rFonts w:ascii="Arial" w:cs="Arial" w:eastAsia="Arial" w:hAnsi="Arial"/>
                <w:sz w:val="18"/>
                <w:szCs w:val="18"/>
                <w:color w:val="auto"/>
                <w:w w:val="90"/>
              </w:rPr>
            </w:pPr>
            <w:hyperlink w:anchor="page62">
              <w:r>
                <w:rPr>
                  <w:rFonts w:ascii="Arial" w:cs="Arial" w:eastAsia="Arial" w:hAnsi="Arial"/>
                  <w:sz w:val="18"/>
                  <w:szCs w:val="18"/>
                  <w:color w:val="auto"/>
                  <w:w w:val="90"/>
                </w:rPr>
                <w:t>Security Ownership of Certain Beneficial Owners and Management and Related Stockholder Matters</w:t>
              </w:r>
            </w:hyperlink>
          </w:p>
        </w:tc>
        <w:tc>
          <w:tcPr>
            <w:tcW w:w="1620" w:type="dxa"/>
            <w:vAlign w:val="bottom"/>
            <w:gridSpan w:val="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auto"/>
            </w:tcBorders>
            <w:gridSpan w:val="24"/>
          </w:tcPr>
          <w:p>
            <w:pP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Certain Relationships and Related Transactions, and Director Independence</w:t>
              </w:r>
            </w:hyperlink>
          </w:p>
        </w:tc>
        <w:tc>
          <w:tcPr>
            <w:tcW w:w="3460" w:type="dxa"/>
            <w:vAlign w:val="bottom"/>
            <w:gridSpan w:val="5"/>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20" w:type="dxa"/>
            <w:vAlign w:val="bottom"/>
            <w:gridSpan w:val="29"/>
          </w:tcPr>
          <w:p>
            <w:pPr>
              <w:spacing w:after="0"/>
              <w:rPr>
                <w:rFonts w:ascii="Arial" w:cs="Arial" w:eastAsia="Arial" w:hAnsi="Arial"/>
                <w:sz w:val="18"/>
                <w:szCs w:val="18"/>
                <w:color w:val="auto"/>
              </w:rPr>
            </w:pPr>
            <w:hyperlink w:anchor="page62">
              <w:r>
                <w:rPr>
                  <w:rFonts w:ascii="Arial" w:cs="Arial" w:eastAsia="Arial" w:hAnsi="Arial"/>
                  <w:sz w:val="18"/>
                  <w:szCs w:val="18"/>
                  <w:color w:val="auto"/>
                </w:rPr>
                <w:t>Principal Accountant Fees and Services</w:t>
              </w:r>
            </w:hyperlink>
          </w:p>
        </w:tc>
        <w:tc>
          <w:tcPr>
            <w:tcW w:w="130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4"/>
          </w:tcPr>
          <w:p>
            <w:pPr>
              <w:jc w:val="center"/>
              <w:ind w:right="4040"/>
              <w:spacing w:after="0"/>
              <w:rPr>
                <w:rFonts w:ascii="Arial" w:cs="Arial" w:eastAsia="Arial" w:hAnsi="Arial"/>
                <w:sz w:val="18"/>
                <w:szCs w:val="18"/>
                <w:color w:val="auto"/>
                <w:w w:val="94"/>
              </w:rPr>
            </w:pPr>
            <w:hyperlink w:anchor="page62">
              <w:r>
                <w:rPr>
                  <w:rFonts w:ascii="Arial" w:cs="Arial" w:eastAsia="Arial" w:hAnsi="Arial"/>
                  <w:sz w:val="18"/>
                  <w:szCs w:val="18"/>
                  <w:color w:val="auto"/>
                  <w:w w:val="94"/>
                </w:rPr>
                <w:t>PART IV</w:t>
              </w:r>
            </w:hyperlink>
          </w:p>
        </w:tc>
        <w:tc>
          <w:tcPr>
            <w:tcW w:w="130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16"/>
          </w:tcPr>
          <w:p>
            <w:pPr>
              <w:spacing w:after="0"/>
              <w:rPr>
                <w:rFonts w:ascii="Arial" w:cs="Arial" w:eastAsia="Arial" w:hAnsi="Arial"/>
                <w:sz w:val="18"/>
                <w:szCs w:val="18"/>
                <w:color w:val="auto"/>
              </w:rPr>
            </w:pPr>
            <w:hyperlink w:anchor="page62">
              <w:r>
                <w:rPr>
                  <w:rFonts w:ascii="Arial" w:cs="Arial" w:eastAsia="Arial" w:hAnsi="Arial"/>
                  <w:sz w:val="18"/>
                  <w:szCs w:val="18"/>
                  <w:color w:val="auto"/>
                </w:rPr>
                <w:t>Exhibits, Financial Statement Schedules</w:t>
              </w:r>
            </w:hyperlink>
          </w:p>
        </w:tc>
        <w:tc>
          <w:tcPr>
            <w:tcW w:w="660" w:type="dxa"/>
            <w:vAlign w:val="bottom"/>
            <w:tcBorders>
              <w:top w:val="single" w:sz="8" w:color="auto"/>
            </w:tcBorders>
            <w:gridSpan w:val="6"/>
          </w:tcPr>
          <w:p>
            <w:pPr>
              <w:spacing w:after="0"/>
              <w:rPr>
                <w:sz w:val="21"/>
                <w:szCs w:val="21"/>
                <w:color w:val="auto"/>
              </w:rPr>
            </w:pPr>
          </w:p>
        </w:tc>
        <w:tc>
          <w:tcPr>
            <w:tcW w:w="4100" w:type="dxa"/>
            <w:vAlign w:val="bottom"/>
            <w:gridSpan w:val="7"/>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50"/>
        </w:trPr>
        <w:tc>
          <w:tcPr>
            <w:tcW w:w="1100" w:type="dxa"/>
            <w:vAlign w:val="bottom"/>
            <w:tcBorders>
              <w:bottom w:val="single" w:sz="8" w:color="auto"/>
            </w:tcBorders>
          </w:tcPr>
          <w:p>
            <w:pPr>
              <w:spacing w:after="0"/>
              <w:rPr>
                <w:rFonts w:ascii="Arial" w:cs="Arial" w:eastAsia="Arial" w:hAnsi="Arial"/>
                <w:sz w:val="18"/>
                <w:szCs w:val="18"/>
                <w:color w:val="auto"/>
                <w:w w:val="92"/>
              </w:rPr>
            </w:pPr>
            <w:hyperlink w:anchor="page64">
              <w:r>
                <w:rPr>
                  <w:rFonts w:ascii="Arial" w:cs="Arial" w:eastAsia="Arial" w:hAnsi="Arial"/>
                  <w:sz w:val="18"/>
                  <w:szCs w:val="18"/>
                  <w:color w:val="auto"/>
                  <w:w w:val="92"/>
                </w:rPr>
                <w:t>SIGNATURES</w:t>
              </w:r>
            </w:hyperlink>
          </w:p>
        </w:tc>
        <w:tc>
          <w:tcPr>
            <w:tcW w:w="4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64</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80" w:top="108" w:right="259" w:bottom="1440" w:gutter="0" w:footer="0" w:header="0"/>
        </w:sectPr>
      </w:pPr>
    </w:p>
    <w:bookmarkStart w:id="2" w:name="page3"/>
    <w:bookmarkEnd w:id="2"/>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 Rowe Price Group, Inc. is a financial services holding company that provides global investment management services through its subsidiaries to individual and institutional investors in the sponsored T. Rowe Price mutual funds distributed in the United States and other investment portfolios. These other investment portfolios include separately managed accounts, subadvised funds, and other sponsored investment portfolios, including collective investment trusts, target-date retirement trusts, Luxembourg-based funds offered to investors outside the United States, and portfolios offered through variable annuity life insurance plans in the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late Thomas Rowe Price, Jr., founded our firm in 1937, and the common stock of T. Rowe Price Associates, Inc. was first offered to the public in 1986.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 Rowe Price Group corporate holding company structure was established in 2000.</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derive the vast majority of our consolidated net revenue and net income from investment advisory services provided by our subsidiaries, primarily T. Rowe Price Associates and T. Rowe Price International Ltd. Our revenues depend largely on the total value and composition of assets under our management. Accordingly, fluctuations in financial markets and in the composition of assets under management impact our revenues and results of operations. At December 31, 2015, we had $763.1 billion in assets under management, including $487.1 billion in the Price Funds and $276.0 billion in other investment portfolios.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globally. As of December 31, 2015, more than forty-five percent of our assets under management are sourced from our third-party financial intermediary distribution channel with the remaining three distribution channels comprising the balance. We have taken steps to broaden and deepen our distribution reach in overseas markets and with financial intermediaries in the U.S., Europe and Asia. These initiatives are part of multi-year plans designed to further diversify our assets under management and client base. For the foreseeable future, we will continue to make key hires and make investments in infrastructure to support these initiatives.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assets we manage are a broad range of U.S. and international stock, blended asset, bond, and money market mutual funds and other investment portfolios that are designed to meet the varied and changing needs and objectives of individual and institutional investors. Investors select mutual funds based on the distinct objective that is described in each fund’s prospectus and can exchange balances among the funds as permitted when economic and market conditions and their investment needs change. The investment objectives and investment management approaches employed in our other investment portfolios are similar to those in the Price Funds. We also offer specialized advisory services, including management of stable value investment contracts and a distribution management service for the disposition of equity securities our clients receive from third-party venture capital investment pools.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objectives for our managed investment portfolios, including the Price Funds, accommodate a variety of strategies. Equity investment strategies may emphasize large-cap, mid-cap or small-cap investing; growth, value or core investing; and U.S., global, multi-regional and regional international, emerging market, and sector investing. Our fixed income strategies may focus on high yield, U.S. taxable bond, taxable low-duration, international, global and municipal tax-free investing. We also combine strategies across asset classes to create solutions that help our clients achieve a single investment objective. To this end, we offer systematic, tax-efficient, blended equity, and asset allocation investment strategies, including target-date retirement investment portfolios.</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U.S. and England with additional staff based in Australia, Hong Kong, Japan, and Singapore.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From time to time, we introduce new strategies and investment vehicles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125" w:right="239" w:bottom="1440" w:gutter="0" w:footer="0" w:header="0"/>
        </w:sectPr>
      </w:pPr>
    </w:p>
    <w:bookmarkStart w:id="3" w:name="page4"/>
    <w:bookmarkEnd w:id="3"/>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expertise and that its objective will be useful for investors over a long period. We continued to expand our investment offerings in 2015 with new equity and fixed income strategies, and the launch of new investment vehicles. We have launched three new fixed income products—Global Unconstrained, Global High Income, Global Investment Grade Corporate Bond—and one new equity product Emerging Markets Value. We also launched a new Retirement Date series for institutional investors and added an I-Share class to a number of existing Price Funds. The I-Class shares are designed to meet the needs of institutionally oriented clients who seek investment products with lower shareholder servicing costs and lower expense ratios. We plan to add the I-Share class to other Price Funds in 2016.</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typically provide seed capital for new investment funds and trusts to enable the portfolio manager to begin building an investment performance history in advance of the portfolio receiving sustainable client assets. The length of time we hold our seed capital investment will vary for each new investment portfolio as it is highly dependent on how long it takes to generate cash flows into the portfolio from unrelated investors. We attempt to ensure that the new investment portfolio has a sustainable level of assets from unrelated shareholders before we consider redemption of our seed capital investment in order to not negatively impact the new investment portfolio's net asset value or its investment performance record. At December 31, 2015, nearly $1.0 billion of our investments in sponsored portfolios and those sponsored portfolio investments reported in other investments is considered seed investments. About 60% of our total seed capital investments of $1.0 billion are investments in fixed income strategies and the remaining are investments in equity and asset allocation strategies.</w:t>
      </w:r>
    </w:p>
    <w:p>
      <w:pPr>
        <w:spacing w:after="0" w:line="19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Conversely, we may also limit new investments into a mutual fund or investment strategy in order to maintain the integrity of the investment strategy and to protect the interests of its existing fund shareholders and investors. At present, the following mutual funds and affiliated other investment portfolio strategies are closed to new investors.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6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Fund</w:t>
            </w:r>
          </w:p>
        </w:tc>
        <w:tc>
          <w:tcPr>
            <w:tcW w:w="4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Date Closed</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Institutional Mid-Cap Equity Growth Fund</w:t>
            </w:r>
          </w:p>
        </w:tc>
        <w:tc>
          <w:tcPr>
            <w:tcW w:w="4780" w:type="dxa"/>
            <w:vAlign w:val="bottom"/>
          </w:tcPr>
          <w:p>
            <w:pPr>
              <w:jc w:val="right"/>
              <w:spacing w:after="0"/>
              <w:rPr>
                <w:sz w:val="20"/>
                <w:szCs w:val="20"/>
                <w:color w:val="auto"/>
              </w:rPr>
            </w:pPr>
            <w:r>
              <w:rPr>
                <w:rFonts w:ascii="Arial" w:cs="Arial" w:eastAsia="Arial" w:hAnsi="Arial"/>
                <w:sz w:val="18"/>
                <w:szCs w:val="18"/>
                <w:color w:val="auto"/>
              </w:rPr>
              <w:t>December 8, 2003</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Mid-Cap Growth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May 31, 2010</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Mid-Cap Value Fund</w:t>
            </w:r>
          </w:p>
        </w:tc>
        <w:tc>
          <w:tcPr>
            <w:tcW w:w="4780" w:type="dxa"/>
            <w:vAlign w:val="bottom"/>
          </w:tcPr>
          <w:p>
            <w:pPr>
              <w:jc w:val="right"/>
              <w:spacing w:after="0"/>
              <w:rPr>
                <w:sz w:val="20"/>
                <w:szCs w:val="20"/>
                <w:color w:val="auto"/>
              </w:rPr>
            </w:pPr>
            <w:r>
              <w:rPr>
                <w:rFonts w:ascii="Arial" w:cs="Arial" w:eastAsia="Arial" w:hAnsi="Arial"/>
                <w:sz w:val="18"/>
                <w:szCs w:val="18"/>
                <w:color w:val="auto"/>
              </w:rPr>
              <w:t>May 31, 2010</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Yield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27, 2012</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Institutional High Yield Fund</w:t>
            </w:r>
          </w:p>
        </w:tc>
        <w:tc>
          <w:tcPr>
            <w:tcW w:w="4780" w:type="dxa"/>
            <w:vAlign w:val="bottom"/>
          </w:tcPr>
          <w:p>
            <w:pPr>
              <w:jc w:val="right"/>
              <w:spacing w:after="0"/>
              <w:rPr>
                <w:sz w:val="20"/>
                <w:szCs w:val="20"/>
                <w:color w:val="auto"/>
              </w:rPr>
            </w:pPr>
            <w:r>
              <w:rPr>
                <w:rFonts w:ascii="Arial" w:cs="Arial" w:eastAsia="Arial" w:hAnsi="Arial"/>
                <w:sz w:val="18"/>
                <w:szCs w:val="18"/>
                <w:color w:val="auto"/>
              </w:rPr>
              <w:t>April 27, 2012</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 Small-Cap Stock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New Horizons Fund</w:t>
            </w:r>
          </w:p>
        </w:tc>
        <w:tc>
          <w:tcPr>
            <w:tcW w:w="4780" w:type="dxa"/>
            <w:vAlign w:val="bottom"/>
          </w:tcPr>
          <w:p>
            <w:pPr>
              <w:jc w:val="right"/>
              <w:spacing w:after="0"/>
              <w:rPr>
                <w:sz w:val="20"/>
                <w:szCs w:val="20"/>
                <w:color w:val="auto"/>
              </w:rPr>
            </w:pPr>
            <w:r>
              <w:rPr>
                <w:rFonts w:ascii="Arial" w:cs="Arial" w:eastAsia="Arial" w:hAnsi="Arial"/>
                <w:sz w:val="18"/>
                <w:szCs w:val="18"/>
                <w:color w:val="auto"/>
              </w:rPr>
              <w:t>December 31, 2013</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Small-Cap Stock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Capital Appreciation Fund</w:t>
            </w:r>
          </w:p>
        </w:tc>
        <w:tc>
          <w:tcPr>
            <w:tcW w:w="4780" w:type="dxa"/>
            <w:vAlign w:val="bottom"/>
          </w:tcPr>
          <w:p>
            <w:pPr>
              <w:jc w:val="right"/>
              <w:spacing w:after="0"/>
              <w:rPr>
                <w:sz w:val="20"/>
                <w:szCs w:val="20"/>
                <w:color w:val="auto"/>
              </w:rPr>
            </w:pPr>
            <w:r>
              <w:rPr>
                <w:rFonts w:ascii="Arial" w:cs="Arial" w:eastAsia="Arial" w:hAnsi="Arial"/>
                <w:sz w:val="18"/>
                <w:szCs w:val="18"/>
                <w:color w:val="auto"/>
              </w:rPr>
              <w:t>June 30, 2014</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43"/>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Health Sciences Fund</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2015</w:t>
            </w:r>
          </w:p>
        </w:tc>
      </w:tr>
      <w:tr>
        <w:trPr>
          <w:trHeight w:val="27"/>
        </w:trPr>
        <w:tc>
          <w:tcPr>
            <w:tcW w:w="648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our sponsored mutual funds; recordkeeping services for defined contribution retirement plans investing in mutual funds outside the T. Rowe Price complex; brokerage; and trust services. Substantially all of our administrative and distribution and servicing fee revenues in 2015 were determined based generally on the recovery of our related costs to provide these services. Therefore, changes in our administrative fees, distribution and servicing fees, and related expenses generally do not significantly affect our net operating income or net income.</w:t>
      </w:r>
    </w:p>
    <w:p>
      <w:pPr>
        <w:spacing w:after="0" w:line="16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2014, we made a long-term strategic decision to change our delivery of certain administrative services, including fund accounting and other investment recordkeeping operations. BNY Mellon was contracted to provide such services and 210 associates became employees of BNY Mellon on August 1, 2015. BNY Mellon will transition our data to its technology platform over time. Though a few line items of our consolidated income statements, including administrative revenues, compensation and related costs, and other operating expenses, will be affected, we do not expect that the net impact on our future operating results will be material.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125" w:right="259" w:bottom="1440" w:gutter="0" w:footer="0" w:header="0"/>
        </w:sectPr>
      </w:pPr>
    </w:p>
    <w:bookmarkStart w:id="4" w:name="page5"/>
    <w:bookmarkEnd w:id="4"/>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2015 DEVELOPMENTS.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U.S. equities, as measured by the S&amp;P 500 Index, rose in 2015 for the seventh consecutive year. The S&amp;P 500 Index and the NASDAQ Composite Index, which is heavily weighted in technology companies, returned 1.4% and 5.7%, respectively, in 2015. Equities in developed non-U.S. markets were mixed, while emerging market equities fared poorly around the world due in part to the broad currency weakness versus the U.S. dollar which hurt investor returns in dollar terms. Global bonds returns were also mixed in 2015. In this market environment, our 2015 results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Year ended</w:t>
            </w:r>
          </w:p>
        </w:tc>
        <w:tc>
          <w:tcPr>
            <w:tcW w:w="920" w:type="dxa"/>
            <w:vAlign w:val="bottom"/>
            <w:tcBorders>
              <w:bottom w:val="single" w:sz="8" w:color="auto"/>
            </w:tcBorders>
            <w:shd w:val="clear" w:color="auto" w:fill="CCEEFF"/>
          </w:tcPr>
          <w:p>
            <w:pPr>
              <w:spacing w:after="0"/>
              <w:rPr>
                <w:sz w:val="22"/>
                <w:szCs w:val="22"/>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(in millions, except per-share data)</w:t>
            </w:r>
          </w:p>
        </w:tc>
        <w:tc>
          <w:tcPr>
            <w:tcW w:w="1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0"/>
              </w:rPr>
              <w:t>12/31/2014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0"/>
              </w:rPr>
              <w:t>12/31/2015</w:t>
            </w: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 change</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3,687.3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3,982.1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4,200.6</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1,890.9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8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8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Average assets under management (in billions)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 management fee rate (in basis points)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
        </w:trPr>
        <w:tc>
          <w:tcPr>
            <w:tcW w:w="8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Six Price Funds - Growth Stock, Blue-Chip Growth, Mid-Cap Growth, Value, Capital Appreciation, and Equity Income -accounted for 27% of our investment advisory revenues in 2015, and 22% of our assets under management at December 31, 2015. Our largest client account relationship apart from the Price Funds is with a third-party financial intermediary that accounted for about 5% of our investment advisory revenues in 2015.</w:t>
      </w:r>
    </w:p>
    <w:p>
      <w:pPr>
        <w:spacing w:after="0" w:line="166"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Assets under management ended 2015 at $763.1 billion, an increase of $16.3 billion from the end of 2014. Market appreciation and income, net of distributions not reinvested, added $14.7 billion and net cash inflows added $1.6 billion in assets under management during 2015.</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target-date retirement funds and trusts, which provide shareholders with single, diversified portfolios that invest in underlying T. Rowe Price funds and T. Rowe Price collective investment trusts, continue to be a significant source of our asset growth. In 2015, our net cash flows include $16.2 billion that originated in these portfolios, including $8.9 billion in our target-date retirement funds. The assets under management in these portfolios totaled $165.7 billion at December 31, 2015, including $135.5 billion in target-date retirement funds and $30.2 billion in target-date retirement trusts. These portfolios' assets account for 21.7% of our managed assets at December 31, 2015, compared with 19.9% at the end of 2014.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Borders>
              <w:bottom w:val="single" w:sz="8" w:color="661DE8"/>
            </w:tcBorders>
          </w:tcPr>
          <w:p>
            <w:pPr>
              <w:spacing w:after="0"/>
              <w:rPr>
                <w:rFonts w:ascii="Arial" w:cs="Arial" w:eastAsia="Arial" w:hAnsi="Arial"/>
                <w:sz w:val="18"/>
                <w:szCs w:val="18"/>
                <w:color w:val="661DE8"/>
                <w:w w:val="88"/>
              </w:rPr>
            </w:pPr>
            <w:hyperlink w:anchor="page1">
              <w:r>
                <w:rPr>
                  <w:rFonts w:ascii="Arial" w:cs="Arial" w:eastAsia="Arial" w:hAnsi="Arial"/>
                  <w:sz w:val="18"/>
                  <w:szCs w:val="18"/>
                  <w:color w:val="661DE8"/>
                  <w:w w:val="88"/>
                </w:rPr>
                <w:t>Table of Contents</w:t>
              </w:r>
            </w:hyperlink>
          </w:p>
        </w:tc>
        <w:tc>
          <w:tcPr>
            <w:tcW w:w="3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0"/>
        </w:trPr>
        <w:tc>
          <w:tcPr>
            <w:tcW w:w="9940" w:type="dxa"/>
            <w:vAlign w:val="bottom"/>
            <w:gridSpan w:val="7"/>
          </w:tcPr>
          <w:p>
            <w:pPr>
              <w:spacing w:after="0"/>
              <w:rPr>
                <w:sz w:val="20"/>
                <w:szCs w:val="20"/>
                <w:color w:val="auto"/>
              </w:rPr>
            </w:pPr>
            <w:r>
              <w:rPr>
                <w:rFonts w:ascii="Arial" w:cs="Arial" w:eastAsia="Arial" w:hAnsi="Arial"/>
                <w:sz w:val="18"/>
                <w:szCs w:val="18"/>
                <w:color w:val="auto"/>
              </w:rPr>
              <w:t>Details of our assets under management (in billions) at December 31, 2015, are as follows: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3"/>
        </w:trPr>
        <w:tc>
          <w:tcPr>
            <w:tcW w:w="99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color w:val="auto"/>
              </w:rPr>
              <w:t>Assets under management by investment portfolio</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9940" w:type="dxa"/>
            <w:vAlign w:val="bottom"/>
            <w:gridSpan w:val="7"/>
          </w:tcPr>
          <w:p>
            <w:pPr>
              <w:ind w:left="40"/>
              <w:spacing w:after="0"/>
              <w:rPr>
                <w:sz w:val="20"/>
                <w:szCs w:val="20"/>
                <w:color w:val="auto"/>
              </w:rPr>
            </w:pPr>
            <w:r>
              <w:rPr>
                <w:rFonts w:ascii="Arial" w:cs="Arial" w:eastAsia="Arial" w:hAnsi="Arial"/>
                <w:sz w:val="18"/>
                <w:szCs w:val="18"/>
                <w:color w:val="auto"/>
              </w:rPr>
              <w:t>Sponsored U.S. mutual funds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487.1</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w:t>
            </w:r>
          </w:p>
        </w:tc>
      </w:tr>
      <w:tr>
        <w:trPr>
          <w:trHeight w:val="297"/>
        </w:trPr>
        <w:tc>
          <w:tcPr>
            <w:tcW w:w="994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763.1</w:t>
            </w:r>
          </w:p>
        </w:tc>
      </w:tr>
      <w:tr>
        <w:trPr>
          <w:trHeight w:val="284"/>
        </w:trPr>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03"/>
        </w:trPr>
        <w:tc>
          <w:tcPr>
            <w:tcW w:w="9940" w:type="dxa"/>
            <w:vAlign w:val="bottom"/>
            <w:gridSpan w:val="7"/>
          </w:tcPr>
          <w:p>
            <w:pPr>
              <w:ind w:left="40"/>
              <w:spacing w:after="0" w:line="202" w:lineRule="exact"/>
              <w:rPr>
                <w:sz w:val="20"/>
                <w:szCs w:val="20"/>
                <w:color w:val="auto"/>
              </w:rPr>
            </w:pPr>
            <w:r>
              <w:rPr>
                <w:rFonts w:ascii="Arial" w:cs="Arial" w:eastAsia="Arial" w:hAnsi="Arial"/>
                <w:sz w:val="18"/>
                <w:szCs w:val="18"/>
                <w:color w:val="auto"/>
              </w:rPr>
              <w:t>Assets under management by mandate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7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U.S. stocks and blended asset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502.7</w:t>
            </w:r>
          </w:p>
        </w:tc>
      </w:tr>
      <w:tr>
        <w:trPr>
          <w:trHeight w:val="243"/>
        </w:trPr>
        <w:tc>
          <w:tcPr>
            <w:tcW w:w="40" w:type="dxa"/>
            <w:vAlign w:val="bottom"/>
          </w:tcPr>
          <w:p>
            <w:pPr>
              <w:spacing w:after="0"/>
              <w:rPr>
                <w:sz w:val="21"/>
                <w:szCs w:val="21"/>
                <w:color w:val="auto"/>
              </w:rPr>
            </w:pPr>
          </w:p>
        </w:tc>
        <w:tc>
          <w:tcPr>
            <w:tcW w:w="9900" w:type="dxa"/>
            <w:vAlign w:val="bottom"/>
            <w:gridSpan w:val="6"/>
          </w:tcPr>
          <w:p>
            <w:pPr>
              <w:ind w:left="140"/>
              <w:spacing w:after="0"/>
              <w:rPr>
                <w:sz w:val="20"/>
                <w:szCs w:val="20"/>
                <w:color w:val="auto"/>
              </w:rPr>
            </w:pPr>
            <w:r>
              <w:rPr>
                <w:rFonts w:ascii="Arial" w:cs="Arial" w:eastAsia="Arial" w:hAnsi="Arial"/>
                <w:sz w:val="18"/>
                <w:szCs w:val="18"/>
                <w:color w:val="auto"/>
              </w:rPr>
              <w:t>International stocks and blended asset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90.1</w:t>
            </w:r>
          </w:p>
        </w:tc>
      </w:tr>
      <w:tr>
        <w:trPr>
          <w:trHeight w:val="27"/>
        </w:trPr>
        <w:tc>
          <w:tcPr>
            <w:tcW w:w="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Total stock and blended asset portfolios</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r>
      <w:tr>
        <w:trPr>
          <w:trHeight w:val="291"/>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U.S. fixed income</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w:t>
            </w:r>
          </w:p>
        </w:tc>
      </w:tr>
      <w:tr>
        <w:trPr>
          <w:trHeight w:val="243"/>
        </w:trPr>
        <w:tc>
          <w:tcPr>
            <w:tcW w:w="40" w:type="dxa"/>
            <w:vAlign w:val="bottom"/>
          </w:tcPr>
          <w:p>
            <w:pPr>
              <w:spacing w:after="0"/>
              <w:rPr>
                <w:sz w:val="21"/>
                <w:szCs w:val="21"/>
                <w:color w:val="auto"/>
              </w:rPr>
            </w:pPr>
          </w:p>
        </w:tc>
        <w:tc>
          <w:tcPr>
            <w:tcW w:w="9900" w:type="dxa"/>
            <w:vAlign w:val="bottom"/>
            <w:gridSpan w:val="6"/>
          </w:tcPr>
          <w:p>
            <w:pPr>
              <w:ind w:left="140"/>
              <w:spacing w:after="0"/>
              <w:rPr>
                <w:sz w:val="20"/>
                <w:szCs w:val="20"/>
                <w:color w:val="auto"/>
              </w:rPr>
            </w:pPr>
            <w:r>
              <w:rPr>
                <w:rFonts w:ascii="Arial" w:cs="Arial" w:eastAsia="Arial" w:hAnsi="Arial"/>
                <w:sz w:val="18"/>
                <w:szCs w:val="18"/>
                <w:color w:val="auto"/>
              </w:rPr>
              <w:t>International fixed income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Total fixed income portfolios</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37"/>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763.1</w:t>
            </w:r>
          </w:p>
        </w:tc>
      </w:tr>
      <w:tr>
        <w:trPr>
          <w:trHeight w:val="67"/>
        </w:trPr>
        <w:tc>
          <w:tcPr>
            <w:tcW w:w="40" w:type="dxa"/>
            <w:vAlign w:val="bottom"/>
            <w:tcBorders>
              <w:bottom w:val="single" w:sz="8" w:color="CCEEFF"/>
            </w:tcBorders>
          </w:tcPr>
          <w:p>
            <w:pPr>
              <w:spacing w:after="0"/>
              <w:rPr>
                <w:sz w:val="5"/>
                <w:szCs w:val="5"/>
                <w:color w:val="auto"/>
              </w:rPr>
            </w:pPr>
          </w:p>
        </w:tc>
        <w:tc>
          <w:tcPr>
            <w:tcW w:w="276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34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9940" w:type="dxa"/>
            <w:vAlign w:val="bottom"/>
            <w:gridSpan w:val="7"/>
            <w:shd w:val="clear" w:color="auto" w:fill="CCEEFF"/>
          </w:tcPr>
          <w:p>
            <w:pPr>
              <w:ind w:left="40"/>
              <w:spacing w:after="0" w:line="183" w:lineRule="exact"/>
              <w:rPr>
                <w:sz w:val="20"/>
                <w:szCs w:val="20"/>
                <w:color w:val="auto"/>
              </w:rPr>
            </w:pPr>
            <w:r>
              <w:rPr>
                <w:rFonts w:ascii="Arial" w:cs="Arial" w:eastAsia="Arial" w:hAnsi="Arial"/>
                <w:sz w:val="18"/>
                <w:szCs w:val="18"/>
                <w:color w:val="auto"/>
              </w:rPr>
              <w:t>Assets under management by account type</w:t>
            </w: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0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5"/>
              </w:rPr>
              <w:t>Defined contribution retirement assets</w:t>
            </w:r>
          </w:p>
        </w:tc>
        <w:tc>
          <w:tcPr>
            <w:tcW w:w="6840" w:type="dxa"/>
            <w:vAlign w:val="bottom"/>
            <w:tcBorders>
              <w:top w:val="single" w:sz="8" w:color="CCEEFF"/>
            </w:tcBorders>
            <w:gridSpan w:val="4"/>
          </w:tcPr>
          <w:p>
            <w:pPr>
              <w:spacing w:after="0"/>
              <w:rPr>
                <w:sz w:val="21"/>
                <w:szCs w:val="21"/>
                <w:color w:val="auto"/>
              </w:rPr>
            </w:pPr>
          </w:p>
        </w:tc>
        <w:tc>
          <w:tcPr>
            <w:tcW w:w="540" w:type="dxa"/>
            <w:vAlign w:val="bottom"/>
            <w:tcBorders>
              <w:top w:val="single" w:sz="8" w:color="CCEEFF"/>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328.4</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Other retirement and deferred annuity assets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37"/>
        </w:trPr>
        <w:tc>
          <w:tcPr>
            <w:tcW w:w="40" w:type="dxa"/>
            <w:vAlign w:val="bottom"/>
          </w:tcPr>
          <w:p>
            <w:pPr>
              <w:spacing w:after="0"/>
              <w:rPr>
                <w:sz w:val="20"/>
                <w:szCs w:val="20"/>
                <w:color w:val="auto"/>
              </w:rPr>
            </w:pPr>
          </w:p>
        </w:tc>
        <w:tc>
          <w:tcPr>
            <w:tcW w:w="9900" w:type="dxa"/>
            <w:vAlign w:val="bottom"/>
            <w:gridSpan w:val="6"/>
          </w:tcPr>
          <w:p>
            <w:pPr>
              <w:ind w:left="140"/>
              <w:spacing w:after="0"/>
              <w:rPr>
                <w:sz w:val="20"/>
                <w:szCs w:val="20"/>
                <w:color w:val="auto"/>
              </w:rPr>
            </w:pPr>
            <w:r>
              <w:rPr>
                <w:rFonts w:ascii="Arial" w:cs="Arial" w:eastAsia="Arial" w:hAnsi="Arial"/>
                <w:sz w:val="18"/>
                <w:szCs w:val="18"/>
                <w:color w:val="auto"/>
              </w:rPr>
              <w:t>Total retirement and tax deferred annuity assets</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526.3</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w:t>
            </w:r>
          </w:p>
        </w:tc>
      </w:tr>
      <w:tr>
        <w:trPr>
          <w:trHeight w:val="237"/>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763.1</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Non-U.S. dollar denominated securities held in client accounts are $105.2 billion, or 13.8% of our total assets under management at December 31, 2015. Investors domiciled outside the U.S. represent nearly 5% of total assets under management at the end of 2015. We service clients in 41 countries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Performance.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Strong investment performance and brand awareness is a key driver to attracting assets and to our long-term success. As of the end of 2015, 80% of the T. Rowe Price U.S. mutual funds across their share classes outperformed their comparable Lipper averages on a total return basis for the three-year period, 78% outperformed for the five-year period, 88% outperformed for the 10-year period, and 80% outperformed for the one-year period. In addition, T. Rowe Price stock, bond and blended asset funds that were given an overall rating of four or five stars from Morningstar at December 31, 2015, account for nearly 86% of the assets under management in our rated funds. Our target-date retirement funds continue to deliver very attractive long-term performance, with at least 97% of these funds outperforming their comparable Lipper averages on a total return basis for the three-, five-, and 10-year periods ended December 31, 2015. The performance of our institutional strategies remains very competitive.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9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At December 31, 2015, we remain debt-free with ample liquidity and resources, including cash and sponsored portfolio investment holdings of nearly $2.8 billion. During the full year of 2015, we expended $987.8 million to repurchase 13.1 million shares, or 5% of our outstanding common stock. We generally repurchase shares of our common stock over time to offset the dilution created by our equity-based compensation plans. We declared and paid regular quarterly dividends in 2015 that totaled $2.08 per share as well as a special dividend of $2.00 per share.</w:t>
      </w:r>
    </w:p>
    <w:p>
      <w:pPr>
        <w:spacing w:after="0" w:line="17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also invested $151 million during the year in capitalized technology and facilities from existing cash balances. We currently expect total capital expenditures for technology development, facilities and equipment for 2016 to be up to $180 million, which will be funded from operating resources.</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substantial liquidity and resources also allow us to take advantage of attractive growth opportunities; invest in key capabilities, including investment professionals, technologies, and new investment strategy offerings; and, most importantly, provide our clients with strong investment management expertise and service both now and in the future. In the coming years, we expect to increase funding for long-term initiatives to sustain and deepen our investment talent, expand capabilities through enhanced technology, and broaden our distribution reach globally.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108" w:right="239" w:bottom="1440" w:gutter="0" w:footer="0" w:header="0"/>
        </w:sectPr>
      </w:pPr>
    </w:p>
    <w:bookmarkStart w:id="6" w:name="page7"/>
    <w:bookmarkEnd w:id="6"/>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Additional information concerning our revenues, results of operations and total assets, and our assets under management during the past three years is contained in the Management’s Discussion and Analysis of Financial Condition and Results of Operations in Item 7 of this Form 10-K as well as our consolidated financial statements, which are included in Item 8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Price Funds regularly review our fee structures.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Advisory Services.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Investment advisory revenues earned from the Price Funds are determined daily based on the net assets managed in each fund. The advisory fee paid monthly by each of the Price Funds is computed on a daily basis by multiplying a fund’s net assets by its effective fee rate. Details of each fund's fee arrangement are available in its prospectus.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majority of the Price Funds, the fee rate is equal to the sum of a tiered group fee rate plus an individual fund rate. The tiered group rate is based on the combined net assets of nearly all of the Price Funds. If the combined net assets of these Price Funds exceed $500 billion, the weighted-average fee across pricing tiers is 29.1 basis points for the first $500 billion of net assets plus 27.0 basis points for net assets in excess of $500 billion. To the extent that the combined net assets of the funds included in the group rate calculation increase, the group charge component of a fund's advisory fee rate and the resulting advisory fee rate paid by each fund will decrease.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New Income and Value funds have their base individual flat rate reduced by about 15% on net assets in excess of $20 billion. The effective fee rates for the stock and bond funds on which we earned annual advisory fees of at least $6.0 million in 2015 varied from a low of 33 basis points for the Limited Duration Inflation Focused Bond fund to a high of 104 basis points for the Emerging Markets Stock, International Discovery, and Latin America funds.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fee rate of several of the Price Funds, including the Index and Summit funds as well as specific funds offered solely to institutional investors, do not include a group fee component but rather an individual fund fee or an all-inclusive fee. An all-inclusive fee covers both the investment management fee and ordinary operating expenses incurred by the fund. Each of the funds in the series of Spectrum Funds and in the series of target-date retirement funds that we offer invests in a diversified portfolio of other Price Funds and has no separate investment advisory fee; rather, they indirectly bear the expenses of the funds in which they invest.</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these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 but such recovery is not assured.</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2015, we continued to voluntarily waive advisory fees and other fund expenses of all of our money market funds and trusts in order to maintain a positive yield for investors. Total fees waived in 2015 were $47.6 million, or about 1% of total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125" w:right="259" w:bottom="1440" w:gutter="0" w:footer="0" w:header="0"/>
        </w:sectPr>
      </w:pPr>
    </w:p>
    <w:bookmarkStart w:id="7" w:name="page8"/>
    <w:bookmarkEnd w:id="7"/>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during the year, compared to $58.4 million in 2014. We expect that these fee waivers will continue in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December 31, 2015, assets under our management in the Price Funds aggregated $487.1 billion, an increase of 2.0% or $9.5 billion from the beginning of the year. The following table presents the net assets (in billions) and the year of formation of our largest Price Funds (net assets in excess of $1.0 billion at December 31, 2015) at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Stock and blended asset funds: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Balanced (1991)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Blue Chip Growth (1993)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Appreciation (1986)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Diversified Small-Cap Growth (1997)</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Growth (1992)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Emerging Markets Stock (1995)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Income (1985)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Index 500 (1990)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European Stock (1990)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Global Technology (2000)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Growth &amp; Income (1982)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Growth Stock (1950)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Health Sciences (1995)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Large-Cap Core Growth (2003)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Large-Cap Growth (2001)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Large-Cap Value (2000)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Mid-Cap Equity Growth (1996)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Small-Cap Stock (2000)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Discovery (1988)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International Growth &amp; Income (1998)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Stock (1980)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Media &amp; Telecommunications (1993)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Mid-Cap Growth (1992)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Mid-Cap Value (1996)</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America Growth (1985)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New Asia (1990)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Era (1969)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New Horizons (1960)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Overseas Stock (2006)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Personal Strategy Balanced (1994)</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Personal Strategy Growth (1994)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Personal Strategy Income (1994)</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Assets (2010)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(1997)</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Science &amp; Technology (1987)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Small-Cap Stock (1992)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Small-Cap Value (1988)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Total Equity Market Index (1998)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Value (1994)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stock and blended asset funds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r>
      <w:tr>
        <w:trPr>
          <w:trHeight w:val="20"/>
        </w:trPr>
        <w:tc>
          <w:tcPr>
            <w:tcW w:w="8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7</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Bond and money market funds: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Emerging Markets Bond (1994)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GNMA (1985)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High Yield (1984)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Inflation Focused Bond (2006)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Institutional Floating Rate (2008)</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Institutional High Yield (2002)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Bond (1986)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Maryland Tax-Free Bond (1987)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Income (1973)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Prime Reserve (1976)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Bond (1984)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Summit Cash Reserves (1993)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Summit Municipal Income (1993)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Summit Municipal Intermediate (1993)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Tax-Free High Yield (1985)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Tax-Free Income (1976)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Tax-Free Short-Intermediate (1983)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U.S. Treasury Money (1982)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Virginia Tax-Free Bond (1991)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bond and money market funds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Spectrum Funds, Target Retirement Funds, and Retirement Date Funds are not presented in the table above because their assets are already included in the assets of their underlying fund holdings.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subsidiaries invest in many of the T. Rowe Price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subsidiaries provide advisory-related administrative services to the Price Funds and their shareholders. T. Rowe Price Services provides mutual fund transfer agency and shareholder services, including maintenance of staff, facilities, technology, and other equipment to respond to inquiries from fund shareholders. T. Rowe Price Retirement Plan Services provides participant accounting, plan administration, and transfer agent services for defined contribution retirement plans that invest in both the Price Funds and funds outside the Price fund complex. Plan sponsors and participants compensate us for some of the administrative services while the Price Funds compensate us for maintaining and administering the individual participant accounts for those plans that invest in the Price Funds. Until August 2015, T. Rowe Price Associates provided mutual fund accounting services, including maintenance of financial records, preparation of financial statements and reports, daily valuation of portfolio securities, and computation of daily net asset values per share to the Price Funds. The Price Funds contracted directly with BNY Mellon in August 2015 to provide these services in the future.</w:t>
      </w:r>
    </w:p>
    <w:p>
      <w:pPr>
        <w:spacing w:after="0" w:line="1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provide trustee services through our subsidiary, T. Rowe Price Trust Company, a Maryland-chartered limited service trust company. Through this entity, we offer collective investment trusts for investment by qualified retirement plans and serve as trustee for employer sponsored retirement plans and other retirement products. T. Rowe Price Trust Company may not accept deposits and cannot make personal or commercial loans.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25" w:right="239" w:bottom="1440" w:gutter="0" w:footer="0" w:header="0"/>
        </w:sectPr>
      </w:pPr>
    </w:p>
    <w:bookmarkStart w:id="9" w:name="page10"/>
    <w:bookmarkEnd w:id="9"/>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Investor class of all Price Funds can be purchased in the U.S. on a no-load basis, without a sales commission or 12b-1 fee. No-load mutual fund shares offer investors a low-cost and relatively easy method of directly investing in a variety of stock and fixed income portfolios. In 2015, we added an I-Class share to a number of our Price Funds. The I-Class shares are designed to meet the needs of institutionally oriented clients who seek investment products with lower shareholder servicing costs, and lower expense ratios. This share class will limit ordinary operating expenses (other than interest; expenses related to borrowings, taxes, and brokerage; and any non extraordinary expenses) at 5 basis points for a period of time and there will be no external payments for 12b-1 or administrative fee payments.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Price Funds also offer Advisor Class and R Class shares that are distributed to mutual fund shareholders, and defined contribution retirement plans, respectively, through third-party financial intermediaries. These share classes pay 12b-1 fees of 25 and 50 basis points, respectively, for distribution, administration, and personal services. Our subsidiary, T. Rowe Price Investment Services, is the principal distributor of the Price Funds and enters into a tri-party agreement with each intermediary and fund. Under the agreement, each fund is responsible to pay the distribution and service fees directly to the applicable intermediaries. In addition, those Price Funds offered to investors through variable annuity life insurance plans have a share class that pays a 12b-1 fee of 25 basis points.</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distribution and servicing fee revenue in our consolidated statements of income. We also recognize, as distribution and servicing costs in the consolidated statements of income, the corresponding cost paid to the third-party financial intermediaries who distribute these fund share classes. The fee revenue that we recognize from the funds and the expense that we recognize for the fees paid to third-party intermediaries are equal in amount and, therefore, do not impact our net operating income.</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the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print media, television, and Internet.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PORTFOLIOS.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other client investment portfolios had assets under management of $276.0 billion at December 31, 2015, an increase of $6.8 billion from the beginning of the year. We provide investment advisory services to these clients through our subsidiaries on a separately managed or subadvised account basis and through sponsored investment portfolios, including collective investment trusts, target-date retirement trusts, Luxembourg-based funds offered to investors outside the U.S., and portfolios offered through variable annuity life insurance plans in the U.S. At December 31, the assets under management in these portfolios included the following investment mandates: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equities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179.3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180.3</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Stable value assets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 and money market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37"/>
        </w:trPr>
        <w:tc>
          <w:tcPr>
            <w:tcW w:w="834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269.2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276.0</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at a contracted annual fee rate. The value of assets under management billed is generally based on daily valuations, month-end average valuations, or end of billing period valuations. In 2015, approximately 73% of advisory fees were recognized based on daily portfolio valuations, 10% were based on month-end averages, and 17% were based on end of billing period valuations.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subsidiaries, T. Rowe Price (Luxembourg) Management Sàrl and T. Rowe Price International provide management company and investment management services, respectively, to our Luxembourg-based SICAVs (Société d'Investissement à Capital Variable) and FCPs (Fonds Commun de Placement). These funds are distributed outside the U.S. through distribution agents and other financial intermediaries. The fees earned for these distribution and marketing services are part of the overall investment management fees earned for managing the SICAV and FCP fund assets. We recognize any related distribution fees paid to financial intermediaries in other operating expenses. At December 31, 2015, assets under management in these funds were $10.3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 Rowe Price Associates, T. Rowe Price International, T. Rowe Price (Canada), Inc., T. Rowe Price Hong Kong Limited, T. Rowe Price Singapore Private Ltd. and T. Rowe Price Advisory Services, Inc. are registered with the Securities and Exchange Commission (SEC) as investment advisers under the Investment Advisers Act of 1940. T. Rowe Price International is also regulated by the Financial Conduct Authority (FCA) in the United Kingdom and, in certain cases, by other foreign regulators in countries in which we have a license to conduct business. The Securities and Futures Commission (SFC) and Monetary Authority of Singapore (MAS) also regulate T. Rowe Price Hong Kong and T. Rowe Price Singapore, respectively. T. Rowe Price (Canada) is also registered with several of the provincial securities commissions in Canada. T. Rowe Price (Luxembourg) Management Sàrl, the management company of our Luxembourg-based FCP (Fonds Commun de Placement) and SICAV funds is regulated by the Commission de Surveillance du Secteur Financier (CSSF). Our branch offices operated outside the U.S. are also registered with and regulated by the local financial authorities.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subsidiaries providing transfer agent services are registered under the Securities Exchange Act of 1934, and our trust company is regulated by the State of Maryland, Commissioner of Financial Regulation.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introducing brokerage services through this subsidiary primarily to complement the other services provided to shareholders of the Price Funds. Pershing, a third-party clearing broker and affiliate of the BNY Mellon, maintains our brokerage’s customer accounts and clears all transactions.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subsidiaries’ net capital, as defined, meets or exceeds all minimum requirements.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fees and related expenses, and the scope and quality of investment advice and other client services. In recent years, we have faced significant competition from passive and index oriented investment strategies. In order to maintain and enhance our competitive position,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125" w:right="239" w:bottom="1440" w:gutter="0" w:footer="0" w:header="0"/>
        </w:sectPr>
      </w:pPr>
    </w:p>
    <w:bookmarkStart w:id="11" w:name="page12"/>
    <w:bookmarkEnd w:id="11"/>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may review acquisition and venture opportunities and, if appropriate, engage in discussions and negotiations that could lead to the acquisition of a new equity or other financial relationship.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2015, we employed 5,999 associates, up 2.2% from the 5,870 associates employed at the end of 2014. We may add additional temporary and part-time personnel to our staff from time to time to meet periodic and special project demands, primarily for technology and mutual fund administrative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Internet address is troweprice.com. At our Investor Relations website, http://trow.client.shareholder.com, we make available free of charge a variety of information for investors. Our goal is to maintain our websites as a portal through which investors can easily find or navigate to pertinent information about us and as a channel of distribution for material company information, including but not limited to:</w:t>
      </w:r>
    </w:p>
    <w:p>
      <w:pPr>
        <w:spacing w:after="0" w:line="181" w:lineRule="exact"/>
        <w:rPr>
          <w:sz w:val="20"/>
          <w:szCs w:val="20"/>
          <w:color w:val="auto"/>
        </w:rPr>
      </w:pPr>
    </w:p>
    <w:p>
      <w:pPr>
        <w:ind w:left="500" w:right="60" w:hanging="330"/>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filed or furnished pursuant to Section 13(a) of the Exchange Act as soon as reasonably practicable after we electronically file that material with, or furnish them to the SEC;</w:t>
      </w:r>
    </w:p>
    <w:p>
      <w:pPr>
        <w:spacing w:after="0" w:line="181" w:lineRule="exact"/>
        <w:rPr>
          <w:rFonts w:ascii="Arial" w:cs="Arial" w:eastAsia="Arial" w:hAnsi="Arial"/>
          <w:sz w:val="18"/>
          <w:szCs w:val="18"/>
          <w:color w:val="auto"/>
        </w:rPr>
      </w:pPr>
    </w:p>
    <w:p>
      <w:pPr>
        <w:ind w:left="500" w:right="46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70"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corporate governance information including our charter, bylaws, governance guidelines, committee charters, senior officer code of ethics and conduct, and other governance-related policies;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expressly stated, information found on our website is not part of this or any other report we file with, or furnish to,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derive our revenues primarily from investment advisory services provided by our subsidiaries to individual and institutional investors in the T. Rowe Price mutual funds distributed in the U.S.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funds and portfolios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179" w:lineRule="exact"/>
        <w:rPr>
          <w:sz w:val="20"/>
          <w:szCs w:val="20"/>
          <w:color w:val="auto"/>
        </w:rPr>
      </w:pPr>
    </w:p>
    <w:p>
      <w:pPr>
        <w:ind w:left="5440" w:right="1040" w:hanging="5310"/>
        <w:spacing w:after="0" w:line="810" w:lineRule="auto"/>
        <w:tabs>
          <w:tab w:leader="none" w:pos="46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on very short notice and without any significant penalty. Page 11</w:t>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360" w:lineRule="exact"/>
        <w:rPr>
          <w:sz w:val="20"/>
          <w:szCs w:val="20"/>
          <w:color w:val="auto"/>
        </w:rPr>
      </w:pPr>
    </w:p>
    <w:p>
      <w:pPr>
        <w:ind w:left="460" w:right="16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460" w:right="220" w:hanging="330"/>
        <w:spacing w:after="0" w:line="27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 Prolonged periods of strong relative investment performance may result in capacity constraints within certain portfolios, which in turn may negatively impact our ability to achieve strong investment results in subsequent periods.</w:t>
      </w:r>
    </w:p>
    <w:p>
      <w:pPr>
        <w:spacing w:after="0" w:line="64" w:lineRule="exact"/>
        <w:rPr>
          <w:rFonts w:ascii="Arial" w:cs="Arial" w:eastAsia="Arial" w:hAnsi="Arial"/>
          <w:sz w:val="17"/>
          <w:szCs w:val="17"/>
          <w:color w:val="auto"/>
        </w:rPr>
      </w:pPr>
    </w:p>
    <w:p>
      <w:pPr>
        <w:ind w:left="460" w:right="100" w:hanging="330"/>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Trends. Changes in investing trends and, in particular, investor preference for passive or alternative investment portfolios, retirement savings trends, including the prevalence of defined contribution retirement plans and target-date retirement products, may reduce interest in our funds and portfolios and may alter our mix of assets under management.</w:t>
      </w:r>
    </w:p>
    <w:p>
      <w:pPr>
        <w:spacing w:after="0" w:line="73" w:lineRule="exact"/>
        <w:rPr>
          <w:rFonts w:ascii="Arial" w:cs="Arial" w:eastAsia="Arial" w:hAnsi="Arial"/>
          <w:sz w:val="18"/>
          <w:szCs w:val="18"/>
          <w:color w:val="auto"/>
        </w:rPr>
      </w:pPr>
    </w:p>
    <w:p>
      <w:pPr>
        <w:ind w:left="460" w:right="34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62" w:lineRule="exact"/>
        <w:rPr>
          <w:rFonts w:ascii="Arial" w:cs="Arial" w:eastAsia="Arial" w:hAnsi="Arial"/>
          <w:sz w:val="18"/>
          <w:szCs w:val="18"/>
          <w:color w:val="auto"/>
        </w:rPr>
      </w:pPr>
    </w:p>
    <w:p>
      <w:pPr>
        <w:ind w:left="460" w:right="10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Exposure. Our managed portfolios may have significant investments in international markets that are subject to risk of loss from political or diplomatic developments, government policies, civil unrest, currency fluctuations, and changes in legislation related to foreign ownership. International markets, particularly emerging markets, which are often smaller, may not have the liquidity of established markets, may lack established regulations, and may experience significantly more volatility than established markets.</w:t>
      </w:r>
    </w:p>
    <w:p>
      <w:pPr>
        <w:spacing w:after="0" w:line="78"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performance of our money market funds and portfolios are impacted by the historically low interest rate environment.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money market funds' and portfolios' performance or yield is dependent on the income earned from the underlying securities exceeding the operating costs of the fund. When interest rates are at or near the historic lows, the operating costs of the funds will become a greater portion of the portfolio's net income, thereby reducing the yield of the funds to very low levels. Since the second half of 2009, such an environment has led us to voluntarily waive our advisory and other fees earned on our money market funds and trusts in order to maintain yields at or above 0% for fund investors. Such actions reduce our advisory fee income and net income. The actual amount of fees waived is dependent on a number of variables including, among others, changes in the net assets held by our money market funds, changes in market yields, changes in the expense levels of the funds, and our willingness to voluntarily continue such fee waivers. Also, bank deposits may become more attractive to investors and money market funds could experience significant redemptions, which could decrease our revenues and net income. For further discussion of the fees we waived in the current period, management's expectation as to future fee waivers, and the net cash flows of our money market funds and trusts, please see our Management's Discussion and Analysis of Financial Condition and Results of Operations in Item 7 of this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60-days notice. If a Price fund seeks to lower the fees that we receive or terminate its contract with us, we would experience a decline in fees earned from the Price funds, which could have a material adverse effect on our revenues and net income.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125" w:right="259" w:bottom="1440" w:gutter="0" w:footer="0" w:header="0"/>
        </w:sectPr>
      </w:pPr>
    </w:p>
    <w:bookmarkStart w:id="13" w:name="page14"/>
    <w:bookmarkEnd w:id="13"/>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competition in all aspects of our business from other financial institutions. 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fees and related expenses, and the scope and quality of investment advice and other client services. Some institutions have proprietary products and distribution channels that make it more difficult for us to compete with them. Most of our investment portfolios are available without sales or redemption fees, which means that investors may be more willing to transfer assets to competing funds.</w:t>
      </w:r>
    </w:p>
    <w:p>
      <w:pPr>
        <w:spacing w:after="0" w:line="17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If current or potential customers decide to use one of our competitors, we could face a significant decline in market share, assets under management, revenues, and net income. In the event that we were to decide to reduce the fees we charge for investment advisory services in response to competitive pressures, revenues and operating margins could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success depends on our highly skilled personnel, including our portfolio and fund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effect on our reputation and subject us to regulatory sanctions, fines, penalties, litigation, and a decrease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225" w:lineRule="exact"/>
        <w:rPr>
          <w:sz w:val="20"/>
          <w:szCs w:val="20"/>
          <w:color w:val="auto"/>
        </w:rPr>
      </w:pPr>
    </w:p>
    <w:p>
      <w:pPr>
        <w:ind w:left="460" w:right="80" w:hanging="330"/>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properly perform or oversee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rFonts w:ascii="Arial" w:cs="Arial" w:eastAsia="Arial" w:hAnsi="Arial"/>
          <w:sz w:val="18"/>
          <w:szCs w:val="18"/>
          <w:color w:val="auto"/>
        </w:rPr>
      </w:pPr>
    </w:p>
    <w:p>
      <w:pPr>
        <w:ind w:left="460" w:right="460" w:hanging="330"/>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properly perform transfer agent and participant recordkeeping responsibilities, including transaction processing, supervision of staff, tax reporting, and record retention;</w:t>
      </w:r>
    </w:p>
    <w:p>
      <w:pPr>
        <w:spacing w:after="0" w:line="62" w:lineRule="exact"/>
        <w:rPr>
          <w:rFonts w:ascii="Arial" w:cs="Arial" w:eastAsia="Arial" w:hAnsi="Arial"/>
          <w:sz w:val="18"/>
          <w:szCs w:val="18"/>
          <w:color w:val="auto"/>
        </w:rPr>
      </w:pPr>
    </w:p>
    <w:p>
      <w:pPr>
        <w:jc w:val="both"/>
        <w:ind w:left="460" w:right="60" w:hanging="330"/>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 and</w:t>
      </w:r>
    </w:p>
    <w:p>
      <w:pPr>
        <w:spacing w:after="0" w:line="73" w:lineRule="exact"/>
        <w:rPr>
          <w:rFonts w:ascii="Arial" w:cs="Arial" w:eastAsia="Arial" w:hAnsi="Arial"/>
          <w:sz w:val="18"/>
          <w:szCs w:val="18"/>
          <w:color w:val="auto"/>
        </w:rPr>
      </w:pPr>
    </w:p>
    <w:p>
      <w:pPr>
        <w:ind w:left="460" w:right="80" w:hanging="330"/>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vendors who, now or in the future, may perform or support important parts of our operations as there can be no assurance that they will perform properly or that our processes and plans to transition or delegate these functions to others will be successful or that there will not be interruptions in services from these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Any damage to our brand could impede our ability to attract and retain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customers and key personnel, and reduce the amount of assets under our management, any of which could have a material adverse effect on our revenues and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225" w:lineRule="exact"/>
        <w:rPr>
          <w:sz w:val="20"/>
          <w:szCs w:val="20"/>
          <w:color w:val="auto"/>
        </w:rPr>
      </w:pPr>
    </w:p>
    <w:p>
      <w:pPr>
        <w:ind w:left="460" w:right="38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level of our advertising expenses, including the costs of expanding investment advisory services to investors outside of the U.S. and further penetrating U.S. distribution channels;</w:t>
      </w:r>
    </w:p>
    <w:p>
      <w:pPr>
        <w:spacing w:after="0" w:line="62" w:lineRule="exact"/>
        <w:rPr>
          <w:rFonts w:ascii="Arial" w:cs="Arial" w:eastAsia="Arial" w:hAnsi="Arial"/>
          <w:sz w:val="18"/>
          <w:szCs w:val="18"/>
          <w:color w:val="auto"/>
        </w:rPr>
      </w:pPr>
    </w:p>
    <w:p>
      <w:pPr>
        <w:ind w:left="460" w:right="40" w:hanging="330"/>
        <w:spacing w:after="0" w:line="34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spacing w:after="0" w:line="15" w:lineRule="exact"/>
        <w:rPr>
          <w:rFonts w:ascii="Arial" w:cs="Arial" w:eastAsia="Arial" w:hAnsi="Arial"/>
          <w:sz w:val="16"/>
          <w:szCs w:val="16"/>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future impairment of investments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right="62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23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of our sponsored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in the U.S. and abroad and such relationships may not be available or profitable to us in the future.</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These contracted third-party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Armed conflict, terrorist attacks, cyber-attacks, power failures, and natural disasters could adversely affect our revenues, expenses, and net income by:</w:t>
      </w:r>
    </w:p>
    <w:p>
      <w:pPr>
        <w:spacing w:after="0" w:line="237" w:lineRule="exact"/>
        <w:rPr>
          <w:sz w:val="20"/>
          <w:szCs w:val="20"/>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associates,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00"/>
          </w:cols>
          <w:pgMar w:left="240" w:top="125" w:right="259" w:bottom="1440" w:gutter="0" w:footer="0" w:header="0"/>
        </w:sectPr>
      </w:pPr>
    </w:p>
    <w:bookmarkStart w:id="15" w:name="page16"/>
    <w:bookmarkEnd w:id="15"/>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360"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portion of our business operations are concentrated in the Baltimore, Maryland region and in London, England. 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currently have a substantial portion of our assets invested in sponsored stock, blended asset, and bond funds. All of these investments are subject to investment market risk and our non-operating investment income could be adversely affected by the realization of losses upon the disposition of our investments or the recognition of significant other-than-temporary impairments in the case of our available-for-sale portfolio and the recognition of unrealized losses related to our sponsored investment portfolios that are held as trading and accounted for under the equity method.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review and pursue acquisition and venture opportunities in order to maintain or enhance our competitive position.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strategic transaction can involve a number of risks, including additional demands on our staff; unanticipated problems regarding integration of investor account and investment security recordkeeping, additional or new regulatory requirements,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exposed to a number of risks arising from our international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181"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regulatory investigation and any failure to maintain compliance with applicable laws and regulations could severely damage our reputation, adversely affect our ability to conduct business, and decrease revenue and net income.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left="500" w:right="60" w:hanging="330"/>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and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93" w:lineRule="exact"/>
        <w:rPr>
          <w:rFonts w:ascii="Arial" w:cs="Arial" w:eastAsia="Arial" w:hAnsi="Arial"/>
          <w:sz w:val="18"/>
          <w:szCs w:val="18"/>
          <w:color w:val="auto"/>
        </w:rPr>
      </w:pPr>
    </w:p>
    <w:p>
      <w:pPr>
        <w:ind w:left="500" w:right="180" w:hanging="330"/>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 Department of Labor is planning to finalize changes to definitions and rules related to fiduciaries. These changes are likely to require modifications to our distribution activities and may impact our ability to service clients or engage in certain types of distribution or other business activities. The Securities and Exchange Commission (SEC) is considering its own fiduciary rule proposal. Any such rule may also have an impact on our business activities.</w:t>
      </w:r>
    </w:p>
    <w:p>
      <w:pPr>
        <w:spacing w:after="0" w:line="186" w:lineRule="exact"/>
        <w:rPr>
          <w:rFonts w:ascii="Arial" w:cs="Arial" w:eastAsia="Arial" w:hAnsi="Arial"/>
          <w:sz w:val="18"/>
          <w:szCs w:val="18"/>
          <w:color w:val="auto"/>
        </w:rPr>
      </w:pPr>
    </w:p>
    <w:p>
      <w:pPr>
        <w:ind w:left="500" w:hanging="330"/>
        <w:spacing w:after="0" w:line="297"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SIFI designation was intended for traditional asset management businesses. If, however, any T. Rowe Price fund or T. Rowe Price affiliate is deemed a SIFI, increased regulatory oversight would apply, which may include enhanced capital, liquidity, leverage, stress testing, resolution planning, and risk management requirements.</w:t>
      </w:r>
    </w:p>
    <w:p>
      <w:pPr>
        <w:spacing w:after="0" w:line="158" w:lineRule="exact"/>
        <w:rPr>
          <w:rFonts w:ascii="Arial" w:cs="Arial" w:eastAsia="Arial" w:hAnsi="Arial"/>
          <w:sz w:val="16"/>
          <w:szCs w:val="16"/>
          <w:color w:val="auto"/>
        </w:rPr>
      </w:pPr>
    </w:p>
    <w:p>
      <w:pPr>
        <w:ind w:left="500" w:right="80" w:hanging="330"/>
        <w:spacing w:after="0" w:line="293"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July 23, 2014, the SEC adopted additional reforms regulating money market funds. The reforms will require institutional non-government money market funds to operate with a floating net asset value (NAV) and require all non-government money market funds to impose liquidity fees and redemption gates under certain conditions. Government and retail money market funds will continue using current pricing and accounting methods to seek to maintain a stable NAV. The SEC adopted other reforms for money market funds, including additional disclosure and reporting requirements, tightening of diversification requirements, and enhanced stress testing. These reforms could have a negative impact on the attractiveness of such funds to investors and also subject us to additional regulatory requirements and costs to comply with such requirements.</w:t>
      </w:r>
    </w:p>
    <w:p>
      <w:pPr>
        <w:spacing w:after="0" w:line="164" w:lineRule="exact"/>
        <w:rPr>
          <w:rFonts w:ascii="Arial" w:cs="Arial" w:eastAsia="Arial" w:hAnsi="Arial"/>
          <w:sz w:val="16"/>
          <w:szCs w:val="16"/>
          <w:color w:val="auto"/>
        </w:rPr>
      </w:pPr>
    </w:p>
    <w:p>
      <w:pPr>
        <w:ind w:left="500" w:hanging="330"/>
        <w:spacing w:after="0" w:line="31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Commodity Futures Trading Commission has adopted certain amendments to its rules that would limit the ability of mutual funds and certain other products we sponsor to use commodities, futures, swaps, and other derivatives without additional registration. If our use of these products on behalf of client accounts increases so as to require registration, we would be subject to additional regulatory requirements and costs associated with registration.</w:t>
      </w:r>
    </w:p>
    <w:p>
      <w:pPr>
        <w:spacing w:after="0" w:line="146" w:lineRule="exact"/>
        <w:rPr>
          <w:rFonts w:ascii="Arial" w:cs="Arial" w:eastAsia="Arial" w:hAnsi="Arial"/>
          <w:sz w:val="16"/>
          <w:szCs w:val="16"/>
          <w:color w:val="auto"/>
        </w:rPr>
      </w:pPr>
    </w:p>
    <w:p>
      <w:pPr>
        <w:ind w:left="500" w:right="320" w:hanging="330"/>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rFonts w:ascii="Arial" w:cs="Arial" w:eastAsia="Arial" w:hAnsi="Arial"/>
          <w:sz w:val="18"/>
          <w:szCs w:val="18"/>
          <w:color w:val="auto"/>
        </w:rPr>
      </w:pPr>
    </w:p>
    <w:p>
      <w:pPr>
        <w:ind w:left="500" w:hanging="330"/>
        <w:spacing w:after="0" w:line="30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Global regulations on OTC derivatives are evolving, including new and proposed regulations under The Dodd-Frank Wall Street Reform and Consumer Protection Act and European Market Infrastructure Regulation relating to central clearing counterparties, trade reporting, and repositories. In addition, the SEC has proposed new regulations that will require mutual funds to: (1) adopt liquidity risk management programs with specific requirements for measuring and reporting the liquidity of fund holdings; and (2) comply with new exposure limits and asset coverage requirements for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125" w:right="239" w:bottom="1440" w:gutter="0" w:footer="0" w:header="0"/>
        </w:sectPr>
      </w:pPr>
    </w:p>
    <w:bookmarkStart w:id="17" w:name="page18"/>
    <w:bookmarkEnd w:id="17"/>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79" w:lineRule="exact"/>
        <w:rPr>
          <w:sz w:val="20"/>
          <w:szCs w:val="20"/>
          <w:color w:val="auto"/>
        </w:rPr>
      </w:pPr>
    </w:p>
    <w:p>
      <w:pPr>
        <w:ind w:left="500"/>
        <w:spacing w:after="0" w:line="324" w:lineRule="auto"/>
        <w:rPr>
          <w:sz w:val="20"/>
          <w:szCs w:val="20"/>
          <w:color w:val="auto"/>
        </w:rPr>
      </w:pPr>
      <w:r>
        <w:rPr>
          <w:rFonts w:ascii="Arial" w:cs="Arial" w:eastAsia="Arial" w:hAnsi="Arial"/>
          <w:sz w:val="18"/>
          <w:szCs w:val="18"/>
          <w:color w:val="auto"/>
        </w:rPr>
        <w:t>investments in derivatives, as well as adopting derivatives risk management programs. There remains uncertainty related to various requirements under these regulations and the exact manner in which they will impact current trading strategies for our clients.</w:t>
      </w:r>
    </w:p>
    <w:p>
      <w:pPr>
        <w:spacing w:after="0" w:line="143" w:lineRule="exact"/>
        <w:rPr>
          <w:sz w:val="20"/>
          <w:szCs w:val="20"/>
          <w:color w:val="auto"/>
        </w:rPr>
      </w:pPr>
    </w:p>
    <w:p>
      <w:pPr>
        <w:ind w:left="500" w:right="140" w:hanging="330"/>
        <w:spacing w:after="0" w:line="273"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revised Markets in Financial Instruments Directive (MiFID II Directive) and Regulation (MiFIR) (together “MiFID II”) will apply across the European Union (EU) and member states of the European Economic Area from January 3, 2017, unless extended. Implementation of MiFID II will significantly impact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will increase our costs.</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even maintain their operations if we were unable to make additional investments in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action related to continued membership in the European Union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It is likely the UK will hold a referendum regarding continued membership in the European Union ("EU"). A UK exit from the EU would be extremely disruptive to our operations and require us to analyze potential changes to our corporate structure and European product and distribution strategies. Any such changes, if required, would likely subject us to additional regulatory requirements and costs.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we fail to maintain adequate infrastructure to conduct or expand our operations or if our technology became inoperative or obsolete.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125" w:right="259" w:bottom="1440" w:gutter="0" w:footer="0" w:header="0"/>
        </w:sectPr>
      </w:pPr>
    </w:p>
    <w:bookmarkStart w:id="18" w:name="page19"/>
    <w:bookmarkEnd w:id="18"/>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360"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our technology systems, including those provided by vendors, are vulnerable to disability or failures due to cyber-attacks such as hacking or viruses, natural disasters, power failures, acts of war or terrorism, sabotage, and other causes. A suspension or termination of vendor-provided software licenses or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customers and fail to maintain regulatory compliance, which could affect our results of operations and severely damage our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or our third-party service providers’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158"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corporate headquarters occupies 422,000 square feet of space under lease until 2027 at 100 East Pratt Street in Baltimore, Maryland. We have offices in 16 countries around the world, including the U.S.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1.2 million square feet on three parcels of land in close proximity to Baltimore in Owings Mills, Maryland and about 290,000 square feet in Colorado Springs, Colorado. We also maintain a nearly 60,000 square foot technology support facility in Hagerstown, Maryland, and own a 72-acre parcel of land in Pasco County, Florida to accommodate potential future development as business demands require.</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six investor centers for walk-in traffic and investor meetings, four of which are in leased facilities located in Baltimore, Maryland, Tampa, Florida, Washington, D.C, and McLean, VA. The remaining two investor centers are located in our owned facilities in Colorado Springs and Owings Mills.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125" w:right="259" w:bottom="1440" w:gutter="0" w:footer="0" w:header="0"/>
        </w:sectPr>
      </w:pPr>
    </w:p>
    <w:bookmarkStart w:id="19" w:name="page20"/>
    <w:bookmarkEnd w:id="19"/>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in Maryland and our customer service call center in Tampa.</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Information concerning our anticipated capital expenditures in 2016 and our future minimum rental payments under noncancelable operating leases at December 31, 2015,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six individuals are members of our management committee.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William J. Stromberg (55), President and Chief Executive Officer since 2016. Mr. Stromberg was previously the Head of Equity from 2010 to 2015 and a Vice President from 1990 to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(60), Chairman since 2007, Chief Investment Officer since 2004, and a Vice President since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(59), Vice Chairman since 2007, and a Vice President since 1989.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(53), Head of International Equity since 2009 and a Vice President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 L. Veiel, (44), Head of US Equity since 2016, and a Vice President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A. Wiese (56), Head of Fixed Income since January 2015,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Oestreicher, (48), Corporate Secretary since 2012, Chief Legal Officer since 2008,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(59), Treasurer since 2010, and Chief Financial Officer and a Vice President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(40), Principal Accounting Officer since 2010 and a Vice President since 2009.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320"/>
          </w:cols>
          <w:pgMar w:left="240" w:top="125" w:right="339" w:bottom="1440" w:gutter="0" w:footer="0" w:header="0"/>
        </w:sectPr>
      </w:pPr>
    </w:p>
    <w:bookmarkStart w:id="20" w:name="page21"/>
    <w:bookmarkEnd w:id="20"/>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1st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2nd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3rd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4th</w:t>
            </w:r>
          </w:p>
        </w:tc>
      </w:tr>
      <w:tr>
        <w:trPr>
          <w:trHeight w:val="257"/>
        </w:trPr>
        <w:tc>
          <w:tcPr>
            <w:tcW w:w="6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Quarter</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Quarter</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2014 – High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88.64</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71.78</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6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2015 – High price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77.71</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65.88</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w:t>
            </w: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cash dividends declared during the first quarter of 2015 include a special dividend of $2.00 per share that was declared in February 2015 and paid in April 2015.</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2015:</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Employee and Non-Employee</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Employee Stock Purchase</w:t>
            </w:r>
          </w:p>
        </w:tc>
        <w:tc>
          <w:tcPr>
            <w:tcW w:w="2160" w:type="dxa"/>
            <w:vAlign w:val="bottom"/>
            <w:shd w:val="clear" w:color="auto" w:fill="CCEEFF"/>
          </w:tcPr>
          <w:p>
            <w:pPr>
              <w:spacing w:after="0"/>
              <w:rPr>
                <w:sz w:val="19"/>
                <w:szCs w:val="19"/>
                <w:color w:val="auto"/>
              </w:rPr>
            </w:pPr>
          </w:p>
        </w:tc>
      </w:tr>
      <w:tr>
        <w:trPr>
          <w:trHeight w:val="257"/>
        </w:trPr>
        <w:tc>
          <w:tcPr>
            <w:tcW w:w="4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Director Plans</w:t>
            </w:r>
          </w:p>
        </w:tc>
        <w:tc>
          <w:tcPr>
            <w:tcW w:w="2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Plan</w:t>
            </w:r>
          </w:p>
        </w:tc>
        <w:tc>
          <w:tcPr>
            <w:tcW w:w="21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Total</w:t>
            </w:r>
          </w:p>
        </w:tc>
      </w:tr>
      <w:tr>
        <w:trPr>
          <w:trHeight w:val="237"/>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Exercise of outstanding options</w:t>
            </w:r>
          </w:p>
        </w:tc>
        <w:tc>
          <w:tcPr>
            <w:tcW w:w="120" w:type="dxa"/>
            <w:vAlign w:val="bottom"/>
          </w:tcPr>
          <w:p>
            <w:pPr>
              <w:spacing w:after="0"/>
              <w:rPr>
                <w:sz w:val="20"/>
                <w:szCs w:val="20"/>
                <w:color w:val="auto"/>
              </w:rPr>
            </w:pPr>
          </w:p>
        </w:tc>
        <w:tc>
          <w:tcPr>
            <w:tcW w:w="2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30,818,229</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30,818,229</w:t>
            </w: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Settlement of outstanding restricted stock units</w:t>
            </w:r>
          </w:p>
        </w:tc>
        <w:tc>
          <w:tcPr>
            <w:tcW w:w="2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2,275,340</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2,275,340</w:t>
            </w:r>
          </w:p>
        </w:tc>
      </w:tr>
      <w:tr>
        <w:trPr>
          <w:trHeight w:val="24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Future issuances</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12,907,212</w:t>
            </w:r>
          </w:p>
        </w:tc>
        <w:tc>
          <w:tcPr>
            <w:tcW w:w="12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3,497,692</w:t>
            </w:r>
          </w:p>
        </w:tc>
        <w:tc>
          <w:tcPr>
            <w:tcW w:w="10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16,404,904</w:t>
            </w: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46,000,781</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3,497,692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49,498,473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outstanding options included in the table above have a weighted-average exercise price of $59.24. Under the terms of the 2012 Long-Term Incentive Plan, approved by stockholders in April 2012,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Total Number of</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Shares Purchased as</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Total Number of</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Average Price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Part of Publicly</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57"/>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Month</w:t>
            </w:r>
          </w:p>
        </w:tc>
        <w:tc>
          <w:tcPr>
            <w:tcW w:w="2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Shares Purchased</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Paid per Share</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Announced Program</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the Program</w:t>
            </w:r>
          </w:p>
        </w:tc>
      </w:tr>
      <w:tr>
        <w:trPr>
          <w:trHeight w:val="237"/>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October</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655,053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68.83</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634,979</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9,090,304</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51,731</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9,090,304</w:t>
            </w:r>
          </w:p>
        </w:tc>
      </w:tr>
      <w:tr>
        <w:trPr>
          <w:trHeight w:val="243"/>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1,512,352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1,298,873</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19,791,431</w:t>
            </w: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2,219,136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70.81</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1,933,852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2015, 92,734 were related to shares surrendered in connection with employee stock option exercises and 192,550 were related to shares withheld to cover tax withholdings associated with the vesting of restricted stock awards. The remaining 1,933,852 shares of our common stock purchased during the fourth quarter of 2015, were repurchased pursuant to the Board of Directors’ December 11, 2014, publicly announced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125" w:right="259" w:bottom="1440" w:gutter="0" w:footer="0" w:header="0"/>
        </w:sectPr>
      </w:pPr>
    </w:p>
    <w:bookmarkStart w:id="21" w:name="page22"/>
    <w:bookmarkEnd w:id="21"/>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authorization. The maximum number of shares that may yet be purchased as of December 31, 2015, under the Board of Directors’ December 11, 2014 and December 10, 2015 publicly announced authorizations is 19,791,431.</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have 6,130 stockholders of record and approximately 164,000 beneficial stockholder accounts held by brokers, banks, and other intermediaries holding our common stock. Common stock owned outright by our associates, combined with outstanding vested stock options and unvested restricted stock awards, total nearly 17% of our outstanding shares and outstanding vested stock options at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2012</w:t>
            </w: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2013</w:t>
            </w: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(in millions, except per-share data)</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2,747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1,227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1,891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1,899</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Basic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Cash dividends declared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324"/>
        </w:trPr>
        <w:tc>
          <w:tcPr>
            <w:tcW w:w="3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255.6</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253.4</w:t>
            </w:r>
          </w:p>
        </w:tc>
        <w:tc>
          <w:tcPr>
            <w:tcW w:w="4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258.3</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254.6</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assuming dilution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263.3</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266.3</w:t>
            </w: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267.4</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Cash dividends declared in 2012 and 2015 include special dividends per share of $1.00 and $2.00, respectively, that we paid during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1020" w:type="dxa"/>
            <w:vAlign w:val="bottom"/>
          </w:tcPr>
          <w:p>
            <w:pPr>
              <w:jc w:val="right"/>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 (in millions)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3,770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4,203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5,033</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5,644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5,107</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3,421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4,818</w:t>
            </w:r>
          </w:p>
        </w:tc>
        <w:tc>
          <w:tcPr>
            <w:tcW w:w="1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5,395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management (in billions)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692.4</w:t>
            </w:r>
          </w:p>
        </w:tc>
        <w:tc>
          <w:tcPr>
            <w:tcW w:w="10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746.8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763.1</w:t>
            </w: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25" w:right="239" w:bottom="1440" w:gutter="0" w:footer="0" w:header="0"/>
        </w:sectPr>
      </w:pPr>
    </w:p>
    <w:bookmarkStart w:id="22" w:name="page23"/>
    <w:bookmarkEnd w:id="22"/>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 the U.S. Investment advisory clients outside the U.S. account for nearly 5% of our assets under management at December 31, 2015.</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2014, we made a long-term strategic decision to change our delivery of certain administrative services, including fund accounting and other investment recordkeeping operations. BNY Mellon was contracted to provide such services, and 210 associates became employees of BNY Mellon on August 1, 2015. BNY Mellon will transition our data to its technology platform over time. Though a few line items of our consolidated income statements, including administrative revenues, compensation and related costs, and other operating expenses, will be affected, we do not expect that the net impact on our future operating results will be material.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Major U.S. stock index returns were narrowly mixed in 2015, but it was the seventh consecutive year for a positive S&amp;P 500 Index total return. In the first part of the year, equities benefited from steady economic and employment growth, generally favorable corporate earnings outside of the energy sector, and merger and acquisition activity. During the summer, U.S. and global equities fell sharply in response to an unexpected devaluation of China’s currency and subsequent plunge in Chinese stocks, raising concerns about China’s decelerating economy, and uncertainty regarding China’s leadership and policy responses. U.S. markets pared their losses in the final months of the year as global market volatility subsided amid hopes for additional stimulus measures in Europe and Asia, even as the Federal Reserve prepared to raise short-term U.S. interest rates. On December 16, 2015, the U.S. central bank raised the fed funds target rate range to 25 to 50 basis points. It had been 0 to 25 basis points since December 2008.</w:t>
      </w:r>
    </w:p>
    <w:p>
      <w:pPr>
        <w:spacing w:after="0" w:line="178"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Stocks in developed non-U.S. markets were mixed. Japanese stocks strongly outpaced other developed Asian markets in dollar terms, helped by the Bank of Japan’s stimulus efforts, lower energy prices, and increased capital spending. The Japanese economy narrowly avoided a recession as it grew modestly in the third quarter following a second-quarter contraction. European markets rose in local currency terms, but a 10% decline in the euro versus the dollar reduced returns in dollar terms. Eurozone inflation and economic growth remained stubbornly weak throughout the year despite the European Central Bank’s (ECB) quantitative easing program, and many investors were disappointed with the ECB’s relatively mild expansion of its stimulus efforts in early December.</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Emerging markets equities fared poorly around the world, as large resource-exporting countries Brazil and Russia were in recession, in part, because of the collapse in commodity prices, and broad currency weakness versus the U.S. dollar hurt returns in dollar terms. Most Asian markets declined, as Chinese stocks fell sharply in the second half of 2015.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125"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280" w:type="dxa"/>
            <w:vAlign w:val="bottom"/>
            <w:tcBorders>
              <w:bottom w:val="single" w:sz="8" w:color="661DE8"/>
            </w:tcBorders>
          </w:tcPr>
          <w:p>
            <w:pPr>
              <w:spacing w:after="0"/>
              <w:rPr>
                <w:rFonts w:ascii="Arial" w:cs="Arial" w:eastAsia="Arial" w:hAnsi="Arial"/>
                <w:sz w:val="18"/>
                <w:szCs w:val="18"/>
                <w:color w:val="661DE8"/>
                <w:w w:val="88"/>
              </w:rPr>
            </w:pPr>
            <w:hyperlink w:anchor="page1">
              <w:r>
                <w:rPr>
                  <w:rFonts w:ascii="Arial" w:cs="Arial" w:eastAsia="Arial" w:hAnsi="Arial"/>
                  <w:sz w:val="18"/>
                  <w:szCs w:val="18"/>
                  <w:color w:val="661DE8"/>
                  <w:w w:val="88"/>
                </w:rPr>
                <w:t>Table of Contents</w:t>
              </w:r>
            </w:hyperlink>
          </w:p>
        </w:tc>
        <w:tc>
          <w:tcPr>
            <w:tcW w:w="21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80"/>
        </w:trPr>
        <w:tc>
          <w:tcPr>
            <w:tcW w:w="8640" w:type="dxa"/>
            <w:vAlign w:val="bottom"/>
            <w:gridSpan w:val="3"/>
          </w:tcPr>
          <w:p>
            <w:pPr>
              <w:spacing w:after="0"/>
              <w:rPr>
                <w:sz w:val="20"/>
                <w:szCs w:val="20"/>
                <w:color w:val="auto"/>
              </w:rPr>
            </w:pPr>
            <w:r>
              <w:rPr>
                <w:rFonts w:ascii="Arial" w:cs="Arial" w:eastAsia="Arial" w:hAnsi="Arial"/>
                <w:sz w:val="18"/>
                <w:szCs w:val="18"/>
                <w:color w:val="auto"/>
              </w:rPr>
              <w:t>Results of several major equity market indexes for the full year 2015 are as follows:</w:t>
            </w:r>
          </w:p>
        </w:tc>
        <w:tc>
          <w:tcPr>
            <w:tcW w:w="2780" w:type="dxa"/>
            <w:vAlign w:val="bottom"/>
          </w:tcPr>
          <w:p>
            <w:pPr>
              <w:spacing w:after="0"/>
              <w:rPr>
                <w:sz w:val="24"/>
                <w:szCs w:val="24"/>
                <w:color w:val="auto"/>
              </w:rPr>
            </w:pPr>
          </w:p>
        </w:tc>
      </w:tr>
      <w:tr>
        <w:trPr>
          <w:trHeight w:val="135"/>
        </w:trPr>
        <w:tc>
          <w:tcPr>
            <w:tcW w:w="5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780" w:type="dxa"/>
            <w:vAlign w:val="bottom"/>
          </w:tcPr>
          <w:p>
            <w:pPr>
              <w:spacing w:after="0"/>
              <w:rPr>
                <w:sz w:val="11"/>
                <w:szCs w:val="11"/>
                <w:color w:val="auto"/>
              </w:rPr>
            </w:pPr>
          </w:p>
        </w:tc>
      </w:tr>
      <w:tr>
        <w:trPr>
          <w:trHeight w:val="275"/>
        </w:trPr>
        <w:tc>
          <w:tcPr>
            <w:tcW w:w="8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Index</w:t>
            </w:r>
          </w:p>
        </w:tc>
        <w:tc>
          <w:tcPr>
            <w:tcW w:w="2780" w:type="dxa"/>
            <w:vAlign w:val="bottom"/>
            <w:tcBorders>
              <w:bottom w:val="single" w:sz="8" w:color="CCEEFF"/>
            </w:tcBorders>
            <w:shd w:val="clear" w:color="auto" w:fill="CCEEFF"/>
          </w:tcPr>
          <w:p>
            <w:pPr>
              <w:spacing w:after="0"/>
              <w:rPr>
                <w:sz w:val="23"/>
                <w:szCs w:val="23"/>
                <w:color w:val="auto"/>
              </w:rPr>
            </w:pPr>
          </w:p>
        </w:tc>
      </w:tr>
      <w:tr>
        <w:trPr>
          <w:trHeight w:val="237"/>
        </w:trPr>
        <w:tc>
          <w:tcPr>
            <w:tcW w:w="86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S&amp;P 500 Index</w:t>
            </w:r>
          </w:p>
        </w:tc>
        <w:tc>
          <w:tcPr>
            <w:tcW w:w="2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8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NASDAQ Composite Index (excluding dividends)</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8640" w:type="dxa"/>
            <w:vAlign w:val="bottom"/>
            <w:gridSpan w:val="3"/>
          </w:tcPr>
          <w:p>
            <w:pPr>
              <w:ind w:left="40"/>
              <w:spacing w:after="0"/>
              <w:rPr>
                <w:sz w:val="20"/>
                <w:szCs w:val="20"/>
                <w:color w:val="auto"/>
              </w:rPr>
            </w:pPr>
            <w:r>
              <w:rPr>
                <w:rFonts w:ascii="Arial" w:cs="Arial" w:eastAsia="Arial" w:hAnsi="Arial"/>
                <w:sz w:val="18"/>
                <w:szCs w:val="18"/>
                <w:color w:val="auto"/>
              </w:rPr>
              <w:t>Russell 2000 Index</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8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640" w:type="dxa"/>
            <w:vAlign w:val="bottom"/>
            <w:gridSpan w:val="3"/>
          </w:tcPr>
          <w:p>
            <w:pPr>
              <w:ind w:left="40"/>
              <w:spacing w:after="0"/>
              <w:rPr>
                <w:sz w:val="20"/>
                <w:szCs w:val="20"/>
                <w:color w:val="auto"/>
              </w:rPr>
            </w:pPr>
            <w:r>
              <w:rPr>
                <w:rFonts w:ascii="Arial" w:cs="Arial" w:eastAsia="Arial" w:hAnsi="Arial"/>
                <w:sz w:val="18"/>
                <w:szCs w:val="18"/>
                <w:color w:val="auto"/>
              </w:rPr>
              <w:t>MSCI Emerging Markets Index</w:t>
            </w:r>
          </w:p>
        </w:tc>
        <w:tc>
          <w:tcPr>
            <w:tcW w:w="2780" w:type="dxa"/>
            <w:vAlign w:val="bottom"/>
          </w:tcPr>
          <w:p>
            <w:pPr>
              <w:jc w:val="right"/>
              <w:spacing w:after="0"/>
              <w:rPr>
                <w:sz w:val="20"/>
                <w:szCs w:val="20"/>
                <w:color w:val="auto"/>
              </w:rPr>
            </w:pPr>
            <w:r>
              <w:rPr>
                <w:rFonts w:ascii="Arial" w:cs="Arial" w:eastAsia="Arial" w:hAnsi="Arial"/>
                <w:sz w:val="18"/>
                <w:szCs w:val="18"/>
                <w:color w:val="auto"/>
              </w:rPr>
              <w:t>(14.6)%</w:t>
            </w: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Global bond returns were mixed in 2015. In the U.S., rising interest rates generally weighed on bond prices, offsetting income. Treasury yields climbed for the year, especially short-term yields, as the economy expanded and investors anticipated a short-term interest rate increase from the Federal Reserve. The 10-year Treasury note yield rose from 2.2% at the end of 2014 to 2.3% at the end of 2015. Tax-free municipal bonds outperformed taxable bonds amid strong demand and declining issuance in the latter part of the year. Investment-grade corporate bonds recorded modest losses amid heavy new issuance as companies took advantage of low interest rates. High yield bonds declined as falling oil and commodity prices weighed on energy and metals and mining issuers, which together represent about one-fifth of the high yield sector.</w:t>
      </w:r>
    </w:p>
    <w:p>
      <w:pPr>
        <w:spacing w:after="0" w:line="19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Bonds in developed non-U.S. markets declined over the last year as a stronger U.S. dollar versus other major developed market currencies, especially the euro, resulted in negative returns in dollar terms. U.S. dollar-denominated emerging markets debt advanced modestly but significantly outperformed local currency bonds, which posted steep losses as nearly all developing market currencies weakened versus the dollar. Plunging commodity prices, expectations for rising short-term U.S. interest rates, and country-specific factors weighed on local currency bond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the full year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40"/>
              <w:spacing w:after="0"/>
              <w:rPr>
                <w:sz w:val="20"/>
                <w:szCs w:val="20"/>
                <w:color w:val="auto"/>
              </w:rPr>
            </w:pPr>
            <w:r>
              <w:rPr>
                <w:rFonts w:ascii="Arial" w:cs="Arial" w:eastAsia="Arial" w:hAnsi="Arial"/>
                <w:sz w:val="18"/>
                <w:szCs w:val="18"/>
                <w:color w:val="auto"/>
              </w:rPr>
              <w:t>Barclays U.S. Aggregate Bond Index</w:t>
            </w:r>
          </w:p>
        </w:tc>
        <w:tc>
          <w:tcPr>
            <w:tcW w:w="39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74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Suisse High Yield Index</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Barclays Municipal Bond Index</w:t>
            </w:r>
          </w:p>
        </w:tc>
        <w:tc>
          <w:tcPr>
            <w:tcW w:w="39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74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JPMorgan Emerging Markets Index Plus</w:t>
            </w:r>
          </w:p>
        </w:tc>
        <w:tc>
          <w:tcPr>
            <w:tcW w:w="3960" w:type="dxa"/>
            <w:vAlign w:val="bottom"/>
          </w:tcPr>
          <w:p>
            <w:pPr>
              <w:jc w:val="right"/>
              <w:spacing w:after="0"/>
              <w:rPr>
                <w:sz w:val="20"/>
                <w:szCs w:val="20"/>
                <w:color w:val="auto"/>
              </w:rPr>
            </w:pPr>
            <w:r>
              <w:rPr>
                <w:rFonts w:ascii="Arial" w:cs="Arial" w:eastAsia="Arial" w:hAnsi="Arial"/>
                <w:sz w:val="18"/>
                <w:szCs w:val="18"/>
                <w:color w:val="auto"/>
              </w:rPr>
              <w:t>1.8 %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Our assets under management ended 2015 at $763.1 billion, an increase of $16.3 billion from the end of 2014. Market appreciation and income, net of distributions not reinvested, added $14.7 billion, and net cash inflows added $1.6 billion in assets under management during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 (in billions) at the end of the year and changes during each of the last three years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investment portfolio</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4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435.3</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477.6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257.1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692.4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746.8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763.1</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08" w:right="239" w:bottom="1440" w:gutter="0" w:footer="0" w:header="0"/>
        </w:sectPr>
      </w:pPr>
    </w:p>
    <w:bookmarkStart w:id="24" w:name="page25"/>
    <w:bookmarkEnd w:id="24"/>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investment objective</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3800" w:type="dxa"/>
            <w:vAlign w:val="bottom"/>
            <w:tcBorders>
              <w:top w:val="single" w:sz="8" w:color="CCEEFF"/>
              <w:bottom w:val="single" w:sz="8" w:color="CCEEFF"/>
            </w:tcBorders>
            <w:shd w:val="clear" w:color="auto" w:fill="CCEEFF"/>
          </w:tcPr>
          <w:p>
            <w:pPr>
              <w:spacing w:after="0"/>
              <w:rPr>
                <w:sz w:val="24"/>
                <w:szCs w:val="24"/>
                <w:color w:val="auto"/>
              </w:rPr>
            </w:pPr>
          </w:p>
        </w:tc>
        <w:tc>
          <w:tcPr>
            <w:tcW w:w="29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340" w:type="dxa"/>
            <w:vAlign w:val="bottom"/>
            <w:tcBorders>
              <w:top w:val="single" w:sz="8" w:color="auto"/>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9"/>
              </w:rPr>
              <w:t>2014</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Stock and blended asset portfolios</w:t>
            </w: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592.8</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income portfolios</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763.1</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Components of changes in assets under management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40" w:type="dxa"/>
            <w:vAlign w:val="bottom"/>
            <w:tcBorders>
              <w:top w:val="single" w:sz="8" w:color="CCEEFF"/>
            </w:tcBorders>
          </w:tcPr>
          <w:p>
            <w:pPr>
              <w:spacing w:after="0"/>
              <w:rPr>
                <w:sz w:val="19"/>
                <w:szCs w:val="19"/>
                <w:color w:val="auto"/>
              </w:rPr>
            </w:pPr>
          </w:p>
        </w:tc>
        <w:tc>
          <w:tcPr>
            <w:tcW w:w="3800" w:type="dxa"/>
            <w:vAlign w:val="bottom"/>
            <w:tcBorders>
              <w:top w:val="single" w:sz="8" w:color="auto"/>
            </w:tcBorders>
          </w:tcPr>
          <w:p>
            <w:pPr>
              <w:spacing w:after="0"/>
              <w:rPr>
                <w:sz w:val="19"/>
                <w:szCs w:val="19"/>
                <w:color w:val="auto"/>
              </w:rPr>
            </w:pPr>
          </w:p>
        </w:tc>
        <w:tc>
          <w:tcPr>
            <w:tcW w:w="2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gridSpan w:val="2"/>
          </w:tcPr>
          <w:p>
            <w:pPr>
              <w:jc w:val="center"/>
              <w:ind w:right="260"/>
              <w:spacing w:after="0"/>
              <w:rPr>
                <w:sz w:val="20"/>
                <w:szCs w:val="20"/>
                <w:color w:val="auto"/>
              </w:rPr>
            </w:pPr>
            <w:r>
              <w:rPr>
                <w:rFonts w:ascii="Arial" w:cs="Arial" w:eastAsia="Arial" w:hAnsi="Arial"/>
                <w:sz w:val="18"/>
                <w:szCs w:val="18"/>
                <w:color w:val="auto"/>
                <w:w w:val="89"/>
              </w:rPr>
              <w:t>Sponsored U.S.</w:t>
            </w:r>
          </w:p>
        </w:tc>
        <w:tc>
          <w:tcPr>
            <w:tcW w:w="1580" w:type="dxa"/>
            <w:vAlign w:val="bottom"/>
            <w:tcBorders>
              <w:top w:val="single" w:sz="8" w:color="CCEEFF"/>
            </w:tcBorders>
            <w:gridSpan w:val="3"/>
          </w:tcPr>
          <w:p>
            <w:pPr>
              <w:jc w:val="center"/>
              <w:ind w:right="80"/>
              <w:spacing w:after="0"/>
              <w:rPr>
                <w:sz w:val="20"/>
                <w:szCs w:val="20"/>
                <w:color w:val="auto"/>
              </w:rPr>
            </w:pPr>
            <w:r>
              <w:rPr>
                <w:rFonts w:ascii="Arial" w:cs="Arial" w:eastAsia="Arial" w:hAnsi="Arial"/>
                <w:sz w:val="18"/>
                <w:szCs w:val="18"/>
                <w:color w:val="auto"/>
                <w:w w:val="91"/>
              </w:rPr>
              <w:t>Other Investment</w:t>
            </w:r>
          </w:p>
        </w:tc>
        <w:tc>
          <w:tcPr>
            <w:tcW w:w="34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Mutual Funds</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Portfolios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under management at December 31, 2012</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w:t>
            </w:r>
          </w:p>
        </w:tc>
      </w:tr>
      <w:tr>
        <w:trPr>
          <w:trHeight w:val="277"/>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market appreciation and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128.4</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Distributions not reinvested</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Change during the period</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115.6</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Assets under management at December 31, 2013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692.4</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cash flows before client transfers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cash flows after client transfers</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Distributions not reinvested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77"/>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under management at December 31, 2014</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746.8</w:t>
            </w:r>
          </w:p>
        </w:tc>
      </w:tr>
      <w:tr>
        <w:trPr>
          <w:trHeight w:val="277"/>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market appreciation and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Distributions not reinvested</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Change during the period</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Assets under management at December 31, 2015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763.1</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2013 and 2014, the majority of the assets transferred by clients from our sponsored mutual funds to our other investment portfolios disclosed in the table above were moved from our target-date retirement funds to our collective investment trusts and target-date retirement trusts. In 2015, assets were transferred primarily from the mutual funds to our collective investment trusts, target-date retirement trusts, and separate accounts.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125" w:right="239" w:bottom="1440" w:gutter="0" w:footer="0" w:header="0"/>
        </w:sectPr>
      </w:pPr>
    </w:p>
    <w:bookmarkStart w:id="25" w:name="page26"/>
    <w:bookmarkEnd w:id="25"/>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net cash inflows in our sponsored U.S. mutual funds over the last three years were sourced primarily from third-party financial intermediaries across various mandates as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Bond funds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Net cash flows after client transfers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6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2013, a vast majority of the net outflows from our other investment portfolios were concentrated among several large institutional clients outside the U.S. and intermediary clients that changed their investment objectives, repositioned their strategy allocations, or experienced investment performance challenges within their portfolio. In 2014, the net outflows from our other investment portfolios were primarily from a few institutional and subadvisory clients who redeemed significant amounts from a small number of equity and fixed income strategies. In 2015, the net inflows in our other investment portfolios resulted primarily from the client transfers received from the mutual funds. The net outflows prior to transfers in these portfolios in 2015 were largely concentrated among a small number of institutional clients who redeemed primarily from large-cap U.S. equity strategies.</w:t>
      </w:r>
    </w:p>
    <w:p>
      <w:pPr>
        <w:spacing w:after="0" w:line="178"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Our target-date retirement portfolios, which invest in a broadly diversified portfolio of other T. Rowe Price funds or T. Rowe Price collective investment trusts, and automatically rebalance to maintain their specific asset allocation weightings, are a significant source of cash flows. Net cash flows after client transfers shown in the previous tables include or are net of the following net cash inflows that originated in our target-date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50800</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0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Target-date retirement funds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Target-date retirement trusts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7"/>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target-date portfolios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0"/>
        </w:trPr>
        <w:tc>
          <w:tcPr>
            <w:tcW w:w="6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Assets under management at December 31, 2015, in these target-date portfolios totaled $165.7 billion, including $135.5 billion in target-date retirement funds and $30.2 billion in target-date retirement trusts.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Strong investment performance and brand awareness is a key driver to attracting assets and to our long-term success. For 2015, 80% of the T. Rowe Price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 mutual funds across their share classes outperformed their comparable Lipper averages on a total return basis for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78% outperformed for the five-year period, 88% outperformed for the 10-year period, and 80% outperformed for the one-year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 Rowe Price stock, bond and blended asset funds that were given an overall rating of four or five stars from Morningstar at December 31,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for nearly 86% of the assets under management in our rated funds. Our target-date retirement funds continue to deliver very attractive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with at least 97% of these funds outperforming their comparable Lipper averages on a total return basis for the three-, five-, and 10-year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2015. The performance of the firm's institutional strategies remains very competitive.</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precede any future revenues that we recognize from an increase to our assets under management.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125" w:right="239" w:bottom="1440" w:gutter="0" w:footer="0" w:header="0"/>
        </w:sectPr>
      </w:pPr>
    </w:p>
    <w:bookmarkStart w:id="26" w:name="page27"/>
    <w:bookmarkEnd w:id="26"/>
    <w:p>
      <w:pPr>
        <w:jc w:val="center"/>
        <w:ind w:right="-27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238125</wp:posOffset>
            </wp:positionV>
            <wp:extent cx="71608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31750</wp:posOffset>
            </wp:positionV>
            <wp:extent cx="1852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Dollar Change</w:t>
            </w:r>
          </w:p>
        </w:tc>
        <w:tc>
          <w:tcPr>
            <w:tcW w:w="1480" w:type="dxa"/>
            <w:vAlign w:val="bottom"/>
          </w:tcPr>
          <w:p>
            <w:pPr>
              <w:jc w:val="right"/>
              <w:spacing w:after="0"/>
              <w:rPr>
                <w:sz w:val="20"/>
                <w:szCs w:val="20"/>
                <w:color w:val="auto"/>
              </w:rPr>
            </w:pPr>
            <w:r>
              <w:rPr>
                <w:rFonts w:ascii="Arial" w:cs="Arial" w:eastAsia="Arial" w:hAnsi="Arial"/>
                <w:sz w:val="18"/>
                <w:szCs w:val="18"/>
                <w:color w:val="auto"/>
                <w:w w:val="87"/>
              </w:rPr>
              <w:t>Percentage Change</w:t>
            </w:r>
          </w:p>
        </w:tc>
      </w:tr>
      <w:tr>
        <w:trPr>
          <w:trHeight w:val="27"/>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millions, except per-share data)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3,464.5</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3,687.3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4,200.6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2,091.2</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2,301.7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Investment advisory revenues earned in 2015 increased over 2014, as average assets under our management increased $43.2 billion, or 6.0%, to $767.9 billion. The average annualized fee rate earned on our assets under management was 48.0 basis points in 2015, up from the 47.8 basis points earned in 2014, as money market fee waivers declined and equity valuations, which on average carry a higher fee rate, increased in 2015. We waived $47.6 million in money market-related fees in 2015, including advisory fees and fund expenses, a decrease of $10.8 million from the $58.4 million waived in 2014. The fee waivers in 2015 represent 1.3% of total investment advisory revenues earned during the same period. Fees were waived from all our money market mutual funds and trusts, which have combined net assets of $15.7 billion at December 31, 2015. We expect that these fee waivers will continue into 2016.</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operating margin in 2015 was 45.2% compared to 47.5% in the 2014 period. The decline is a result of the investments we have been making to broaden and deepen our investment management, distribution, and service capabilities around the world despite the impact of market volatility on our net revenues. We expect continued downward pressure on our operating margin in 2016 and beyond from the market effects on our net revenues and the anticipated continued investment in our capabilities.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7.3%, or $182.1 million, to nearly $2.7 billion, on higher average mutual fund assets. Average mutual fund assets in 2015 were $493.6 billion, an increase of 7.1% from the average for the comparable 2014 period.</w:t>
      </w:r>
    </w:p>
    <w:p>
      <w:pPr>
        <w:spacing w:after="0" w:line="181"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Investment advisory revenues earned on the other investment portfolios in 2015 were $1.0 billion, an increase of $40.7 million, or 4.2%, from the $978.7 million earned in the comparable 2014 period. Average assets in these portfolios were $274.3 billion in 2015, up 4.0% from the comparable 2014 period.</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Administrative fee revenues decreased $12.2 million to $361.8 million in 2015. The decrease includes the reduction in certain administrative service fee rates paid by certain fund shareholders at the beginning of 2015. Additionally, fees earned from the mutual funds for fund accounting has declined in 2015 compared to 2014, as such services began to be performed by BNY Mellon in August 2015. The mutual funds have contracted directly with BNY Mellon to provide such services. Changes in administrative fee revenues are generally offset by similar changes in related operating expenses that are incurred to provide services to the funds and their investors.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Class, R Class, and Variable Annuity II Class shares of our sponsored portfolios were $151.5 million in 2015, an increase of $7.9 million from 2014 on greater average assets under management in these share classes. The 12b-1 fees earned are offset entirely by the costs paid to third-party intermediaries who source these assets. These costs are reported as distribution and servicing costs in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380"/>
          </w:cols>
          <w:pgMar w:left="240" w:top="125" w:right="279" w:bottom="1440" w:gutter="0" w:footer="0" w:header="0"/>
        </w:sectPr>
      </w:pPr>
    </w:p>
    <w:bookmarkStart w:id="27" w:name="page28"/>
    <w:bookmarkEnd w:id="27"/>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Compensation and related costs were $1.4 billion in 2015, an increase of $114.0 million, or 8.6%, compared to 2014. The largest part of the increase is attributable to a $52.6 million increase in salaries and related benefits and a $43.0 million increase in our annual variable compensation program. Our average staff size in 2015 has increased 3.7% over 2014 and we employed 5,999 associates at December 31, 2015. Higher noncash stock-based compensation expense and temporary staff expense account for the remainder of the increase in compensation and related costs in the 2015 period. The increase in compensation and related costs and our average staff size were muted by the lower compensation costs resulting from shifting 210 associates and providing ongoing transition support to BNY Mellon, with whom we contracted to provide fund accounting and recordkeeping operations. However, these lower compensation costs are offset by increases in costs paid to BNY Mellon to provide these administrative services, which are reflected in other operating expenses.</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Advertising and promotion costs were $79.7 million in 2015, an increase of $3.7 million from 2014. The higher cost is primarily attributable to the creation and launch of a new advertising campaign and increased participation in promotional activities as we broaden our distribution reach. We currently expect advertising and promotion costs for 2016 to be comparable to 2015 levels.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$29.9 million, or 11.7%, compared to 2014. The increase is primarily attributable to the added costs to update and enhance technology capabilities, including related maintenance programs.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were $341.4 million in 2015, an increase of $55.0 million from 2014. About a third of the increase is attributable to costs being paid to BNY Mellon since August 2015 for the performance of certain administrative services. The balance of the change is due to increased business demands and our continued investment in capabilities. These costs include information and third-party service costs, costs related to our defined contribution recordkeeping business, travel-related costs, and other general and administrative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non-operating investment activity during 2015 resulted in income of $103.5 million, a decrease of $8.7 million from 2014. Net losses recognized on our sponsored fund investments of $12.3 million were offset in part by other investment income of $3.6 million. The following table details the components of non-operating investment income (in millions) during 2014 and 2015.</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140" w:type="dxa"/>
            <w:vAlign w:val="bottom"/>
            <w:shd w:val="clear" w:color="auto" w:fill="CCEEFF"/>
          </w:tcPr>
          <w:p>
            <w:pPr>
              <w:spacing w:after="0"/>
              <w:rPr>
                <w:sz w:val="22"/>
                <w:szCs w:val="22"/>
                <w:color w:val="auto"/>
              </w:rPr>
            </w:pPr>
          </w:p>
        </w:tc>
        <w:tc>
          <w:tcPr>
            <w:tcW w:w="286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Year ended December 31,</w:t>
            </w: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614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w w:val="97"/>
              </w:rPr>
              <w:t>Dollar Change</w:t>
            </w:r>
          </w:p>
        </w:tc>
      </w:tr>
      <w:tr>
        <w:trPr>
          <w:trHeight w:val="27"/>
        </w:trPr>
        <w:tc>
          <w:tcPr>
            <w:tcW w:w="6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6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Net gains realized on sponsored fund dispositions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and capital gain dividends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Other-than-temporary impairment</w:t>
            </w:r>
          </w:p>
        </w:tc>
        <w:tc>
          <w:tcPr>
            <w:tcW w:w="1040" w:type="dxa"/>
            <w:vAlign w:val="bottom"/>
          </w:tcPr>
          <w:p>
            <w:pPr>
              <w:spacing w:after="0"/>
              <w:rPr>
                <w:sz w:val="21"/>
                <w:szCs w:val="21"/>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(losses) on equity method fund holdings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Net losses recognized on trading securities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recognized on deconsolidation of a sponsored fund</w:t>
            </w: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Net investment gains recognized on sponsored funds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 income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57"/>
        </w:trPr>
        <w:tc>
          <w:tcPr>
            <w:tcW w:w="614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112.2</w:t>
            </w:r>
          </w:p>
        </w:tc>
        <w:tc>
          <w:tcPr>
            <w:tcW w:w="2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103.5</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6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net loss recognized on deconsolidation represents the reclassification of a foreign currency loss that was accumulated in other comprehensive income from the date we made our initial seed capital investment in an Australian dollar-denominated fund. Since the deconsolidation, we are accounting for the investment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00"/>
          </w:cols>
          <w:pgMar w:left="240" w:top="125" w:right="259" w:bottom="1440" w:gutter="0" w:footer="0" w:header="0"/>
        </w:sectPr>
      </w:pPr>
    </w:p>
    <w:bookmarkStart w:id="28" w:name="page29"/>
    <w:bookmarkEnd w:id="28"/>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effective tax rate was 38.9% in 2015 compared to 38.6% in 2014. We currently estimate our effective tax rate for 2016 to be about 38.7%. Our effective income tax rate reflects the relative contribution of pretax income generated by our foreign subsidiaries that are subject to tax rates lower than our U.S. rates. Changes in the relative contribution of pretax income from U.S. and foreign sources or changes in tax rates in relevant foreign jurisdictions may affect our effective income tax rate and overall net income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213360</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2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31750</wp:posOffset>
            </wp:positionV>
            <wp:extent cx="22212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Percent Change</w:t>
            </w:r>
          </w:p>
        </w:tc>
      </w:tr>
      <w:tr>
        <w:trPr>
          <w:trHeight w:val="27"/>
        </w:trPr>
        <w:tc>
          <w:tcPr>
            <w:tcW w:w="4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millions, except per-share data)</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3,022.6</w:t>
            </w:r>
          </w:p>
        </w:tc>
        <w:tc>
          <w:tcPr>
            <w:tcW w:w="3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3,464.5</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441.9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3,484.2</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1,846.8</w:t>
            </w:r>
          </w:p>
        </w:tc>
        <w:tc>
          <w:tcPr>
            <w:tcW w:w="3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2,091.2</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244.4</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1,637.4</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1,229.6</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324"/>
        </w:trPr>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4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Investment advisory fees earned in 2014 were up 14.6% over 2013 as average assets under our management increased $90.9 billion, or 14.3%, to $724.7 billion. The average annualized fee rate earned on our assets under management was 47.8 basis points during 2014, virtually unchanged from the 47.7 basis points earned in 2013. In 2014, we voluntarily waived $58.4 million in money market-related fees, including advisory fees and fund expenses, in order to maintain a positive yield for fund investors. The fee waivers in 2014 were up $7.2 million from the $51.2 million waived in 2013 and represent about 2% of total investment advisory revenues earned in 2014. Fees were waived from each of our money market funds and trusts, which have combined net assets at December 31, 2014, of $16.0 billion, or 2.1% of our total assets under management.</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Greater average assets under management have increased our investment advisory revenues and helped lift our operating margin in 2014 to 47.5% compared to 47.0% in the 2013 period. Non-operating investment income in 2014 includes higher gains of $35.8 million realized from the sale of certain of our sponsored fund holdings. The proceeds from these sales were primarily used to provide additional seed capital to other sponsored funds in support of our distribution efforts outside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Investment advisory revenues earned from the T. Rowe Price mutual funds distributed in the U.S. were $2.5 billion in 2014, an increase of 16.9%, or $359.7 million, on higher average mutual fund assets. In 2014, average mutual fund assets were $460.9 billion, an increase of 17.8% from the 2013 average.</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Mutual fund assets were $477.6 billion at December 31, 2014, an increase of $42.3 billion from $435.3 billion at the end of 2013. Investors added net cash inflows during 2014 of $11.8 billion, including $3.7 billion into our stock and blended asset funds and $8.3 billion into our bond funds. The money market funds had net outflows of $.2 billion. These cash flow amounts are presented net of $5.3 billion that clients transferred to the other investment portfolios, primarily our collective investment trusts and target-date retirement trusts. Without these transfers, the mutual funds would have had net cash inflows of $17.1 billion in 2014. Market appreciation and income, net of distributions not reinvested, added $30.5 billion to our mutual fund assets under management in 2014.</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$82.2 million, or 9.2%, to $978.7 million. Average assets in these portfolios were $263.8 billion during 2014, an increase of $21.2 billion, or 8.7%, from the 2013 year. Assets in these portfolios at December 31, 2014, were $269.2 billion, an increase of $12.1 billion from the end of 2013. Market appreciation and income of $20.2 billion was partially offset by net outflows of $8.1 billion during 2014. Net outflows during 2014 are presented net of the $5.3 billion assets that clients transferred in from the mutual funds. These net outflows were primarily from a few number of institutional and subadvisory clients who redeemed significant amounts from a small number of equity and fixed income strategies.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Administrative fees increased $30.3 million to $374.0 million in 2014. The increase is primarily attributable to increased costs incurred to provide fund accounting services and transfer agent servicing activities to the mutual funds and their investors. Changes in administrative fee revenues are generally offset by similar changes in related operating expenses that are incurred to provide services to the funds and their investors.</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Class, R Class, and Variable Annuity II Class shares of our sponsored portfolios were $143.6 million in 2014, an increase of $26.4 million from the comparable 2013 period, on greater average assets under management in these share classes. The 12b-1 fees earned are offset entirely by the costs paid to third-party intermediaries who source these assets. These costs are reported as distribution and servicing costs on the face of our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Compensation and related costs increased 14.9% from 2013 to about $1.3 billion. A significant part of the increase is attributable to a $60.7 million increase in our annual variable compensation program and a $60.8 million increase in salaries and related benefits, which result from a modest increase in salaries at the beginning of 2014 combined with a 4.8% increase in our average staff size over the 2013 period. We continue to increase our staff size to support both business growth and added capabilities. Higher temporary staff expenses, noncash stock-based compensation expense, and other employee costs account for the remainder of the increase in compensation and related costs in the 2014 period. At December 31, 2014, we employed 5,870 associates, an increase of 3.6% from the end of 2013.</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Advertising and promotion expenditures were $76.0 million in 2014, a decrease of $11.0 million from the 2013 period. The decrease in cost from the 2013 period is primarily a result of repurposing this spending to other distribution activities.</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Occupancy and facility costs together with depreciation expense increased $29.2 million, or 12.9%, versus 2013. Nearly half of the increase is attributable to the opening of two new buildings at our Owings Mills campus in the fourth quarter of 2013 and the renovation of certain existing facilities. The increase also includes the added costs to update and enhance our technology capabilities, including related maintenance programs. These increases were offset by the non-recurrence of the $3.5 million in costs recognized to terminate certain facility leases in 2013.</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Other operating expenses were $286.4 million in 2014, an increase of $27.1 million from the comparable 2013 period, as higher business demands and our continued investment in our capabilities have increased our costs. These increased costs include those related to our defined contribution recordkeeping business, information and other third-party service costs, travel costs, and other general and administrative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up $49.2 million from the 2013 period. The increase is due in part to the 2014 results including $49.3 million in gains realized on the sale of certain sponsored fund holdings compared with $13.5 million in gains realized in the comparable 2013 period. Larger year-end dividends, including capital gain distributions, earned from our mutual fund investments of $21.8 million were offset in part by a decrease in net investment gains recognized on certain of our other investments in the 2014 period. The 2013 year also included a $1.5 million gain recognized on the sale of our savings bank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effective tax rate was 38.6% in 2014 compared to 38.4% in 2013. Our effective income tax rate reflects the relative contribution of pretax income generated by our foreign subsidiaries that are subject to tax rates lower than our U.S. rates. Changes in the relative contribution of pretax income from U.S. and foreign sources or changes in tax rates in relevant foreign jurisdictions may affect our effective income tax rate and overall net income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00"/>
          </w:cols>
          <w:pgMar w:left="240" w:top="125" w:right="259" w:bottom="1440" w:gutter="0" w:footer="0" w:header="0"/>
        </w:sectPr>
      </w:pPr>
    </w:p>
    <w:bookmarkStart w:id="30" w:name="page31"/>
    <w:bookmarkEnd w:id="30"/>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2015, stockholders’ equity decreased from $5.4 billion to $4.8 billion, which results primarily from us expending $987.8 million to repurchase 13.1 million common shares in 2015. Additionally, we paid $2.08 per share in regular dividends and paid a $2.00 special dividend in 2015. Our repurchases and dividends were expended using existing cash balances and cash generated from operations. We generally repurchase shares of our common stock over time to offset the dilution created by our equity-based compensation plans.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detailed below, we have returned $3.3 billion to stockholders over the last three years through stock repurchases, our regular quarterly dividends, and one special dividend.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Total Cash Returned</w:t>
            </w: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1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Recurring Dividends</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Special Dividend</w:t>
            </w:r>
          </w:p>
        </w:tc>
        <w:tc>
          <w:tcPr>
            <w:tcW w:w="16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Stock Repurchases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to Stockholders</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2013</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396.6</w:t>
            </w:r>
          </w:p>
        </w:tc>
        <w:tc>
          <w:tcPr>
            <w:tcW w:w="24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410.7</w:t>
            </w:r>
          </w:p>
        </w:tc>
      </w:tr>
      <w:tr>
        <w:trPr>
          <w:trHeight w:val="27"/>
        </w:trPr>
        <w:tc>
          <w:tcPr>
            <w:tcW w:w="4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462.1</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2015</w:t>
            </w:r>
          </w:p>
        </w:tc>
        <w:tc>
          <w:tcPr>
            <w:tcW w:w="5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534.5</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524.5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987.8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2,046.8</w:t>
            </w:r>
          </w:p>
        </w:tc>
      </w:tr>
      <w:tr>
        <w:trPr>
          <w:trHeight w:val="27"/>
        </w:trPr>
        <w:tc>
          <w:tcPr>
            <w:tcW w:w="45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1,393.2</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524.5</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1,417.4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3,335.1</w:t>
            </w:r>
          </w:p>
        </w:tc>
      </w:tr>
      <w:tr>
        <w:trPr>
          <w:trHeight w:val="20"/>
        </w:trPr>
        <w:tc>
          <w:tcPr>
            <w:tcW w:w="4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Tangible book value is $4.1 billion at December 31, 2015, and our cash and fund investment holdings total $2.8 billion. The cash and fund investment holdings held by our foreign subsidiaries is $.4 billion at December 31, 2015. Given the availability of these financial resources, we do not maintain an available external source of liquidity.</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At December 31, 2015, we had outstanding commitments to make additional contributions totaling $48.2 million to various investment partnerships in which we have an existing investment. These outstanding commitments, if called, will be funded from operating resources. We currently expect total capital expenditures for facilities, equipment, and technology development for 2016 to be up to $180 million, which will be funded from operating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versus 2014.</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Operating activities during 2015 provided cash flows of $1.5 billion, up $215.1 million from the 2014 period. We used $75.0 million less cash in 2015 compared with the 2014 period as we seeded fewer new sponsored investment portfolios. Higher noncash depreciation and amortization and noncash stock-based compensation in 2015 increased cash flows by $30.2 million Timing differences on the cash settlement of our assets and liabilities increased our operating cash flows by $114.8 million compared to 2014. More than half of the timing difference on the cash settlement of our assets and liabilities is related to bonus compensation that was deferred by certain employees under the new Supplemental Savings Plan that went into effect in 2015. The Supplemental Savings Plan provides certain senior officers the opportunity to defer any portion of their cash incentive compensation earned for a respective calendar year during which services are provided for a period of two or more years.</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Net cash provided by investing activities totaled $109.0 million in 2015, compared with net cash used of $443.4 million in the comparable 2014 period. In 2015, cash proceeds from the sale of certain sponsored fund holdings, net of new investments, resulted in investing cash flows of $269.7 million. This compares with net investments of $305.3 million that we made into our sponsored fund investments in 2014. We increased our property and equipment additions by $25.1 million during 2015 compared to the 2014 period.</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was $1,949.2 million in 2015, up $1,209.4 million from the comparable 2014 period. The payment of a $2.00 special dividend on April 23, 2015, and an 18% increase in our regular quarterly per-share dividend accounted for $596.9 million of the increase from 2014. We also increased our common stock repurchases by $572.3 million during 2015 compared with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125" w:right="239" w:bottom="1440" w:gutter="0" w:footer="0" w:header="0"/>
        </w:sectPr>
      </w:pPr>
    </w:p>
    <w:bookmarkStart w:id="31" w:name="page32"/>
    <w:bookmarkEnd w:id="31"/>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versus 2013.</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Operating activities during 2014 provided cash flows of nearly $1.3 billion, up $58.1 million from the 2013 period. Higher net income, noncash depreciation and amortization, and noncash stock-based compensation in the 2014 period increased cash flows, in aggregate, $221.8 million over the 2013 levels. This aggregate increase was offset by $64.5 million in more cash used in 2014 to seed new sponsored investment portfolios that we are consolidating and treating their underlying investment holdings as trading securities. Timing differences in the cash settlement of our accounts receivable and accrued revenues, payables and accrued liabilities, and other assets and liabilities also decreased our operating cash flows by $69.2 million compared to the 2013 year. Our 2014 operating cash flows were also increased by $35.8 million in higher gains realized from the sale of certain available-for-sale sponsored fund investments as the related proceeds are reflected as an investing activity in our consolidated statements of cash flows.</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used in investing activities totaled $443.4 million, an increase of $5.9 million from 2013. We increased our capital expenditures and other investments activity in 2014 by $20.4 million and $12.1 million, respectively. These increases in net cash used were more than offset by $35.2 million in less net cash invested in our sponsored funds, as we sold more existing investments to fund the new investments in 2014 compared to the 2013 period. The 2013 year also included $8.6 million in net cash proceeds related to our savings bank subsidiary and its sale in December 2013.</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cash used in financing activities was $739.8 million in 2014, up $463.0 million from the comparable 2013 period. We increased our common stock repurchases by $401.4 million in 2014 compared with the 2013 period. Cash used for dividends paid in 2014 increased $65.4 million due primarily to the 16% increase in our per-share dividend 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2015.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2016 and future years. The information also excludes the $5.8 million of unrecognized tax benefits discussed in Note 7 to our consolidated financial statements because it is not possible to estimate the time period in which a payment might be made to the tax authorities.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2017-18</w:t>
            </w: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2019-20</w:t>
            </w: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Later</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$48.2 million at December 31, 2015. The vast majority of these additional contributions will be made to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125" w:right="239" w:bottom="1440" w:gutter="0" w:footer="0" w:header="0"/>
        </w:sectPr>
      </w:pPr>
    </w:p>
    <w:bookmarkStart w:id="32" w:name="page33"/>
    <w:bookmarkEnd w:id="32"/>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2015 Annual Report. In the following discussion, we highlight and explain further certain of those policies that are most critical to the preparation and understanding of our financial statements.</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Other-than-temporary impairments of available-for-sale securities</w:t>
      </w:r>
      <w:r>
        <w:rPr>
          <w:rFonts w:ascii="Arial" w:cs="Arial" w:eastAsia="Arial" w:hAnsi="Arial"/>
          <w:sz w:val="18"/>
          <w:szCs w:val="18"/>
          <w:color w:val="auto"/>
        </w:rPr>
        <w:t>. We generally classify our investment holdings in sponsored funds as available-for-sale if we are not deemed to a have a controlling financial interest nor exercise significant influence over its operating and financial policies. At the end of each quarter, we mark the carrying amount of each investment holding to fair value and recognize an unrealized gain or loss as a component of comprehensive income within the consolidated statements of comprehensive income. We next review each individual security position that has an unrealized loss or impairment to determine if that impairment is other than temporary.</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determining whether a mutual fund holding is other-than-temporarily impaired, we consider many factors, including the duration of time the impairment has existed, the severity of the impairment, any subsequent changes in value, and our intent and ability to hold the security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impairment for losses that have existed for less than six months in our consolidated statements of income if the particular circumstances of the underlying investment do not warrant our belief that a near-term recovery is possible.</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u w:val="single" w:color="auto"/>
          <w:color w:val="auto"/>
        </w:rPr>
        <w:t>Other-than-temporary impairments of equity method investments</w:t>
      </w:r>
      <w:r>
        <w:rPr>
          <w:rFonts w:ascii="Arial" w:cs="Arial" w:eastAsia="Arial" w:hAnsi="Arial"/>
          <w:sz w:val="18"/>
          <w:szCs w:val="18"/>
          <w:color w:val="auto"/>
        </w:rPr>
        <w:t>. We evaluate our equity method investments, including our investment in UTI, for impairment when events or changes in circumstances indicate that the carrying value of the investment exceeds its fair value, and the decline in fair value is other than temporary.</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statements of income using a fair value-based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value-based method is a noncash charge that is never measured by, or adjusted based on, a cash outflow.</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125" w:right="259" w:bottom="1440" w:gutter="0" w:footer="0" w:header="0"/>
        </w:sectPr>
      </w:pPr>
    </w:p>
    <w:bookmarkStart w:id="33" w:name="page34"/>
    <w:bookmarkEnd w:id="33"/>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2014, the FASB issued Accounting Standards Update No. 2014-09 — Revenue from Contracts with Customers. The objective of the new standard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In August 2015, the FASB issued Accounting Standards Update No. 2015-14, which defers the effective date of the standard by one year and permits early adoption. We would be required to adopt the new standard on January 1, 2018. We are currently evaluating the impact this standard will have on our financial position and results of operations.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2015, the FASB issued Accounting Standards Update No. 2015-02 — Consolidation (Topic 810): Amendments to the Consolidation Analysis. This standard modifies existing consolidation guidance for reporting companies that are required to evaluate whether they should consolidate certain legal entities. ASU 2015-02 is effective for fiscal years and interim periods within those years beginning after December 15, 2015, and requires either a retrospective or a modified retrospective approach to adoption. We will adopt the ASU on January 1, 2016, using the modified retrospective transition method. The adoption of this new guidance will increase the number of sponsored fund investments that we consolidate either because we own the majority of the voting interest of those U.S. mutual funds or are considered the primary beneficiary of those investment vehicles outside the U.S. that will be required to be analyzed as variable interest entities. As a result, the underlying assets and liabilities of the consolidated funds will be included in our consolidated balance sheet and we will recognize redeemable non-controlling interest for the portion of the consolidated funds that are owned by a third-party investor. Additionally, the change in fair value of the consolidated funds, net of taxes, will begin to be recognized in net income instead of other comprehensive income as they will no longer be accounted for as available-for-sale investments. We are evaluating the effect ASU 2015-02 will have on our consolidated financial statements and related disclosures.</w:t>
      </w:r>
    </w:p>
    <w:p>
      <w:pPr>
        <w:spacing w:after="0" w:line="1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January 2016, the FASB issued Accounting Standards Update No. 2016-01 — Financial Instruments—Overall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equity investments' will be recognized in our consolidated income statement instead of accumulated other comprehensive income on the balance sheet.</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financial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8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following table (in millions) presents the equity price risk from investments in sponsored funds that are accounted for as available-for-sale securities or under the equity method by assuming a hypothetical decline in the fair values of fund shares. We have chosen to use a variant of each fund's net asset value to quantify the equity price risk, as we believe the volatility in each fund's net asset value best reflects the underlying risk potential as well as the market trends surrounding each fund's investment objective. The potential future loss of value, before any income tax benefits, of these fund investments at year-end was determined by using the lower of each fund’s lowest net asset value per share during 2015 or its net asset value per share at December 31, 2015, reduced by 10%. In considering this presentation, it is important to note that: not all funds experienced their lowest net asset value per share on the same day; it is likely that the composition of the fund investment portfolio would be changed if adverse market conditions persisted; and we could experience future losses in excess of those presented 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Fair Value</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Potential</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2015 Potential</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2014 Potential</w:t>
            </w:r>
          </w:p>
        </w:tc>
        <w:tc>
          <w:tcPr>
            <w:tcW w:w="38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12/31/2015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Portfolio</w:t>
            </w:r>
          </w:p>
        </w:tc>
        <w:tc>
          <w:tcPr>
            <w:tcW w:w="122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Lower Value</w:t>
            </w: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Portfolio</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Loss</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Loss</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w w:val="99"/>
              </w:rPr>
              <w:t>Stock and blended asset funds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536.1</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w:t>
            </w: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w:t>
            </w: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c>
          <w:tcPr>
            <w:tcW w:w="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w:t>
            </w:r>
          </w:p>
        </w:tc>
      </w:tr>
      <w:tr>
        <w:trPr>
          <w:trHeight w:val="297"/>
        </w:trPr>
        <w:tc>
          <w:tcPr>
            <w:tcW w:w="25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1,612.3</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1,447.3</w:t>
            </w:r>
          </w:p>
        </w:tc>
        <w:tc>
          <w:tcPr>
            <w:tcW w:w="10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165.0</w:t>
            </w: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10%</w:t>
            </w:r>
          </w:p>
        </w:tc>
        <w:tc>
          <w:tcPr>
            <w:tcW w:w="38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191.3</w:t>
            </w: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10%</w:t>
            </w:r>
          </w:p>
        </w:tc>
      </w:tr>
      <w:tr>
        <w:trPr>
          <w:trHeight w:val="311"/>
        </w:trPr>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w w:val="95"/>
              </w:rPr>
              <w:t>Equity method fund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10%</w:t>
            </w:r>
          </w:p>
        </w:tc>
      </w:tr>
    </w:tbl>
    <w:p>
      <w:pPr>
        <w:spacing w:after="0" w:line="22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For available-for-sale securities, we experienced actual net unrealized losses of $5.0 million in 2015 that are considered temporary in other comprehensive income. We review the carrying amount of each investment on a quarterly basis and recognize an impairment charge in non-operating investment income (loss) whenever an unrealized loss is considered other than temporary. During 2015, we recognized an other-than-temporary impairment of $4.8 million.</w:t>
      </w:r>
    </w:p>
    <w:p>
      <w:pPr>
        <w:spacing w:after="0" w:line="14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125" w:right="239" w:bottom="1440" w:gutter="0" w:footer="0" w:header="0"/>
        </w:sectPr>
      </w:pPr>
    </w:p>
    <w:bookmarkStart w:id="35" w:name="page36"/>
    <w:bookmarkEnd w:id="35"/>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equity method investment in UTI of $132.8 million at December 31, 2015, exposes us to foreign currency risk related to translating our proportionate share of its financial statements, which are denominated in Indian rupees (INR), to U.S. dollars (USD) each reporting period. We do not use derivative financial instruments to manage this foreign currency risk, so both positive and negative fluctuations in the INR against the USD will affect accumulated other comprehensive income and the carrying amount of our investment. We had a cumulative translation loss, net of tax, of $31.4 million at December 31, 2015, related to our investment in UTI. Given the nature of UTI’s business, should conditions deteriorate in markets in which they operate, we are at risk for loss up to our carrying amount.</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operate in several foreign countries of which the United Kingdom is the most prominent. We incur operating expenses and have foreign currency-denominated assets and liabilities associated with these operations, though our revenues are predominately realized in USD. We do not believe that foreign currency fluctuations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280"/>
          </w:cols>
          <w:pgMar w:left="240" w:top="125"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gridSpan w:val="8"/>
          </w:tcPr>
          <w:p>
            <w:pPr>
              <w:ind w:left="600"/>
              <w:spacing w:after="0"/>
              <w:rPr>
                <w:rFonts w:ascii="Arial" w:cs="Arial" w:eastAsia="Arial" w:hAnsi="Arial"/>
                <w:sz w:val="18"/>
                <w:szCs w:val="18"/>
                <w:color w:val="661DE8"/>
              </w:rPr>
            </w:pPr>
            <w:hyperlink w:anchor="page1">
              <w:r>
                <w:rPr>
                  <w:rFonts w:ascii="Arial" w:cs="Arial" w:eastAsia="Arial" w:hAnsi="Arial"/>
                  <w:sz w:val="18"/>
                  <w:szCs w:val="18"/>
                  <w:color w:val="661DE8"/>
                </w:rPr>
                <w:t>Table of Contents</w:t>
              </w:r>
            </w:hyperlink>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80"/>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80" w:type="dxa"/>
            <w:vAlign w:val="bottom"/>
            <w:tcBorders>
              <w:top w:val="single" w:sz="8" w:color="661DE8"/>
            </w:tcBorders>
          </w:tcPr>
          <w:p>
            <w:pPr>
              <w:spacing w:after="0"/>
              <w:rPr>
                <w:sz w:val="24"/>
                <w:szCs w:val="24"/>
                <w:color w:val="auto"/>
              </w:rPr>
            </w:pPr>
          </w:p>
        </w:tc>
        <w:tc>
          <w:tcPr>
            <w:tcW w:w="358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27"/>
        </w:trPr>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060" w:type="dxa"/>
            <w:vAlign w:val="bottom"/>
            <w:gridSpan w:val="12"/>
          </w:tcPr>
          <w:p>
            <w:pPr>
              <w:ind w:left="40"/>
              <w:spacing w:after="0"/>
              <w:rPr>
                <w:sz w:val="20"/>
                <w:szCs w:val="20"/>
                <w:color w:val="auto"/>
              </w:rPr>
            </w:pPr>
            <w:r>
              <w:rPr>
                <w:rFonts w:ascii="Arial" w:cs="Arial" w:eastAsia="Arial" w:hAnsi="Arial"/>
                <w:sz w:val="18"/>
                <w:szCs w:val="18"/>
                <w:color w:val="auto"/>
              </w:rPr>
              <w:t>Index to Financial Statements:</w:t>
            </w:r>
          </w:p>
        </w:tc>
        <w:tc>
          <w:tcPr>
            <w:tcW w:w="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Consolidated Balance Sheets at December 31, 2014 and 2015</w:t>
            </w:r>
          </w:p>
        </w:tc>
        <w:tc>
          <w:tcPr>
            <w:tcW w:w="134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Consolidated Statements of Income for each of the years in the three-year period ended December 31, 2015</w:t>
            </w:r>
          </w:p>
        </w:tc>
        <w:tc>
          <w:tcPr>
            <w:tcW w:w="2140" w:type="dxa"/>
            <w:vAlign w:val="bottom"/>
            <w:gridSpan w:val="4"/>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2015</w:t>
            </w:r>
          </w:p>
        </w:tc>
        <w:tc>
          <w:tcPr>
            <w:tcW w:w="1340" w:type="dxa"/>
            <w:vAlign w:val="bottom"/>
            <w:gridSpan w:val="2"/>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50"/>
        </w:trPr>
        <w:tc>
          <w:tcPr>
            <w:tcW w:w="180" w:type="dxa"/>
            <w:vAlign w:val="bottom"/>
          </w:tcPr>
          <w:p>
            <w:pPr>
              <w:spacing w:after="0"/>
              <w:rPr>
                <w:sz w:val="21"/>
                <w:szCs w:val="21"/>
                <w:color w:val="auto"/>
              </w:rPr>
            </w:pPr>
          </w:p>
        </w:tc>
        <w:tc>
          <w:tcPr>
            <w:tcW w:w="80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89"/>
              </w:rPr>
              <w:t>Consolidated Statements of Cash Flows for each of the years in the three-year period ended December 31, 2015</w:t>
            </w:r>
          </w:p>
        </w:tc>
        <w:tc>
          <w:tcPr>
            <w:tcW w:w="860" w:type="dxa"/>
            <w:vAlign w:val="bottom"/>
            <w:tcBorders>
              <w:top w:val="single" w:sz="8" w:color="auto"/>
            </w:tcBorders>
            <w:gridSpan w:val="2"/>
          </w:tcPr>
          <w:p>
            <w:pPr>
              <w:spacing w:after="0"/>
              <w:rPr>
                <w:sz w:val="21"/>
                <w:szCs w:val="21"/>
                <w:color w:val="auto"/>
              </w:rPr>
            </w:pPr>
          </w:p>
        </w:tc>
        <w:tc>
          <w:tcPr>
            <w:tcW w:w="980" w:type="dxa"/>
            <w:vAlign w:val="bottom"/>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Consolidated Statements of Stockholders' Equity for each of the years in the three-year period ended December 31, 2015</w:t>
            </w:r>
          </w:p>
        </w:tc>
        <w:tc>
          <w:tcPr>
            <w:tcW w:w="1340" w:type="dxa"/>
            <w:vAlign w:val="bottom"/>
            <w:gridSpan w:val="2"/>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r>
      <w:tr>
        <w:trPr>
          <w:trHeight w:val="250"/>
        </w:trPr>
        <w:tc>
          <w:tcPr>
            <w:tcW w:w="180" w:type="dxa"/>
            <w:vAlign w:val="bottom"/>
          </w:tcPr>
          <w:p>
            <w:pPr>
              <w:spacing w:after="0"/>
              <w:rPr>
                <w:sz w:val="21"/>
                <w:szCs w:val="21"/>
                <w:color w:val="auto"/>
              </w:rPr>
            </w:pPr>
          </w:p>
        </w:tc>
        <w:tc>
          <w:tcPr>
            <w:tcW w:w="3220" w:type="dxa"/>
            <w:vAlign w:val="bottom"/>
            <w:tcBorders>
              <w:top w:val="single" w:sz="8" w:color="auto"/>
              <w:bottom w:val="single" w:sz="8" w:color="auto"/>
            </w:tcBorders>
          </w:tcPr>
          <w:p>
            <w:pPr>
              <w:spacing w:after="0"/>
              <w:rPr>
                <w:rFonts w:ascii="Arial" w:cs="Arial" w:eastAsia="Arial" w:hAnsi="Arial"/>
                <w:sz w:val="18"/>
                <w:szCs w:val="18"/>
                <w:color w:val="auto"/>
                <w:w w:val="92"/>
              </w:rPr>
            </w:pPr>
            <w:hyperlink w:anchor="page42">
              <w:r>
                <w:rPr>
                  <w:rFonts w:ascii="Arial" w:cs="Arial" w:eastAsia="Arial" w:hAnsi="Arial"/>
                  <w:sz w:val="18"/>
                  <w:szCs w:val="18"/>
                  <w:color w:val="auto"/>
                  <w:w w:val="92"/>
                </w:rPr>
                <w:t>Summary of Significant Accounting Policies</w:t>
              </w:r>
            </w:hyperlink>
          </w:p>
        </w:tc>
        <w:tc>
          <w:tcPr>
            <w:tcW w:w="5460" w:type="dxa"/>
            <w:vAlign w:val="bottom"/>
            <w:tcBorders>
              <w:top w:val="single" w:sz="8" w:color="auto"/>
            </w:tcBorders>
            <w:gridSpan w:val="8"/>
          </w:tcPr>
          <w:p>
            <w:pPr>
              <w:spacing w:after="0"/>
              <w:rPr>
                <w:sz w:val="21"/>
                <w:szCs w:val="21"/>
                <w:color w:val="auto"/>
              </w:rPr>
            </w:pPr>
          </w:p>
        </w:tc>
        <w:tc>
          <w:tcPr>
            <w:tcW w:w="1200" w:type="dxa"/>
            <w:vAlign w:val="bottom"/>
            <w:gridSpan w:val="2"/>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r>
      <w:tr>
        <w:trPr>
          <w:trHeight w:val="250"/>
        </w:trPr>
        <w:tc>
          <w:tcPr>
            <w:tcW w:w="180" w:type="dxa"/>
            <w:vAlign w:val="bottom"/>
          </w:tcPr>
          <w:p>
            <w:pPr>
              <w:spacing w:after="0"/>
              <w:rPr>
                <w:sz w:val="21"/>
                <w:szCs w:val="21"/>
                <w:color w:val="auto"/>
              </w:rPr>
            </w:pPr>
          </w:p>
        </w:tc>
        <w:tc>
          <w:tcPr>
            <w:tcW w:w="6880" w:type="dxa"/>
            <w:vAlign w:val="bottom"/>
            <w:tcBorders>
              <w:bottom w:val="single" w:sz="8" w:color="auto"/>
            </w:tcBorders>
            <w:gridSpan w:val="6"/>
          </w:tcPr>
          <w:p>
            <w:pPr>
              <w:spacing w:after="0"/>
              <w:rPr>
                <w:rFonts w:ascii="Arial" w:cs="Arial" w:eastAsia="Arial" w:hAnsi="Arial"/>
                <w:sz w:val="18"/>
                <w:szCs w:val="18"/>
                <w:color w:val="auto"/>
                <w:w w:val="90"/>
              </w:rPr>
            </w:pPr>
            <w:hyperlink w:anchor="page46">
              <w:r>
                <w:rPr>
                  <w:rFonts w:ascii="Arial" w:cs="Arial" w:eastAsia="Arial" w:hAnsi="Arial"/>
                  <w:sz w:val="18"/>
                  <w:szCs w:val="18"/>
                  <w:color w:val="auto"/>
                  <w:w w:val="90"/>
                </w:rPr>
                <w:t>Notes to Consolidated Financial Statements, including Supplementary Quarterly Financial Data</w:t>
              </w:r>
            </w:hyperlink>
          </w:p>
        </w:tc>
        <w:tc>
          <w:tcPr>
            <w:tcW w:w="3000" w:type="dxa"/>
            <w:vAlign w:val="bottom"/>
            <w:gridSpan w:val="5"/>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rFonts w:ascii="Arial" w:cs="Arial" w:eastAsia="Arial" w:hAnsi="Arial"/>
                <w:sz w:val="18"/>
                <w:szCs w:val="18"/>
                <w:color w:val="auto"/>
              </w:rPr>
            </w:pPr>
            <w:hyperlink w:anchor="page57">
              <w:r>
                <w:rPr>
                  <w:rFonts w:ascii="Arial" w:cs="Arial" w:eastAsia="Arial" w:hAnsi="Arial"/>
                  <w:sz w:val="18"/>
                  <w:szCs w:val="18"/>
                  <w:color w:val="auto"/>
                </w:rPr>
                <w:t>Report of Independent Registered Public Accounting Firm</w:t>
              </w:r>
            </w:hyperlink>
          </w:p>
        </w:tc>
        <w:tc>
          <w:tcPr>
            <w:tcW w:w="1340" w:type="dxa"/>
            <w:vAlign w:val="bottom"/>
            <w:gridSpan w:val="2"/>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00"/>
          </w:cols>
          <w:pgMar w:left="240" w:top="108" w:right="259" w:bottom="1440" w:gutter="0" w:footer="0" w:header="0"/>
        </w:sectPr>
      </w:pPr>
    </w:p>
    <w:bookmarkStart w:id="37" w:name="page38"/>
    <w:bookmarkEnd w:id="37"/>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12/31/2014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12/31/2015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446.0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406.6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665.7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5,644.4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5,106.9</w:t>
            </w:r>
          </w:p>
        </w:tc>
      </w:tr>
      <w:tr>
        <w:trPr>
          <w:trHeight w:val="311"/>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r>
      <w:tr>
        <w:trPr>
          <w:trHeight w:val="318"/>
        </w:trPr>
        <w:tc>
          <w:tcPr>
            <w:tcW w:w="8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24"/>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$.20 par value - authorized 750,000,000; issued 261,110,000 shares at December 31, 2014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250,469,000 at December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654.6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5,644.4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5,106.9</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37</w:t>
      </w:r>
    </w:p>
    <w:p>
      <w:pPr>
        <w:sectPr>
          <w:pgSz w:w="11900" w:h="16838" w:orient="portrait"/>
          <w:cols w:equalWidth="0" w:num="1">
            <w:col w:w="11420"/>
          </w:cols>
          <w:pgMar w:left="240" w:top="125" w:right="239" w:bottom="1440" w:gutter="0" w:footer="0" w:header="0"/>
        </w:sectPr>
      </w:pPr>
    </w:p>
    <w:bookmarkStart w:id="38" w:name="page39"/>
    <w:bookmarkEnd w:id="38"/>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3,022.6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3,464.5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3,687.3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 of savings bank subsidiary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4,200.6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facility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2,301.7</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1,898.9</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779.4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w:t>
            </w: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38</w:t>
      </w:r>
    </w:p>
    <w:p>
      <w:pPr>
        <w:sectPr>
          <w:pgSz w:w="11900" w:h="16838" w:orient="portrait"/>
          <w:cols w:equalWidth="0" w:num="1">
            <w:col w:w="11400"/>
          </w:cols>
          <w:pgMar w:left="240" w:top="125" w:right="259" w:bottom="1440" w:gutter="0" w:footer="0" w:header="0"/>
        </w:sectPr>
      </w:pPr>
    </w:p>
    <w:bookmarkStart w:id="39" w:name="page40"/>
    <w:bookmarkEnd w:id="39"/>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2015</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holding gains (losses) on available-for-sale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720" w:type="dxa"/>
            <w:vAlign w:val="bottom"/>
          </w:tcPr>
          <w:p>
            <w:pPr>
              <w:ind w:left="240"/>
              <w:spacing w:after="0"/>
              <w:rPr>
                <w:sz w:val="20"/>
                <w:szCs w:val="20"/>
                <w:color w:val="auto"/>
              </w:rPr>
            </w:pPr>
            <w:r>
              <w:rPr>
                <w:rFonts w:ascii="Arial" w:cs="Arial" w:eastAsia="Arial" w:hAnsi="Arial"/>
                <w:sz w:val="18"/>
                <w:szCs w:val="18"/>
                <w:color w:val="auto"/>
              </w:rPr>
              <w:t>Reclassification adjustments recognized in non-operating investment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gain distributions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Other-than-temporary impairments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w w:val="94"/>
              </w:rPr>
              <w:t>Net unrealized holding gains derecognized upon the sale of savings bank subsidiary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reclassification 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37"/>
        </w:trPr>
        <w:tc>
          <w:tcPr>
            <w:tcW w:w="6720" w:type="dxa"/>
            <w:vAlign w:val="bottom"/>
          </w:tcPr>
          <w:p>
            <w:pPr>
              <w:ind w:left="240"/>
              <w:spacing w:after="0"/>
              <w:rPr>
                <w:sz w:val="20"/>
                <w:szCs w:val="20"/>
                <w:color w:val="auto"/>
              </w:rPr>
            </w:pPr>
            <w:r>
              <w:rPr>
                <w:rFonts w:ascii="Arial" w:cs="Arial" w:eastAsia="Arial" w:hAnsi="Arial"/>
                <w:sz w:val="18"/>
                <w:szCs w:val="18"/>
                <w:color w:val="auto"/>
                <w:w w:val="94"/>
              </w:rPr>
              <w:t>Total net unrealized holding gains (losses) recognized in other 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rPr>
              <w:t>Reclassification loss recognized in non-operating investment income upon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deconsolidation of sponsored fund subsidiary</w:t>
            </w:r>
          </w:p>
        </w:tc>
        <w:tc>
          <w:tcPr>
            <w:tcW w:w="3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currency translation 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benefits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1,173.2</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39</w:t>
      </w:r>
    </w:p>
    <w:p>
      <w:pPr>
        <w:sectPr>
          <w:pgSz w:w="11900" w:h="16838" w:orient="portrait"/>
          <w:cols w:equalWidth="0" w:num="1">
            <w:col w:w="11400"/>
          </w:cols>
          <w:pgMar w:left="240" w:top="125" w:right="259" w:bottom="1440" w:gutter="0" w:footer="0" w:header="0"/>
        </w:sectPr>
      </w:pPr>
    </w:p>
    <w:bookmarkStart w:id="40" w:name="page41"/>
    <w:bookmarkEnd w:id="40"/>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1,223.0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Realized gains on the dispositions of sponsored funds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losses (gains) recognized on 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3"/>
              </w:rPr>
              <w:t>Net change in trading securities held by consolidated sponsored investment portfolios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accounts receivable and accrued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Changes in payables and accrued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1,506.4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sponsored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Dispositions of sponsored funds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434.5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debt securities held by savings bank subsidiary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debt securities held by savings bank subsidiary</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savings bank subsidiary deposits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(1,949.2)</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change during year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1,506.1</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1,172.3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40</w:t>
      </w:r>
    </w:p>
    <w:p>
      <w:pPr>
        <w:sectPr>
          <w:pgSz w:w="11900" w:h="16838" w:orient="portrait"/>
          <w:cols w:equalWidth="0" w:num="1">
            <w:col w:w="11400"/>
          </w:cols>
          <w:pgMar w:left="240" w:top="125" w:right="259" w:bottom="1440" w:gutter="0" w:footer="0" w:header="0"/>
        </w:sectPr>
      </w:pPr>
    </w:p>
    <w:bookmarkStart w:id="41" w:name="page42"/>
    <w:bookmarkEnd w:id="41"/>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94"/>
              </w:rPr>
              <w:t>Additional</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7"/>
              </w:rPr>
              <w:t>Accumulated</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Common</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3"/>
              </w:rPr>
              <w:t>capital in</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7"/>
              </w:rPr>
              <w:t>other</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2"/>
              </w:rPr>
              <w:t>Total</w:t>
            </w: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1"/>
              </w:rPr>
              <w:t>shares</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90"/>
              </w:rPr>
              <w:t>Common</w:t>
            </w: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5"/>
              </w:rPr>
              <w:t>excess of par</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Retained</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8"/>
              </w:rPr>
              <w:t>comprehensive</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9"/>
              </w:rPr>
              <w:t>stockholders’</w:t>
            </w:r>
          </w:p>
        </w:tc>
      </w:tr>
      <w:tr>
        <w:trPr>
          <w:trHeight w:val="170"/>
        </w:trPr>
        <w:tc>
          <w:tcPr>
            <w:tcW w:w="39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outstanding</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color w:val="auto"/>
                <w:w w:val="92"/>
              </w:rPr>
              <w:t>stock</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9"/>
              </w:rPr>
              <w:t>value</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earnings</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90"/>
              </w:rPr>
              <w:t>income (loss)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2"/>
              </w:rPr>
              <w:t>equity</w:t>
            </w:r>
          </w:p>
        </w:tc>
      </w:tr>
      <w:tr>
        <w:trPr>
          <w:trHeight w:val="249"/>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2012</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257,018</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631.0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3,031.8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3,846.1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1,047.7</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56.4</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(396.6)</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128.1</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45.9</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114.6</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3900" w:type="dxa"/>
            <w:vAlign w:val="bottom"/>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2013</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262,073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894.6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3,682.8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188.3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4,818.1</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1,229.6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1,229.6</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Dividends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(462.1)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3,679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107.1</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Net tax benefits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53.4</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133.4</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(415.5)</w:t>
            </w:r>
          </w:p>
        </w:tc>
      </w:tr>
      <w:tr>
        <w:trPr>
          <w:trHeight w:val="249"/>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2014</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261,110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756.5</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4,450.1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136.4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5,395.2</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1,223.0</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loss, net of tax</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(49.8)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(49.8)</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(1,059.0)</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84.5</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withheld for taxes, net of shares issued</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149.0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149.0</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3900" w:type="dxa"/>
            <w:vAlign w:val="bottom"/>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(13,109)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(342.0)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(987.8)</w:t>
            </w:r>
          </w:p>
        </w:tc>
      </w:tr>
      <w:tr>
        <w:trPr>
          <w:trHeight w:val="242"/>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2015</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250,469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4,762.0</w:t>
            </w: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41</w:t>
      </w:r>
    </w:p>
    <w:p>
      <w:pPr>
        <w:sectPr>
          <w:pgSz w:w="11900" w:h="16838" w:orient="portrait"/>
          <w:cols w:equalWidth="0" w:num="1">
            <w:col w:w="11420"/>
          </w:cols>
          <w:pgMar w:left="240" w:top="125" w:right="239" w:bottom="1440" w:gutter="0" w:footer="0" w:header="0"/>
          <w:type w:val="continuous"/>
        </w:sectPr>
      </w:pPr>
    </w:p>
    <w:bookmarkStart w:id="42" w:name="page43"/>
    <w:bookmarkEnd w:id="42"/>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have been prepared by our management in accordance with accounting principles generally accepted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principles require that we make certain estimates and assumptions. Actual results may vary from our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financial statements include the accounts of all subsidiaries and sponsored portfolios in which we have a controlling financial interest. We are generally deemed to have a controlling financial interest when we own the majority of the voting interest of an entity or are considered to be the primary beneficiary of a variable interest entity. All material intercompany accounts and transactions are eliminated in consolidation. We have determined that the sponsored portfolios in which we have investments at December 31, 2014 and 2015, are voting interest entities and, as a result, have consolidated those sponsored portfolios in which we own a majority of the voting interest.</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we determine that we no longer have a controlling financial interest in a subsidiary or a sponsored portfolio, we deconsolidate the carrying value of their assets and liabilities and record our remaining equity interest, if any, at its fair value. Any gain or loss realized upon deconsolidation is included in non-operating investment income in our consolidated statements of income.</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will implement Accounting Standards Update No. 2015-02 - Consolidation (Topic 810): Amendments to the Consolidation Analysis on January 1, 2016, using the modified retrospective transition method. The adoption of this new guidance will increase the number of sponsored fund investments that we consolidate, either because we own the majority of the voting interest of those U.S. mutual funds or because we are considered the primary beneficiary of those investment vehicles outside the U.S. that will be required to be analyzed as variable interest entities. As a result, the underlying assets and liabilities of the consolidated funds will be included in our consolidated balance sheet, and we will recognize redeemable non-controlling interest for the portion of the consolidated funds that are owned by a third-party investor. Additionally, the change in fair value of the consolidated funds, net of taxes, will begin to be recognized in net income instead of other comprehensive income as they will no longer be accounted for as available-for-sale investments. We are evaluating the effect ASU 2015-02 will have on our consolidated financial statements and related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SPONSORED FUNDS - AVAILABLE FOR SALE.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are investments we have made for both general corporate investment purposes and to provide seed capital for newly formed funds. These sponsored funds were determined to be voting interest entities and are classified as available-for-sale. These investments are carried at fair value using the quoted closing net asset value, or NAV, per share of each fund as of the balance sheet date. Changes in net unrealized holding gains or losses on these investments are recognized in other comprehensive income.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review the carrying amount of each investment on a quarterly basis and recognize an impairment charge in non-operating investment income whenever an unrealized loss is considered other than temporary. In determining whether a fund holding is other-than-temporarily impaired, we consider various factors, including the duration of time it has existed, the severity of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00"/>
          </w:cols>
          <w:pgMar w:left="240" w:top="125" w:right="259" w:bottom="1440" w:gutter="0" w:footer="0" w:header="0"/>
        </w:sectPr>
      </w:pPr>
    </w:p>
    <w:bookmarkStart w:id="43" w:name="page44"/>
    <w:bookmarkEnd w:id="43"/>
    <w:p>
      <w:pPr>
        <w:jc w:val="center"/>
        <w:ind w:right="-27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impairment, any subsequent changes in value, and our intent and ability to hold the fund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impairment if particular circumstances of the underlying investment do not warrant our belief that a near-term recovery is possible.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method investments consist of investments in entities over which we do not exercise significant influence over the operating and financial policies of the investee.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Equity method investments consist of investments in entities, including sponsored portfolios, over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 denominated financial statements into U.S. dollars, and dividends received. Our proportionate share of income or loss is included in non-operating investment income in the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9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evaluate our equity and cost method investments for impairment when events or changes in circumstances indicate that the carrying value of the investment exceeds its fair value, and the decline in fair value is other than temporary.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Investments held as trading consist of the underlying securities of sponsored portfolios in which we have a controlling financial interest and sponsored portfolio investments we expect to hold for only a short period of time. These investments are generally the initial seed investments we make at the portfolio's formation. If we are deemed to have a controlling financial interest in the sponsored portfolio, we will consolidate the investment, and the portfolio's underlying securities are accounted for as trading securities. These investments are carried at fair value, with changes in fair value recognized in non-operating investment income. The valuation policies, methods, and sources for these investments are the same as those employed by the T. Rowe Price U.S. mutual funds to price similar investment holdings as further described under our revenue recognition policy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investments in sponsored funds and investments held as trading expose us to market risk, that is, the potential future loss of value that would result from a decline in the fair value of each investment or its underlying net assets. Our underlying holdings of our assets under management are also subject to market risk, which may arise from changes in equity prices, credit ratings, foreign currency exchange rates, and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4 years; buildings and improvements, 33 years; leasehold improvements, 8 years; furniture and other equipment, 7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380"/>
          </w:cols>
          <w:pgMar w:left="240" w:top="125" w:right="279" w:bottom="1440" w:gutter="0" w:footer="0" w:header="0"/>
        </w:sectPr>
      </w:pPr>
    </w:p>
    <w:bookmarkStart w:id="44" w:name="page45"/>
    <w:bookmarkEnd w:id="44"/>
    <w:p>
      <w:pPr>
        <w:jc w:val="center"/>
        <w:ind w:right="-25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Fees for investment advisory services, which are based on a percentage of assets under management, and related administrative services that we provide to investment advisory clients, including our sponsored funds and portfolios, are recognized in the period that our services are provided.</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assets under management are valued in accordance with a valuation and pricing policy that defines the valuation and pricing processes for each major type of investment held in our sponsored U.S.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Distribution and servicing fees earned from 12b-1 plans of the Advisor Class, R Class, and Variable Annuity II Class shares of our sponsored U.S. mutual funds are recognized in the period that they are earned, which is the same period that the related mutual funds recognize their expense. These fees are offset entirely by the distribution and servicing costs paid to third-party financial intermediaries that source the assets of these share classes.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provide all services to the sponsored U.S. mutual funds under contracts that are subject to periodic review and approval by the funds’ Boards. Regulations require that the funds’ shareholders also approve material changes to investment advisory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maintain three stockholder-approved employee long-term incentive plans (2012 Long-Term Incentive Plan, 2004 Stock Incentive Plan, and 2001 Stock Incentive Plan, collectively the LTI Plans) and two stockholder-approved non-employee director plans (2007 Non-Employee Director Equity Plan and 1998 Director Stock Option Plan). We believe that our stock-based compensation programs align the interests of our employees and directors with those of our common stockholders. As of December 31, 2015, a total of 12,907,212 shares were available for future grant under the 2012 Long-Term Incentive Plan and the 2007 Non-Employee Director Equity Plan.</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Under our LTI Plans, we have issued restricted shares and restricted stock units to employees that settle in shares of our common stock after vesting. Vesting of these awards is based on the individual continuing to render service over an average 5.5-year graded schedule. All restricted shareholders and restricted stock unit holders receive non-forfeitable cash dividends and cash dividend equivalents, respectively, on our dividend payable date.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grant performance-based restricted shares and restricted stock units to certain executive officers in which the number of restricted shares or restricted stock units ultimately retained is determined based on achievement of certain performance thresholds. The number of restricted shares or restricted stock units retained is also subject to the same time-based vesting requirement as the other restricted shares or restricted stock units described above. Cash dividends and cash dividend equivalents are accrued and paid to the holders of performance-based restricted shares and restricted stock units only after the performance period has lapsed and the performance thresholds have been met.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our LTI plans, we have granted qualified incentive and nonqualified fixed stock options with a maximum term of 10 years to employees. Vesting of our employee option grants is based on the individual continuing to render service and generally occurs over an average 5.5-year graded schedule. The exercise price of each option granted is equivalent to the market price of the common stock at the date of grant.</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grant options, with a maximum term of 10 years, restricted shares and restricted stock units to non-employee directors under the stockholder approved 2007 Non-Employee Director Plan. These grants vest over six months to one year and, in the case of restricted stock units, are settled upon the non-employee directors’ departure from the Board. Non-employee directors holding restricted shares receive non-forfeitable dividends while restricted stock unit holders are issued non-forfeitable dividend equivalents in the form of vested stock units on our dividend payable date.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00"/>
          </w:cols>
          <w:pgMar w:left="240" w:top="125" w:right="259" w:bottom="1440" w:gutter="0" w:footer="0" w:header="0"/>
        </w:sectPr>
      </w:pPr>
    </w:p>
    <w:bookmarkStart w:id="45" w:name="page46"/>
    <w:bookmarkEnd w:id="45"/>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recognize the grant-date fair value of these awards as compensation expense ratably over the awards' requisite service period. The expense recognized includes an estimate of awards that will be forfeited and considers, in the case of our performance-based restricted shares and units, the probability of the performance thresholds being met. Both time-based and performance-based restricted shares and units are valued on the grant-date using the closing market price of our common stock. We use the Black-Scholes option-pricing model to estimate the fair value of each option grant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Weighted-average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2015</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 awarded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Assumptions used:</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the change in net unrealized security holding gains (losses), and the change in our currency translation adjustments. The currency translation adjustments result from translating our proportionate share of the financial statements of UTI, our equity method investment, and certain consolidated investment portfolios into U.S. dollars. Assets and liabilities are translated into U.S. dollars using year-end exchange rates, and revenues and expenses are translated using weighted-average exchange rates for the period.</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change in net unrealized security holding gains (losses) included those related to the debt securities held by our savings bank subsidiary up until December 2013 when we completed the sale of the bank. The investments held by the savings bank were in marketable debt securities, including mortgage-backed and other asset-backed securities and were classified as available-for-sale and reported at fair value.</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income statements to which the significant reclassifications were recognized.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125" w:right="239" w:bottom="1440" w:gutter="0" w:footer="0" w:header="0"/>
        </w:sectPr>
      </w:pPr>
    </w:p>
    <w:bookmarkStart w:id="46" w:name="page47"/>
    <w:bookmarkEnd w:id="46"/>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equivalent investments in our sponsored money market mutual funds aggregate $1,345.8 million at December 31, 2014, and $997.5 million at December 31, 2015. Dividends earned on these investments in each of the last three years were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$245.8 million at December 31, 2014, and $252.8 million at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426.0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3,022.6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3,687.3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during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720" w:type="dxa"/>
            <w:vAlign w:val="bottom"/>
            <w:tcBorders>
              <w:bottom w:val="single" w:sz="8" w:color="auto"/>
            </w:tcBorders>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As of December 31,</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383.0</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487.1</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209.8</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276.0</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763.1</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5.6% and 4.9% of our assets under management at December 31, 2014, and December 31,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Administrative fees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264.8</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296.1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 and servicing fees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117.2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143.6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125" w:right="239" w:bottom="1440" w:gutter="0" w:footer="0" w:header="0"/>
        </w:sectPr>
      </w:pPr>
    </w:p>
    <w:bookmarkStart w:id="47" w:name="page48"/>
    <w:bookmarkEnd w:id="47"/>
    <w:p>
      <w:pPr>
        <w:ind w:left="520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FUNDS - AVAILABLE-FOR-SALE.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millions) in sponsored funds accounted for as available-for-sale at December 31 include: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Unrealized holding</w:t>
            </w: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Gains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Losses</w:t>
            </w: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fair value</w:t>
            </w: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4"/>
              </w:rPr>
              <w:t>2014</w:t>
            </w:r>
          </w:p>
        </w:tc>
        <w:tc>
          <w:tcPr>
            <w:tcW w:w="4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505.4</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1,151.4</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1,613.3</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1,884.0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2015</w:t>
            </w:r>
          </w:p>
        </w:tc>
        <w:tc>
          <w:tcPr>
            <w:tcW w:w="4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428.6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1,012.5</w:t>
            </w: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1,419.1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1,612.3</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unrealized holding losses are attributable to 12 fund holdings with an aggregate fair value of $788.5 million at December 31, 2014, and 22 fund holdings with an aggregate fair value of $718.2 million at December 31, 2015. Of the 22 fund holdings at December 31, 2015, four fund holdings with an aggregate fair value of $298.6 million and unrealized holding losses of $10.4 million, were in a continuous unrealized loss position for 12 months or more. In addition to the duration of the impairments, we also reviewed their severity as well as our intent and ability to hold the funds for a period of time sufficient for an anticipated recovery in fair value. Accordingly, impairment of these fund holdings is considered temporary.</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Dividends, excluding capital gain distributions, earned on these sponsored mutual fund investments totaled $10.6 million in 2013, $14.7 million in 2014, and $18.1 million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fund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fund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held by consolidated sponsored investment portfolios, sponsored fund investments held as trading, and the sponsored fund investments treated as equity method investments relate to investment portfolios in which we provided initial seed capital at the time of its formation. We have determined at December 31, 2014, and December 31, 2015, that these investment portfolios are voting interest entities and, as a result, have consolidated those sponsored portfolios in which we own a majority of the voting interest.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2014 and 2015, we deconsolidated certain sponsored investment portfolios, in which we provided initial seed capital at the time of its formation, as we no longer had a controlling financial interest. Accordingly, we deconsolidated the carrying value of these investments, which at the deconsolidation dates, was $25.5 million in 2014 and $20.3 million in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47</w:t>
      </w:r>
    </w:p>
    <w:p>
      <w:pPr>
        <w:sectPr>
          <w:pgSz w:w="11900" w:h="16838" w:orient="portrait"/>
          <w:cols w:equalWidth="0" w:num="1">
            <w:col w:w="11420"/>
          </w:cols>
          <w:pgMar w:left="240" w:top="125" w:right="239" w:bottom="1440" w:gutter="0" w:footer="0" w:header="0"/>
          <w:type w:val="continuous"/>
        </w:sectPr>
      </w:pPr>
    </w:p>
    <w:bookmarkStart w:id="48" w:name="page49"/>
    <w:bookmarkEnd w:id="48"/>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2014, our consolidated investment portfolio was carried at fair value, and the investment portfolio's functional currency was U.S. dollars, therefore, we did not recognize any gain or loss in our consolidated statement of income upon deconsolidation. In 2015, the deconsolidation of a sponsored investment portfolio resulted in the reclassification of the accumulated currency translation loss of $5.8 million recognized in accumulated other comprehensive income to non-operating investment income. The currency translation loss had been accumulated as the investment portfolio's functional currency was the Australian dollar. The impact of the deconsolidation on our consolidated balance sheet was immaterial. We are reporting our residual interests in these sponsored investment portfolios as equity method investments.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2015, we had outstanding commitments to make additional contributions totaling $48.2 million to various investment partnerships. The vast majority of these additional contributions will be made to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820" w:right="680" w:hanging="161"/>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820" w:right="40" w:hanging="161"/>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of our investments using Level 3 inputs.</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material transfers between the levels in 2014 or 2015. The following table summarizes our investments (in millions) that are recognized in our consolidated balance sheets at year-end using fair value measurements determined based on the differing levels of inputs.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Level 2</w:t>
            </w: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4"/>
              </w:rPr>
              <w:t>2014</w:t>
            </w:r>
          </w:p>
        </w:tc>
        <w:tc>
          <w:tcPr>
            <w:tcW w:w="79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3,257.5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52.2</w:t>
            </w:r>
          </w:p>
        </w:tc>
      </w:tr>
      <w:tr>
        <w:trPr>
          <w:trHeight w:val="311"/>
        </w:trPr>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84"/>
              </w:rPr>
              <w:t>2015</w:t>
            </w:r>
          </w:p>
        </w:tc>
        <w:tc>
          <w:tcPr>
            <w:tcW w:w="7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125" w:right="239" w:bottom="1440" w:gutter="0" w:footer="0" w:header="0"/>
        </w:sectPr>
      </w:pPr>
    </w:p>
    <w:bookmarkStart w:id="49" w:name="page50"/>
    <w:bookmarkEnd w:id="49"/>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6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 millions) at December 31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610.8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607.1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$15.5 million in 2013, $19.6 million in 2014, and $22.3 million in 2015 have been capitalized.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lease computer and other equipment under noncancelable operating leases. Related rental expense was $31.5 million in 2013, $29.3 million in 2014, and $31.1 million in 2015. Future minimum payments under these leases aggregate $28.5 million in 2016, $26.5 million in 2017, $27.1 million in 2018, $26.8 million in 2019, $21.9 million in 2020, and $118.8 million in later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7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 (tax benefits)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652.7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773.5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779.4</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(tax benefits) recognized as part of our provision for income taxes is related 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4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2013</w:t>
            </w:r>
          </w:p>
        </w:tc>
        <w:tc>
          <w:tcPr>
            <w:tcW w:w="5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Accrued and deferred compensation</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6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Other-than-temporary impairments of sponsored fund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6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taxes (tax benefits)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2015, the income tax benefits recognized for accrued and deferred compensation are primarily related to the deferral of year-end bonuses by certain employees under our supplemental savings plan. Effective January 1, 2015, the supplemental savings plan provides certain senior officers the opportunity to defer any portion of their cash incentive compensation earned for a respective calendar year during which services are provided for a period of two years or more.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2015</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Statutory U.S. federal income tax rate</w:t>
            </w:r>
          </w:p>
        </w:tc>
        <w:tc>
          <w:tcPr>
            <w:tcW w:w="580" w:type="dxa"/>
            <w:vAlign w:val="bottom"/>
          </w:tcPr>
          <w:p>
            <w:pPr>
              <w:jc w:val="right"/>
              <w:spacing w:after="0"/>
              <w:rPr>
                <w:sz w:val="20"/>
                <w:szCs w:val="20"/>
                <w:color w:val="auto"/>
              </w:rPr>
            </w:pPr>
            <w:r>
              <w:rPr>
                <w:rFonts w:ascii="Arial" w:cs="Arial" w:eastAsia="Arial" w:hAnsi="Arial"/>
                <w:sz w:val="18"/>
                <w:szCs w:val="18"/>
                <w:color w:val="auto"/>
                <w:w w:val="92"/>
              </w:rPr>
              <w:t>35.0 %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Other items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7"/>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38.4 %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(in millions) recognized in our consolidated balance sheets in other assets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in other comprehensive income on net unrealized holding gains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other-than-temporary impairments of investments in sponsored funds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Recognized in other comprehensive income on currency translation adjustment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 deferred tax liability for unremitted earnings of our foreign subsidiaries has not been recognized, as it is our intention to indefinitely reinvest these earnings outside the U.S. The unremitted earnings of these subsidiaries are estimated to be $345 million at December 31, 2015. If these earnings were distributed to the U.S. in the form of dividends or otherwise, or if any of the entities were sold or otherwise transferred, we would be subject to U.S. income taxes, less any foreign tax credits. Determination of the amount of the unrecognized deferred tax liability related to these earnings is not practicable.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includes tax refund receivables of $61.7 million at December 31, 2014, and $2.4 million at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outflows from operating activities include net income taxes paid of $532.9 million in 2013, $763.7 million in 2014, and $778.6 million in 2015.</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Additional income tax benefits of $45.9 million in 2013, $53.4 million in 2014, and $23.2 million in 2015 arising from stock-based compensation plans activity reduced the amount of income taxes that would have otherwise been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2013</w:t>
            </w:r>
          </w:p>
        </w:tc>
        <w:tc>
          <w:tcPr>
            <w:tcW w:w="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Expired statute of limitations</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2015 and prior years will significantly change in 2016. The U.S. has concluded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examinations related to federal tax obligations through the year 2014. A net interest payable related to our unrecognized tax benefits of $1.3 million at December 31, 2014, and $.9 million at December 31, 2015,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8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19,791,431 common shares as of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Regular cash dividends declared per share were $1.52 in 2013, $1.76 in 2014, and $2.08 in 2015. A $2.00 per share special dividend was also declared and paid during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CAPITAL.</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consolidated stockholders' equity at December 31, 2015, includes about $108 million that is restricted as to use by various regulations and agreements arising in the ordinary course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9  – STOCK-BASED COMPENSATION.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EFFECT OF SPECIAL CASH DIVIDEND.</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result of the special cash dividend declared by the Board of Directors in February 2015, the anti-dilution provisions of our employee long-term incentive plans and non-employee director plans (collectively, the LTI Plans) require an automatic adjustment to neutralize the effect of the special dividend. On the special dividend's ex-dividend date (April 7, 2015), the number of shares authorized and the number of stock options outstanding and their exercise price were adjusted resulting in an increase of 749,578 stock options outstanding on the ex-dividend date and no incremental compensation expense.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At December 31, 2015, a total of 46,000,781 shares of unissued common stock were authorized for issuance under our stock-based compensation plans. Additionally, a total of 3,497,692 shares are authorized for issuance under a plan whereby substantially all employees may acquire common stock through payroll deductions at prevailing market prices.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380"/>
          </w:cols>
          <w:pgMar w:left="240" w:top="125" w:right="279" w:bottom="1440" w:gutter="0" w:footer="0" w:header="0"/>
        </w:sectPr>
      </w:pPr>
    </w:p>
    <w:bookmarkStart w:id="52" w:name="page53"/>
    <w:bookmarkEnd w:id="52"/>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status of and changes in our stock option grants during 2015. All numbers have been adjusted to reflect the effect of the special dividend as noted above.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Weighted-average</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remaining</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average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contractual</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exercise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term in</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2"/>
              </w:rPr>
              <w:t>price</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December 31, 2014</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30,463,211</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55.63</w:t>
            </w: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3,948,307</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75.95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New hire grants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45,397</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71.88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17,400</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78.18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(3,173,793)</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44.15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(479,153)</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68.77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Pr>
          <w:p>
            <w:pPr>
              <w:jc w:val="right"/>
              <w:spacing w:after="0"/>
              <w:rPr>
                <w:sz w:val="20"/>
                <w:szCs w:val="20"/>
                <w:color w:val="auto"/>
              </w:rPr>
            </w:pPr>
            <w:r>
              <w:rPr>
                <w:rFonts w:ascii="Arial" w:cs="Arial" w:eastAsia="Arial" w:hAnsi="Arial"/>
                <w:sz w:val="18"/>
                <w:szCs w:val="18"/>
                <w:color w:val="auto"/>
              </w:rPr>
              <w:t>(3,140)</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63.33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30,818,229</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59.24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Exercisable at December 31, 2015</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19,852,243</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52.23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Compensation and related costs includes a charge for stock option-based compensation expense of $64.2 million in 2013, $63.4 million in 2014, and $63.7 million in 2015.</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$182.6 million in 2013, $196.5 million in 2014, and $108.1 million in 2015. At December 31, 2015, the aggregate intrinsic value of in-the-money options outstanding was $419.4 million, including $387.2 million related to options exercisable.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Restricted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Weighted-</w:t>
            </w:r>
          </w:p>
        </w:tc>
      </w:tr>
      <w:tr>
        <w:trPr>
          <w:trHeight w:val="216"/>
        </w:trPr>
        <w:tc>
          <w:tcPr>
            <w:tcW w:w="6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Restricted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stock</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6"/>
              </w:rPr>
              <w:t>average</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5"/>
              </w:rPr>
              <w:t>fair value</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December 31, 2014</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2,061,559</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1,006,753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72.79</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 time-based vesting</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1,447,307</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 - performance-based vesting</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91,321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75.33</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(value at vest date was $60.1 million)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(546,179)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(270,802)</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(59,303)</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(58,148)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73.46</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1,470,827</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2,216,431</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74.66</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nonvested at December 31, 2015, includes 21,600 performance-based restricted shares and 201,181 performance-based restricted stock units. These nonvested performance-based restricted shares and units include 21,600 shares and 109,860 units for which the performance period has lapsed and the performance threshold has been met.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$50.4 million in 2013, $70.0 million in 2014, and $85.3 million in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2015, non-employee directors held 58,909 vested stock units that will convert to common shares upon their separation from the Board.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20"/>
          </w:cols>
          <w:pgMar w:left="240" w:top="125" w:right="239" w:bottom="1440" w:gutter="0" w:footer="0" w:header="0"/>
        </w:sectPr>
      </w:pPr>
    </w:p>
    <w:bookmarkStart w:id="53" w:name="page54"/>
    <w:bookmarkEnd w:id="53"/>
    <w:p>
      <w:pPr>
        <w:jc w:val="center"/>
        <w:ind w:left="26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compensation awards outstanding at December 31, 2015. Estimated future compensation expense will change to reflect future awards, including options, unrestricted shares, restricted shares, and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quarter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2016</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2017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1025" w:hanging="1025"/>
        <w:spacing w:after="0"/>
        <w:tabs>
          <w:tab w:leader="none" w:pos="10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31.6</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30.5</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30.5</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26.8</w:t>
      </w:r>
    </w:p>
    <w:p>
      <w:pPr>
        <w:spacing w:after="0" w:line="1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119.4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128.1</w:t>
      </w:r>
    </w:p>
    <w:p>
      <w:pPr>
        <w:spacing w:after="0" w:line="77" w:lineRule="exact"/>
        <w:rPr>
          <w:sz w:val="20"/>
          <w:szCs w:val="20"/>
          <w:color w:val="auto"/>
        </w:rPr>
      </w:pPr>
    </w:p>
    <w:p>
      <w:pPr>
        <w:ind w:left="925" w:hanging="925"/>
        <w:spacing w:after="0"/>
        <w:tabs>
          <w:tab w:leader="none" w:pos="9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247.5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125" w:right="2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 10 – EARNINGS PER SHARE CALCULATIONS.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1,223.0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1,215.4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1,206.9</w:t>
            </w:r>
          </w:p>
        </w:tc>
      </w:tr>
      <w:tr>
        <w:trPr>
          <w:trHeight w:val="311"/>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assuming dilution</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64"/>
        </w:trPr>
        <w:tc>
          <w:tcPr>
            <w:tcW w:w="7780" w:type="dxa"/>
            <w:vAlign w:val="bottom"/>
            <w:gridSpan w:val="2"/>
          </w:tcPr>
          <w:p>
            <w:pPr>
              <w:jc w:val="right"/>
              <w:ind w:right="3770"/>
              <w:spacing w:after="0"/>
              <w:rPr>
                <w:sz w:val="20"/>
                <w:szCs w:val="20"/>
                <w:color w:val="auto"/>
              </w:rPr>
            </w:pPr>
            <w:r>
              <w:rPr>
                <w:rFonts w:ascii="Arial" w:cs="Arial" w:eastAsia="Arial" w:hAnsi="Arial"/>
                <w:sz w:val="18"/>
                <w:szCs w:val="18"/>
                <w:color w:val="auto"/>
                <w:w w:val="90"/>
              </w:rPr>
              <w:t>Weighted-average outstanding stock options excluded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0"/>
        </w:trPr>
        <w:tc>
          <w:tcPr>
            <w:tcW w:w="6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125" w:right="239" w:bottom="1440" w:gutter="0" w:footer="0" w:header="0"/>
          <w:type w:val="continuous"/>
        </w:sectPr>
      </w:pPr>
    </w:p>
    <w:bookmarkStart w:id="54" w:name="page55"/>
    <w:bookmarkEnd w:id="54"/>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11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benefits (income taxes) impact of the components (in millions) of other comprehensive income.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benefits (income taxes) on:</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unrealized holding gains or losses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Reclassification adjustments: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Recognized in the provision for income taxes related to capital gain distributions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Recognized in the provision for income taxes related to net gains realized on</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dispositions</w:t>
            </w:r>
          </w:p>
        </w:tc>
        <w:tc>
          <w:tcPr>
            <w:tcW w:w="9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Recognized in the provision for income taxes relating to other-than-temporary</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9"/>
              </w:rPr>
              <w:t>Recognized in non-operating investment income for net unrealized holding gains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derecognized upon the sale of savings bank subsidiary</w:t>
            </w:r>
          </w:p>
        </w:tc>
        <w:tc>
          <w:tcPr>
            <w:tcW w:w="9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in other comprehensive income</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adjustment recognized in the provision for income taxes upon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deconsolidation of sponsored fund subsidiary</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tax benefits on currency translation adjustments</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benefits (income taxes)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20"/>
          </w:cols>
          <w:pgMar w:left="240" w:top="125" w:right="239" w:bottom="1440" w:gutter="0" w:footer="0" w:header="0"/>
        </w:sectPr>
      </w:pPr>
    </w:p>
    <w:bookmarkStart w:id="55" w:name="page56"/>
    <w:bookmarkEnd w:id="55"/>
    <w:p>
      <w:pPr>
        <w:jc w:val="center"/>
        <w:ind w:right="-23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millions) in each component of accumulated other comprehensive income for each year ended December 31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Net unrealized holding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23495</wp:posOffset>
            </wp:positionV>
            <wp:extent cx="3129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Debt securities</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Equity share of</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Total net</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Investments in</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UTI’s net</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held by savings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sponsored funds</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bank subsidiary</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investment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investment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investment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12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RETIREMENT PLANS.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$61.8 million in 2013, $70.6 million in 2014, and $74.9 million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SAVINGS BANK SUBSIDIARY.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23, 2013, we entered into an agreement to sell 100% of the capital stock of our savings bank subsidiary to Jacob M. Safra for cash equal to the bank's net book value on the closing date plus $500,000. We completed the sale on December 5, 2013, for proceeds of $23.6 million. The total gain we recognized in non-operating investment income also included $1.0 million of net unrealized holding gains previously recognized on the saving bank's available-for-sale portfolio that were reclassified from accumulated other comprehensive income.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ind w:left="520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13 – SUPPLEMENTARY QUARTERLY FINANCIAL DATA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Basic earnings on</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Diluted earnings on</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Net revenues</w:t>
            </w: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4"/>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common stock</w:t>
            </w: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(in millions)</w:t>
            </w:r>
          </w:p>
        </w:tc>
        <w:tc>
          <w:tcPr>
            <w:tcW w:w="13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gridSpan w:val="3"/>
          </w:tcPr>
          <w:p>
            <w:pPr>
              <w:jc w:val="right"/>
              <w:ind w:right="1330"/>
              <w:spacing w:after="0"/>
              <w:rPr>
                <w:sz w:val="20"/>
                <w:szCs w:val="20"/>
                <w:color w:val="auto"/>
              </w:rPr>
            </w:pPr>
            <w:r>
              <w:rPr>
                <w:rFonts w:ascii="Arial" w:cs="Arial" w:eastAsia="Arial" w:hAnsi="Arial"/>
                <w:sz w:val="18"/>
                <w:szCs w:val="18"/>
                <w:color w:val="auto"/>
              </w:rPr>
              <w:t>(per share)</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2014</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954.6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1,020.8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1,022.4</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2015</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1,027.0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1,072.4</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1,049.0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3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1,052.2</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sums of quarterly earnings per share do not equal annual earnings per share because the computations are done independently.</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020"/>
          </w:cols>
          <w:pgMar w:left="240" w:top="125" w:right="639" w:bottom="1440" w:gutter="0" w:footer="0" w:header="0"/>
        </w:sectPr>
      </w:pPr>
    </w:p>
    <w:bookmarkStart w:id="57" w:name="page58"/>
    <w:bookmarkEnd w:id="57"/>
    <w:p>
      <w:pPr>
        <w:ind w:left="520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2015 and 2014, and the related consolidated statements of income, comprehensive income, stockholders’ equity, and cash flows for each of the years in the three-year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2015 and 2014, and the results of their operations and their cash flows for each of the years in the three-year period ended December 31, 2015, in conformity with U.S. generally accepted accounting principles.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 Rowe Price Group, Inc.’s internal control over financial reporting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and our report dated February 5, 2016 expressed an unqualified opinion on the effectiveness of T. Rowe Price Group, Inc.’s internal control over financial reporting.</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380"/>
          </w:cols>
          <w:pgMar w:left="240" w:top="125" w:right="279" w:bottom="1440" w:gutter="0" w:footer="0" w:header="0"/>
        </w:sectPr>
      </w:pPr>
    </w:p>
    <w:bookmarkStart w:id="58" w:name="page59"/>
    <w:bookmarkEnd w:id="58"/>
    <w:p>
      <w:pPr>
        <w:jc w:val="center"/>
        <w:ind w:right="-27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2015. Based on that evaluation, our principal executive and principal financial officers have concluded that our disclosure controls and procedures as of December 31, 2015,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2015, and has concluded that there was no change during the fourth quarter of 2015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380"/>
          </w:cols>
          <w:pgMar w:left="240" w:top="125" w:right="279" w:bottom="1440" w:gutter="0" w:footer="0" w:header="0"/>
        </w:sectPr>
      </w:pPr>
    </w:p>
    <w:bookmarkStart w:id="59" w:name="page60"/>
    <w:bookmarkEnd w:id="59"/>
    <w:p>
      <w:pPr>
        <w:jc w:val="center"/>
        <w:ind w:right="-31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Inc.,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2015,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assessment, we believe that the company’s internal control over financial reporting was effective as of December 31, 2015.</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2015.</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340"/>
          </w:cols>
          <w:pgMar w:left="240" w:top="125" w:right="319" w:bottom="1440" w:gutter="0" w:footer="0" w:header="0"/>
        </w:sectPr>
      </w:pPr>
    </w:p>
    <w:bookmarkStart w:id="60" w:name="page61"/>
    <w:bookmarkEnd w:id="60"/>
    <w:p>
      <w:pPr>
        <w:ind w:left="520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 Rowe Price Group, Inc. ’s (“the Company”) internal control over financial reporting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In our opinion, T. Rowe Price Group,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2015 and 2014, and the related consolidated statements of income, comprehensive income, stockholders’ equity, and cash flows for each of the years in the three-year period ended December 31, 2015, and our report dated February 5, 2016, expressed an unqualified opinion on those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360"/>
          </w:cols>
          <w:pgMar w:left="240" w:top="125" w:right="299" w:bottom="1440" w:gutter="0" w:footer="0" w:header="0"/>
        </w:sectPr>
      </w:pPr>
    </w:p>
    <w:bookmarkStart w:id="61" w:name="page62"/>
    <w:bookmarkEnd w:id="61"/>
    <w:p>
      <w:pPr>
        <w:jc w:val="center"/>
        <w:ind w:right="-279"/>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2016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2016 Annual Meeting of our stockholders.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Financial Statement Schedules.</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500" w:hanging="465"/>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84" w:lineRule="exact"/>
        <w:rPr>
          <w:rFonts w:ascii="Arial" w:cs="Arial" w:eastAsia="Arial" w:hAnsi="Arial"/>
          <w:sz w:val="18"/>
          <w:szCs w:val="18"/>
          <w:color w:val="auto"/>
        </w:rPr>
      </w:pPr>
    </w:p>
    <w:p>
      <w:pPr>
        <w:ind w:left="500" w:hanging="465"/>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4" w:lineRule="exact"/>
        <w:rPr>
          <w:rFonts w:ascii="Arial" w:cs="Arial" w:eastAsia="Arial" w:hAnsi="Arial"/>
          <w:sz w:val="18"/>
          <w:szCs w:val="18"/>
          <w:color w:val="auto"/>
        </w:rPr>
      </w:pPr>
    </w:p>
    <w:p>
      <w:pPr>
        <w:ind w:left="500" w:right="480" w:hanging="465"/>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10.07 through 10.19.2.</w:t>
      </w:r>
    </w:p>
    <w:p>
      <w:pPr>
        <w:spacing w:after="0" w:line="13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w:t>
            </w:r>
          </w:p>
        </w:tc>
        <w:tc>
          <w:tcPr>
            <w:tcW w:w="9760" w:type="dxa"/>
            <w:vAlign w:val="bottom"/>
          </w:tcPr>
          <w:p>
            <w:pPr>
              <w:ind w:left="58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7"/>
              </w:rPr>
              <w:t>from Form 10-Q Report for the quarterly period ended March 31, 2008 filed on April 24, 2008;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9760" w:type="dxa"/>
            <w:vAlign w:val="bottom"/>
          </w:tcPr>
          <w:p>
            <w:pPr>
              <w:ind w:left="580"/>
              <w:spacing w:after="0"/>
              <w:rPr>
                <w:sz w:val="20"/>
                <w:szCs w:val="20"/>
                <w:color w:val="auto"/>
              </w:rPr>
            </w:pPr>
            <w:r>
              <w:rPr>
                <w:rFonts w:ascii="Arial" w:cs="Arial" w:eastAsia="Arial" w:hAnsi="Arial"/>
                <w:sz w:val="18"/>
                <w:szCs w:val="18"/>
                <w:color w:val="auto"/>
                <w:w w:val="91"/>
              </w:rPr>
              <w:t>Amended and Restated By-Laws of T. Rowe Price Group, Inc. as of February 12, 2009. (Incorporated by reference from Form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8-K Current Report filed on December 10, 2015;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10.01.1</w:t>
            </w:r>
          </w:p>
        </w:tc>
        <w:tc>
          <w:tcPr>
            <w:tcW w:w="9760" w:type="dxa"/>
            <w:vAlign w:val="bottom"/>
          </w:tcPr>
          <w:p>
            <w:pPr>
              <w:ind w:left="580"/>
              <w:spacing w:after="0"/>
              <w:rPr>
                <w:sz w:val="20"/>
                <w:szCs w:val="20"/>
                <w:color w:val="auto"/>
              </w:rPr>
            </w:pPr>
            <w:r>
              <w:rPr>
                <w:rFonts w:ascii="Arial" w:cs="Arial" w:eastAsia="Arial" w:hAnsi="Arial"/>
                <w:sz w:val="18"/>
                <w:szCs w:val="18"/>
                <w:color w:val="auto"/>
                <w:w w:val="90"/>
              </w:rPr>
              <w:t>Representative Investment Management Agreement for the T. Rowe Price mutual funds that pay a management fee consisting</w:t>
            </w:r>
          </w:p>
        </w:tc>
      </w:tr>
      <w:tr>
        <w:trPr>
          <w:trHeight w:val="216"/>
        </w:trPr>
        <w:tc>
          <w:tcPr>
            <w:tcW w:w="1120" w:type="dxa"/>
            <w:vAlign w:val="bottom"/>
          </w:tcPr>
          <w:p>
            <w:pPr>
              <w:spacing w:after="0"/>
              <w:rPr>
                <w:sz w:val="18"/>
                <w:szCs w:val="18"/>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8"/>
              </w:rPr>
              <w:t>of two components - a group management fee and individual management fee. (Incorporated by reference from Form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485BPOS filed on August 12, 2015; File No. 002-65539.)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10.01.2</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Investment Management Agreement for the T. Rowe Price mutual funds that pay an individual management</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fee. (Incorporated by reference from Form 485BPOS filed on August 14, 2014;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10.01.3</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Investment Management Agreement for the T. Rowe Price mutual funds that pay an all-inclusive fee (i.e., a</w:t>
            </w:r>
          </w:p>
        </w:tc>
      </w:tr>
      <w:tr>
        <w:trPr>
          <w:trHeight w:val="216"/>
        </w:trPr>
        <w:tc>
          <w:tcPr>
            <w:tcW w:w="1120" w:type="dxa"/>
            <w:vAlign w:val="bottom"/>
          </w:tcPr>
          <w:p>
            <w:pPr>
              <w:spacing w:after="0"/>
              <w:rPr>
                <w:sz w:val="18"/>
                <w:szCs w:val="18"/>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single fee that covers investment management and ordinary recurring operating expenses). (Incorporated by reference from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Form 485BPOS filed on April 23, 2014; File No. 333-84634.)</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10.02</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Underwriting Agreement between a T. Rowe Price mutual fund and T. Rowe Price Investment Services, Inc.</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(Incorporated by reference from Form N-1A/A filed on August 29, 2006; File No. 333-136805.)</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10.03</w:t>
            </w:r>
          </w:p>
        </w:tc>
        <w:tc>
          <w:tcPr>
            <w:tcW w:w="9760" w:type="dxa"/>
            <w:vAlign w:val="bottom"/>
          </w:tcPr>
          <w:p>
            <w:pPr>
              <w:ind w:left="580"/>
              <w:spacing w:after="0"/>
              <w:rPr>
                <w:sz w:val="20"/>
                <w:szCs w:val="20"/>
                <w:color w:val="auto"/>
              </w:rPr>
            </w:pPr>
            <w:r>
              <w:rPr>
                <w:rFonts w:ascii="Arial" w:cs="Arial" w:eastAsia="Arial" w:hAnsi="Arial"/>
                <w:sz w:val="18"/>
                <w:szCs w:val="18"/>
                <w:color w:val="auto"/>
                <w:w w:val="92"/>
              </w:rPr>
              <w:t>Transfer Agency and Service Agreement as of January 1, 2015, between T. Rowe Price Services, Inc. and the T. Rowe Price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27, 2015; File No. 033-16567.)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9760" w:type="dxa"/>
            <w:vAlign w:val="bottom"/>
          </w:tcPr>
          <w:p>
            <w:pPr>
              <w:ind w:left="580"/>
              <w:spacing w:after="0"/>
              <w:rPr>
                <w:sz w:val="20"/>
                <w:szCs w:val="20"/>
                <w:color w:val="auto"/>
              </w:rPr>
            </w:pPr>
            <w:r>
              <w:rPr>
                <w:rFonts w:ascii="Arial" w:cs="Arial" w:eastAsia="Arial" w:hAnsi="Arial"/>
                <w:sz w:val="18"/>
                <w:szCs w:val="18"/>
                <w:color w:val="auto"/>
                <w:w w:val="94"/>
              </w:rPr>
              <w:t>Agreement as of January 1, 2015, between T. Rowe Price Retirement Plan Services, Inc. and certain of the T. Rowe Price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27, 2015; File No. 033-16567.)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10.05</w:t>
            </w:r>
          </w:p>
        </w:tc>
        <w:tc>
          <w:tcPr>
            <w:tcW w:w="9760" w:type="dxa"/>
            <w:vAlign w:val="bottom"/>
          </w:tcPr>
          <w:p>
            <w:pPr>
              <w:ind w:left="580"/>
              <w:spacing w:after="0"/>
              <w:rPr>
                <w:sz w:val="20"/>
                <w:szCs w:val="20"/>
                <w:color w:val="auto"/>
              </w:rPr>
            </w:pPr>
            <w:r>
              <w:rPr>
                <w:rFonts w:ascii="Arial" w:cs="Arial" w:eastAsia="Arial" w:hAnsi="Arial"/>
                <w:sz w:val="18"/>
                <w:szCs w:val="18"/>
                <w:color w:val="auto"/>
                <w:w w:val="91"/>
              </w:rPr>
              <w:t>Agreement as of January 1, 2014, between T. Rowe Price Associates, Inc. and the T. Rowe Price Funds for Fund Accounting</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Services. (Incorporated by reference from Form 485BPOS filed on April 27, 2015; File No. 033-16567.)</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Page 61</w:t>
      </w:r>
    </w:p>
    <w:p>
      <w:pPr>
        <w:sectPr>
          <w:pgSz w:w="11900" w:h="16838" w:orient="portrait"/>
          <w:cols w:equalWidth="0" w:num="1">
            <w:col w:w="11380"/>
          </w:cols>
          <w:pgMar w:left="240" w:top="125" w:right="27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80" w:type="dxa"/>
            <w:vAlign w:val="bottom"/>
            <w:tcBorders>
              <w:bottom w:val="single" w:sz="8" w:color="661DE8"/>
            </w:tcBorders>
          </w:tcPr>
          <w:p>
            <w:pPr>
              <w:spacing w:after="0"/>
              <w:rPr>
                <w:rFonts w:ascii="Arial" w:cs="Arial" w:eastAsia="Arial" w:hAnsi="Arial"/>
                <w:sz w:val="18"/>
                <w:szCs w:val="18"/>
                <w:color w:val="661DE8"/>
                <w:w w:val="88"/>
              </w:rPr>
            </w:pPr>
            <w:hyperlink w:anchor="page1">
              <w:r>
                <w:rPr>
                  <w:rFonts w:ascii="Arial" w:cs="Arial" w:eastAsia="Arial" w:hAnsi="Arial"/>
                  <w:sz w:val="18"/>
                  <w:szCs w:val="18"/>
                  <w:color w:val="661DE8"/>
                  <w:w w:val="88"/>
                </w:rPr>
                <w:t>Table of Contents</w:t>
              </w:r>
            </w:hyperlink>
          </w:p>
        </w:tc>
        <w:tc>
          <w:tcPr>
            <w:tcW w:w="4880" w:type="dxa"/>
            <w:vAlign w:val="bottom"/>
          </w:tcPr>
          <w:p>
            <w:pPr>
              <w:spacing w:after="0"/>
              <w:rPr>
                <w:sz w:val="17"/>
                <w:szCs w:val="17"/>
                <w:color w:val="auto"/>
              </w:rPr>
            </w:pPr>
          </w:p>
        </w:tc>
      </w:tr>
      <w:tr>
        <w:trPr>
          <w:trHeight w:val="749"/>
        </w:trPr>
        <w:tc>
          <w:tcPr>
            <w:tcW w:w="1120" w:type="dxa"/>
            <w:vAlign w:val="bottom"/>
          </w:tcPr>
          <w:p>
            <w:pPr>
              <w:spacing w:after="0"/>
              <w:rPr>
                <w:sz w:val="20"/>
                <w:szCs w:val="20"/>
                <w:color w:val="auto"/>
              </w:rPr>
            </w:pPr>
            <w:r>
              <w:rPr>
                <w:rFonts w:ascii="Arial" w:cs="Arial" w:eastAsia="Arial" w:hAnsi="Arial"/>
                <w:sz w:val="18"/>
                <w:szCs w:val="18"/>
                <w:color w:val="auto"/>
              </w:rPr>
              <w:t>10.07</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9"/>
              </w:rPr>
              <w:t>1998 Director Stock Option Plan, as Amended and Restated effective December 16, 2004, including forms of option</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agreements. (Incorporated by reference from Form 10-K for 2004 filed 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10.08</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Statements of additional terms and conditions for awards granted under the Amended and Restated 2007 Non-Employee</w:t>
            </w:r>
          </w:p>
        </w:tc>
      </w:tr>
      <w:tr>
        <w:trPr>
          <w:trHeight w:val="216"/>
        </w:trPr>
        <w:tc>
          <w:tcPr>
            <w:tcW w:w="1120" w:type="dxa"/>
            <w:vAlign w:val="bottom"/>
          </w:tcPr>
          <w:p>
            <w:pPr>
              <w:spacing w:after="0"/>
              <w:rPr>
                <w:sz w:val="18"/>
                <w:szCs w:val="18"/>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5"/>
              </w:rPr>
              <w:t>Director Equity Plans after February 12, 2009. (Incorporated by reference from Form 10-Q for the quarterly period ended</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March 31, 2009 filed on April 22, 2009; File No. 033-07012-99.)</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10.08.1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Amended and Restated 2007 Non-Employee Director Equity Plan.</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T. Rowe Price Group, Inc. Outside Directors Deferred Compensation Plan. (Incorporated by reference from Form 10-K for</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2004 filed 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2001 Stock Incentive Plan. (Incorporated by reference from Form DEFR 14A filed on February 26, 2001; File No. 033-07012-</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First Amendment to 2001 Stock Incentive Plan dated April 8, 2004. (Incorporated by reference from Form DEF 14A filed on</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February 27, 2004;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2"/>
              </w:rPr>
              <w:t>Second Amendment to 2001 Stock Incentive Plan dated December 12, 2008. (Incorporated by reference from Form 10-Q for</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the 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2004 Stock Incentive Plan. (Incorporated by reference from Form 10-K for 2007 filed on February 7, 2008; File No. 033-</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HM Revenue and Customs Approved Sub-Plan for UK Employees under the 2004 Stock Incentive Plan. (Incorporated by</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First Amendment to 2004 Stock Incentive Plan dated December 12, 2008. (Incorporated by reference from Form 10-Q for the</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89"/>
              </w:rPr>
              <w:t>Forms of agreements available for stock-based awards issued under the 2001 and 2004 Stock Incentive Plans. (Incorporated by</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Forms of agreement for stock options issued under the HM Revenue and Customs Approved Sub-Plan for UK Employees</w:t>
            </w:r>
          </w:p>
        </w:tc>
      </w:tr>
      <w:tr>
        <w:trPr>
          <w:trHeight w:val="216"/>
        </w:trPr>
        <w:tc>
          <w:tcPr>
            <w:tcW w:w="1120" w:type="dxa"/>
            <w:vAlign w:val="bottom"/>
          </w:tcPr>
          <w:p>
            <w:pPr>
              <w:spacing w:after="0"/>
              <w:rPr>
                <w:sz w:val="18"/>
                <w:szCs w:val="18"/>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0"/>
              </w:rPr>
              <w:t>under the 2004 Stock Incentive Plan. (Incorporated by reference from Form 10-Q for the quarterly period ended June 30, 2010</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Forms of agreement for stock options issued after February 2, 2012 under the 2004 Stock Incentive Plan. (Incorporated by</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reference from Form 10-Q for the quarterly period ended June 30, 2012 filed on July 25, 2012;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 for restricted stock units issued after February 2, 2012 under the 2004 Stock Incentive Plan. (Incorporated</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by reference from Form 10-Q for the quarterly period ended June 30, 2012 filed on July 25, 2012;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10.15.4</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9"/>
              </w:rPr>
              <w:t>Forms of agreement for restricted stock awards issued after February 2, 2012 under the 2004 Stock Incentive Plan.</w:t>
            </w:r>
          </w:p>
        </w:tc>
      </w:tr>
      <w:tr>
        <w:trPr>
          <w:trHeight w:val="216"/>
        </w:trPr>
        <w:tc>
          <w:tcPr>
            <w:tcW w:w="1120" w:type="dxa"/>
            <w:vAlign w:val="bottom"/>
          </w:tcPr>
          <w:p>
            <w:pPr>
              <w:spacing w:after="0"/>
              <w:rPr>
                <w:sz w:val="18"/>
                <w:szCs w:val="18"/>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(Incorporated by reference from Form 10-Q for the quarterly period ended June 30, 2012 filed on July 25, 2012; File No. 033-</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Annual Incentive Compensation Pool. (Incorporated by reference from Form DEF 14A filed on March 3, 2003; File No. 033-</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Policy for Recoupment of Incentive Compensation. (Incorporated by reference from Form 8-K Current Report as of April 14,</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2010 filed on April 16,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2"/>
              </w:rPr>
              <w:t>2012 Long-term Incentive Plan. (Incorporated by reference from Form 10-K for 2012 filed on February 4, 2013; File No. 000-</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32191.)</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for restricted stock awards issued under the 2012 Long-term Incentive Plan. (Incorporated by reference</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from Form 10-Q Report for the quarterly period ended June 30, 2012 filed on July 25, 2012;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 for restricted stock units issued under the 2012 Long-term Incentive Plan. (Incorporated by reference from</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Form 10-Q Report for the quarterly period ended June 30, 2012 filed on July 25, 2012; File No. 000-32191.)</w:t>
            </w:r>
          </w:p>
        </w:tc>
      </w:tr>
    </w:tbl>
    <w:p>
      <w:pPr>
        <w:spacing w:after="0" w:line="200" w:lineRule="exact"/>
        <w:rPr>
          <w:sz w:val="20"/>
          <w:szCs w:val="20"/>
          <w:color w:val="auto"/>
        </w:rPr>
      </w:pPr>
    </w:p>
    <w:p>
      <w:pPr>
        <w:sectPr>
          <w:pgSz w:w="11900" w:h="16838" w:orient="portrait"/>
          <w:cols w:equalWidth="0" w:num="1">
            <w:col w:w="10860"/>
          </w:cols>
          <w:pgMar w:left="740" w:top="108" w:right="299" w:bottom="1440" w:gutter="0" w:footer="0" w:header="0"/>
        </w:sectPr>
      </w:pPr>
    </w:p>
    <w:p>
      <w:pPr>
        <w:spacing w:after="0" w:line="393"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Page 62</w:t>
      </w:r>
    </w:p>
    <w:p>
      <w:pPr>
        <w:sectPr>
          <w:pgSz w:w="11900" w:h="16838" w:orient="portrait"/>
          <w:cols w:equalWidth="0" w:num="1">
            <w:col w:w="10860"/>
          </w:cols>
          <w:pgMar w:left="740" w:top="108" w:right="29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80" w:type="dxa"/>
            <w:vAlign w:val="bottom"/>
            <w:tcBorders>
              <w:bottom w:val="single" w:sz="8" w:color="661DE8"/>
            </w:tcBorders>
          </w:tcPr>
          <w:p>
            <w:pPr>
              <w:spacing w:after="0"/>
              <w:rPr>
                <w:rFonts w:ascii="Arial" w:cs="Arial" w:eastAsia="Arial" w:hAnsi="Arial"/>
                <w:sz w:val="18"/>
                <w:szCs w:val="18"/>
                <w:color w:val="661DE8"/>
                <w:w w:val="88"/>
              </w:rPr>
            </w:pPr>
            <w:hyperlink w:anchor="page1">
              <w:r>
                <w:rPr>
                  <w:rFonts w:ascii="Arial" w:cs="Arial" w:eastAsia="Arial" w:hAnsi="Arial"/>
                  <w:sz w:val="18"/>
                  <w:szCs w:val="18"/>
                  <w:color w:val="661DE8"/>
                  <w:w w:val="88"/>
                </w:rPr>
                <w:t>Table of Contents</w:t>
              </w:r>
            </w:hyperlink>
          </w:p>
        </w:tc>
        <w:tc>
          <w:tcPr>
            <w:tcW w:w="4900" w:type="dxa"/>
            <w:vAlign w:val="bottom"/>
          </w:tcPr>
          <w:p>
            <w:pPr>
              <w:spacing w:after="0"/>
              <w:rPr>
                <w:sz w:val="17"/>
                <w:szCs w:val="17"/>
                <w:color w:val="auto"/>
              </w:rPr>
            </w:pPr>
          </w:p>
        </w:tc>
      </w:tr>
      <w:tr>
        <w:trPr>
          <w:trHeight w:val="627"/>
        </w:trPr>
        <w:tc>
          <w:tcPr>
            <w:tcW w:w="1120" w:type="dxa"/>
            <w:vAlign w:val="bottom"/>
          </w:tcPr>
          <w:p>
            <w:pPr>
              <w:spacing w:after="0"/>
              <w:rPr>
                <w:sz w:val="20"/>
                <w:szCs w:val="20"/>
                <w:color w:val="auto"/>
              </w:rPr>
            </w:pPr>
            <w:r>
              <w:rPr>
                <w:rFonts w:ascii="Arial" w:cs="Arial" w:eastAsia="Arial" w:hAnsi="Arial"/>
                <w:sz w:val="18"/>
                <w:szCs w:val="18"/>
                <w:color w:val="auto"/>
              </w:rPr>
              <w:t>10.18.4</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of stock options issued under the 2012 Long-term Incentive Plan. (Incorporated by reference from Form</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10-Q Report for the quarterly period ended June 30, 2012 filed on July 25, 2012;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10.18.5</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1"/>
              </w:rPr>
              <w:t>HM Revenue and Customs Approved Sub-Plan for UK Employees under the 2012 Long-Term Incentive Plan. (Incorporated by</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5"/>
              </w:rPr>
              <w:t>reference from Form 10-Q for the quarterly period ended March 31, 2013 filed on April 24, 2013;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10.18.6</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Forms of Agreement for Stock Options issued under the HM Revenue and Customs Approved Sub-Plan for UK Employees</w:t>
            </w:r>
          </w:p>
        </w:tc>
      </w:tr>
      <w:tr>
        <w:trPr>
          <w:trHeight w:val="216"/>
        </w:trPr>
        <w:tc>
          <w:tcPr>
            <w:tcW w:w="1120" w:type="dxa"/>
            <w:vAlign w:val="bottom"/>
          </w:tcPr>
          <w:p>
            <w:pPr>
              <w:spacing w:after="0"/>
              <w:rPr>
                <w:sz w:val="18"/>
                <w:szCs w:val="18"/>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under the 2012 Long-Term Incentive Plan. (Incorporated by reference from Form 10-Q for the quarterly period ended March</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31, 2013 filed on April 24, 2013;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Supplemental Savings Plan (Incorporated by reference from Form S-8 registration statement filed on October 23, 2014; File</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No. 333-199560.)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10.19.1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5"/>
              </w:rPr>
              <w:t>Supplemental Savings Plan - Schedule 1 - Sponsoring Employers (Incorporated by reference from Form S-8 registration</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statement filed on October 23, 2014; File No. 333-199560.)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10.19.2</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Supplemental Savings Plan - Schedule 2 - UK Addendum (Incorporated by reference from Form S-8 registration statement</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filed on October 23, 2014; File No. 333-199560.)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4"/>
              </w:rPr>
              <w:t>Consulting agreement as of April 1, 2016, between T. Rowe Price Group, Inc. and James A.C. Kennedy. (Incorporated by</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reference from Form 8-K Current Report filed on December 10, 2015; File No. 000-32191.)</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Subsidiaries of T. Rowe Price Group, Inc.</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2"/>
              </w:rPr>
              <w:t>The following series of unaudited XBRL-formatted documents are collectively included herewith as Exhibit 101. The financial</w:t>
            </w:r>
          </w:p>
        </w:tc>
      </w:tr>
    </w:tbl>
    <w:p>
      <w:pPr>
        <w:ind w:left="1700" w:right="40"/>
        <w:spacing w:after="0" w:line="261" w:lineRule="auto"/>
        <w:rPr>
          <w:sz w:val="20"/>
          <w:szCs w:val="20"/>
          <w:color w:val="auto"/>
        </w:rPr>
      </w:pPr>
      <w:r>
        <w:rPr>
          <w:rFonts w:ascii="Arial" w:cs="Arial" w:eastAsia="Arial" w:hAnsi="Arial"/>
          <w:sz w:val="18"/>
          <w:szCs w:val="18"/>
          <w:color w:val="auto"/>
        </w:rPr>
        <w:t>information is extracted from T. Rowe Price Group’s consolidated financial statements and notes that are included in this Form 10-K Report.</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101.INS XBRL Instance Document (File name: trow-20151231.xml).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101.SCH XBRL Taxonomy Extension Schema Document (File name: trow-20151231.xsd).</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101.CAL XBRL Taxonomy Calculation Linkbase Document (File name: trow-20151231_cal.xml).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101.LAB XBRL Taxonomy Label Linkbase Document (File name: trow-20151231_lab.xml).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101.PRE XBRL Taxonomy Presentation Linkbase Document (File name: trow-20151231_pre.xml).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101.DEF XBRL Taxonomy Definition Linkbase Document (File name: trow-20151231_def.xml).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0880"/>
          </w:cols>
          <w:pgMar w:left="740" w:top="108" w:right="279" w:bottom="1440" w:gutter="0" w:footer="0" w:header="0"/>
        </w:sectPr>
      </w:pPr>
    </w:p>
    <w:bookmarkStart w:id="64" w:name="page65"/>
    <w:bookmarkEnd w:id="64"/>
    <w:p>
      <w:pPr>
        <w:ind w:left="5200"/>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5,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William J. Stromberg, President and Chief Executive Officer</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5,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 Lawrence Culp,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25" w:lineRule="exact"/>
        <w:rPr>
          <w:sz w:val="20"/>
          <w:szCs w:val="20"/>
          <w:color w:val="auto"/>
        </w:rPr>
      </w:pPr>
    </w:p>
    <w:p>
      <w:pPr>
        <w:ind w:right="5600"/>
        <w:spacing w:after="0" w:line="624" w:lineRule="auto"/>
        <w:rPr>
          <w:sz w:val="20"/>
          <w:szCs w:val="20"/>
          <w:color w:val="auto"/>
        </w:rPr>
      </w:pPr>
      <w:r>
        <w:rPr>
          <w:rFonts w:ascii="Arial" w:cs="Arial" w:eastAsia="Arial" w:hAnsi="Arial"/>
          <w:sz w:val="16"/>
          <w:szCs w:val="16"/>
          <w:color w:val="auto"/>
        </w:rPr>
        <w:t>/s/ Kenneth V. Moreland, Vice President, Chief Financial Officer and Treasurer /s/ Jessica M. Hiebler, Vice President and Principal Accounting Officer</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300"/>
          </w:cols>
          <w:pgMar w:left="240" w:top="125" w:right="359" w:bottom="1440" w:gutter="0" w:footer="0" w:header="0"/>
        </w:sectPr>
      </w:pPr>
    </w:p>
    <w:bookmarkStart w:id="65" w:name="page66"/>
    <w:bookmarkEnd w:id="65"/>
    <w:p>
      <w:pPr>
        <w:ind w:left="4060" w:right="1380" w:firstLine="76"/>
        <w:spacing w:after="0" w:line="293" w:lineRule="auto"/>
        <w:rPr>
          <w:sz w:val="20"/>
          <w:szCs w:val="20"/>
          <w:color w:val="auto"/>
        </w:rPr>
      </w:pPr>
      <w:r>
        <w:rPr>
          <w:rFonts w:ascii="Arial" w:cs="Arial" w:eastAsia="Arial" w:hAnsi="Arial"/>
          <w:sz w:val="21"/>
          <w:szCs w:val="21"/>
          <w:b w:val="1"/>
          <w:bCs w:val="1"/>
          <w:color w:val="auto"/>
        </w:rPr>
        <w:t>T. ROWE PRICE GROUP, INC. AMENDED AND RESTATED 2007 NON-EMPLOYEE DIRECTOR EQUITY PLAN</w:t>
      </w:r>
    </w:p>
    <w:p>
      <w:pPr>
        <w:spacing w:after="0" w:line="200" w:lineRule="exact"/>
        <w:rPr>
          <w:sz w:val="20"/>
          <w:szCs w:val="20"/>
          <w:color w:val="auto"/>
        </w:rPr>
      </w:pPr>
    </w:p>
    <w:p>
      <w:pPr>
        <w:spacing w:after="0" w:line="38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 Purpose</w:t>
      </w:r>
    </w:p>
    <w:p>
      <w:pPr>
        <w:spacing w:after="0" w:line="226"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T. Rowe Price Group, Inc., a Maryland corporation (the “Company”), maintains the T. Rowe Price Group, Inc. 2007 Non-Employee Director Equity Plan (the “Plan”) for the benefit of Non-Employee Directors of the Company. The Plan is intended to benefit the Company by providing Non-Employee Directors of the Company with a proprietary stake in the Company’s future success and, thereby, aligning their interests with those of the Company’s stockholders. The Plan hereby is amended and restated, as set forth herein, effective as of February 12, 2009, to be known hereafter as the T. Rowe Price Group, Inc. Amended and Restated 2007 Non-Employee Director Equity Plan.</w:t>
      </w:r>
    </w:p>
    <w:p>
      <w:pPr>
        <w:spacing w:after="0" w:line="194" w:lineRule="exact"/>
        <w:rPr>
          <w:sz w:val="20"/>
          <w:szCs w:val="20"/>
          <w:color w:val="auto"/>
        </w:rPr>
      </w:pPr>
    </w:p>
    <w:p>
      <w:pPr>
        <w:ind w:left="100" w:right="300"/>
        <w:spacing w:after="0" w:line="263" w:lineRule="auto"/>
        <w:rPr>
          <w:sz w:val="20"/>
          <w:szCs w:val="20"/>
          <w:color w:val="auto"/>
        </w:rPr>
      </w:pPr>
      <w:r>
        <w:rPr>
          <w:rFonts w:ascii="Arial" w:cs="Arial" w:eastAsia="Arial" w:hAnsi="Arial"/>
          <w:sz w:val="22"/>
          <w:szCs w:val="22"/>
          <w:color w:val="auto"/>
        </w:rPr>
        <w:t>The Plan provides for equity grants to Non-Employee Directors which they may choose to receive in the form of stock options, restricted shares, or stock units.</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2) Definitions</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Under this Plan, except where the context otherwise indicates, the following definitions apply:</w:t>
      </w:r>
    </w:p>
    <w:p>
      <w:pPr>
        <w:spacing w:after="0" w:line="233" w:lineRule="exact"/>
        <w:rPr>
          <w:sz w:val="20"/>
          <w:szCs w:val="20"/>
          <w:color w:val="auto"/>
        </w:rPr>
      </w:pPr>
    </w:p>
    <w:p>
      <w:pPr>
        <w:ind w:left="1060" w:hanging="343"/>
        <w:spacing w:after="0"/>
        <w:tabs>
          <w:tab w:leader="none" w:pos="106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w:t>
      </w:r>
      <w:r>
        <w:rPr>
          <w:rFonts w:ascii="Arial" w:cs="Arial" w:eastAsia="Arial" w:hAnsi="Arial"/>
          <w:sz w:val="21"/>
          <w:szCs w:val="21"/>
          <w:color w:val="auto"/>
        </w:rPr>
        <w:t xml:space="preserve"> means a bookkeeping reserve account to which Stock Units are credited on behalf of Non-Employee</w:t>
      </w:r>
    </w:p>
    <w:p>
      <w:pPr>
        <w:spacing w:after="0" w:line="33" w:lineRule="exact"/>
        <w:rPr>
          <w:rFonts w:ascii="Arial" w:cs="Arial" w:eastAsia="Arial" w:hAnsi="Arial"/>
          <w:sz w:val="21"/>
          <w:szCs w:val="21"/>
          <w:color w:val="auto"/>
        </w:rPr>
      </w:pPr>
    </w:p>
    <w:p>
      <w:pPr>
        <w:ind w:left="160"/>
        <w:spacing w:after="0"/>
        <w:rPr>
          <w:rFonts w:ascii="Arial" w:cs="Arial" w:eastAsia="Arial" w:hAnsi="Arial"/>
          <w:sz w:val="21"/>
          <w:szCs w:val="21"/>
          <w:color w:val="auto"/>
        </w:rPr>
      </w:pPr>
      <w:r>
        <w:rPr>
          <w:rFonts w:ascii="Arial" w:cs="Arial" w:eastAsia="Arial" w:hAnsi="Arial"/>
          <w:sz w:val="22"/>
          <w:szCs w:val="22"/>
          <w:color w:val="auto"/>
        </w:rPr>
        <w:t>Directors.</w:t>
      </w:r>
    </w:p>
    <w:p>
      <w:pPr>
        <w:spacing w:after="0" w:line="228" w:lineRule="exact"/>
        <w:rPr>
          <w:rFonts w:ascii="Arial" w:cs="Arial" w:eastAsia="Arial" w:hAnsi="Arial"/>
          <w:sz w:val="21"/>
          <w:szCs w:val="21"/>
          <w:color w:val="auto"/>
        </w:rPr>
      </w:pPr>
    </w:p>
    <w:p>
      <w:pPr>
        <w:ind w:left="160" w:right="180" w:firstLine="557"/>
        <w:spacing w:after="0" w:line="276" w:lineRule="auto"/>
        <w:tabs>
          <w:tab w:leader="none" w:pos="1087"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Meeting”</w:t>
      </w:r>
      <w:r>
        <w:rPr>
          <w:rFonts w:ascii="Arial" w:cs="Arial" w:eastAsia="Arial" w:hAnsi="Arial"/>
          <w:sz w:val="22"/>
          <w:szCs w:val="22"/>
          <w:color w:val="auto"/>
        </w:rPr>
        <w:t xml:space="preserve"> means the annual meeting of the stockholders of the Company at which members of the Board are to be elected.</w:t>
      </w:r>
    </w:p>
    <w:p>
      <w:pPr>
        <w:spacing w:after="0" w:line="174" w:lineRule="exact"/>
        <w:rPr>
          <w:rFonts w:ascii="Arial" w:cs="Arial" w:eastAsia="Arial" w:hAnsi="Arial"/>
          <w:sz w:val="22"/>
          <w:szCs w:val="22"/>
          <w:color w:val="auto"/>
        </w:rPr>
      </w:pPr>
    </w:p>
    <w:p>
      <w:pPr>
        <w:ind w:left="1060" w:hanging="343"/>
        <w:spacing w:after="0"/>
        <w:tabs>
          <w:tab w:leader="none" w:pos="10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means a share of Common Stock, Stock Unit, or Option granted under this Plan.</w:t>
      </w:r>
    </w:p>
    <w:p>
      <w:pPr>
        <w:spacing w:after="0" w:line="247" w:lineRule="exact"/>
        <w:rPr>
          <w:sz w:val="20"/>
          <w:szCs w:val="20"/>
          <w:color w:val="auto"/>
        </w:rPr>
      </w:pPr>
    </w:p>
    <w:p>
      <w:pPr>
        <w:ind w:left="1100" w:hanging="356"/>
        <w:spacing w:after="0"/>
        <w:tabs>
          <w:tab w:leader="none" w:pos="11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xml:space="preserve"> means the Board of Directors of the Company.</w:t>
      </w:r>
    </w:p>
    <w:p>
      <w:pPr>
        <w:spacing w:after="0" w:line="246" w:lineRule="exact"/>
        <w:rPr>
          <w:rFonts w:ascii="Arial" w:cs="Arial" w:eastAsia="Arial" w:hAnsi="Arial"/>
          <w:sz w:val="22"/>
          <w:szCs w:val="22"/>
          <w:color w:val="auto"/>
        </w:rPr>
      </w:pPr>
    </w:p>
    <w:p>
      <w:pPr>
        <w:ind w:left="160" w:right="400" w:firstLine="557"/>
        <w:spacing w:after="0" w:line="276" w:lineRule="auto"/>
        <w:tabs>
          <w:tab w:leader="none" w:pos="1075"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means the earliest to occur of any of the following events, construed in accordance with Code section 409A:</w:t>
      </w:r>
    </w:p>
    <w:p>
      <w:pPr>
        <w:spacing w:after="0" w:line="174" w:lineRule="exact"/>
        <w:rPr>
          <w:rFonts w:ascii="Arial" w:cs="Arial" w:eastAsia="Arial" w:hAnsi="Arial"/>
          <w:sz w:val="22"/>
          <w:szCs w:val="22"/>
          <w:color w:val="auto"/>
        </w:rPr>
      </w:pPr>
    </w:p>
    <w:p>
      <w:pPr>
        <w:jc w:val="both"/>
        <w:ind w:left="740" w:firstLine="653"/>
        <w:spacing w:after="0" w:line="271" w:lineRule="auto"/>
        <w:tabs>
          <w:tab w:leader="none" w:pos="1588" w:val="left"/>
        </w:tabs>
        <w:numPr>
          <w:ilvl w:val="2"/>
          <w:numId w:val="20"/>
        </w:numPr>
        <w:rPr>
          <w:rFonts w:ascii="Arial" w:cs="Arial" w:eastAsia="Arial" w:hAnsi="Arial"/>
          <w:sz w:val="21"/>
          <w:szCs w:val="21"/>
          <w:color w:val="auto"/>
        </w:rPr>
      </w:pPr>
      <w:r>
        <w:rPr>
          <w:rFonts w:ascii="Arial" w:cs="Arial" w:eastAsia="Arial" w:hAnsi="Arial"/>
          <w:sz w:val="21"/>
          <w:szCs w:val="21"/>
          <w:color w:val="auto"/>
        </w:rPr>
        <w:t>Any one person or more than one person acting as a group acquires, or has acquired during the twelve-month period ending on the date of the most recent acquisition by such person or group, beneficial ownership of thirty-five percent or more of the total voting power of the Company’s then outstanding voting securities;</w:t>
      </w:r>
    </w:p>
    <w:p>
      <w:pPr>
        <w:spacing w:after="0" w:line="181" w:lineRule="exact"/>
        <w:rPr>
          <w:rFonts w:ascii="Arial" w:cs="Arial" w:eastAsia="Arial" w:hAnsi="Arial"/>
          <w:sz w:val="21"/>
          <w:szCs w:val="21"/>
          <w:color w:val="auto"/>
        </w:rPr>
      </w:pPr>
    </w:p>
    <w:p>
      <w:pPr>
        <w:jc w:val="both"/>
        <w:ind w:left="740" w:firstLine="653"/>
        <w:spacing w:after="0" w:line="253" w:lineRule="auto"/>
        <w:tabs>
          <w:tab w:leader="none" w:pos="1648" w:val="left"/>
        </w:tabs>
        <w:numPr>
          <w:ilvl w:val="2"/>
          <w:numId w:val="20"/>
        </w:numPr>
        <w:rPr>
          <w:rFonts w:ascii="Arial" w:cs="Arial" w:eastAsia="Arial" w:hAnsi="Arial"/>
          <w:sz w:val="22"/>
          <w:szCs w:val="22"/>
          <w:color w:val="auto"/>
        </w:rPr>
      </w:pPr>
      <w:r>
        <w:rPr>
          <w:rFonts w:ascii="Arial" w:cs="Arial" w:eastAsia="Arial" w:hAnsi="Arial"/>
          <w:sz w:val="22"/>
          <w:szCs w:val="22"/>
          <w:color w:val="auto"/>
        </w:rPr>
        <w:t>A majority of the members of the Company’s Board is replaced during any twelve-month period by directors whose appointment or election is not endorsed or approved by a majority of the members of the Board who were members of the Board of Directors prior to the initiation of the replacement; or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625" w:right="239" w:bottom="1440" w:gutter="0" w:footer="0" w:header="0"/>
        </w:sectPr>
      </w:pPr>
    </w:p>
    <w:bookmarkStart w:id="66" w:name="page67"/>
    <w:bookmarkEnd w:id="66"/>
    <w:p>
      <w:pPr>
        <w:jc w:val="both"/>
        <w:ind w:left="720" w:firstLine="646"/>
        <w:spacing w:after="0" w:line="250" w:lineRule="auto"/>
        <w:tabs>
          <w:tab w:leader="none" w:pos="1688" w:val="left"/>
        </w:tabs>
        <w:numPr>
          <w:ilvl w:val="2"/>
          <w:numId w:val="21"/>
        </w:numPr>
        <w:rPr>
          <w:rFonts w:ascii="Arial" w:cs="Arial" w:eastAsia="Arial" w:hAnsi="Arial"/>
          <w:sz w:val="22"/>
          <w:szCs w:val="22"/>
          <w:color w:val="auto"/>
        </w:rPr>
      </w:pPr>
      <w:r>
        <w:rPr>
          <w:rFonts w:ascii="Arial" w:cs="Arial" w:eastAsia="Arial" w:hAnsi="Arial"/>
          <w:sz w:val="22"/>
          <w:szCs w:val="22"/>
          <w:color w:val="auto"/>
        </w:rPr>
        <w:t>Any one person or more than one person acting as a group acquires, or has acquired during the twelve-month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201" w:lineRule="exact"/>
        <w:rPr>
          <w:rFonts w:ascii="Arial" w:cs="Arial" w:eastAsia="Arial" w:hAnsi="Arial"/>
          <w:sz w:val="22"/>
          <w:szCs w:val="22"/>
          <w:color w:val="auto"/>
        </w:rPr>
      </w:pPr>
    </w:p>
    <w:p>
      <w:pPr>
        <w:ind w:left="880" w:hanging="190"/>
        <w:spacing w:after="0"/>
        <w:tabs>
          <w:tab w:leader="none" w:pos="8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xml:space="preserve"> means the Internal Revenue Code of 1986, as amended, and any regulations promulgated thereunder.</w:t>
      </w:r>
    </w:p>
    <w:p>
      <w:pPr>
        <w:spacing w:after="0" w:line="244" w:lineRule="exact"/>
        <w:rPr>
          <w:rFonts w:ascii="Arial" w:cs="Arial" w:eastAsia="Arial" w:hAnsi="Arial"/>
          <w:sz w:val="21"/>
          <w:szCs w:val="21"/>
          <w:color w:val="auto"/>
        </w:rPr>
      </w:pPr>
    </w:p>
    <w:p>
      <w:pPr>
        <w:ind w:left="960" w:hanging="243"/>
        <w:spacing w:after="0"/>
        <w:tabs>
          <w:tab w:leader="none" w:pos="9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xml:space="preserve"> means the common stock, par value $.20 per share, of the</w:t>
      </w:r>
    </w:p>
    <w:p>
      <w:pPr>
        <w:spacing w:after="0" w:line="260" w:lineRule="exact"/>
        <w:rPr>
          <w:sz w:val="20"/>
          <w:szCs w:val="20"/>
          <w:color w:val="auto"/>
        </w:rPr>
      </w:pPr>
    </w:p>
    <w:p>
      <w:pPr>
        <w:ind w:left="960" w:hanging="243"/>
        <w:spacing w:after="0"/>
        <w:tabs>
          <w:tab w:leader="none" w:pos="960" w:val="left"/>
        </w:tabs>
        <w:numPr>
          <w:ilvl w:val="1"/>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means T. Rowe Price Group, Inc., a Maryland corporation. i)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means April 12, 2007.</w:t>
      </w:r>
    </w:p>
    <w:p>
      <w:pPr>
        <w:spacing w:after="0" w:line="244" w:lineRule="exact"/>
        <w:rPr>
          <w:rFonts w:ascii="Arial" w:cs="Arial" w:eastAsia="Arial" w:hAnsi="Arial"/>
          <w:sz w:val="21"/>
          <w:szCs w:val="21"/>
          <w:color w:val="auto"/>
        </w:rPr>
      </w:pPr>
    </w:p>
    <w:p>
      <w:pPr>
        <w:ind w:left="120" w:firstLine="570"/>
        <w:spacing w:after="0" w:line="263" w:lineRule="auto"/>
        <w:tabs>
          <w:tab w:leader="none" w:pos="873"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 Form</w:t>
      </w:r>
      <w:r>
        <w:rPr>
          <w:rFonts w:ascii="Arial" w:cs="Arial" w:eastAsia="Arial" w:hAnsi="Arial"/>
          <w:sz w:val="22"/>
          <w:szCs w:val="22"/>
          <w:color w:val="auto"/>
        </w:rPr>
        <w:t>” means the form prescribed by the Plan Administrator on which a Non-Employee Director specifies the form in which his or her Initial Director Grant or Periodic Grants are to be granted.</w:t>
      </w:r>
    </w:p>
    <w:p>
      <w:pPr>
        <w:spacing w:after="0" w:line="188" w:lineRule="exact"/>
        <w:rPr>
          <w:rFonts w:ascii="Arial" w:cs="Arial" w:eastAsia="Arial" w:hAnsi="Arial"/>
          <w:sz w:val="22"/>
          <w:szCs w:val="22"/>
          <w:color w:val="auto"/>
        </w:rPr>
      </w:pPr>
    </w:p>
    <w:p>
      <w:pPr>
        <w:ind w:left="960" w:hanging="243"/>
        <w:spacing w:after="0"/>
        <w:tabs>
          <w:tab w:leader="none" w:pos="960" w:val="left"/>
        </w:tabs>
        <w:numPr>
          <w:ilvl w:val="1"/>
          <w:numId w:val="2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u w:val="single" w:color="auto"/>
          <w:color w:val="auto"/>
        </w:rPr>
        <w:t>Fair Market Value”</w:t>
      </w:r>
      <w:r>
        <w:rPr>
          <w:rFonts w:ascii="Arial" w:cs="Arial" w:eastAsia="Arial" w:hAnsi="Arial"/>
          <w:sz w:val="22"/>
          <w:szCs w:val="22"/>
          <w:i w:val="1"/>
          <w:iCs w:val="1"/>
          <w:color w:val="auto"/>
        </w:rPr>
        <w:t xml:space="preserve"> </w:t>
      </w:r>
      <w:r>
        <w:rPr>
          <w:rFonts w:ascii="Arial" w:cs="Arial" w:eastAsia="Arial" w:hAnsi="Arial"/>
          <w:sz w:val="22"/>
          <w:szCs w:val="22"/>
          <w:color w:val="auto"/>
        </w:rPr>
        <w:t>means, with respect to the Common Stock, as of any date:</w:t>
      </w:r>
    </w:p>
    <w:p>
      <w:pPr>
        <w:spacing w:after="0" w:line="233" w:lineRule="exact"/>
        <w:rPr>
          <w:rFonts w:ascii="Arial" w:cs="Arial" w:eastAsia="Arial" w:hAnsi="Arial"/>
          <w:sz w:val="22"/>
          <w:szCs w:val="22"/>
          <w:color w:val="auto"/>
        </w:rPr>
      </w:pPr>
    </w:p>
    <w:p>
      <w:pPr>
        <w:ind w:left="720" w:right="100" w:firstLine="646"/>
        <w:spacing w:after="0" w:line="263" w:lineRule="auto"/>
        <w:tabs>
          <w:tab w:leader="none" w:pos="1554" w:val="left"/>
        </w:tabs>
        <w:numPr>
          <w:ilvl w:val="2"/>
          <w:numId w:val="24"/>
        </w:numPr>
        <w:rPr>
          <w:rFonts w:ascii="Arial" w:cs="Arial" w:eastAsia="Arial" w:hAnsi="Arial"/>
          <w:sz w:val="21"/>
          <w:szCs w:val="21"/>
          <w:color w:val="auto"/>
        </w:rPr>
      </w:pPr>
      <w:r>
        <w:rPr>
          <w:rFonts w:ascii="Arial" w:cs="Arial" w:eastAsia="Arial" w:hAnsi="Arial"/>
          <w:sz w:val="21"/>
          <w:szCs w:val="21"/>
          <w:color w:val="auto"/>
        </w:rPr>
        <w:t>if the principal market for the Common Stock (as determined by the Plan Administrator if the Common Stock is listed or admitted to trading on more than one exchange or market) is a national securities exchange or an established securities market,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w:t>
      </w:r>
    </w:p>
    <w:p>
      <w:pPr>
        <w:spacing w:after="0" w:line="189" w:lineRule="exact"/>
        <w:rPr>
          <w:rFonts w:ascii="Arial" w:cs="Arial" w:eastAsia="Arial" w:hAnsi="Arial"/>
          <w:sz w:val="21"/>
          <w:szCs w:val="21"/>
          <w:color w:val="auto"/>
        </w:rPr>
      </w:pPr>
    </w:p>
    <w:p>
      <w:pPr>
        <w:ind w:left="720" w:right="60" w:firstLine="646"/>
        <w:spacing w:after="0" w:line="312" w:lineRule="auto"/>
        <w:tabs>
          <w:tab w:leader="none" w:pos="1614" w:val="left"/>
        </w:tabs>
        <w:numPr>
          <w:ilvl w:val="2"/>
          <w:numId w:val="24"/>
        </w:numPr>
        <w:rPr>
          <w:rFonts w:ascii="Arial" w:cs="Arial" w:eastAsia="Arial" w:hAnsi="Arial"/>
          <w:sz w:val="19"/>
          <w:szCs w:val="19"/>
          <w:color w:val="auto"/>
        </w:rPr>
      </w:pPr>
      <w:r>
        <w:rPr>
          <w:rFonts w:ascii="Arial" w:cs="Arial" w:eastAsia="Arial" w:hAnsi="Arial"/>
          <w:sz w:val="19"/>
          <w:szCs w:val="19"/>
          <w:color w:val="auto"/>
        </w:rPr>
        <w:t>if the principal market for the Common Stock is not a national securities exchange or an established securities market, the average of the highest bid and lowest asked prices for the Common Stock on that date as reported on a national quotation system or, if no prices are reported for that date, on the last preceding day on which prices were reported; or</w:t>
      </w:r>
    </w:p>
    <w:p>
      <w:pPr>
        <w:spacing w:after="0" w:line="147" w:lineRule="exact"/>
        <w:rPr>
          <w:rFonts w:ascii="Arial" w:cs="Arial" w:eastAsia="Arial" w:hAnsi="Arial"/>
          <w:sz w:val="19"/>
          <w:szCs w:val="19"/>
          <w:color w:val="auto"/>
        </w:rPr>
      </w:pPr>
    </w:p>
    <w:p>
      <w:pPr>
        <w:ind w:left="720" w:right="60" w:firstLine="646"/>
        <w:spacing w:after="0" w:line="343" w:lineRule="auto"/>
        <w:tabs>
          <w:tab w:leader="none" w:pos="1674" w:val="left"/>
        </w:tabs>
        <w:numPr>
          <w:ilvl w:val="2"/>
          <w:numId w:val="24"/>
        </w:numPr>
        <w:rPr>
          <w:rFonts w:ascii="Arial" w:cs="Arial" w:eastAsia="Arial" w:hAnsi="Arial"/>
          <w:sz w:val="19"/>
          <w:szCs w:val="19"/>
          <w:color w:val="auto"/>
        </w:rPr>
      </w:pPr>
      <w:r>
        <w:rPr>
          <w:rFonts w:ascii="Arial" w:cs="Arial" w:eastAsia="Arial" w:hAnsi="Arial"/>
          <w:sz w:val="19"/>
          <w:szCs w:val="19"/>
          <w:color w:val="auto"/>
        </w:rPr>
        <w:t>if the Common Stock is neither listed or admitted to trading on a national securities exchange or an established securities market, nor quoted by a national quotation system, the value determined by the Plan Administrator in good faith.</w:t>
      </w:r>
    </w:p>
    <w:p>
      <w:pPr>
        <w:spacing w:after="0" w:line="118" w:lineRule="exact"/>
        <w:rPr>
          <w:sz w:val="20"/>
          <w:szCs w:val="20"/>
          <w:color w:val="auto"/>
        </w:rPr>
      </w:pPr>
    </w:p>
    <w:p>
      <w:pPr>
        <w:ind w:left="880" w:hanging="190"/>
        <w:spacing w:after="0"/>
        <w:tabs>
          <w:tab w:leader="none" w:pos="8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Incumbent Director</w:t>
      </w:r>
      <w:r>
        <w:rPr>
          <w:rFonts w:ascii="Arial" w:cs="Arial" w:eastAsia="Arial" w:hAnsi="Arial"/>
          <w:sz w:val="19"/>
          <w:szCs w:val="19"/>
          <w:color w:val="auto"/>
        </w:rPr>
        <w:t>” means a person who is a Non-Employee Director immediately before and on the Effective Date.</w:t>
      </w:r>
    </w:p>
    <w:p>
      <w:pPr>
        <w:spacing w:after="0" w:line="267" w:lineRule="exact"/>
        <w:rPr>
          <w:rFonts w:ascii="Arial" w:cs="Arial" w:eastAsia="Arial" w:hAnsi="Arial"/>
          <w:sz w:val="19"/>
          <w:szCs w:val="19"/>
          <w:color w:val="auto"/>
        </w:rPr>
      </w:pPr>
    </w:p>
    <w:p>
      <w:pPr>
        <w:ind w:left="120" w:right="800" w:firstLine="570"/>
        <w:spacing w:after="0" w:line="263" w:lineRule="auto"/>
        <w:tabs>
          <w:tab w:leader="none" w:pos="981"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Director Grant”</w:t>
      </w:r>
      <w:r>
        <w:rPr>
          <w:rFonts w:ascii="Arial" w:cs="Arial" w:eastAsia="Arial" w:hAnsi="Arial"/>
          <w:sz w:val="22"/>
          <w:szCs w:val="22"/>
          <w:color w:val="auto"/>
        </w:rPr>
        <w:t xml:space="preserve"> means the initial grant of Restricted Shares or Stock Units to a Non-Employee Director pursuant to Section 5(a).</w:t>
      </w:r>
    </w:p>
    <w:p>
      <w:pPr>
        <w:spacing w:after="0" w:line="188" w:lineRule="exact"/>
        <w:rPr>
          <w:rFonts w:ascii="Arial" w:cs="Arial" w:eastAsia="Arial" w:hAnsi="Arial"/>
          <w:sz w:val="22"/>
          <w:szCs w:val="22"/>
          <w:color w:val="auto"/>
        </w:rPr>
      </w:pPr>
    </w:p>
    <w:p>
      <w:pPr>
        <w:ind w:left="980" w:hanging="236"/>
        <w:spacing w:after="0"/>
        <w:tabs>
          <w:tab w:leader="none" w:pos="9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Plan Year”</w:t>
      </w:r>
      <w:r>
        <w:rPr>
          <w:rFonts w:ascii="Arial" w:cs="Arial" w:eastAsia="Arial" w:hAnsi="Arial"/>
          <w:sz w:val="22"/>
          <w:szCs w:val="22"/>
          <w:color w:val="auto"/>
        </w:rPr>
        <w:t xml:space="preserve"> means the first Plan Year commencing on the Effective Date.</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604" w:right="239" w:bottom="1440" w:gutter="0" w:footer="0" w:header="0"/>
        </w:sectPr>
      </w:pPr>
    </w:p>
    <w:bookmarkStart w:id="67" w:name="page68"/>
    <w:bookmarkEnd w:id="67"/>
    <w:p>
      <w:pPr>
        <w:ind w:left="160" w:right="800" w:firstLine="557"/>
        <w:spacing w:after="0" w:line="263" w:lineRule="auto"/>
        <w:tabs>
          <w:tab w:leader="none" w:pos="961"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Director”</w:t>
      </w:r>
      <w:r>
        <w:rPr>
          <w:rFonts w:ascii="Arial" w:cs="Arial" w:eastAsia="Arial" w:hAnsi="Arial"/>
          <w:sz w:val="22"/>
          <w:szCs w:val="22"/>
          <w:color w:val="auto"/>
        </w:rPr>
        <w:t xml:space="preserve"> means a person who (i) is first elected or appointed as a Non-Employee Director on or after the Effective Date, or (ii) first becomes a Non-Employee Director on or after the Effective Date.</w:t>
      </w:r>
    </w:p>
    <w:p>
      <w:pPr>
        <w:spacing w:after="0" w:line="188" w:lineRule="exact"/>
        <w:rPr>
          <w:rFonts w:ascii="Arial" w:cs="Arial" w:eastAsia="Arial" w:hAnsi="Arial"/>
          <w:sz w:val="22"/>
          <w:szCs w:val="22"/>
          <w:color w:val="auto"/>
        </w:rPr>
      </w:pPr>
    </w:p>
    <w:p>
      <w:pPr>
        <w:ind w:left="160" w:right="140" w:firstLine="557"/>
        <w:spacing w:after="0" w:line="263" w:lineRule="auto"/>
        <w:tabs>
          <w:tab w:leader="none" w:pos="961"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xml:space="preserve"> means a member of the Board who, at the relevant time, is not an employee of the Company or of any direct or indirect subsidiary or affiliate of the Company.</w:t>
      </w:r>
    </w:p>
    <w:p>
      <w:pPr>
        <w:spacing w:after="0" w:line="188" w:lineRule="exact"/>
        <w:rPr>
          <w:rFonts w:ascii="Arial" w:cs="Arial" w:eastAsia="Arial" w:hAnsi="Arial"/>
          <w:sz w:val="22"/>
          <w:szCs w:val="22"/>
          <w:color w:val="auto"/>
        </w:rPr>
      </w:pPr>
    </w:p>
    <w:p>
      <w:pPr>
        <w:ind w:left="980" w:hanging="236"/>
        <w:spacing w:after="0"/>
        <w:tabs>
          <w:tab w:leader="none" w:pos="98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xml:space="preserve"> means a nonstatutory option to purchase shares of Common Stock.</w:t>
      </w:r>
    </w:p>
    <w:p>
      <w:pPr>
        <w:spacing w:after="0" w:line="233" w:lineRule="exact"/>
        <w:rPr>
          <w:sz w:val="20"/>
          <w:szCs w:val="20"/>
          <w:color w:val="auto"/>
        </w:rPr>
      </w:pPr>
    </w:p>
    <w:p>
      <w:pPr>
        <w:ind w:left="160" w:right="180" w:firstLine="557"/>
        <w:spacing w:after="0" w:line="263" w:lineRule="auto"/>
        <w:tabs>
          <w:tab w:leader="none" w:pos="925"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Periodic Grant”</w:t>
      </w:r>
      <w:r>
        <w:rPr>
          <w:rFonts w:ascii="Arial" w:cs="Arial" w:eastAsia="Arial" w:hAnsi="Arial"/>
          <w:sz w:val="22"/>
          <w:szCs w:val="22"/>
          <w:color w:val="auto"/>
        </w:rPr>
        <w:t xml:space="preserve"> means the grant of Options, Restricted Shares or Stock Units to a Non-Employee Director pursuant to Section 5(b).</w:t>
      </w:r>
    </w:p>
    <w:p>
      <w:pPr>
        <w:spacing w:after="0" w:line="188" w:lineRule="exact"/>
        <w:rPr>
          <w:rFonts w:ascii="Arial" w:cs="Arial" w:eastAsia="Arial" w:hAnsi="Arial"/>
          <w:sz w:val="22"/>
          <w:szCs w:val="22"/>
          <w:color w:val="auto"/>
        </w:rPr>
      </w:pPr>
    </w:p>
    <w:p>
      <w:pPr>
        <w:ind w:left="960" w:hanging="216"/>
        <w:spacing w:after="0"/>
        <w:tabs>
          <w:tab w:leader="none" w:pos="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means this T. Rowe Price Group, Inc. 2007 Non-Employee Director</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Equity Plan, as amended from time to time.</w:t>
      </w:r>
    </w:p>
    <w:p>
      <w:pPr>
        <w:spacing w:after="0" w:line="215" w:lineRule="exact"/>
        <w:rPr>
          <w:sz w:val="20"/>
          <w:szCs w:val="20"/>
          <w:color w:val="auto"/>
        </w:rPr>
      </w:pPr>
    </w:p>
    <w:p>
      <w:pPr>
        <w:ind w:left="160" w:right="4100" w:firstLine="594"/>
        <w:spacing w:after="0" w:line="276" w:lineRule="auto"/>
        <w:rPr>
          <w:sz w:val="20"/>
          <w:szCs w:val="20"/>
          <w:color w:val="auto"/>
        </w:rPr>
      </w:pPr>
      <w:r>
        <w:rPr>
          <w:rFonts w:ascii="Arial" w:cs="Arial" w:eastAsia="Arial" w:hAnsi="Arial"/>
          <w:sz w:val="22"/>
          <w:szCs w:val="22"/>
          <w:color w:val="auto"/>
        </w:rPr>
        <w:t>t) “</w:t>
      </w:r>
      <w:r>
        <w:rPr>
          <w:rFonts w:ascii="Arial" w:cs="Arial" w:eastAsia="Arial" w:hAnsi="Arial"/>
          <w:sz w:val="22"/>
          <w:szCs w:val="22"/>
          <w:u w:val="single" w:color="auto"/>
          <w:color w:val="auto"/>
        </w:rPr>
        <w:t>Plan Administrator”</w:t>
      </w:r>
      <w:r>
        <w:rPr>
          <w:rFonts w:ascii="Arial" w:cs="Arial" w:eastAsia="Arial" w:hAnsi="Arial"/>
          <w:sz w:val="22"/>
          <w:szCs w:val="22"/>
          <w:color w:val="auto"/>
        </w:rPr>
        <w:t xml:space="preserve"> means the Nominating and Corporate Governance Committee of the Board.</w:t>
      </w:r>
    </w:p>
    <w:p>
      <w:pPr>
        <w:spacing w:after="0" w:line="174" w:lineRule="exact"/>
        <w:rPr>
          <w:sz w:val="20"/>
          <w:szCs w:val="20"/>
          <w:color w:val="auto"/>
        </w:rPr>
      </w:pPr>
    </w:p>
    <w:p>
      <w:pPr>
        <w:ind w:left="160" w:right="560" w:firstLine="557"/>
        <w:spacing w:after="0" w:line="263" w:lineRule="auto"/>
        <w:tabs>
          <w:tab w:leader="none" w:pos="961"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Share Reserve”</w:t>
      </w:r>
      <w:r>
        <w:rPr>
          <w:rFonts w:ascii="Arial" w:cs="Arial" w:eastAsia="Arial" w:hAnsi="Arial"/>
          <w:sz w:val="22"/>
          <w:szCs w:val="22"/>
          <w:color w:val="auto"/>
        </w:rPr>
        <w:t xml:space="preserve"> means the maximum number of shares of Common Stock that may be issued with respect to Awards granted under the Plan.</w:t>
      </w:r>
    </w:p>
    <w:p>
      <w:pPr>
        <w:spacing w:after="0" w:line="188" w:lineRule="exact"/>
        <w:rPr>
          <w:rFonts w:ascii="Arial" w:cs="Arial" w:eastAsia="Arial" w:hAnsi="Arial"/>
          <w:sz w:val="22"/>
          <w:szCs w:val="22"/>
          <w:color w:val="auto"/>
        </w:rPr>
      </w:pPr>
    </w:p>
    <w:p>
      <w:pPr>
        <w:ind w:left="160" w:right="280" w:firstLine="557"/>
        <w:spacing w:after="0" w:line="287" w:lineRule="auto"/>
        <w:tabs>
          <w:tab w:leader="none" w:pos="961"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Year”</w:t>
      </w:r>
      <w:r>
        <w:rPr>
          <w:rFonts w:ascii="Arial" w:cs="Arial" w:eastAsia="Arial" w:hAnsi="Arial"/>
          <w:sz w:val="21"/>
          <w:szCs w:val="21"/>
          <w:color w:val="auto"/>
        </w:rPr>
        <w:t xml:space="preserve"> shall be the twelve-month period coinciding with the calendar year; provided, however, that the first Plan Year shall be a shorter period commencing on the Effective Date and ending on December 31, 2007.</w:t>
      </w:r>
    </w:p>
    <w:p>
      <w:pPr>
        <w:spacing w:after="0" w:line="165" w:lineRule="exact"/>
        <w:rPr>
          <w:rFonts w:ascii="Arial" w:cs="Arial" w:eastAsia="Arial" w:hAnsi="Arial"/>
          <w:sz w:val="21"/>
          <w:szCs w:val="21"/>
          <w:color w:val="auto"/>
        </w:rPr>
      </w:pPr>
    </w:p>
    <w:p>
      <w:pPr>
        <w:ind w:left="160" w:right="260" w:firstLine="557"/>
        <w:spacing w:after="0" w:line="263" w:lineRule="auto"/>
        <w:tabs>
          <w:tab w:leader="none" w:pos="1009"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Shares”</w:t>
      </w:r>
      <w:r>
        <w:rPr>
          <w:rFonts w:ascii="Arial" w:cs="Arial" w:eastAsia="Arial" w:hAnsi="Arial"/>
          <w:sz w:val="22"/>
          <w:szCs w:val="22"/>
          <w:color w:val="auto"/>
        </w:rPr>
        <w:t xml:space="preserve"> means shares of Common Stock that, upon issuance, are nontransferable and subject to forfeiture for a specified period.</w:t>
      </w:r>
    </w:p>
    <w:p>
      <w:pPr>
        <w:spacing w:after="0" w:line="188" w:lineRule="exact"/>
        <w:rPr>
          <w:rFonts w:ascii="Arial" w:cs="Arial" w:eastAsia="Arial" w:hAnsi="Arial"/>
          <w:sz w:val="22"/>
          <w:szCs w:val="22"/>
          <w:color w:val="auto"/>
        </w:rPr>
      </w:pPr>
    </w:p>
    <w:p>
      <w:pPr>
        <w:ind w:left="160" w:firstLine="557"/>
        <w:spacing w:after="0" w:line="263" w:lineRule="auto"/>
        <w:tabs>
          <w:tab w:leader="none" w:pos="9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Unit”</w:t>
      </w:r>
      <w:r>
        <w:rPr>
          <w:rFonts w:ascii="Arial" w:cs="Arial" w:eastAsia="Arial" w:hAnsi="Arial"/>
          <w:sz w:val="22"/>
          <w:szCs w:val="22"/>
          <w:color w:val="auto"/>
        </w:rPr>
        <w:t xml:space="preserve"> means a share equivalent credited to a Non-Employee’s Account and which represents the Company’s unfunded promise to deliver one share of Common Stock upon a specified future event or date.</w:t>
      </w:r>
    </w:p>
    <w:p>
      <w:pPr>
        <w:spacing w:after="0" w:line="188" w:lineRule="exact"/>
        <w:rPr>
          <w:rFonts w:ascii="Arial" w:cs="Arial" w:eastAsia="Arial" w:hAnsi="Arial"/>
          <w:sz w:val="22"/>
          <w:szCs w:val="22"/>
          <w:color w:val="auto"/>
        </w:rPr>
      </w:pPr>
    </w:p>
    <w:p>
      <w:pPr>
        <w:ind w:left="160" w:firstLine="557"/>
        <w:spacing w:after="0" w:line="263" w:lineRule="auto"/>
        <w:tabs>
          <w:tab w:leader="none" w:pos="975"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means the date on which a Non-Employee Director ceases to serve as a member of the Board and has otherwise incurred a “separation from service” within the meaning of Code section 409A.</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3) Administration</w:t>
      </w:r>
    </w:p>
    <w:p>
      <w:pPr>
        <w:spacing w:after="0" w:line="226" w:lineRule="exact"/>
        <w:rPr>
          <w:sz w:val="20"/>
          <w:szCs w:val="20"/>
          <w:color w:val="auto"/>
        </w:rPr>
      </w:pPr>
    </w:p>
    <w:p>
      <w:pPr>
        <w:jc w:val="both"/>
        <w:ind w:left="100"/>
        <w:spacing w:after="0" w:line="263" w:lineRule="auto"/>
        <w:rPr>
          <w:sz w:val="20"/>
          <w:szCs w:val="20"/>
          <w:color w:val="auto"/>
        </w:rPr>
      </w:pPr>
      <w:r>
        <w:rPr>
          <w:rFonts w:ascii="Arial" w:cs="Arial" w:eastAsia="Arial" w:hAnsi="Arial"/>
          <w:sz w:val="21"/>
          <w:szCs w:val="21"/>
          <w:color w:val="auto"/>
        </w:rPr>
        <w:t>The Plan Administrator shall have full authority to administer the Plan. This authority includes, without limitation, authority (i) to interpret and construe any provision of the Plan and the terms of any Award granted under it, (ii) to modify in its discretion the number, timing and/or terms of Awards to be granted pursuant to Section 5 of the Plan without requiring stockholder approval thereof, and (iii) in general, to make all other determinations advisable for the administration of the Plan to achieve its stated purpose. This authority also includes the authority, as the Plan Administrator may</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820" w:right="239" w:bottom="1440" w:gutter="0" w:footer="0" w:header="0"/>
        </w:sectPr>
      </w:pPr>
    </w:p>
    <w:bookmarkStart w:id="68" w:name="page69"/>
    <w:bookmarkEnd w:id="68"/>
    <w:p>
      <w:pPr>
        <w:jc w:val="both"/>
        <w:ind w:left="100"/>
        <w:spacing w:after="0" w:line="258" w:lineRule="auto"/>
        <w:rPr>
          <w:sz w:val="20"/>
          <w:szCs w:val="20"/>
          <w:color w:val="auto"/>
        </w:rPr>
      </w:pPr>
      <w:r>
        <w:rPr>
          <w:rFonts w:ascii="Arial" w:cs="Arial" w:eastAsia="Arial" w:hAnsi="Arial"/>
          <w:sz w:val="21"/>
          <w:szCs w:val="21"/>
          <w:color w:val="auto"/>
        </w:rPr>
        <w:t>deem necessary or advisable, to adopt such rules, regulations, agreements, guidelines and instruments for administering the Plan and for conducting the Plan Administrator’s business. A majority of the members of the Plan Administrator shall constitute a quorum for the transaction of business and the vote of a majority of those members present at any meeting at which a quorum is present shall decide any question brought before that meeting. In lieu of a meeting, the Plan Administrator may take action by unanimous written consent. Decisions of the Plan Administrator shall be final and binding on all parties. The Plan Administrator shall have the power to delegate all or any of its non-discretionary duties to one or more designees. To the maximum extent permitted by law, no member of the Plan Administrator or its designees shall be liable for any action taken or decision made in good faith relating to the Plan or any Award. To the maximum extent permitted by law and by the Company’s charter and by-laws, the members of the Plan Administrator and its designees shall be indemnified by the Company in respect of all their activities under the Plan.</w:t>
      </w:r>
    </w:p>
    <w:p>
      <w:pPr>
        <w:spacing w:after="0" w:line="194" w:lineRule="exact"/>
        <w:rPr>
          <w:sz w:val="20"/>
          <w:szCs w:val="20"/>
          <w:color w:val="auto"/>
        </w:rPr>
      </w:pPr>
    </w:p>
    <w:p>
      <w:pPr>
        <w:ind w:left="340" w:hanging="244"/>
        <w:spacing w:after="0"/>
        <w:tabs>
          <w:tab w:leader="none" w:pos="3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Stock Reserved for the Plan</w:t>
      </w:r>
    </w:p>
    <w:p>
      <w:pPr>
        <w:spacing w:after="0" w:line="225" w:lineRule="exact"/>
        <w:rPr>
          <w:rFonts w:ascii="Arial" w:cs="Arial" w:eastAsia="Arial" w:hAnsi="Arial"/>
          <w:sz w:val="22"/>
          <w:szCs w:val="22"/>
          <w:b w:val="1"/>
          <w:bCs w:val="1"/>
          <w:color w:val="auto"/>
        </w:rPr>
      </w:pPr>
    </w:p>
    <w:p>
      <w:pPr>
        <w:ind w:left="100" w:right="180" w:firstLine="644"/>
        <w:spacing w:after="0" w:line="258" w:lineRule="auto"/>
        <w:tabs>
          <w:tab w:leader="none" w:pos="1096"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Plan Share Reserve. </w:t>
      </w:r>
      <w:r>
        <w:rPr>
          <w:rFonts w:ascii="Arial" w:cs="Arial" w:eastAsia="Arial" w:hAnsi="Arial"/>
          <w:sz w:val="22"/>
          <w:szCs w:val="22"/>
          <w:color w:val="auto"/>
        </w:rPr>
        <w:t>Subject to the following provisions of this Section 4 and adjustments as provided in Section 8 of</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 the Plan Share Reserve shall be equal to</w:t>
      </w:r>
    </w:p>
    <w:p>
      <w:pPr>
        <w:ind w:left="100"/>
        <w:spacing w:after="0"/>
        <w:rPr>
          <w:rFonts w:ascii="Arial" w:cs="Arial" w:eastAsia="Arial" w:hAnsi="Arial"/>
          <w:sz w:val="22"/>
          <w:szCs w:val="22"/>
          <w:color w:val="auto"/>
        </w:rPr>
      </w:pPr>
      <w:r>
        <w:rPr>
          <w:rFonts w:ascii="Arial" w:cs="Arial" w:eastAsia="Arial" w:hAnsi="Arial"/>
          <w:sz w:val="22"/>
          <w:szCs w:val="22"/>
          <w:color w:val="auto"/>
        </w:rPr>
        <w:t>750,000 shares of Common Stock.</w:t>
      </w:r>
      <w:r>
        <w:rPr>
          <w:rFonts w:ascii="Arial" w:cs="Arial" w:eastAsia="Arial" w:hAnsi="Arial"/>
          <w:sz w:val="28"/>
          <w:szCs w:val="28"/>
          <w:color w:val="auto"/>
          <w:vertAlign w:val="superscript"/>
        </w:rPr>
        <w:t>*</w:t>
      </w:r>
    </w:p>
    <w:p>
      <w:pPr>
        <w:spacing w:after="0" w:line="213" w:lineRule="exact"/>
        <w:rPr>
          <w:rFonts w:ascii="Arial" w:cs="Arial" w:eastAsia="Arial" w:hAnsi="Arial"/>
          <w:sz w:val="22"/>
          <w:szCs w:val="22"/>
          <w:color w:val="auto"/>
        </w:rPr>
      </w:pPr>
    </w:p>
    <w:p>
      <w:pPr>
        <w:jc w:val="both"/>
        <w:ind w:left="100" w:firstLine="644"/>
        <w:spacing w:after="0" w:line="253" w:lineRule="auto"/>
        <w:tabs>
          <w:tab w:leader="none" w:pos="1023"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Adjustments to Plan Share Reserve. </w:t>
      </w:r>
      <w:r>
        <w:rPr>
          <w:rFonts w:ascii="Arial" w:cs="Arial" w:eastAsia="Arial" w:hAnsi="Arial"/>
          <w:sz w:val="22"/>
          <w:szCs w:val="22"/>
          <w:color w:val="auto"/>
        </w:rPr>
        <w:t>If any Award, or portion of an Award, under the Plan expires or terminates</w:t>
      </w:r>
      <w:r>
        <w:rPr>
          <w:rFonts w:ascii="Arial" w:cs="Arial" w:eastAsia="Arial" w:hAnsi="Arial"/>
          <w:sz w:val="22"/>
          <w:szCs w:val="22"/>
          <w:i w:val="1"/>
          <w:iCs w:val="1"/>
          <w:color w:val="auto"/>
        </w:rPr>
        <w:t xml:space="preserve"> </w:t>
      </w:r>
      <w:r>
        <w:rPr>
          <w:rFonts w:ascii="Arial" w:cs="Arial" w:eastAsia="Arial" w:hAnsi="Arial"/>
          <w:sz w:val="22"/>
          <w:szCs w:val="22"/>
          <w:color w:val="auto"/>
        </w:rPr>
        <w:t>unexercised, becomes unexercisable or is forfeited or otherwise terminated, surrendered or canceled as to any shares, the shares subject to such Award shall thereafter be available for further Awards under the Plan.</w:t>
      </w:r>
    </w:p>
    <w:p>
      <w:pPr>
        <w:spacing w:after="0" w:line="199" w:lineRule="exact"/>
        <w:rPr>
          <w:rFonts w:ascii="Arial" w:cs="Arial" w:eastAsia="Arial" w:hAnsi="Arial"/>
          <w:sz w:val="22"/>
          <w:szCs w:val="22"/>
          <w:color w:val="auto"/>
        </w:rPr>
      </w:pPr>
    </w:p>
    <w:p>
      <w:pPr>
        <w:jc w:val="both"/>
        <w:ind w:left="100" w:firstLine="644"/>
        <w:spacing w:after="0" w:line="302" w:lineRule="auto"/>
        <w:tabs>
          <w:tab w:leader="none" w:pos="970" w:val="left"/>
        </w:tabs>
        <w:numPr>
          <w:ilvl w:val="1"/>
          <w:numId w:val="29"/>
        </w:numPr>
        <w:rPr>
          <w:rFonts w:ascii="Arial" w:cs="Arial" w:eastAsia="Arial" w:hAnsi="Arial"/>
          <w:sz w:val="19"/>
          <w:szCs w:val="19"/>
          <w:color w:val="auto"/>
        </w:rPr>
      </w:pPr>
      <w:r>
        <w:rPr>
          <w:rFonts w:ascii="Arial" w:cs="Arial" w:eastAsia="Arial" w:hAnsi="Arial"/>
          <w:sz w:val="19"/>
          <w:szCs w:val="19"/>
          <w:i w:val="1"/>
          <w:iCs w:val="1"/>
          <w:color w:val="auto"/>
        </w:rPr>
        <w:t xml:space="preserve">Share Accounting. </w:t>
      </w:r>
      <w:r>
        <w:rPr>
          <w:rFonts w:ascii="Arial" w:cs="Arial" w:eastAsia="Arial" w:hAnsi="Arial"/>
          <w:sz w:val="19"/>
          <w:szCs w:val="19"/>
          <w:color w:val="auto"/>
        </w:rPr>
        <w:t>Any shares of Common Stock subject to Options granted under the Plan shall be counted against the</w:t>
      </w:r>
      <w:r>
        <w:rPr>
          <w:rFonts w:ascii="Arial" w:cs="Arial" w:eastAsia="Arial" w:hAnsi="Arial"/>
          <w:sz w:val="19"/>
          <w:szCs w:val="19"/>
          <w:i w:val="1"/>
          <w:iCs w:val="1"/>
          <w:color w:val="auto"/>
        </w:rPr>
        <w:t xml:space="preserve"> </w:t>
      </w:r>
      <w:r>
        <w:rPr>
          <w:rFonts w:ascii="Arial" w:cs="Arial" w:eastAsia="Arial" w:hAnsi="Arial"/>
          <w:sz w:val="19"/>
          <w:szCs w:val="19"/>
          <w:color w:val="auto"/>
        </w:rPr>
        <w:t>Plan Share Reserve set forth in Section 4(a) as one share of Common Stock for every one share subject to such Award. Any shares of Common Stock subject to Awards other than Options shall be counted against the Plan Share Reserve set forth in Section 4(a) as three and one-third shares of Common Stock for every one share subject to such Award.</w:t>
      </w:r>
    </w:p>
    <w:p>
      <w:pPr>
        <w:spacing w:after="0" w:line="156" w:lineRule="exact"/>
        <w:rPr>
          <w:rFonts w:ascii="Arial" w:cs="Arial" w:eastAsia="Arial" w:hAnsi="Arial"/>
          <w:sz w:val="19"/>
          <w:szCs w:val="19"/>
          <w:color w:val="auto"/>
        </w:rPr>
      </w:pPr>
    </w:p>
    <w:p>
      <w:pPr>
        <w:jc w:val="both"/>
        <w:ind w:left="100" w:firstLine="644"/>
        <w:spacing w:after="0" w:line="297" w:lineRule="auto"/>
        <w:tabs>
          <w:tab w:leader="none" w:pos="996" w:val="left"/>
        </w:tabs>
        <w:numPr>
          <w:ilvl w:val="1"/>
          <w:numId w:val="29"/>
        </w:numPr>
        <w:rPr>
          <w:rFonts w:ascii="Arial" w:cs="Arial" w:eastAsia="Arial" w:hAnsi="Arial"/>
          <w:sz w:val="19"/>
          <w:szCs w:val="19"/>
          <w:color w:val="auto"/>
        </w:rPr>
      </w:pPr>
      <w:r>
        <w:rPr>
          <w:rFonts w:ascii="Arial" w:cs="Arial" w:eastAsia="Arial" w:hAnsi="Arial"/>
          <w:sz w:val="19"/>
          <w:szCs w:val="19"/>
          <w:i w:val="1"/>
          <w:iCs w:val="1"/>
          <w:color w:val="auto"/>
        </w:rPr>
        <w:t>Source of Shares</w:t>
      </w:r>
      <w:r>
        <w:rPr>
          <w:rFonts w:ascii="Arial" w:cs="Arial" w:eastAsia="Arial" w:hAnsi="Arial"/>
          <w:sz w:val="19"/>
          <w:szCs w:val="19"/>
          <w:color w:val="auto"/>
        </w:rPr>
        <w:t>. The Company shall reserve for issuance pursuant to this Plan such number of shares of Common</w:t>
      </w:r>
      <w:r>
        <w:rPr>
          <w:rFonts w:ascii="Arial" w:cs="Arial" w:eastAsia="Arial" w:hAnsi="Arial"/>
          <w:sz w:val="19"/>
          <w:szCs w:val="19"/>
          <w:i w:val="1"/>
          <w:iCs w:val="1"/>
          <w:color w:val="auto"/>
        </w:rPr>
        <w:t xml:space="preserve"> </w:t>
      </w:r>
      <w:r>
        <w:rPr>
          <w:rFonts w:ascii="Arial" w:cs="Arial" w:eastAsia="Arial" w:hAnsi="Arial"/>
          <w:sz w:val="19"/>
          <w:szCs w:val="19"/>
          <w:color w:val="auto"/>
        </w:rPr>
        <w:t>Stock as may from time to time be granted or subject to Awards hereunder. The source of the shares of Common Stock issued pursuant to this Plan may be, in the discretion of the Board or the Plan Administrator, authorized and unissued shares, shares purchased on the open market, or shares derived from any other proper source. In the absence of any specific determination by the Board or the Plan Administrator, the source shall be authorized and unissued shares.</w:t>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1"/>
          <w:szCs w:val="11"/>
          <w:color w:val="800000"/>
        </w:rPr>
        <w:t>________________________________________________</w:t>
      </w:r>
    </w:p>
    <w:p>
      <w:pPr>
        <w:spacing w:after="0" w:line="6" w:lineRule="exact"/>
        <w:rPr>
          <w:sz w:val="20"/>
          <w:szCs w:val="20"/>
          <w:color w:val="auto"/>
        </w:rPr>
      </w:pPr>
    </w:p>
    <w:p>
      <w:pPr>
        <w:ind w:left="320" w:right="2920" w:hanging="8"/>
        <w:spacing w:after="0" w:line="254" w:lineRule="auto"/>
        <w:tabs>
          <w:tab w:leader="none" w:pos="4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pursuant to Section 8 on December 13, 2012 by 1.56% to 761,700 shares of Common Stock and on April 7, 2015 by 2.50% to 780,743 shares of Common Stock to reflect the change in capitalization resulting from the Company’s declaration and payment of special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91" w:right="239" w:bottom="1440" w:gutter="0" w:footer="0" w:header="0"/>
        </w:sectPr>
      </w:pPr>
    </w:p>
    <w:bookmarkStart w:id="69" w:name="page70"/>
    <w:bookmarkEnd w:id="69"/>
    <w:p>
      <w:pPr>
        <w:ind w:left="420" w:hanging="351"/>
        <w:spacing w:after="0"/>
        <w:tabs>
          <w:tab w:leader="none" w:pos="42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Grants of Equity Awards </w:t>
      </w:r>
      <w:r>
        <w:rPr>
          <w:rFonts w:ascii="Arial" w:cs="Arial" w:eastAsia="Arial" w:hAnsi="Arial"/>
          <w:sz w:val="28"/>
          <w:szCs w:val="28"/>
          <w:color w:val="800000"/>
          <w:vertAlign w:val="superscript"/>
        </w:rPr>
        <w:t>†</w:t>
      </w:r>
    </w:p>
    <w:p>
      <w:pPr>
        <w:spacing w:after="0" w:line="188" w:lineRule="exact"/>
        <w:rPr>
          <w:rFonts w:ascii="Arial" w:cs="Arial" w:eastAsia="Arial" w:hAnsi="Arial"/>
          <w:sz w:val="22"/>
          <w:szCs w:val="22"/>
          <w:b w:val="1"/>
          <w:bCs w:val="1"/>
          <w:color w:val="auto"/>
        </w:rPr>
      </w:pPr>
    </w:p>
    <w:p>
      <w:pPr>
        <w:jc w:val="both"/>
        <w:ind w:left="60" w:firstLine="657"/>
        <w:spacing w:after="0" w:line="261" w:lineRule="auto"/>
        <w:tabs>
          <w:tab w:leader="none" w:pos="930" w:val="left"/>
        </w:tabs>
        <w:numPr>
          <w:ilvl w:val="1"/>
          <w:numId w:val="31"/>
        </w:numPr>
        <w:rPr>
          <w:rFonts w:ascii="Arial" w:cs="Arial" w:eastAsia="Arial" w:hAnsi="Arial"/>
          <w:sz w:val="21"/>
          <w:szCs w:val="21"/>
          <w:color w:val="auto"/>
        </w:rPr>
      </w:pPr>
      <w:r>
        <w:rPr>
          <w:rFonts w:ascii="Arial" w:cs="Arial" w:eastAsia="Arial" w:hAnsi="Arial"/>
          <w:sz w:val="21"/>
          <w:szCs w:val="21"/>
          <w:i w:val="1"/>
          <w:iCs w:val="1"/>
          <w:color w:val="auto"/>
        </w:rPr>
        <w:t>Initial Director Grant</w:t>
      </w:r>
      <w:r>
        <w:rPr>
          <w:rFonts w:ascii="Arial" w:cs="Arial" w:eastAsia="Arial" w:hAnsi="Arial"/>
          <w:sz w:val="21"/>
          <w:szCs w:val="21"/>
          <w:color w:val="auto"/>
        </w:rPr>
        <w:t>. Each person first elected or appointed as a Non-Employee Director on or after the Effective Date,</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granted, as of the close of business on the date of the first regular meeting of the Board held on or after the date of such Non-Employee Director’s election or appointment, an Initial Director Grant of 4,350 Restricted Shares or 4,350 Stock Units, in such form as the Non-Employee Director shall have elected pursuant to Section 7. Notwithstanding the foregoing sentence, a person who was an employee of the Company or any of its subsidiaries or affiliates at any time within three years before becoming a Non-Employee Director shall not be entitled to receive an Initial Director Grant.</w:t>
      </w:r>
    </w:p>
    <w:p>
      <w:pPr>
        <w:spacing w:after="0" w:line="193" w:lineRule="exact"/>
        <w:rPr>
          <w:rFonts w:ascii="Arial" w:cs="Arial" w:eastAsia="Arial" w:hAnsi="Arial"/>
          <w:sz w:val="21"/>
          <w:szCs w:val="21"/>
          <w:color w:val="auto"/>
        </w:rPr>
      </w:pPr>
    </w:p>
    <w:p>
      <w:pPr>
        <w:jc w:val="both"/>
        <w:ind w:left="60" w:firstLine="657"/>
        <w:spacing w:after="0" w:line="312" w:lineRule="auto"/>
        <w:tabs>
          <w:tab w:leader="none" w:pos="956" w:val="left"/>
        </w:tabs>
        <w:numPr>
          <w:ilvl w:val="1"/>
          <w:numId w:val="31"/>
        </w:numPr>
        <w:rPr>
          <w:rFonts w:ascii="Arial" w:cs="Arial" w:eastAsia="Arial" w:hAnsi="Arial"/>
          <w:sz w:val="19"/>
          <w:szCs w:val="19"/>
          <w:color w:val="auto"/>
        </w:rPr>
      </w:pPr>
      <w:r>
        <w:rPr>
          <w:rFonts w:ascii="Arial" w:cs="Arial" w:eastAsia="Arial" w:hAnsi="Arial"/>
          <w:sz w:val="19"/>
          <w:szCs w:val="19"/>
          <w:i w:val="1"/>
          <w:iCs w:val="1"/>
          <w:color w:val="auto"/>
        </w:rPr>
        <w:t>Periodic Grants</w:t>
      </w:r>
      <w:r>
        <w:rPr>
          <w:rFonts w:ascii="Arial" w:cs="Arial" w:eastAsia="Arial" w:hAnsi="Arial"/>
          <w:sz w:val="19"/>
          <w:szCs w:val="19"/>
          <w:color w:val="auto"/>
        </w:rPr>
        <w:t>. Each Non-Employee Director shall be granted, as of the close of business on the third business day</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the earnings release for the first and third fiscal quarter of each year, in such form as the Non-Employee Director shall have elected pursuant to Section 7, an Award of 4,350 Options, 1,300 Restricted Shares, or 1,300 Stock Units.</w:t>
      </w:r>
    </w:p>
    <w:p>
      <w:pPr>
        <w:spacing w:after="0" w:line="147" w:lineRule="exact"/>
        <w:rPr>
          <w:rFonts w:ascii="Arial" w:cs="Arial" w:eastAsia="Arial" w:hAnsi="Arial"/>
          <w:sz w:val="19"/>
          <w:szCs w:val="19"/>
          <w:color w:val="auto"/>
        </w:rPr>
      </w:pPr>
    </w:p>
    <w:p>
      <w:pPr>
        <w:ind w:left="60" w:right="20" w:firstLine="657"/>
        <w:spacing w:after="0" w:line="343" w:lineRule="auto"/>
        <w:tabs>
          <w:tab w:leader="none" w:pos="930" w:val="left"/>
        </w:tabs>
        <w:numPr>
          <w:ilvl w:val="1"/>
          <w:numId w:val="31"/>
        </w:numPr>
        <w:rPr>
          <w:rFonts w:ascii="Arial" w:cs="Arial" w:eastAsia="Arial" w:hAnsi="Arial"/>
          <w:sz w:val="19"/>
          <w:szCs w:val="19"/>
          <w:color w:val="auto"/>
        </w:rPr>
      </w:pPr>
      <w:r>
        <w:rPr>
          <w:rFonts w:ascii="Arial" w:cs="Arial" w:eastAsia="Arial" w:hAnsi="Arial"/>
          <w:sz w:val="19"/>
          <w:szCs w:val="19"/>
          <w:i w:val="1"/>
          <w:iCs w:val="1"/>
          <w:color w:val="auto"/>
        </w:rPr>
        <w:t>Non-duplication of Grants</w:t>
      </w:r>
      <w:r>
        <w:rPr>
          <w:rFonts w:ascii="Arial" w:cs="Arial" w:eastAsia="Arial" w:hAnsi="Arial"/>
          <w:sz w:val="19"/>
          <w:szCs w:val="19"/>
          <w:color w:val="auto"/>
        </w:rPr>
        <w:t>. Notwithstanding the provisions of Section 5(b) above, Periodic Grants will not be granted to</w:t>
      </w:r>
      <w:r>
        <w:rPr>
          <w:rFonts w:ascii="Arial" w:cs="Arial" w:eastAsia="Arial" w:hAnsi="Arial"/>
          <w:sz w:val="19"/>
          <w:szCs w:val="19"/>
          <w:i w:val="1"/>
          <w:iCs w:val="1"/>
          <w:color w:val="auto"/>
        </w:rPr>
        <w:t xml:space="preserve"> </w:t>
      </w:r>
      <w:r>
        <w:rPr>
          <w:rFonts w:ascii="Arial" w:cs="Arial" w:eastAsia="Arial" w:hAnsi="Arial"/>
          <w:sz w:val="19"/>
          <w:szCs w:val="19"/>
          <w:color w:val="auto"/>
        </w:rPr>
        <w:t>a Non-Employee Director during the calendar year in which the Non-Employee Director receives his or her Initial Director Grant.</w:t>
      </w:r>
    </w:p>
    <w:p>
      <w:pPr>
        <w:spacing w:after="0" w:line="118" w:lineRule="exact"/>
        <w:rPr>
          <w:rFonts w:ascii="Arial" w:cs="Arial" w:eastAsia="Arial" w:hAnsi="Arial"/>
          <w:sz w:val="19"/>
          <w:szCs w:val="19"/>
          <w:color w:val="auto"/>
        </w:rPr>
      </w:pPr>
    </w:p>
    <w:p>
      <w:pPr>
        <w:ind w:left="60" w:right="20" w:firstLine="657"/>
        <w:spacing w:after="0" w:line="263" w:lineRule="auto"/>
        <w:tabs>
          <w:tab w:leader="none" w:pos="956"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Grant Eligibility</w:t>
      </w:r>
      <w:r>
        <w:rPr>
          <w:rFonts w:ascii="Arial" w:cs="Arial" w:eastAsia="Arial" w:hAnsi="Arial"/>
          <w:sz w:val="22"/>
          <w:szCs w:val="22"/>
          <w:color w:val="auto"/>
        </w:rPr>
        <w:t>. No individual shall be granted an Award under this Plan unless such individual is a Non-Employee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on the applicable grant date.</w:t>
      </w:r>
    </w:p>
    <w:p>
      <w:pPr>
        <w:spacing w:after="0" w:line="188" w:lineRule="exact"/>
        <w:rPr>
          <w:rFonts w:ascii="Arial" w:cs="Arial" w:eastAsia="Arial" w:hAnsi="Arial"/>
          <w:sz w:val="22"/>
          <w:szCs w:val="22"/>
          <w:color w:val="auto"/>
        </w:rPr>
      </w:pPr>
    </w:p>
    <w:p>
      <w:pPr>
        <w:ind w:left="60" w:right="20" w:firstLine="657"/>
        <w:spacing w:after="0" w:line="251" w:lineRule="auto"/>
        <w:tabs>
          <w:tab w:leader="none" w:pos="930"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Modification of Awards</w:t>
      </w:r>
      <w:r>
        <w:rPr>
          <w:rFonts w:ascii="Arial" w:cs="Arial" w:eastAsia="Arial" w:hAnsi="Arial"/>
          <w:sz w:val="22"/>
          <w:szCs w:val="22"/>
          <w:color w:val="auto"/>
        </w:rPr>
        <w:t>. The Plan Administrator in its discretion may modify the number and/or timing of the Awards to</w:t>
      </w:r>
      <w:r>
        <w:rPr>
          <w:rFonts w:ascii="Arial" w:cs="Arial" w:eastAsia="Arial" w:hAnsi="Arial"/>
          <w:sz w:val="22"/>
          <w:szCs w:val="22"/>
          <w:i w:val="1"/>
          <w:iCs w:val="1"/>
          <w:color w:val="auto"/>
        </w:rPr>
        <w:t xml:space="preserve"> </w:t>
      </w:r>
      <w:r>
        <w:rPr>
          <w:rFonts w:ascii="Arial" w:cs="Arial" w:eastAsia="Arial" w:hAnsi="Arial"/>
          <w:sz w:val="22"/>
          <w:szCs w:val="22"/>
          <w:color w:val="auto"/>
        </w:rPr>
        <w:t>be granted pursuant to the provisions of Sections 5(a) and</w:t>
      </w:r>
    </w:p>
    <w:p>
      <w:pPr>
        <w:spacing w:after="0" w:line="2" w:lineRule="exact"/>
        <w:rPr>
          <w:rFonts w:ascii="Arial" w:cs="Arial" w:eastAsia="Arial" w:hAnsi="Arial"/>
          <w:sz w:val="22"/>
          <w:szCs w:val="22"/>
          <w:color w:val="auto"/>
        </w:rPr>
      </w:pPr>
    </w:p>
    <w:p>
      <w:pPr>
        <w:ind w:left="60"/>
        <w:spacing w:after="0"/>
        <w:rPr>
          <w:rFonts w:ascii="Arial" w:cs="Arial" w:eastAsia="Arial" w:hAnsi="Arial"/>
          <w:sz w:val="22"/>
          <w:szCs w:val="22"/>
          <w:color w:val="auto"/>
        </w:rPr>
      </w:pPr>
      <w:r>
        <w:rPr>
          <w:rFonts w:ascii="Arial" w:cs="Arial" w:eastAsia="Arial" w:hAnsi="Arial"/>
          <w:sz w:val="22"/>
          <w:szCs w:val="22"/>
          <w:color w:val="auto"/>
        </w:rPr>
        <w:t>5(b) above without stockholder approval.</w:t>
      </w:r>
    </w:p>
    <w:p>
      <w:pPr>
        <w:spacing w:after="0" w:line="209" w:lineRule="exact"/>
        <w:rPr>
          <w:rFonts w:ascii="Arial" w:cs="Arial" w:eastAsia="Arial" w:hAnsi="Arial"/>
          <w:sz w:val="22"/>
          <w:szCs w:val="22"/>
          <w:color w:val="auto"/>
        </w:rPr>
      </w:pPr>
    </w:p>
    <w:p>
      <w:pPr>
        <w:ind w:left="420" w:hanging="351"/>
        <w:spacing w:after="0"/>
        <w:tabs>
          <w:tab w:leader="none" w:pos="42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Terms of Awards</w:t>
      </w:r>
    </w:p>
    <w:p>
      <w:pPr>
        <w:spacing w:after="0" w:line="239" w:lineRule="exact"/>
        <w:rPr>
          <w:rFonts w:ascii="Arial" w:cs="Arial" w:eastAsia="Arial" w:hAnsi="Arial"/>
          <w:sz w:val="22"/>
          <w:szCs w:val="22"/>
          <w:b w:val="1"/>
          <w:bCs w:val="1"/>
          <w:color w:val="auto"/>
        </w:rPr>
      </w:pPr>
    </w:p>
    <w:p>
      <w:pPr>
        <w:ind w:left="1060" w:hanging="343"/>
        <w:spacing w:after="0"/>
        <w:tabs>
          <w:tab w:leader="none" w:pos="1060"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Terms of Options</w:t>
      </w:r>
      <w:r>
        <w:rPr>
          <w:rFonts w:ascii="Arial" w:cs="Arial" w:eastAsia="Arial" w:hAnsi="Arial"/>
          <w:sz w:val="22"/>
          <w:szCs w:val="22"/>
          <w:color w:val="auto"/>
        </w:rPr>
        <w:t>. Each Option granted under this Plan on or after February 12,</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2009, shall:</w:t>
      </w:r>
    </w:p>
    <w:p>
      <w:pPr>
        <w:spacing w:after="0" w:line="17" w:lineRule="exact"/>
        <w:rPr>
          <w:sz w:val="20"/>
          <w:szCs w:val="20"/>
          <w:color w:val="auto"/>
        </w:rPr>
      </w:pPr>
    </w:p>
    <w:p>
      <w:pPr>
        <w:ind w:left="720" w:right="3760" w:firstLine="646"/>
        <w:spacing w:after="0" w:line="259" w:lineRule="auto"/>
        <w:tabs>
          <w:tab w:leader="none" w:pos="16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have an exercise price for each share subject thereto equal to the Fair Market Value of the Common Stock on the grant date;</w:t>
      </w:r>
    </w:p>
    <w:p>
      <w:pPr>
        <w:spacing w:after="0" w:line="192" w:lineRule="exact"/>
        <w:rPr>
          <w:rFonts w:ascii="Arial" w:cs="Arial" w:eastAsia="Arial" w:hAnsi="Arial"/>
          <w:sz w:val="22"/>
          <w:szCs w:val="22"/>
          <w:color w:val="auto"/>
        </w:rPr>
      </w:pPr>
    </w:p>
    <w:p>
      <w:pPr>
        <w:jc w:val="both"/>
        <w:ind w:left="720" w:firstLine="646"/>
        <w:spacing w:after="0" w:line="294" w:lineRule="auto"/>
        <w:tabs>
          <w:tab w:leader="none" w:pos="1614" w:val="left"/>
        </w:tabs>
        <w:numPr>
          <w:ilvl w:val="0"/>
          <w:numId w:val="32"/>
        </w:numPr>
        <w:rPr>
          <w:rFonts w:ascii="Arial" w:cs="Arial" w:eastAsia="Arial" w:hAnsi="Arial"/>
          <w:sz w:val="19"/>
          <w:szCs w:val="19"/>
          <w:color w:val="auto"/>
        </w:rPr>
      </w:pPr>
      <w:r>
        <w:rPr>
          <w:rFonts w:ascii="Arial" w:cs="Arial" w:eastAsia="Arial" w:hAnsi="Arial"/>
          <w:sz w:val="19"/>
          <w:szCs w:val="19"/>
          <w:color w:val="auto"/>
        </w:rPr>
        <w:t>be unvested and not be exercisable as to any shares when granted and, subject to the provisions of Section 8(b) (ii), shall (A) if granted as an Initial Director Grant, become vested and exercisable in full as of the close of business on the earlier of the Non-Employee Director’s date of death or the first anniversary of the grant date, and (B) if granted as a Periodic Grant, become vested and exercisable in full as of the close of business on the earliest of the Non-Employee Director’s date of death, the first anniversary of the grant date, or the day immediately prior to the Annual Meeting that occurs in the next calendar year following the year in which the grant date occurs, provided that in the case of</w:t>
      </w:r>
    </w:p>
    <w:p>
      <w:pPr>
        <w:spacing w:after="0" w:line="130" w:lineRule="exact"/>
        <w:rPr>
          <w:sz w:val="20"/>
          <w:szCs w:val="20"/>
          <w:color w:val="auto"/>
        </w:rPr>
      </w:pPr>
    </w:p>
    <w:p>
      <w:pPr>
        <w:ind w:left="320" w:right="3180" w:hanging="170"/>
        <w:spacing w:after="0" w:line="225" w:lineRule="auto"/>
        <w:tabs>
          <w:tab w:leader="none" w:pos="257" w:val="left"/>
        </w:tabs>
        <w:numPr>
          <w:ilvl w:val="0"/>
          <w:numId w:val="33"/>
        </w:numPr>
        <w:rPr>
          <w:rFonts w:ascii="Arial" w:cs="Arial" w:eastAsia="Arial" w:hAnsi="Arial"/>
          <w:sz w:val="28"/>
          <w:szCs w:val="28"/>
          <w:color w:val="800000"/>
          <w:vertAlign w:val="superscript"/>
        </w:rPr>
      </w:pPr>
      <w:r>
        <w:rPr>
          <w:rFonts w:ascii="Arial" w:cs="Arial" w:eastAsia="Arial" w:hAnsi="Arial"/>
          <w:sz w:val="17"/>
          <w:szCs w:val="17"/>
          <w:color w:val="auto"/>
        </w:rPr>
        <w:t>Reflects modifications to the number of Awards effectuated by the Plan Administrator pursuant to Section 5(e) on April 23, 2015.</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80" w:right="239" w:bottom="1440" w:gutter="0" w:footer="0" w:header="0"/>
        </w:sectPr>
      </w:pPr>
    </w:p>
    <w:bookmarkStart w:id="70" w:name="page71"/>
    <w:bookmarkEnd w:id="70"/>
    <w:p>
      <w:pPr>
        <w:ind w:left="740"/>
        <w:spacing w:after="0"/>
        <w:rPr>
          <w:sz w:val="20"/>
          <w:szCs w:val="20"/>
          <w:color w:val="auto"/>
        </w:rPr>
      </w:pPr>
      <w:r>
        <w:rPr>
          <w:rFonts w:ascii="Arial" w:cs="Arial" w:eastAsia="Arial" w:hAnsi="Arial"/>
          <w:sz w:val="21"/>
          <w:szCs w:val="21"/>
          <w:color w:val="auto"/>
        </w:rPr>
        <w:t>subclause (A) or (B) of this Section 6(a)(ii) the holder is a member of the Board on the applicable vesting date;</w:t>
      </w:r>
    </w:p>
    <w:p>
      <w:pPr>
        <w:spacing w:after="0" w:line="245" w:lineRule="exact"/>
        <w:rPr>
          <w:sz w:val="20"/>
          <w:szCs w:val="20"/>
          <w:color w:val="auto"/>
        </w:rPr>
      </w:pPr>
    </w:p>
    <w:p>
      <w:pPr>
        <w:jc w:val="both"/>
        <w:ind w:left="740" w:firstLine="653"/>
        <w:spacing w:after="0" w:line="250" w:lineRule="auto"/>
        <w:tabs>
          <w:tab w:leader="none" w:pos="1694" w:val="left"/>
        </w:tabs>
        <w:numPr>
          <w:ilvl w:val="0"/>
          <w:numId w:val="34"/>
        </w:numPr>
        <w:rPr>
          <w:rFonts w:ascii="Arial" w:cs="Arial" w:eastAsia="Arial" w:hAnsi="Arial"/>
          <w:sz w:val="22"/>
          <w:szCs w:val="22"/>
          <w:color w:val="auto"/>
        </w:rPr>
      </w:pPr>
      <w:r>
        <w:rPr>
          <w:rFonts w:ascii="Arial" w:cs="Arial" w:eastAsia="Arial" w:hAnsi="Arial"/>
          <w:sz w:val="22"/>
          <w:szCs w:val="22"/>
          <w:color w:val="auto"/>
        </w:rPr>
        <w:t>terminate and no longer be exercisable, to the extent unvested, when the Non-Employee Director ceases to be a member of the Board for any reason other than death, and to the extent vested, on the earlier to occur of the expiration of ten years after the grant date of such Option or five years after the Non-Employee Director ceases to be a member of the Board for any reason; and</w:t>
      </w:r>
    </w:p>
    <w:p>
      <w:pPr>
        <w:spacing w:after="0" w:line="201" w:lineRule="exact"/>
        <w:rPr>
          <w:rFonts w:ascii="Arial" w:cs="Arial" w:eastAsia="Arial" w:hAnsi="Arial"/>
          <w:sz w:val="22"/>
          <w:szCs w:val="22"/>
          <w:color w:val="auto"/>
        </w:rPr>
      </w:pPr>
    </w:p>
    <w:p>
      <w:pPr>
        <w:jc w:val="both"/>
        <w:ind w:left="740" w:firstLine="653"/>
        <w:spacing w:after="0" w:line="253" w:lineRule="auto"/>
        <w:tabs>
          <w:tab w:leader="none" w:pos="16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provide for payment of the exercise price via cash, check, or tender of shares of Common Stock, by way of a broker-assisted cashless exercise in accordance with procedures established by the Plan Administrator, or any combination thereof.</w:t>
      </w:r>
    </w:p>
    <w:p>
      <w:pPr>
        <w:spacing w:after="0" w:line="199" w:lineRule="exact"/>
        <w:rPr>
          <w:sz w:val="20"/>
          <w:szCs w:val="20"/>
          <w:color w:val="auto"/>
        </w:rPr>
      </w:pPr>
    </w:p>
    <w:p>
      <w:pPr>
        <w:jc w:val="both"/>
        <w:ind w:left="100"/>
        <w:spacing w:after="0" w:line="258" w:lineRule="auto"/>
        <w:rPr>
          <w:sz w:val="20"/>
          <w:szCs w:val="20"/>
          <w:color w:val="auto"/>
        </w:rPr>
      </w:pPr>
      <w:r>
        <w:rPr>
          <w:rFonts w:ascii="Arial" w:cs="Arial" w:eastAsia="Arial" w:hAnsi="Arial"/>
          <w:sz w:val="21"/>
          <w:szCs w:val="21"/>
          <w:color w:val="auto"/>
        </w:rPr>
        <w:t>Options granted under this Plan are not transferable by the Non-Employee Director otherwise than by will or the laws of descent and distribution and are exercisable during the Non-Employee Director’s lifetime only by the Non-Employee Director; except that with the consent of the Plan Administrator, Options may be transferred to a family member or a trust, partnership or the like for the benefit of the Non-Employee Director or such family members. No assignment or transfer of an Option, or of the rights represented thereby, whether voluntary or involuntary, by operation of law or otherwise, except by will, the laws of descent and distribution or by consent of the Plan Administrator, shall vest in the assignee or transferee any interest or right therein whatsoever, but immediately upon any attempt to assign or transfer the Option the same shall terminate and be of no force or effect. No Option holder shall have any rights as a stockholder with respect to any shares of Common Stock covered by an Option until the date a stock certificate or certificates representing such shares is issued or such other evidence of issuance of the shares to the person is entered on the records of the Company. Except as provided in Section 8, no adjustment for dividends or otherwise shall be made if the record date is prior to the date of issuance of the shares of Common Stock purchased pursuant to exercise of the Option.</w:t>
      </w:r>
    </w:p>
    <w:p>
      <w:pPr>
        <w:spacing w:after="0" w:line="194" w:lineRule="exact"/>
        <w:rPr>
          <w:sz w:val="20"/>
          <w:szCs w:val="20"/>
          <w:color w:val="auto"/>
        </w:rPr>
      </w:pPr>
    </w:p>
    <w:p>
      <w:pPr>
        <w:ind w:left="1100" w:hanging="356"/>
        <w:spacing w:after="0"/>
        <w:tabs>
          <w:tab w:leader="none" w:pos="1100"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Terms of Restricted Shares</w:t>
      </w:r>
      <w:r>
        <w:rPr>
          <w:rFonts w:ascii="Arial" w:cs="Arial" w:eastAsia="Arial" w:hAnsi="Arial"/>
          <w:sz w:val="21"/>
          <w:szCs w:val="21"/>
          <w:color w:val="auto"/>
        </w:rPr>
        <w:t>. All Restricted Shares granted under this Plan on or after February 12, 2009, shall:</w:t>
      </w:r>
    </w:p>
    <w:p>
      <w:pPr>
        <w:spacing w:after="0" w:line="258" w:lineRule="exact"/>
        <w:rPr>
          <w:rFonts w:ascii="Arial" w:cs="Arial" w:eastAsia="Arial" w:hAnsi="Arial"/>
          <w:sz w:val="21"/>
          <w:szCs w:val="21"/>
          <w:color w:val="auto"/>
        </w:rPr>
      </w:pPr>
    </w:p>
    <w:p>
      <w:pPr>
        <w:jc w:val="both"/>
        <w:ind w:left="740" w:firstLine="653"/>
        <w:spacing w:after="0" w:line="253" w:lineRule="auto"/>
        <w:tabs>
          <w:tab w:leader="none" w:pos="1588" w:val="left"/>
        </w:tabs>
        <w:numPr>
          <w:ilvl w:val="1"/>
          <w:numId w:val="35"/>
        </w:numPr>
        <w:rPr>
          <w:rFonts w:ascii="Arial" w:cs="Arial" w:eastAsia="Arial" w:hAnsi="Arial"/>
          <w:sz w:val="22"/>
          <w:szCs w:val="22"/>
          <w:color w:val="auto"/>
        </w:rPr>
      </w:pPr>
      <w:r>
        <w:rPr>
          <w:rFonts w:ascii="Arial" w:cs="Arial" w:eastAsia="Arial" w:hAnsi="Arial"/>
          <w:sz w:val="22"/>
          <w:szCs w:val="22"/>
          <w:color w:val="auto"/>
        </w:rPr>
        <w:t>be unvested and forfeitable upon grant and shall not be transferable or subject in any manner to anticipation, alienation, sale, exchange, assignment, pledge, encumbrance, or garnishment, or in any other manner made subject to a hedge transaction or puts and calls prior to becoming vested in full;</w:t>
      </w:r>
    </w:p>
    <w:p>
      <w:pPr>
        <w:spacing w:after="0" w:line="199" w:lineRule="exact"/>
        <w:rPr>
          <w:rFonts w:ascii="Arial" w:cs="Arial" w:eastAsia="Arial" w:hAnsi="Arial"/>
          <w:sz w:val="22"/>
          <w:szCs w:val="22"/>
          <w:color w:val="auto"/>
        </w:rPr>
      </w:pPr>
    </w:p>
    <w:p>
      <w:pPr>
        <w:jc w:val="both"/>
        <w:ind w:left="740" w:firstLine="653"/>
        <w:spacing w:after="0" w:line="294" w:lineRule="auto"/>
        <w:tabs>
          <w:tab w:leader="none" w:pos="1634" w:val="left"/>
        </w:tabs>
        <w:numPr>
          <w:ilvl w:val="1"/>
          <w:numId w:val="35"/>
        </w:numPr>
        <w:rPr>
          <w:rFonts w:ascii="Arial" w:cs="Arial" w:eastAsia="Arial" w:hAnsi="Arial"/>
          <w:sz w:val="19"/>
          <w:szCs w:val="19"/>
          <w:color w:val="auto"/>
        </w:rPr>
      </w:pPr>
      <w:r>
        <w:rPr>
          <w:rFonts w:ascii="Arial" w:cs="Arial" w:eastAsia="Arial" w:hAnsi="Arial"/>
          <w:sz w:val="19"/>
          <w:szCs w:val="19"/>
          <w:color w:val="auto"/>
        </w:rPr>
        <w:t>subject to the provisions of Section 8(b)(ii), (A) if granted as an Initial Director Grant, become vested in full, no longer subject to risk of forfeiture and transferable (subject to any restrictions imposed by law and any then-applicable stock ownership and retention guidelines for directors of the Company) as of the close of business on the earlier of the Non-Employee Director’s date of death or the first anniversary of the grant date, and (B) if granted as a Periodic Grant, become vested in full, no longer subject to risk of forfeiture and transferable (subject to any restrictions imposed by law and any then-applicable stock ownership and retention guidelines for directors of the Company) as of the close of business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658" w:right="239" w:bottom="1440" w:gutter="0" w:footer="0" w:header="0"/>
        </w:sectPr>
      </w:pPr>
    </w:p>
    <w:bookmarkStart w:id="71" w:name="page72"/>
    <w:bookmarkEnd w:id="71"/>
    <w:p>
      <w:pPr>
        <w:jc w:val="both"/>
        <w:ind w:left="740"/>
        <w:spacing w:after="0" w:line="250" w:lineRule="auto"/>
        <w:rPr>
          <w:sz w:val="20"/>
          <w:szCs w:val="20"/>
          <w:color w:val="auto"/>
        </w:rPr>
      </w:pPr>
      <w:r>
        <w:rPr>
          <w:rFonts w:ascii="Arial" w:cs="Arial" w:eastAsia="Arial" w:hAnsi="Arial"/>
          <w:sz w:val="22"/>
          <w:szCs w:val="22"/>
          <w:color w:val="auto"/>
        </w:rPr>
        <w:t>on the earliest of the Non-Employee Director’s date of death, the first anniversary of the grant date, or the day immediately prior to the Annual Meeting that occurs in the next calendar year following the year in which the grant date occurs, provided that in the case of subclause (A) or (B) of this Section 6(b)(ii) the holder is a member of the Board on the applicable vesting date; and</w:t>
      </w:r>
    </w:p>
    <w:p>
      <w:pPr>
        <w:spacing w:after="0" w:line="202" w:lineRule="exact"/>
        <w:rPr>
          <w:sz w:val="20"/>
          <w:szCs w:val="20"/>
          <w:color w:val="auto"/>
        </w:rPr>
      </w:pPr>
    </w:p>
    <w:p>
      <w:pPr>
        <w:ind w:left="740" w:firstLine="653"/>
        <w:spacing w:after="0" w:line="263" w:lineRule="auto"/>
        <w:tabs>
          <w:tab w:leader="none" w:pos="1735"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entitle the holder to all the rights of a stockholder, including voting and rights to receive dividends and distributions with respect to such shares, but shall be subject to transfer restrictions until vested.</w:t>
      </w:r>
    </w:p>
    <w:p>
      <w:pPr>
        <w:spacing w:after="0" w:line="188" w:lineRule="exact"/>
        <w:rPr>
          <w:sz w:val="20"/>
          <w:szCs w:val="20"/>
          <w:color w:val="auto"/>
        </w:rPr>
      </w:pPr>
    </w:p>
    <w:p>
      <w:pPr>
        <w:jc w:val="both"/>
        <w:ind w:left="100"/>
        <w:spacing w:after="0" w:line="288" w:lineRule="auto"/>
        <w:rPr>
          <w:sz w:val="20"/>
          <w:szCs w:val="20"/>
          <w:color w:val="auto"/>
        </w:rPr>
      </w:pPr>
      <w:r>
        <w:rPr>
          <w:rFonts w:ascii="Arial" w:cs="Arial" w:eastAsia="Arial" w:hAnsi="Arial"/>
          <w:sz w:val="19"/>
          <w:szCs w:val="19"/>
          <w:color w:val="auto"/>
        </w:rPr>
        <w:t>If the Non-Employee Director ceases to be a member of the Board for any reason other than death, all unvested Restricted Shares will be forfeited to the Company upon such cessation without any consideration paid therefor. The Non-Employee Director will be reflected on the Company’s books as the owner of record of the shares of Common Stock represented by the Restricted Shares as of the grant date. The Company will retain the shares in uncertificated book entry form with a notation as to their nontransferability, until the Restricted Shares become vested and nonforfeitable. As soon as practicable after vesting of the Restricted Shares, the Company will remove any notation of nontransferability of the shares on its books and, unless requested to deliver a share certificate to the Non-Employee Director, or to deliver shares electronically or in certificate form to the Non-Employee Director’s designated broker on the director’s behalf, for such vested shares, the Company will retain the shares in uncertificated book entry form. All regular cash dividends payable with respect to the Restricted Shares will be paid directly to the Non-Employee Director on the applicable dividend payment dates, notwithstanding that the shares are then unvested.</w:t>
      </w:r>
    </w:p>
    <w:p>
      <w:pPr>
        <w:spacing w:after="0" w:line="174" w:lineRule="exact"/>
        <w:rPr>
          <w:sz w:val="20"/>
          <w:szCs w:val="20"/>
          <w:color w:val="auto"/>
        </w:rPr>
      </w:pPr>
    </w:p>
    <w:p>
      <w:pPr>
        <w:ind w:left="100" w:right="4180" w:firstLine="644"/>
        <w:spacing w:after="0" w:line="263" w:lineRule="auto"/>
        <w:tabs>
          <w:tab w:leader="none" w:pos="97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Terms of Stock Units. </w:t>
      </w:r>
      <w:r>
        <w:rPr>
          <w:rFonts w:ascii="Arial" w:cs="Arial" w:eastAsia="Arial" w:hAnsi="Arial"/>
          <w:sz w:val="22"/>
          <w:szCs w:val="22"/>
          <w:color w:val="auto"/>
        </w:rPr>
        <w:t>All Stock Units granted under this Plan on or after</w:t>
      </w:r>
      <w:r>
        <w:rPr>
          <w:rFonts w:ascii="Arial" w:cs="Arial" w:eastAsia="Arial" w:hAnsi="Arial"/>
          <w:sz w:val="22"/>
          <w:szCs w:val="22"/>
          <w:i w:val="1"/>
          <w:iCs w:val="1"/>
          <w:color w:val="auto"/>
        </w:rPr>
        <w:t xml:space="preserve"> </w:t>
      </w:r>
      <w:r>
        <w:rPr>
          <w:rFonts w:ascii="Arial" w:cs="Arial" w:eastAsia="Arial" w:hAnsi="Arial"/>
          <w:sz w:val="22"/>
          <w:szCs w:val="22"/>
          <w:color w:val="auto"/>
        </w:rPr>
        <w:t>February 12, 2009, shall:</w:t>
      </w:r>
    </w:p>
    <w:p>
      <w:pPr>
        <w:spacing w:after="0" w:line="188" w:lineRule="exact"/>
        <w:rPr>
          <w:rFonts w:ascii="Arial" w:cs="Arial" w:eastAsia="Arial" w:hAnsi="Arial"/>
          <w:sz w:val="22"/>
          <w:szCs w:val="22"/>
          <w:color w:val="auto"/>
        </w:rPr>
      </w:pPr>
    </w:p>
    <w:p>
      <w:pPr>
        <w:ind w:left="1580" w:hanging="187"/>
        <w:spacing w:after="0"/>
        <w:tabs>
          <w:tab w:leader="none" w:pos="1580" w:val="left"/>
        </w:tabs>
        <w:numPr>
          <w:ilvl w:val="1"/>
          <w:numId w:val="37"/>
        </w:numPr>
        <w:rPr>
          <w:rFonts w:ascii="Arial" w:cs="Arial" w:eastAsia="Arial" w:hAnsi="Arial"/>
          <w:sz w:val="19"/>
          <w:szCs w:val="19"/>
          <w:color w:val="auto"/>
        </w:rPr>
      </w:pPr>
      <w:r>
        <w:rPr>
          <w:rFonts w:ascii="Arial" w:cs="Arial" w:eastAsia="Arial" w:hAnsi="Arial"/>
          <w:sz w:val="19"/>
          <w:szCs w:val="19"/>
          <w:color w:val="auto"/>
        </w:rPr>
        <w:t>be unvested and subject to risk of forfeiture when granted and, subject to the provisions of Section 8(b)(ii), shall</w:t>
      </w:r>
    </w:p>
    <w:p>
      <w:pPr>
        <w:spacing w:after="0" w:line="56" w:lineRule="exact"/>
        <w:rPr>
          <w:rFonts w:ascii="Arial" w:cs="Arial" w:eastAsia="Arial" w:hAnsi="Arial"/>
          <w:sz w:val="19"/>
          <w:szCs w:val="19"/>
          <w:color w:val="auto"/>
        </w:rPr>
      </w:pPr>
    </w:p>
    <w:p>
      <w:pPr>
        <w:jc w:val="both"/>
        <w:ind w:left="740"/>
        <w:spacing w:after="0" w:line="281" w:lineRule="auto"/>
        <w:rPr>
          <w:rFonts w:ascii="Arial" w:cs="Arial" w:eastAsia="Arial" w:hAnsi="Arial"/>
          <w:sz w:val="19"/>
          <w:szCs w:val="19"/>
          <w:color w:val="auto"/>
        </w:rPr>
      </w:pPr>
      <w:r>
        <w:rPr>
          <w:rFonts w:ascii="Arial" w:cs="Arial" w:eastAsia="Arial" w:hAnsi="Arial"/>
          <w:sz w:val="19"/>
          <w:szCs w:val="19"/>
          <w:color w:val="auto"/>
        </w:rPr>
        <w:t>(A) if granted as an Initial Director Grant, become vested in full and no longer subject to risk of forfeiture as of the close of business on the earlier of the Non-Employee Director’s date of death or the first anniversary of the grant date, and (B) if granted as a Periodic Grant, become vested in full as of the close of business on the earliest of the Non-Employee Director’s date of death, the first anniversary of the grant date, or the day immediately prior to the Annual Meeting that occurs in the next calendar year following the year in which the grant date occurs, provided that in the case of subclause</w:t>
      </w:r>
    </w:p>
    <w:p>
      <w:pPr>
        <w:spacing w:after="0" w:line="3"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(A) or (B) of this Section 6(c)(i) the holder is a member of the Board on the applicable vesting date;</w:t>
      </w:r>
    </w:p>
    <w:p>
      <w:pPr>
        <w:spacing w:after="0" w:line="215" w:lineRule="exact"/>
        <w:rPr>
          <w:rFonts w:ascii="Arial" w:cs="Arial" w:eastAsia="Arial" w:hAnsi="Arial"/>
          <w:sz w:val="19"/>
          <w:szCs w:val="19"/>
          <w:color w:val="auto"/>
        </w:rPr>
      </w:pPr>
    </w:p>
    <w:p>
      <w:pPr>
        <w:jc w:val="both"/>
        <w:ind w:left="740" w:firstLine="653"/>
        <w:spacing w:after="0" w:line="253" w:lineRule="auto"/>
        <w:tabs>
          <w:tab w:leader="none" w:pos="1634" w:val="left"/>
        </w:tabs>
        <w:numPr>
          <w:ilvl w:val="1"/>
          <w:numId w:val="37"/>
        </w:numPr>
        <w:rPr>
          <w:rFonts w:ascii="Arial" w:cs="Arial" w:eastAsia="Arial" w:hAnsi="Arial"/>
          <w:sz w:val="22"/>
          <w:szCs w:val="22"/>
          <w:color w:val="auto"/>
        </w:rPr>
      </w:pPr>
      <w:r>
        <w:rPr>
          <w:rFonts w:ascii="Arial" w:cs="Arial" w:eastAsia="Arial" w:hAnsi="Arial"/>
          <w:sz w:val="22"/>
          <w:szCs w:val="22"/>
          <w:color w:val="auto"/>
        </w:rPr>
        <w:t>at all times be nontransferable and not subject in any manner to anticipation, alienation, sale, exchange, transfer, assignment, pledge, encumbrance, or garnishment, or in any other manner made subject to a hedge transaction or puts and calls;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91" w:right="239" w:bottom="1440" w:gutter="0" w:footer="0" w:header="0"/>
        </w:sectPr>
      </w:pPr>
    </w:p>
    <w:bookmarkStart w:id="72" w:name="page73"/>
    <w:bookmarkEnd w:id="72"/>
    <w:p>
      <w:pPr>
        <w:ind w:left="740" w:right="3420" w:firstLine="653"/>
        <w:spacing w:after="0" w:line="326" w:lineRule="auto"/>
        <w:tabs>
          <w:tab w:leader="none" w:pos="18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be settled in shares of Common Stock, to the extent vested, upon the Non-Employee Director’s Termination Date, unless the Non-Employee director is a</w:t>
      </w:r>
    </w:p>
    <w:p>
      <w:pPr>
        <w:spacing w:after="0" w:line="1" w:lineRule="exact"/>
        <w:rPr>
          <w:sz w:val="20"/>
          <w:szCs w:val="20"/>
          <w:color w:val="auto"/>
        </w:rPr>
      </w:pPr>
    </w:p>
    <w:p>
      <w:pPr>
        <w:jc w:val="both"/>
        <w:ind w:left="740"/>
        <w:spacing w:after="0" w:line="263" w:lineRule="auto"/>
        <w:rPr>
          <w:sz w:val="20"/>
          <w:szCs w:val="20"/>
          <w:color w:val="auto"/>
        </w:rPr>
      </w:pPr>
      <w:r>
        <w:rPr>
          <w:rFonts w:ascii="Arial" w:cs="Arial" w:eastAsia="Arial" w:hAnsi="Arial"/>
          <w:sz w:val="21"/>
          <w:szCs w:val="21"/>
          <w:color w:val="auto"/>
        </w:rPr>
        <w:t>“specified employee” (as defined under Code section 409A and determined in good faith by the Plan Administrator). If a Non-Employee Director is a “specified employee” on the Termination Date, the restricted stock units to be settled on account of the occurrence of that Termination Date will be settled within 15 days after the end of the six-month period beginning on that Termination Date or, if earlier, within 15 days after the appointment of the personal representative or executor of the estate after the Non-Employee Director’s death.</w:t>
      </w:r>
    </w:p>
    <w:p>
      <w:pPr>
        <w:spacing w:after="0" w:line="189" w:lineRule="exact"/>
        <w:rPr>
          <w:sz w:val="20"/>
          <w:szCs w:val="20"/>
          <w:color w:val="auto"/>
        </w:rPr>
      </w:pPr>
    </w:p>
    <w:p>
      <w:pPr>
        <w:jc w:val="both"/>
        <w:ind w:left="100"/>
        <w:spacing w:after="0" w:line="286" w:lineRule="auto"/>
        <w:rPr>
          <w:sz w:val="20"/>
          <w:szCs w:val="20"/>
          <w:color w:val="auto"/>
        </w:rPr>
      </w:pPr>
      <w:r>
        <w:rPr>
          <w:rFonts w:ascii="Arial" w:cs="Arial" w:eastAsia="Arial" w:hAnsi="Arial"/>
          <w:sz w:val="19"/>
          <w:szCs w:val="19"/>
          <w:color w:val="auto"/>
        </w:rPr>
        <w:t>If the Non-Employee Director ceases to be a member of the Board for any reason other than death, all unvested Stock Units will be forfeited upon such cessation without any consideration paid therefor. Upon settlement, the Company shall issue to the unit holder, or the unit holder’s estate as applicable, a number of shares of Common Stock equal to the number of whole, vested Stock Units then credited to the unit holder’s Account; any fractional Stock Units will be settled in cash. The grant of a Stock Unit shall not entitle the unit holder to voting or other rights as a stockholder until shares of Common Stock are issued to the unit holder upon settlement. If the Company declares a cash dividend payable to the holders of its Common Stock, then, on the dividend payment date, each unit holder who has Stock Units credited to an Account on the record date for such dividend will be credited with dividend equivalents in the form of additional, vested Stock Units. The number of Stock Units to be credited shall be equal to the quotient determined by dividing (a) by (b), where (a) is the product of (i) the cash dividend payable per share of Common Stock, multiplied by (ii) the number of whole Stock Units credited to the unit holder’s Account as of the record date, and (b) is the Fair Market Value of a share of Common Stock on the dividend payment date. The Plan Administrator shall determine, in its discretion, whether to credit fractional units to the Account, eliminate fractional units, or pay out fractional units in cash to the unit holder on the dividend payment date. If the unit holder’s Stock Units have been settled after the record date but prior to the dividend payment date, any Stock Units that would be credited pursuant to the preceding sentence shall be settled on or as soon as practicable after the dividend payment date.</w:t>
      </w:r>
    </w:p>
    <w:p>
      <w:pPr>
        <w:spacing w:after="0" w:line="200" w:lineRule="exact"/>
        <w:rPr>
          <w:sz w:val="20"/>
          <w:szCs w:val="20"/>
          <w:color w:val="auto"/>
        </w:rPr>
      </w:pPr>
    </w:p>
    <w:p>
      <w:pPr>
        <w:spacing w:after="0" w:line="233" w:lineRule="exact"/>
        <w:rPr>
          <w:sz w:val="20"/>
          <w:szCs w:val="20"/>
          <w:color w:val="auto"/>
        </w:rPr>
      </w:pPr>
    </w:p>
    <w:p>
      <w:pPr>
        <w:ind w:left="100" w:firstLine="644"/>
        <w:spacing w:after="0" w:line="263" w:lineRule="auto"/>
        <w:tabs>
          <w:tab w:leader="none" w:pos="982" w:val="left"/>
        </w:tabs>
        <w:numPr>
          <w:ilvl w:val="1"/>
          <w:numId w:val="39"/>
        </w:numPr>
        <w:rPr>
          <w:rFonts w:ascii="Arial" w:cs="Arial" w:eastAsia="Arial" w:hAnsi="Arial"/>
          <w:sz w:val="22"/>
          <w:szCs w:val="22"/>
          <w:color w:val="auto"/>
        </w:rPr>
      </w:pPr>
      <w:r>
        <w:rPr>
          <w:rFonts w:ascii="Arial" w:cs="Arial" w:eastAsia="Arial" w:hAnsi="Arial"/>
          <w:sz w:val="22"/>
          <w:szCs w:val="22"/>
          <w:i w:val="1"/>
          <w:iCs w:val="1"/>
          <w:color w:val="auto"/>
        </w:rPr>
        <w:t>Award Agreement</w:t>
      </w:r>
      <w:r>
        <w:rPr>
          <w:rFonts w:ascii="Arial" w:cs="Arial" w:eastAsia="Arial" w:hAnsi="Arial"/>
          <w:sz w:val="22"/>
          <w:szCs w:val="22"/>
          <w:color w:val="auto"/>
        </w:rPr>
        <w:t>. Each Award granted under this Plan shall be evidenced by an agreement, in a form approved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Administrator, which shall be subject to the terms and conditions of the Plan.</w:t>
      </w:r>
    </w:p>
    <w:p>
      <w:pPr>
        <w:spacing w:after="0" w:line="182" w:lineRule="exact"/>
        <w:rPr>
          <w:rFonts w:ascii="Arial" w:cs="Arial" w:eastAsia="Arial" w:hAnsi="Arial"/>
          <w:sz w:val="22"/>
          <w:szCs w:val="22"/>
          <w:color w:val="auto"/>
        </w:rPr>
      </w:pPr>
    </w:p>
    <w:p>
      <w:pPr>
        <w:ind w:left="340" w:hanging="244"/>
        <w:spacing w:after="0"/>
        <w:tabs>
          <w:tab w:leader="none" w:pos="34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Election Procedures</w:t>
      </w:r>
    </w:p>
    <w:p>
      <w:pPr>
        <w:spacing w:after="0" w:line="225" w:lineRule="exact"/>
        <w:rPr>
          <w:rFonts w:ascii="Arial" w:cs="Arial" w:eastAsia="Arial" w:hAnsi="Arial"/>
          <w:sz w:val="22"/>
          <w:szCs w:val="22"/>
          <w:b w:val="1"/>
          <w:bCs w:val="1"/>
          <w:color w:val="auto"/>
        </w:rPr>
      </w:pPr>
    </w:p>
    <w:p>
      <w:pPr>
        <w:ind w:left="100" w:firstLine="644"/>
        <w:spacing w:after="0" w:line="343" w:lineRule="auto"/>
        <w:tabs>
          <w:tab w:leader="none" w:pos="984" w:val="left"/>
        </w:tabs>
        <w:numPr>
          <w:ilvl w:val="1"/>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Election Timing Rules. </w:t>
      </w:r>
      <w:r>
        <w:rPr>
          <w:rFonts w:ascii="Arial" w:cs="Arial" w:eastAsia="Arial" w:hAnsi="Arial"/>
          <w:sz w:val="19"/>
          <w:szCs w:val="19"/>
          <w:color w:val="auto"/>
        </w:rPr>
        <w:t>Each Non-Employee Director shall elect the form in which he or she will be granted Awards</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Plan by filing with the treasurer of the Company an Election Form in accordance with the following rules:</w:t>
      </w:r>
    </w:p>
    <w:p>
      <w:pPr>
        <w:spacing w:after="0" w:line="118" w:lineRule="exact"/>
        <w:rPr>
          <w:rFonts w:ascii="Arial" w:cs="Arial" w:eastAsia="Arial" w:hAnsi="Arial"/>
          <w:sz w:val="19"/>
          <w:szCs w:val="19"/>
          <w:color w:val="auto"/>
        </w:rPr>
      </w:pPr>
    </w:p>
    <w:p>
      <w:pPr>
        <w:jc w:val="both"/>
        <w:ind w:left="740" w:firstLine="653"/>
        <w:spacing w:after="0" w:line="253" w:lineRule="auto"/>
        <w:tabs>
          <w:tab w:leader="none" w:pos="1601" w:val="left"/>
        </w:tabs>
        <w:numPr>
          <w:ilvl w:val="2"/>
          <w:numId w:val="40"/>
        </w:numPr>
        <w:rPr>
          <w:rFonts w:ascii="Arial" w:cs="Arial" w:eastAsia="Arial" w:hAnsi="Arial"/>
          <w:sz w:val="22"/>
          <w:szCs w:val="22"/>
          <w:color w:val="auto"/>
        </w:rPr>
      </w:pPr>
      <w:r>
        <w:rPr>
          <w:rFonts w:ascii="Arial" w:cs="Arial" w:eastAsia="Arial" w:hAnsi="Arial"/>
          <w:sz w:val="22"/>
          <w:szCs w:val="22"/>
          <w:i w:val="1"/>
          <w:iCs w:val="1"/>
          <w:color w:val="auto"/>
        </w:rPr>
        <w:t>Initial Plan Elections</w:t>
      </w:r>
      <w:r>
        <w:rPr>
          <w:rFonts w:ascii="Arial" w:cs="Arial" w:eastAsia="Arial" w:hAnsi="Arial"/>
          <w:sz w:val="22"/>
          <w:szCs w:val="22"/>
          <w:color w:val="auto"/>
        </w:rPr>
        <w:t>. For the Initial Plan Year, Incumbent Directors must file an Election Form prior to or</w:t>
      </w:r>
      <w:r>
        <w:rPr>
          <w:rFonts w:ascii="Arial" w:cs="Arial" w:eastAsia="Arial" w:hAnsi="Arial"/>
          <w:sz w:val="22"/>
          <w:szCs w:val="22"/>
          <w:i w:val="1"/>
          <w:iCs w:val="1"/>
          <w:color w:val="auto"/>
        </w:rPr>
        <w:t xml:space="preserve"> </w:t>
      </w:r>
      <w:r>
        <w:rPr>
          <w:rFonts w:ascii="Arial" w:cs="Arial" w:eastAsia="Arial" w:hAnsi="Arial"/>
          <w:sz w:val="22"/>
          <w:szCs w:val="22"/>
          <w:color w:val="auto"/>
        </w:rPr>
        <w:t>within 14 days after the Effective Date. Such elections shall apply to Awards that are scheduled to be granted, under the terms of Section 5, after the written notice is received by the treasurer of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91" w:right="239" w:bottom="1440" w:gutter="0" w:footer="0" w:header="0"/>
        </w:sectPr>
      </w:pPr>
    </w:p>
    <w:bookmarkStart w:id="73" w:name="page74"/>
    <w:bookmarkEnd w:id="73"/>
    <w:p>
      <w:pPr>
        <w:ind w:left="740" w:right="3020" w:firstLine="653"/>
        <w:spacing w:after="0" w:line="299" w:lineRule="auto"/>
        <w:tabs>
          <w:tab w:leader="none" w:pos="1760" w:val="left"/>
        </w:tabs>
        <w:numPr>
          <w:ilvl w:val="2"/>
          <w:numId w:val="41"/>
        </w:numPr>
        <w:rPr>
          <w:rFonts w:ascii="Arial" w:cs="Arial" w:eastAsia="Arial" w:hAnsi="Arial"/>
          <w:sz w:val="19"/>
          <w:szCs w:val="19"/>
          <w:color w:val="auto"/>
        </w:rPr>
      </w:pPr>
      <w:r>
        <w:rPr>
          <w:rFonts w:ascii="Arial" w:cs="Arial" w:eastAsia="Arial" w:hAnsi="Arial"/>
          <w:sz w:val="19"/>
          <w:szCs w:val="19"/>
          <w:i w:val="1"/>
          <w:iCs w:val="1"/>
          <w:color w:val="auto"/>
        </w:rPr>
        <w:t>Elections by New Directors</w:t>
      </w:r>
      <w:r>
        <w:rPr>
          <w:rFonts w:ascii="Arial" w:cs="Arial" w:eastAsia="Arial" w:hAnsi="Arial"/>
          <w:sz w:val="19"/>
          <w:szCs w:val="19"/>
          <w:color w:val="auto"/>
        </w:rPr>
        <w:t>. Each New Director must file an 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Form prior to or within 14 days after becoming a Non-Employee Director. Such election</w:t>
      </w:r>
    </w:p>
    <w:p>
      <w:pPr>
        <w:ind w:left="740" w:right="120"/>
        <w:spacing w:after="0" w:line="246" w:lineRule="auto"/>
        <w:rPr>
          <w:rFonts w:ascii="Arial" w:cs="Arial" w:eastAsia="Arial" w:hAnsi="Arial"/>
          <w:sz w:val="19"/>
          <w:szCs w:val="19"/>
          <w:color w:val="auto"/>
        </w:rPr>
      </w:pPr>
      <w:r>
        <w:rPr>
          <w:rFonts w:ascii="Arial" w:cs="Arial" w:eastAsia="Arial" w:hAnsi="Arial"/>
          <w:sz w:val="22"/>
          <w:szCs w:val="22"/>
          <w:color w:val="auto"/>
        </w:rPr>
        <w:t>shall apply to Awards that are scheduled to be granted, under the terms of Section 5, after the written notice is received by the treasurer of the Company.</w:t>
      </w:r>
    </w:p>
    <w:p>
      <w:pPr>
        <w:spacing w:after="0" w:line="206" w:lineRule="exact"/>
        <w:rPr>
          <w:rFonts w:ascii="Arial" w:cs="Arial" w:eastAsia="Arial" w:hAnsi="Arial"/>
          <w:sz w:val="19"/>
          <w:szCs w:val="19"/>
          <w:color w:val="auto"/>
        </w:rPr>
      </w:pPr>
    </w:p>
    <w:p>
      <w:pPr>
        <w:jc w:val="both"/>
        <w:ind w:left="740" w:firstLine="653"/>
        <w:spacing w:after="0" w:line="304" w:lineRule="auto"/>
        <w:tabs>
          <w:tab w:leader="none" w:pos="1694" w:val="left"/>
        </w:tabs>
        <w:numPr>
          <w:ilvl w:val="2"/>
          <w:numId w:val="41"/>
        </w:numPr>
        <w:rPr>
          <w:rFonts w:ascii="Arial" w:cs="Arial" w:eastAsia="Arial" w:hAnsi="Arial"/>
          <w:sz w:val="19"/>
          <w:szCs w:val="19"/>
          <w:color w:val="auto"/>
        </w:rPr>
      </w:pPr>
      <w:r>
        <w:rPr>
          <w:rFonts w:ascii="Arial" w:cs="Arial" w:eastAsia="Arial" w:hAnsi="Arial"/>
          <w:sz w:val="19"/>
          <w:szCs w:val="19"/>
          <w:i w:val="1"/>
          <w:iCs w:val="1"/>
          <w:color w:val="auto"/>
        </w:rPr>
        <w:t xml:space="preserve">Modification of Elections. </w:t>
      </w:r>
      <w:r>
        <w:rPr>
          <w:rFonts w:ascii="Arial" w:cs="Arial" w:eastAsia="Arial" w:hAnsi="Arial"/>
          <w:sz w:val="19"/>
          <w:szCs w:val="19"/>
          <w:color w:val="auto"/>
        </w:rPr>
        <w:t>Election Forms will remain in effect from year to year unless modified prospectively</w:t>
      </w:r>
      <w:r>
        <w:rPr>
          <w:rFonts w:ascii="Arial" w:cs="Arial" w:eastAsia="Arial" w:hAnsi="Arial"/>
          <w:sz w:val="19"/>
          <w:szCs w:val="19"/>
          <w:i w:val="1"/>
          <w:iCs w:val="1"/>
          <w:color w:val="auto"/>
        </w:rPr>
        <w:t xml:space="preserve"> </w:t>
      </w:r>
      <w:r>
        <w:rPr>
          <w:rFonts w:ascii="Arial" w:cs="Arial" w:eastAsia="Arial" w:hAnsi="Arial"/>
          <w:sz w:val="19"/>
          <w:szCs w:val="19"/>
          <w:color w:val="auto"/>
        </w:rPr>
        <w:t>by the Non-Employee Director for a subsequent Plan Year. A Non-Employee Director may modify an existing Election Form for any subsequent Plan Year by filing a new Election Form with the treasurer of the Company by December 31</w:t>
      </w:r>
      <w:r>
        <w:rPr>
          <w:rFonts w:ascii="Arial" w:cs="Arial" w:eastAsia="Arial" w:hAnsi="Arial"/>
          <w:sz w:val="13"/>
          <w:szCs w:val="13"/>
          <w:color w:val="auto"/>
        </w:rPr>
        <w:t>st</w:t>
      </w:r>
      <w:r>
        <w:rPr>
          <w:rFonts w:ascii="Arial" w:cs="Arial" w:eastAsia="Arial" w:hAnsi="Arial"/>
          <w:sz w:val="19"/>
          <w:szCs w:val="19"/>
          <w:color w:val="auto"/>
        </w:rPr>
        <w:t xml:space="preserve"> of the year preceding the Plan Year for which the modification is to become effective. A Non-Employee Director may not modify an Election Form with respect to Awards to be granted during a Plan Year after the Plan Year has commenced.</w:t>
      </w:r>
    </w:p>
    <w:p>
      <w:pPr>
        <w:spacing w:after="0" w:line="142" w:lineRule="exact"/>
        <w:rPr>
          <w:rFonts w:ascii="Arial" w:cs="Arial" w:eastAsia="Arial" w:hAnsi="Arial"/>
          <w:sz w:val="19"/>
          <w:szCs w:val="19"/>
          <w:color w:val="auto"/>
        </w:rPr>
      </w:pPr>
    </w:p>
    <w:p>
      <w:pPr>
        <w:ind w:left="100" w:firstLine="644"/>
        <w:spacing w:after="0" w:line="263" w:lineRule="auto"/>
        <w:tabs>
          <w:tab w:leader="none" w:pos="996" w:val="left"/>
        </w:tabs>
        <w:numPr>
          <w:ilvl w:val="1"/>
          <w:numId w:val="42"/>
        </w:numPr>
        <w:rPr>
          <w:rFonts w:ascii="Arial" w:cs="Arial" w:eastAsia="Arial" w:hAnsi="Arial"/>
          <w:sz w:val="22"/>
          <w:szCs w:val="22"/>
          <w:color w:val="auto"/>
        </w:rPr>
      </w:pPr>
      <w:r>
        <w:rPr>
          <w:rFonts w:ascii="Arial" w:cs="Arial" w:eastAsia="Arial" w:hAnsi="Arial"/>
          <w:sz w:val="22"/>
          <w:szCs w:val="22"/>
          <w:i w:val="1"/>
          <w:iCs w:val="1"/>
          <w:color w:val="auto"/>
        </w:rPr>
        <w:t>Default Election</w:t>
      </w:r>
      <w:r>
        <w:rPr>
          <w:rFonts w:ascii="Arial" w:cs="Arial" w:eastAsia="Arial" w:hAnsi="Arial"/>
          <w:sz w:val="22"/>
          <w:szCs w:val="22"/>
          <w:color w:val="auto"/>
        </w:rPr>
        <w:t>. If a Non-Employee Director does not have a valid Election Form in effect at the relevant time, the</w:t>
      </w:r>
      <w:r>
        <w:rPr>
          <w:rFonts w:ascii="Arial" w:cs="Arial" w:eastAsia="Arial" w:hAnsi="Arial"/>
          <w:sz w:val="22"/>
          <w:szCs w:val="22"/>
          <w:i w:val="1"/>
          <w:iCs w:val="1"/>
          <w:color w:val="auto"/>
        </w:rPr>
        <w:t xml:space="preserve"> </w:t>
      </w:r>
      <w:r>
        <w:rPr>
          <w:rFonts w:ascii="Arial" w:cs="Arial" w:eastAsia="Arial" w:hAnsi="Arial"/>
          <w:sz w:val="22"/>
          <w:szCs w:val="22"/>
          <w:color w:val="auto"/>
        </w:rPr>
        <w:t>Non-Employee Director’s Award shall be made in the form of Stock Units.</w:t>
      </w:r>
    </w:p>
    <w:p>
      <w:pPr>
        <w:spacing w:after="0" w:line="182" w:lineRule="exact"/>
        <w:rPr>
          <w:rFonts w:ascii="Arial" w:cs="Arial" w:eastAsia="Arial" w:hAnsi="Arial"/>
          <w:sz w:val="22"/>
          <w:szCs w:val="22"/>
          <w:color w:val="auto"/>
        </w:rPr>
      </w:pPr>
    </w:p>
    <w:p>
      <w:pPr>
        <w:ind w:left="460" w:hanging="364"/>
        <w:spacing w:after="0"/>
        <w:tabs>
          <w:tab w:leader="none" w:pos="4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for Corporate Transactions and Other Events</w:t>
      </w:r>
    </w:p>
    <w:p>
      <w:pPr>
        <w:spacing w:after="0" w:line="252" w:lineRule="exact"/>
        <w:rPr>
          <w:rFonts w:ascii="Arial" w:cs="Arial" w:eastAsia="Arial" w:hAnsi="Arial"/>
          <w:sz w:val="22"/>
          <w:szCs w:val="22"/>
          <w:b w:val="1"/>
          <w:bCs w:val="1"/>
          <w:color w:val="auto"/>
        </w:rPr>
      </w:pPr>
    </w:p>
    <w:p>
      <w:pPr>
        <w:jc w:val="both"/>
        <w:ind w:left="100" w:firstLine="644"/>
        <w:spacing w:after="0" w:line="288" w:lineRule="auto"/>
        <w:tabs>
          <w:tab w:leader="none" w:pos="970" w:val="left"/>
        </w:tabs>
        <w:numPr>
          <w:ilvl w:val="1"/>
          <w:numId w:val="43"/>
        </w:numPr>
        <w:rPr>
          <w:rFonts w:ascii="Arial" w:cs="Arial" w:eastAsia="Arial" w:hAnsi="Arial"/>
          <w:sz w:val="19"/>
          <w:szCs w:val="19"/>
          <w:color w:val="auto"/>
        </w:rPr>
      </w:pPr>
      <w:r>
        <w:rPr>
          <w:rFonts w:ascii="Arial" w:cs="Arial" w:eastAsia="Arial" w:hAnsi="Arial"/>
          <w:sz w:val="19"/>
          <w:szCs w:val="19"/>
          <w:i w:val="1"/>
          <w:iCs w:val="1"/>
          <w:color w:val="auto"/>
        </w:rPr>
        <w:t>Capital Adjustments</w:t>
      </w:r>
      <w:r>
        <w:rPr>
          <w:rFonts w:ascii="Arial" w:cs="Arial" w:eastAsia="Arial" w:hAnsi="Arial"/>
          <w:sz w:val="19"/>
          <w:szCs w:val="19"/>
          <w:color w:val="auto"/>
        </w:rPr>
        <w:t>. The Plan Share Reserve, the number of shares covered by each outstanding Award or reflected in</w:t>
      </w:r>
      <w:r>
        <w:rPr>
          <w:rFonts w:ascii="Arial" w:cs="Arial" w:eastAsia="Arial" w:hAnsi="Arial"/>
          <w:sz w:val="19"/>
          <w:szCs w:val="19"/>
          <w:i w:val="1"/>
          <w:iCs w:val="1"/>
          <w:color w:val="auto"/>
        </w:rPr>
        <w:t xml:space="preserve"> </w:t>
      </w:r>
      <w:r>
        <w:rPr>
          <w:rFonts w:ascii="Arial" w:cs="Arial" w:eastAsia="Arial" w:hAnsi="Arial"/>
          <w:sz w:val="19"/>
          <w:szCs w:val="19"/>
          <w:color w:val="auto"/>
        </w:rPr>
        <w:t>the Accounts, the exercise price per share of each outstanding Option, and the number of Awards to be granted pursuant to Section 5 shall all be proportionately adjusted automatically for any increase or decrease in the number of issued shares of Common Stock of the Company resulting from a subdivision or consolidation of shares or other capital adjustment, or the payment of a stock dividend or other increase or decrease in such shares, effected without receipt of consideration by the Company. In the case of other changes in the Company’s capitalization, adjustments shall be made to reflect the transaction as determined by the Plan Administrator to be necessary or appropriate. The Plan Administrator shall determine the treatment of fractional shares and fractional cents that arise with respect to outstanding Awards as a result of the adjustments to be made under this Section 8(a), which treatment may include the cancellation of fractional shares without payment therefor. The Plan Administrator will make the adjustments and determinations under this Section 8(a), and its determination will be final, binding and conclusive.</w:t>
      </w:r>
    </w:p>
    <w:p>
      <w:pPr>
        <w:spacing w:after="0" w:line="160" w:lineRule="exact"/>
        <w:rPr>
          <w:rFonts w:ascii="Arial" w:cs="Arial" w:eastAsia="Arial" w:hAnsi="Arial"/>
          <w:sz w:val="19"/>
          <w:szCs w:val="19"/>
          <w:color w:val="auto"/>
        </w:rPr>
      </w:pPr>
    </w:p>
    <w:p>
      <w:pPr>
        <w:ind w:left="1100" w:hanging="356"/>
        <w:spacing w:after="0"/>
        <w:tabs>
          <w:tab w:leader="none" w:pos="1100" w:val="left"/>
        </w:tabs>
        <w:numPr>
          <w:ilvl w:val="1"/>
          <w:numId w:val="43"/>
        </w:numPr>
        <w:rPr>
          <w:rFonts w:ascii="Arial" w:cs="Arial" w:eastAsia="Arial" w:hAnsi="Arial"/>
          <w:sz w:val="22"/>
          <w:szCs w:val="22"/>
          <w:color w:val="auto"/>
        </w:rPr>
      </w:pPr>
      <w:r>
        <w:rPr>
          <w:rFonts w:ascii="Arial" w:cs="Arial" w:eastAsia="Arial" w:hAnsi="Arial"/>
          <w:sz w:val="22"/>
          <w:szCs w:val="22"/>
          <w:i w:val="1"/>
          <w:iCs w:val="1"/>
          <w:color w:val="auto"/>
        </w:rPr>
        <w:t>Merger, Consolidation, or Other Events.</w:t>
      </w:r>
    </w:p>
    <w:p>
      <w:pPr>
        <w:spacing w:after="0" w:line="246" w:lineRule="exact"/>
        <w:rPr>
          <w:rFonts w:ascii="Arial" w:cs="Arial" w:eastAsia="Arial" w:hAnsi="Arial"/>
          <w:sz w:val="22"/>
          <w:szCs w:val="22"/>
          <w:color w:val="auto"/>
        </w:rPr>
      </w:pPr>
    </w:p>
    <w:p>
      <w:pPr>
        <w:jc w:val="both"/>
        <w:ind w:left="740" w:firstLine="653"/>
        <w:spacing w:after="0" w:line="292" w:lineRule="auto"/>
        <w:tabs>
          <w:tab w:leader="none" w:pos="1601" w:val="left"/>
        </w:tabs>
        <w:numPr>
          <w:ilvl w:val="2"/>
          <w:numId w:val="43"/>
        </w:numPr>
        <w:rPr>
          <w:rFonts w:ascii="Arial" w:cs="Arial" w:eastAsia="Arial" w:hAnsi="Arial"/>
          <w:sz w:val="19"/>
          <w:szCs w:val="19"/>
          <w:color w:val="auto"/>
        </w:rPr>
      </w:pPr>
      <w:r>
        <w:rPr>
          <w:rFonts w:ascii="Arial" w:cs="Arial" w:eastAsia="Arial" w:hAnsi="Arial"/>
          <w:sz w:val="19"/>
          <w:szCs w:val="19"/>
          <w:i w:val="1"/>
          <w:iCs w:val="1"/>
          <w:color w:val="auto"/>
        </w:rPr>
        <w:t xml:space="preserve">Non-Change in Control Transactions. </w:t>
      </w:r>
      <w:r>
        <w:rPr>
          <w:rFonts w:ascii="Arial" w:cs="Arial" w:eastAsia="Arial" w:hAnsi="Arial"/>
          <w:sz w:val="19"/>
          <w:szCs w:val="19"/>
          <w:color w:val="auto"/>
        </w:rPr>
        <w:t>Except with respect to the transactions set forth in Section 8(a), in the</w:t>
      </w:r>
      <w:r>
        <w:rPr>
          <w:rFonts w:ascii="Arial" w:cs="Arial" w:eastAsia="Arial" w:hAnsi="Arial"/>
          <w:sz w:val="19"/>
          <w:szCs w:val="19"/>
          <w:i w:val="1"/>
          <w:iCs w:val="1"/>
          <w:color w:val="auto"/>
        </w:rPr>
        <w:t xml:space="preserve"> </w:t>
      </w:r>
      <w:r>
        <w:rPr>
          <w:rFonts w:ascii="Arial" w:cs="Arial" w:eastAsia="Arial" w:hAnsi="Arial"/>
          <w:sz w:val="19"/>
          <w:szCs w:val="19"/>
          <w:color w:val="auto"/>
        </w:rPr>
        <w:t>event of any change affecting the Common Stock, the Company or its capitalization, by reason of a spin-off, split-up, dividend, recapitalization, merger, consolidation or share exchange, other than any such change that is part of a transaction resulting in a Change in Control of the Company, the Plan Administrator, in its discretion and without the consent of the holders of the Awards, may make (A) appropriate adjustments to the maximum number and kind of shares reserved for issuance or with respect to which Awards may be granted under the Plan, as provided in Section 4 of the Plan; and (B) any adjustments in outstanding Awards, including but not limited to modifying the</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91" w:right="239" w:bottom="1440" w:gutter="0" w:footer="0" w:header="0"/>
        </w:sectPr>
      </w:pPr>
    </w:p>
    <w:bookmarkStart w:id="74" w:name="page75"/>
    <w:bookmarkEnd w:id="74"/>
    <w:p>
      <w:pPr>
        <w:ind w:left="740"/>
        <w:spacing w:after="0"/>
        <w:rPr>
          <w:sz w:val="20"/>
          <w:szCs w:val="20"/>
          <w:color w:val="auto"/>
        </w:rPr>
      </w:pPr>
      <w:r>
        <w:rPr>
          <w:rFonts w:ascii="Arial" w:cs="Arial" w:eastAsia="Arial" w:hAnsi="Arial"/>
          <w:sz w:val="22"/>
          <w:szCs w:val="22"/>
          <w:color w:val="auto"/>
        </w:rPr>
        <w:t>number, kind and price of securities subject to the Awards.</w:t>
      </w:r>
    </w:p>
    <w:p>
      <w:pPr>
        <w:spacing w:after="0" w:line="233" w:lineRule="exact"/>
        <w:rPr>
          <w:sz w:val="20"/>
          <w:szCs w:val="20"/>
          <w:color w:val="auto"/>
        </w:rPr>
      </w:pPr>
    </w:p>
    <w:p>
      <w:pPr>
        <w:jc w:val="both"/>
        <w:ind w:left="740" w:firstLine="653"/>
        <w:spacing w:after="0" w:line="290" w:lineRule="auto"/>
        <w:tabs>
          <w:tab w:leader="none" w:pos="1675"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 xml:space="preserve">Change in Control Transactions. </w:t>
      </w:r>
      <w:r>
        <w:rPr>
          <w:rFonts w:ascii="Arial" w:cs="Arial" w:eastAsia="Arial" w:hAnsi="Arial"/>
          <w:sz w:val="19"/>
          <w:szCs w:val="19"/>
          <w:color w:val="auto"/>
        </w:rPr>
        <w:t>In the event of any transaction resulting in a Change in Control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 all outstanding Awards will become fully vested immediately before and contingent upon the Change in Control; (B) all outstanding Options not exercised prior to or upon the Change in Control will terminate at the effective time of such Change in Control unless provision is made in connection with the transaction for the continuation, assumption or settlement of such Options by, or for the substitution of equivalent options of, the surviving or successor entity or a parent thereof; and (C) all Stock Units credited to Accounts as of the Change in Control will be settled in shares or in cash at the discretion of the Board upon the Change in Control or as soon as practicable thereafter but in no event later than the close of the calendar year in which the Change in Control occurs.</w:t>
      </w:r>
    </w:p>
    <w:p>
      <w:pPr>
        <w:spacing w:after="0" w:line="170" w:lineRule="exact"/>
        <w:rPr>
          <w:rFonts w:ascii="Arial" w:cs="Arial" w:eastAsia="Arial" w:hAnsi="Arial"/>
          <w:sz w:val="19"/>
          <w:szCs w:val="19"/>
          <w:color w:val="auto"/>
        </w:rPr>
      </w:pPr>
    </w:p>
    <w:p>
      <w:pPr>
        <w:jc w:val="both"/>
        <w:ind w:left="740" w:firstLine="653"/>
        <w:spacing w:after="0" w:line="250" w:lineRule="auto"/>
        <w:tabs>
          <w:tab w:leader="none" w:pos="1735"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Other. </w:t>
      </w:r>
      <w:r>
        <w:rPr>
          <w:rFonts w:ascii="Arial" w:cs="Arial" w:eastAsia="Arial" w:hAnsi="Arial"/>
          <w:sz w:val="22"/>
          <w:szCs w:val="22"/>
          <w:color w:val="auto"/>
        </w:rPr>
        <w:t>In the event of a change in the Company’s Common Stock which is limited to a change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designation thereof to “Capital Stock” or other similar designation, or to a change in the par value thereof, or from par value to no par value, without increase in the number of issued shares, the shares resulting from any such change shall be deemed to be Common Stock within the meaning of the Plan.</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9) Amendment, Modification and Termination of the Plan</w:t>
      </w:r>
    </w:p>
    <w:p>
      <w:pPr>
        <w:spacing w:after="0" w:line="226" w:lineRule="exact"/>
        <w:rPr>
          <w:sz w:val="20"/>
          <w:szCs w:val="20"/>
          <w:color w:val="auto"/>
        </w:rPr>
      </w:pPr>
    </w:p>
    <w:p>
      <w:pPr>
        <w:jc w:val="both"/>
        <w:ind w:left="100"/>
        <w:spacing w:after="0" w:line="288" w:lineRule="auto"/>
        <w:rPr>
          <w:sz w:val="20"/>
          <w:szCs w:val="20"/>
          <w:color w:val="auto"/>
        </w:rPr>
      </w:pPr>
      <w:r>
        <w:rPr>
          <w:rFonts w:ascii="Arial" w:cs="Arial" w:eastAsia="Arial" w:hAnsi="Arial"/>
          <w:sz w:val="19"/>
          <w:szCs w:val="19"/>
          <w:color w:val="auto"/>
        </w:rPr>
        <w:t>The Board may amend, modify, or terminate this Plan at any time and from time to time; provided, however, that without the degree of stockholder approval required by the Company’s charter or bylaws, applicable law, or the rules and regulations of any exchange or trading market on which the Company’s securities are then traded, the Board may not: (a) increase the number of shares of Common Stock that may be issued under this Plan, (b) modify the share accounting provisions set forth in Section 4(c) of the Plan, or (c) modify the requirements as to eligibility for participation in this Plan. No amendment, modification, or termination of the Plan shall adversely affect the rights of a holder of an Award without the written consent of the holder. In the event that the Plan is terminated, the Company will continue to maintain the Accounts and settle Stock Units credited thereto only in accordance with the provisions of Code section 409A. Notwithstanding anything herein to the contrary, the Plan Administrator is authorized to amend the Plan in such manner as it may determine to be necessary or desirable to ensure the Plan’s compliance with Section 409A of the Code or other applicable law or the rules and regulations of any exchange or trading market on which the Company’s securities are then traded.</w:t>
      </w:r>
    </w:p>
    <w:p>
      <w:pPr>
        <w:spacing w:after="0" w:line="200" w:lineRule="exact"/>
        <w:rPr>
          <w:sz w:val="20"/>
          <w:szCs w:val="20"/>
          <w:color w:val="auto"/>
        </w:rPr>
      </w:pPr>
    </w:p>
    <w:p>
      <w:pPr>
        <w:spacing w:after="0" w:line="224" w:lineRule="exact"/>
        <w:rPr>
          <w:sz w:val="20"/>
          <w:szCs w:val="20"/>
          <w:color w:val="auto"/>
        </w:rPr>
      </w:pPr>
    </w:p>
    <w:p>
      <w:pPr>
        <w:ind w:left="440" w:hanging="344"/>
        <w:spacing w:after="0"/>
        <w:tabs>
          <w:tab w:leader="none" w:pos="4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Claims Procedure</w:t>
      </w:r>
    </w:p>
    <w:p>
      <w:pPr>
        <w:spacing w:after="0" w:line="225" w:lineRule="exact"/>
        <w:rPr>
          <w:rFonts w:ascii="Arial" w:cs="Arial" w:eastAsia="Arial" w:hAnsi="Arial"/>
          <w:sz w:val="22"/>
          <w:szCs w:val="22"/>
          <w:b w:val="1"/>
          <w:bCs w:val="1"/>
          <w:color w:val="auto"/>
        </w:rPr>
      </w:pPr>
    </w:p>
    <w:p>
      <w:pPr>
        <w:ind w:left="960" w:hanging="216"/>
        <w:spacing w:after="0"/>
        <w:tabs>
          <w:tab w:leader="none" w:pos="960" w:val="left"/>
        </w:tabs>
        <w:numPr>
          <w:ilvl w:val="1"/>
          <w:numId w:val="45"/>
        </w:numPr>
        <w:rPr>
          <w:rFonts w:ascii="Arial" w:cs="Arial" w:eastAsia="Arial" w:hAnsi="Arial"/>
          <w:sz w:val="21"/>
          <w:szCs w:val="21"/>
          <w:color w:val="auto"/>
        </w:rPr>
      </w:pPr>
      <w:r>
        <w:rPr>
          <w:rFonts w:ascii="Arial" w:cs="Arial" w:eastAsia="Arial" w:hAnsi="Arial"/>
          <w:sz w:val="21"/>
          <w:szCs w:val="21"/>
          <w:i w:val="1"/>
          <w:iCs w:val="1"/>
          <w:color w:val="auto"/>
        </w:rPr>
        <w:t>Named Fiduciary</w:t>
      </w:r>
      <w:r>
        <w:rPr>
          <w:rFonts w:ascii="Arial" w:cs="Arial" w:eastAsia="Arial" w:hAnsi="Arial"/>
          <w:sz w:val="21"/>
          <w:szCs w:val="21"/>
          <w:color w:val="auto"/>
        </w:rPr>
        <w:t>. The Plan Administrator shall be the named fiduciary for purposes of this claims procedure.</w:t>
      </w:r>
    </w:p>
    <w:p>
      <w:pPr>
        <w:spacing w:after="0" w:line="244" w:lineRule="exact"/>
        <w:rPr>
          <w:rFonts w:ascii="Arial" w:cs="Arial" w:eastAsia="Arial" w:hAnsi="Arial"/>
          <w:sz w:val="21"/>
          <w:szCs w:val="21"/>
          <w:color w:val="auto"/>
        </w:rPr>
      </w:pPr>
    </w:p>
    <w:p>
      <w:pPr>
        <w:jc w:val="both"/>
        <w:ind w:left="100" w:firstLine="644"/>
        <w:spacing w:after="0" w:line="253" w:lineRule="auto"/>
        <w:tabs>
          <w:tab w:leader="none" w:pos="982" w:val="left"/>
        </w:tabs>
        <w:numPr>
          <w:ilvl w:val="1"/>
          <w:numId w:val="45"/>
        </w:numPr>
        <w:rPr>
          <w:rFonts w:ascii="Arial" w:cs="Arial" w:eastAsia="Arial" w:hAnsi="Arial"/>
          <w:sz w:val="22"/>
          <w:szCs w:val="22"/>
          <w:color w:val="auto"/>
        </w:rPr>
      </w:pPr>
      <w:r>
        <w:rPr>
          <w:rFonts w:ascii="Arial" w:cs="Arial" w:eastAsia="Arial" w:hAnsi="Arial"/>
          <w:sz w:val="22"/>
          <w:szCs w:val="22"/>
          <w:i w:val="1"/>
          <w:iCs w:val="1"/>
          <w:color w:val="auto"/>
        </w:rPr>
        <w:t>Initial Claims</w:t>
      </w:r>
      <w:r>
        <w:rPr>
          <w:rFonts w:ascii="Arial" w:cs="Arial" w:eastAsia="Arial" w:hAnsi="Arial"/>
          <w:sz w:val="22"/>
          <w:szCs w:val="22"/>
          <w:color w:val="auto"/>
        </w:rPr>
        <w:t>. If a Non-Employee Director or other person does not receive timely payment of any benefits which he or</w:t>
      </w:r>
      <w:r>
        <w:rPr>
          <w:rFonts w:ascii="Arial" w:cs="Arial" w:eastAsia="Arial" w:hAnsi="Arial"/>
          <w:sz w:val="22"/>
          <w:szCs w:val="22"/>
          <w:i w:val="1"/>
          <w:iCs w:val="1"/>
          <w:color w:val="auto"/>
        </w:rPr>
        <w:t xml:space="preserve"> </w:t>
      </w:r>
      <w:r>
        <w:rPr>
          <w:rFonts w:ascii="Arial" w:cs="Arial" w:eastAsia="Arial" w:hAnsi="Arial"/>
          <w:sz w:val="22"/>
          <w:szCs w:val="22"/>
          <w:color w:val="auto"/>
        </w:rPr>
        <w:t>she believes are due and payable under the Plan, the claimant of such benefit must file a written claim with the Plan Administrator within 60 days from the date</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91" w:right="239" w:bottom="1440" w:gutter="0" w:footer="0" w:header="0"/>
        </w:sectPr>
      </w:pPr>
    </w:p>
    <w:bookmarkStart w:id="75" w:name="page76"/>
    <w:bookmarkEnd w:id="75"/>
    <w:p>
      <w:pPr>
        <w:jc w:val="both"/>
        <w:ind w:left="100"/>
        <w:spacing w:after="0" w:line="302" w:lineRule="auto"/>
        <w:rPr>
          <w:sz w:val="20"/>
          <w:szCs w:val="20"/>
          <w:color w:val="auto"/>
        </w:rPr>
      </w:pPr>
      <w:r>
        <w:rPr>
          <w:rFonts w:ascii="Arial" w:cs="Arial" w:eastAsia="Arial" w:hAnsi="Arial"/>
          <w:sz w:val="19"/>
          <w:szCs w:val="19"/>
          <w:color w:val="auto"/>
        </w:rPr>
        <w:t>payment or delivery is refused. The Plan Administrator shall review the written claim and, if the claim is denied in whole or in part, shall provide, in writing and within 90 days of receipt of such claim, the specific reasons for such denial and reference to the provisions of this Plan upon which the denial is based and any additional material or information necessary to perfect the claim. Such written notice shall further indicate the steps to be taken by the claimant if a further review of the claim denial is desired.</w:t>
      </w:r>
    </w:p>
    <w:p>
      <w:pPr>
        <w:spacing w:after="0" w:line="156" w:lineRule="exact"/>
        <w:rPr>
          <w:sz w:val="20"/>
          <w:szCs w:val="20"/>
          <w:color w:val="auto"/>
        </w:rPr>
      </w:pPr>
    </w:p>
    <w:p>
      <w:pPr>
        <w:jc w:val="both"/>
        <w:ind w:left="100" w:firstLine="644"/>
        <w:spacing w:after="0" w:line="297" w:lineRule="auto"/>
        <w:tabs>
          <w:tab w:leader="none" w:pos="970" w:val="left"/>
        </w:tabs>
        <w:numPr>
          <w:ilvl w:val="1"/>
          <w:numId w:val="46"/>
        </w:numPr>
        <w:rPr>
          <w:rFonts w:ascii="Arial" w:cs="Arial" w:eastAsia="Arial" w:hAnsi="Arial"/>
          <w:sz w:val="19"/>
          <w:szCs w:val="19"/>
          <w:color w:val="auto"/>
        </w:rPr>
      </w:pPr>
      <w:r>
        <w:rPr>
          <w:rFonts w:ascii="Arial" w:cs="Arial" w:eastAsia="Arial" w:hAnsi="Arial"/>
          <w:sz w:val="19"/>
          <w:szCs w:val="19"/>
          <w:i w:val="1"/>
          <w:iCs w:val="1"/>
          <w:color w:val="auto"/>
        </w:rPr>
        <w:t>Appeals</w:t>
      </w:r>
      <w:r>
        <w:rPr>
          <w:rFonts w:ascii="Arial" w:cs="Arial" w:eastAsia="Arial" w:hAnsi="Arial"/>
          <w:sz w:val="19"/>
          <w:szCs w:val="19"/>
          <w:color w:val="auto"/>
        </w:rPr>
        <w:t>. If the claimant desires a second review, he or she shall notify the Plan Administrator in writing within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first claim denial. The claimant may review the Plan or any documents relating thereto and submit any written issues and comments he or she may feel appropriate. In its discretion, the Plan Administrator shall then review the second claim and provide a written decision within 60 days of receipt of such claim. This decision shall likewise state the specific reasons for the decision and shall include reference to specific provisions of the Plan upon which the decision is based.</w:t>
      </w:r>
    </w:p>
    <w:p>
      <w:pPr>
        <w:spacing w:after="0" w:line="154" w:lineRule="exact"/>
        <w:rPr>
          <w:rFonts w:ascii="Arial" w:cs="Arial" w:eastAsia="Arial" w:hAnsi="Arial"/>
          <w:sz w:val="19"/>
          <w:szCs w:val="19"/>
          <w:color w:val="auto"/>
        </w:rPr>
      </w:pPr>
    </w:p>
    <w:p>
      <w:pPr>
        <w:ind w:left="420" w:hanging="324"/>
        <w:spacing w:after="0"/>
        <w:tabs>
          <w:tab w:leader="none" w:pos="42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And Regulations</w:t>
      </w:r>
    </w:p>
    <w:p>
      <w:pPr>
        <w:spacing w:after="0" w:line="226" w:lineRule="exact"/>
        <w:rPr>
          <w:sz w:val="20"/>
          <w:szCs w:val="20"/>
          <w:color w:val="auto"/>
        </w:rPr>
      </w:pPr>
    </w:p>
    <w:p>
      <w:pPr>
        <w:jc w:val="both"/>
        <w:ind w:left="100"/>
        <w:spacing w:after="0" w:line="286" w:lineRule="auto"/>
        <w:rPr>
          <w:sz w:val="20"/>
          <w:szCs w:val="20"/>
          <w:color w:val="auto"/>
        </w:rPr>
      </w:pPr>
      <w:r>
        <w:rPr>
          <w:rFonts w:ascii="Arial" w:cs="Arial" w:eastAsia="Arial" w:hAnsi="Arial"/>
          <w:sz w:val="19"/>
          <w:szCs w:val="19"/>
          <w:color w:val="auto"/>
        </w:rPr>
        <w:t>The Plan, the grant of Awards, and the obligation of the Company to issue and deliver shares of Common Stock upon the exercise of Options, grant of Restricted Shares, or settlement of Stock Units shall be subject to all applicable foreign, federal and state laws, rules, and regulations and to such approvals by such governmental or regulatory agency or national securities exchange as may be required. The Company shall not be required to issue any shares of Common Stock upon the exercise of Options, grant of Restricted Shares, or settlement of Stock Units if the issuance of such shares shall constitute a violation by the Non-Employee Director or the Company of any provisions of any law or regulation of any governmental authority or national securities exchange. Each Award granted under this Plan shall be subject to the requirement that, if at any time the Plan Administrator shall determine that (a) the listing, registration or qualification of the shares subject thereto on any securities exchange or trading market or under any state or federal law of the United States or of any other country or governmental subdivision thereof, (b) the consent or approval of any governmental regulatory body, or (c) the making of investment or other representations are necessary or desirable in connection with the issue or purchase of shares subject thereto, no shares of Common Stock may be issued upon grant, settlement, or exercise of any Award unless such listing, registration, qualification, consent, approval or representation shall have been effected or obtained, free of any conditions not acceptable to the Plan Administrator. Any determination in this connection by the Plan Administrator shall be final, binding, and conclusive.</w:t>
      </w:r>
    </w:p>
    <w:p>
      <w:pPr>
        <w:spacing w:after="0" w:line="171" w:lineRule="exact"/>
        <w:rPr>
          <w:sz w:val="20"/>
          <w:szCs w:val="20"/>
          <w:color w:val="auto"/>
        </w:rPr>
      </w:pPr>
    </w:p>
    <w:p>
      <w:pPr>
        <w:ind w:left="440" w:hanging="344"/>
        <w:spacing w:after="0"/>
        <w:tabs>
          <w:tab w:leader="none" w:pos="44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jc w:val="both"/>
        <w:ind w:left="100" w:firstLine="644"/>
        <w:spacing w:after="0" w:line="248" w:lineRule="auto"/>
        <w:tabs>
          <w:tab w:leader="none" w:pos="970" w:val="left"/>
        </w:tabs>
        <w:numPr>
          <w:ilvl w:val="1"/>
          <w:numId w:val="48"/>
        </w:numPr>
        <w:rPr>
          <w:rFonts w:ascii="Arial" w:cs="Arial" w:eastAsia="Arial" w:hAnsi="Arial"/>
          <w:sz w:val="22"/>
          <w:szCs w:val="22"/>
          <w:color w:val="auto"/>
        </w:rPr>
      </w:pPr>
      <w:r>
        <w:rPr>
          <w:rFonts w:ascii="Arial" w:cs="Arial" w:eastAsia="Arial" w:hAnsi="Arial"/>
          <w:sz w:val="22"/>
          <w:szCs w:val="22"/>
          <w:i w:val="1"/>
          <w:iCs w:val="1"/>
          <w:color w:val="auto"/>
        </w:rPr>
        <w:t>Non-Guarantee of Service</w:t>
      </w:r>
      <w:r>
        <w:rPr>
          <w:rFonts w:ascii="Arial" w:cs="Arial" w:eastAsia="Arial" w:hAnsi="Arial"/>
          <w:sz w:val="22"/>
          <w:szCs w:val="22"/>
          <w:color w:val="auto"/>
        </w:rPr>
        <w:t>. Nothing in the Plan or in any agreement evidencing an Award, nor any action taken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the Plan, shall confer any right on an individual to continue in the service of the Company as a Non-Employee Director or in any other capacity for any period of time or at a particular retainer or other rate of compensation, or as limiting, interfering with or otherwise affecting the provisions of the Company’s charter, by-laws or the Maryland General Corporation Law relating to the removal of directors.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91" w:right="239" w:bottom="1440" w:gutter="0" w:footer="0" w:header="0"/>
        </w:sectPr>
      </w:pPr>
    </w:p>
    <w:bookmarkStart w:id="76" w:name="page77"/>
    <w:bookmarkEnd w:id="76"/>
    <w:p>
      <w:pPr>
        <w:jc w:val="both"/>
        <w:ind w:left="100" w:firstLine="644"/>
        <w:spacing w:after="0" w:line="260" w:lineRule="auto"/>
        <w:tabs>
          <w:tab w:leader="none" w:pos="982" w:val="left"/>
        </w:tabs>
        <w:numPr>
          <w:ilvl w:val="1"/>
          <w:numId w:val="49"/>
        </w:numPr>
        <w:rPr>
          <w:rFonts w:ascii="Arial" w:cs="Arial" w:eastAsia="Arial" w:hAnsi="Arial"/>
          <w:sz w:val="21"/>
          <w:szCs w:val="21"/>
          <w:color w:val="auto"/>
        </w:rPr>
      </w:pPr>
      <w:r>
        <w:rPr>
          <w:rFonts w:ascii="Arial" w:cs="Arial" w:eastAsia="Arial" w:hAnsi="Arial"/>
          <w:sz w:val="21"/>
          <w:szCs w:val="21"/>
          <w:i w:val="1"/>
          <w:iCs w:val="1"/>
          <w:color w:val="auto"/>
        </w:rPr>
        <w:t>Unfunded Status of Plan</w:t>
      </w:r>
      <w:r>
        <w:rPr>
          <w:rFonts w:ascii="Arial" w:cs="Arial" w:eastAsia="Arial" w:hAnsi="Arial"/>
          <w:sz w:val="21"/>
          <w:szCs w:val="21"/>
          <w:color w:val="auto"/>
        </w:rPr>
        <w:t>. The Plan, with respect to Stock Units credited to Accounts, is intended to constitute and at all</w:t>
      </w:r>
      <w:r>
        <w:rPr>
          <w:rFonts w:ascii="Arial" w:cs="Arial" w:eastAsia="Arial" w:hAnsi="Arial"/>
          <w:sz w:val="21"/>
          <w:szCs w:val="21"/>
          <w:i w:val="1"/>
          <w:iCs w:val="1"/>
          <w:color w:val="auto"/>
        </w:rPr>
        <w:t xml:space="preserve"> </w:t>
      </w:r>
      <w:r>
        <w:rPr>
          <w:rFonts w:ascii="Arial" w:cs="Arial" w:eastAsia="Arial" w:hAnsi="Arial"/>
          <w:sz w:val="21"/>
          <w:szCs w:val="21"/>
          <w:color w:val="auto"/>
        </w:rPr>
        <w:t>times shall be interpreted and administered so as to qualify as an unfunded deferred compensation plan for a select group of directors under the Employee Retirement Income Security Act of 1974, as amended. Neither the Plan nor any Award shall create or be construed to create a trust or separate fund of any kind or a fiduciary relationship between the Company and a Non-Employee Director or any other person. To the extent that any Non-Employee Director or other person acquires a right to receive payments from the Company pursuant to the Plan or any Award made under the Plan, such right shall be no greater than the right of an unsecured general creditor of the Company.</w:t>
      </w:r>
    </w:p>
    <w:p>
      <w:pPr>
        <w:spacing w:after="0" w:line="194" w:lineRule="exact"/>
        <w:rPr>
          <w:rFonts w:ascii="Arial" w:cs="Arial" w:eastAsia="Arial" w:hAnsi="Arial"/>
          <w:sz w:val="21"/>
          <w:szCs w:val="21"/>
          <w:color w:val="auto"/>
        </w:rPr>
      </w:pPr>
    </w:p>
    <w:p>
      <w:pPr>
        <w:jc w:val="both"/>
        <w:ind w:left="60" w:firstLine="657"/>
        <w:spacing w:after="0" w:line="248" w:lineRule="auto"/>
        <w:tabs>
          <w:tab w:leader="none" w:pos="93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validity, construction and effect of the Plan, of Award agreements entered into pursuant to the Plan,</w:t>
      </w:r>
      <w:r>
        <w:rPr>
          <w:rFonts w:ascii="Arial" w:cs="Arial" w:eastAsia="Arial" w:hAnsi="Arial"/>
          <w:sz w:val="22"/>
          <w:szCs w:val="22"/>
          <w:i w:val="1"/>
          <w:iCs w:val="1"/>
          <w:color w:val="auto"/>
        </w:rPr>
        <w:t xml:space="preserve"> </w:t>
      </w:r>
      <w:r>
        <w:rPr>
          <w:rFonts w:ascii="Arial" w:cs="Arial" w:eastAsia="Arial" w:hAnsi="Arial"/>
          <w:sz w:val="22"/>
          <w:szCs w:val="22"/>
          <w:color w:val="auto"/>
        </w:rPr>
        <w:t>and of any rules, regulations, determinations or decisions made by the Plan Administrator relating to the Plan or such Award agreements, and the rights of any and all persons having or claiming to have any interest therein or thereunder, shall be determined exclusively in accordance with applicable federal laws and the laws of the State of Maryland, without regard to its conflict of laws principles.</w:t>
      </w:r>
    </w:p>
    <w:p>
      <w:pPr>
        <w:spacing w:after="0" w:line="205" w:lineRule="exact"/>
        <w:rPr>
          <w:rFonts w:ascii="Arial" w:cs="Arial" w:eastAsia="Arial" w:hAnsi="Arial"/>
          <w:sz w:val="22"/>
          <w:szCs w:val="22"/>
          <w:color w:val="auto"/>
        </w:rPr>
      </w:pPr>
    </w:p>
    <w:p>
      <w:pPr>
        <w:ind w:left="60" w:firstLine="657"/>
        <w:spacing w:after="0" w:line="263" w:lineRule="auto"/>
        <w:tabs>
          <w:tab w:leader="none" w:pos="956"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Effect on Other Plans</w:t>
      </w:r>
      <w:r>
        <w:rPr>
          <w:rFonts w:ascii="Arial" w:cs="Arial" w:eastAsia="Arial" w:hAnsi="Arial"/>
          <w:sz w:val="22"/>
          <w:szCs w:val="22"/>
          <w:color w:val="auto"/>
        </w:rPr>
        <w:t>. On and after the Effective Date of this Plan, no further stock options shall be granted to Non-Employee Directors under the Company’s 1998 Director Stock Option Plan.</w:t>
      </w:r>
    </w:p>
    <w:p>
      <w:pPr>
        <w:spacing w:after="0" w:line="188" w:lineRule="exact"/>
        <w:rPr>
          <w:rFonts w:ascii="Arial" w:cs="Arial" w:eastAsia="Arial" w:hAnsi="Arial"/>
          <w:sz w:val="22"/>
          <w:szCs w:val="22"/>
          <w:color w:val="auto"/>
        </w:rPr>
      </w:pPr>
    </w:p>
    <w:p>
      <w:pPr>
        <w:ind w:left="1060" w:hanging="343"/>
        <w:spacing w:after="0"/>
        <w:tabs>
          <w:tab w:leader="none" w:pos="106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Effective Date and Expiration Date</w:t>
      </w:r>
      <w:r>
        <w:rPr>
          <w:rFonts w:ascii="Arial" w:cs="Arial" w:eastAsia="Arial" w:hAnsi="Arial"/>
          <w:sz w:val="22"/>
          <w:szCs w:val="22"/>
          <w:color w:val="auto"/>
        </w:rPr>
        <w:t>.  The Plan became effective on April 12,</w:t>
      </w:r>
    </w:p>
    <w:p>
      <w:pPr>
        <w:spacing w:after="0" w:line="22" w:lineRule="exact"/>
        <w:rPr>
          <w:sz w:val="20"/>
          <w:szCs w:val="20"/>
          <w:color w:val="auto"/>
        </w:rPr>
      </w:pPr>
    </w:p>
    <w:p>
      <w:pPr>
        <w:jc w:val="both"/>
        <w:ind w:left="60"/>
        <w:spacing w:after="0" w:line="248" w:lineRule="auto"/>
        <w:rPr>
          <w:sz w:val="20"/>
          <w:szCs w:val="20"/>
          <w:color w:val="auto"/>
        </w:rPr>
      </w:pPr>
      <w:r>
        <w:rPr>
          <w:rFonts w:ascii="Arial" w:cs="Arial" w:eastAsia="Arial" w:hAnsi="Arial"/>
          <w:sz w:val="22"/>
          <w:szCs w:val="22"/>
          <w:color w:val="auto"/>
        </w:rPr>
        <w:t>2007, which is the date on which it was approved by the stockholders of the Company. No Award shall be granted under the Plan on or after the tenth anniversary of the Effective Date of the Plan. Subject to other applicable provisions of the Plan, all Awards made under the Plan prior to such termination of the Plan shall remain in effect until such Awards have been satisfied or terminated in accordance with the Plan and the terms of such Awards.</w:t>
      </w:r>
    </w:p>
    <w:p>
      <w:pPr>
        <w:spacing w:after="0" w:line="206" w:lineRule="exact"/>
        <w:rPr>
          <w:sz w:val="20"/>
          <w:szCs w:val="20"/>
          <w:color w:val="auto"/>
        </w:rPr>
      </w:pPr>
    </w:p>
    <w:p>
      <w:pPr>
        <w:jc w:val="both"/>
        <w:ind w:left="60" w:firstLine="657"/>
        <w:spacing w:after="0" w:line="248" w:lineRule="auto"/>
        <w:tabs>
          <w:tab w:leader="none" w:pos="906"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409A Savings Clause</w:t>
      </w:r>
      <w:r>
        <w:rPr>
          <w:rFonts w:ascii="Arial" w:cs="Arial" w:eastAsia="Arial" w:hAnsi="Arial"/>
          <w:sz w:val="22"/>
          <w:szCs w:val="22"/>
          <w:color w:val="auto"/>
        </w:rPr>
        <w:t>. It is intended that the Plan comply with Section 409A of the Code. The Plan shall be administered,</w:t>
      </w:r>
      <w:r>
        <w:rPr>
          <w:rFonts w:ascii="Arial" w:cs="Arial" w:eastAsia="Arial" w:hAnsi="Arial"/>
          <w:sz w:val="22"/>
          <w:szCs w:val="22"/>
          <w:i w:val="1"/>
          <w:iCs w:val="1"/>
          <w:color w:val="auto"/>
        </w:rPr>
        <w:t xml:space="preserve"> </w:t>
      </w:r>
      <w:r>
        <w:rPr>
          <w:rFonts w:ascii="Arial" w:cs="Arial" w:eastAsia="Arial" w:hAnsi="Arial"/>
          <w:sz w:val="22"/>
          <w:szCs w:val="22"/>
          <w:color w:val="auto"/>
        </w:rPr>
        <w:t>interpreted and construed in a manner consistent with such Code Section. Should any provision of this Plan be found not to comply with the provisions of Section 409A of the Code, it shall be modified and given effect, in the sole discretion of the Plan Administrator and without requiring consent of any Award holder, in such manner as the Plan Administrator determines to be necessary or appropriate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EAST\42329236.6 4/17/15</w:t>
      </w:r>
    </w:p>
    <w:p>
      <w:pPr>
        <w:sectPr>
          <w:pgSz w:w="11900" w:h="16838" w:orient="portrait"/>
          <w:cols w:equalWidth="0" w:num="1">
            <w:col w:w="11400"/>
          </w:cols>
          <w:pgMar w:left="260" w:top="59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680" w:type="dxa"/>
            <w:vAlign w:val="bottom"/>
            <w:gridSpan w:val="2"/>
          </w:tcPr>
          <w:p>
            <w:pPr>
              <w:jc w:val="right"/>
              <w:ind w:right="5410"/>
              <w:spacing w:after="0"/>
              <w:rPr>
                <w:sz w:val="20"/>
                <w:szCs w:val="20"/>
                <w:color w:val="auto"/>
              </w:rPr>
            </w:pPr>
            <w:r>
              <w:rPr>
                <w:rFonts w:ascii="Arial" w:cs="Arial" w:eastAsia="Arial" w:hAnsi="Arial"/>
                <w:sz w:val="18"/>
                <w:szCs w:val="18"/>
                <w:color w:val="auto"/>
              </w:rPr>
              <w:t>EXHIBIT 21</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DECEMBER 31, 2015</w:t>
            </w:r>
          </w:p>
        </w:tc>
        <w:tc>
          <w:tcPr>
            <w:tcW w:w="45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918"/>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Subsidiary companies and place of incorporation</w:t>
            </w:r>
          </w:p>
        </w:tc>
        <w:tc>
          <w:tcPr>
            <w:tcW w:w="4560" w:type="dxa"/>
            <w:vAlign w:val="bottom"/>
          </w:tcPr>
          <w:p>
            <w:pPr>
              <w:spacing w:after="0"/>
              <w:rPr>
                <w:sz w:val="24"/>
                <w:szCs w:val="24"/>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Ownership</w:t>
            </w:r>
          </w:p>
        </w:tc>
      </w:tr>
      <w:tr>
        <w:trPr>
          <w:trHeight w:val="27"/>
        </w:trPr>
        <w:tc>
          <w:tcPr>
            <w:tcW w:w="4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 Rowe Price Associates,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(Canada),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Investment Services,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 Rowe Price Retirement Plan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Services,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TRP Suburban Second,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International Ltd (United Kingdom)</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 Rowe Price Hong Kong Limited (Hong Kong)</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720"/>
              <w:spacing w:after="0"/>
              <w:rPr>
                <w:sz w:val="20"/>
                <w:szCs w:val="20"/>
                <w:color w:val="auto"/>
              </w:rPr>
            </w:pPr>
            <w:r>
              <w:rPr>
                <w:rFonts w:ascii="Arial" w:cs="Arial" w:eastAsia="Arial" w:hAnsi="Arial"/>
                <w:sz w:val="18"/>
                <w:szCs w:val="18"/>
                <w:color w:val="auto"/>
              </w:rPr>
              <w:t>T. Rowe Price Singapore Private Ltd. (Singapore)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58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 33-7012, No. 333-90967, No. 333-59714, No. 333-120882, No. 333-120883, No. 333-142092, No. 333-167317, No. 333-180904, and 333-199560) on Form S-8 of T. Rowe Price Group, Inc. of our reports dated February 5, 2016, with respect to the consolidated balance sheets of T. Rowe Price Group, Inc. and subsidiaries as of December 31, 2015 and 2014, and the related consolidated statements of income, comprehensive income, stockholders’ equity, and cash flows, for each of the years in the three-year period ended December 31, 2015, and the effectiveness of internal control over financial reporting of T. Rowe Price Group, Inc. as of December 31, 2015, which reports appear in the December 31, 2015 Annual Report on Form 10-K of T. Rowe Price Group, Inc.</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ectPr>
          <w:pgSz w:w="11900" w:h="16838" w:orient="portrait"/>
          <w:cols w:equalWidth="0" w:num="1">
            <w:col w:w="11420"/>
          </w:cols>
          <w:pgMar w:left="240" w:top="665" w:right="239" w:bottom="1440" w:gutter="0" w:footer="0" w:header="0"/>
        </w:sectPr>
      </w:pPr>
    </w:p>
    <w:bookmarkStart w:id="79" w:name="page80"/>
    <w:bookmarkEnd w:id="79"/>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80" w:name="page81"/>
    <w:bookmarkEnd w:id="80"/>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81" w:name="page82"/>
    <w:bookmarkEnd w:id="81"/>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2015 of T. Rowe Price Group, Inc., that:</w:t>
      </w:r>
    </w:p>
    <w:p>
      <w:pPr>
        <w:spacing w:after="0" w:line="116"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00" w:firstLine="8"/>
        <w:spacing w:after="0" w:line="277"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380"/>
      </w:cols>
      <w:pgMar w:left="240" w:top="6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9">
    <w:nsid w:val="77465F01"/>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0">
    <w:nsid w:val="7724C6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1">
    <w:nsid w:val="5C482A97"/>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abstractNum>
  <w:abstractNum w:abstractNumId="22">
    <w:nsid w:val="2463B9EA"/>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23">
    <w:nsid w:val="5E884ADC"/>
    <w:multiLevelType w:val="hybridMultilevel"/>
    <w:lvl w:ilvl="0">
      <w:lvlJc w:val="left"/>
      <w:lvlText w:val="%1)"/>
      <w:numFmt w:val="lowerLetter"/>
      <w:start w:val="10"/>
    </w:lvl>
    <w:lvl w:ilvl="1">
      <w:lvlJc w:val="left"/>
      <w:lvlText w:val="%2)"/>
      <w:numFmt w:val="lowerLetter"/>
      <w:start w:val="11"/>
    </w:lvl>
    <w:lvl w:ilvl="2">
      <w:lvlJc w:val="left"/>
      <w:lvlText w:val="%3)"/>
      <w:numFmt w:val="lowerRoman"/>
      <w:start w:val="1"/>
    </w:lvl>
  </w:abstractNum>
  <w:abstractNum w:abstractNumId="24">
    <w:nsid w:val="51EAD36B"/>
    <w:multiLevelType w:val="hybridMultilevel"/>
    <w:lvl w:ilvl="0">
      <w:lvlJc w:val="left"/>
      <w:lvlText w:val="%1)"/>
      <w:numFmt w:val="lowerLetter"/>
      <w:start w:val="12"/>
    </w:lvl>
    <w:lvl w:ilvl="1">
      <w:lvlJc w:val="left"/>
      <w:lvlText w:val="%2)"/>
      <w:numFmt w:val="lowerLetter"/>
      <w:start w:val="14"/>
    </w:lvl>
  </w:abstractNum>
  <w:abstractNum w:abstractNumId="25">
    <w:nsid w:val="2D517796"/>
    <w:multiLevelType w:val="hybridMultilevel"/>
    <w:lvl w:ilvl="0">
      <w:lvlJc w:val="left"/>
      <w:lvlText w:val="%1)"/>
      <w:numFmt w:val="lowerLetter"/>
      <w:start w:val="15"/>
    </w:lvl>
    <w:lvl w:ilvl="1">
      <w:lvlJc w:val="left"/>
      <w:lvlText w:val="%2)"/>
      <w:numFmt w:val="lowerLetter"/>
      <w:start w:val="17"/>
    </w:lvl>
  </w:abstractNum>
  <w:abstractNum w:abstractNumId="26">
    <w:nsid w:val="580BD78F"/>
    <w:multiLevelType w:val="hybridMultilevel"/>
    <w:lvl w:ilvl="0">
      <w:lvlJc w:val="left"/>
      <w:lvlText w:val="%1)"/>
      <w:numFmt w:val="lowerLetter"/>
      <w:start w:val="18"/>
    </w:lvl>
    <w:lvl w:ilvl="1">
      <w:lvlJc w:val="left"/>
      <w:lvlText w:val="%2)"/>
      <w:numFmt w:val="lowerLetter"/>
      <w:start w:val="19"/>
    </w:lvl>
  </w:abstractNum>
  <w:abstractNum w:abstractNumId="27">
    <w:nsid w:val="153EA438"/>
    <w:multiLevelType w:val="hybridMultilevel"/>
    <w:lvl w:ilvl="0">
      <w:lvlJc w:val="left"/>
      <w:lvlText w:val="%1)"/>
      <w:numFmt w:val="lowerLetter"/>
      <w:start w:val="21"/>
    </w:lvl>
  </w:abstractNum>
  <w:abstractNum w:abstractNumId="28">
    <w:nsid w:val="3855585C"/>
    <w:multiLevelType w:val="hybridMultilevel"/>
    <w:lvl w:ilvl="0">
      <w:lvlJc w:val="left"/>
      <w:lvlText w:val="%1)"/>
      <w:numFmt w:val="decimal"/>
      <w:start w:val="4"/>
    </w:lvl>
    <w:lvl w:ilvl="1">
      <w:lvlJc w:val="left"/>
      <w:lvlText w:val="%2)"/>
      <w:numFmt w:val="lowerLetter"/>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5"/>
    </w:lvl>
    <w:lvl w:ilvl="1">
      <w:lvlJc w:val="left"/>
      <w:lvlText w:val="%2)"/>
      <w:numFmt w:val="lowerLetter"/>
      <w:start w:val="1"/>
    </w:lvl>
  </w:abstractNum>
  <w:abstractNum w:abstractNumId="31">
    <w:nsid w:val="2A487CB0"/>
    <w:multiLevelType w:val="hybridMultilevel"/>
    <w:lvl w:ilvl="0">
      <w:lvlJc w:val="left"/>
      <w:lvlText w:val="%1)"/>
      <w:numFmt w:val="lowerRoman"/>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lowerRoman"/>
      <w:start w:val="3"/>
    </w:lvl>
  </w:abstractNum>
  <w:abstractNum w:abstractNumId="34">
    <w:nsid w:val="2CD89A32"/>
    <w:multiLevelType w:val="hybridMultilevel"/>
    <w:lvl w:ilvl="0">
      <w:lvlJc w:val="left"/>
      <w:lvlText w:val="%1)"/>
      <w:numFmt w:val="lowerLetter"/>
      <w:start w:val="2"/>
    </w:lvl>
    <w:lvl w:ilvl="1">
      <w:lvlJc w:val="left"/>
      <w:lvlText w:val="%2)"/>
      <w:numFmt w:val="lowerRoman"/>
      <w:start w:val="1"/>
    </w:lvl>
  </w:abstractNum>
  <w:abstractNum w:abstractNumId="35">
    <w:nsid w:val="57E4CCAF"/>
    <w:multiLevelType w:val="hybridMultilevel"/>
    <w:lvl w:ilvl="0">
      <w:lvlJc w:val="left"/>
      <w:lvlText w:val="%1)"/>
      <w:numFmt w:val="lowerRoman"/>
      <w:start w:val="3"/>
    </w:lvl>
  </w:abstractNum>
  <w:abstractNum w:abstractNumId="36">
    <w:nsid w:val="7A6D8D3C"/>
    <w:multiLevelType w:val="hybridMultilevel"/>
    <w:lvl w:ilvl="0">
      <w:lvlJc w:val="left"/>
      <w:lvlText w:val="%1)"/>
      <w:numFmt w:val="lowerLetter"/>
      <w:start w:val="3"/>
    </w:lvl>
    <w:lvl w:ilvl="1">
      <w:lvlJc w:val="left"/>
      <w:lvlText w:val="%2)"/>
      <w:numFmt w:val="lowerRoman"/>
      <w:start w:val="1"/>
    </w:lvl>
  </w:abstractNum>
  <w:abstractNum w:abstractNumId="37">
    <w:nsid w:val="4B588F54"/>
    <w:multiLevelType w:val="hybridMultilevel"/>
    <w:lvl w:ilvl="0">
      <w:lvlJc w:val="left"/>
      <w:lvlText w:val="%1)"/>
      <w:numFmt w:val="lowerRoman"/>
      <w:start w:val="3"/>
    </w:lvl>
  </w:abstractNum>
  <w:abstractNum w:abstractNumId="38">
    <w:nsid w:val="542289E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9">
    <w:nsid w:val="6DE91B1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0">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1">
    <w:nsid w:val="7644A4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
    <w:nsid w:val="32FFF90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3">
    <w:nsid w:val="684A481A"/>
    <w:multiLevelType w:val="hybridMultilevel"/>
    <w:lvl w:ilvl="0">
      <w:lvlJc w:val="left"/>
      <w:lvlText w:val="%1)"/>
      <w:numFmt w:val="lowerRoman"/>
      <w:start w:val="2"/>
    </w:lvl>
  </w:abstractNum>
  <w:abstractNum w:abstractNumId="44">
    <w:nsid w:val="579478FE"/>
    <w:multiLevelType w:val="hybridMultilevel"/>
    <w:lvl w:ilvl="0">
      <w:lvlJc w:val="left"/>
      <w:lvlText w:val="%1)"/>
      <w:numFmt w:val="decimal"/>
      <w:start w:val="10"/>
    </w:lvl>
    <w:lvl w:ilvl="1">
      <w:lvlJc w:val="left"/>
      <w:lvlText w:val="%2)"/>
      <w:numFmt w:val="lowerLetter"/>
      <w:start w:val="1"/>
    </w:lvl>
  </w:abstractNum>
  <w:abstractNum w:abstractNumId="45">
    <w:nsid w:val="749ABB43"/>
    <w:multiLevelType w:val="hybridMultilevel"/>
    <w:lvl w:ilvl="0">
      <w:lvlJc w:val="left"/>
      <w:lvlText w:val="%1"/>
      <w:numFmt w:val="decimal"/>
      <w:start w:val="1"/>
    </w:lvl>
    <w:lvl w:ilvl="1">
      <w:lvlJc w:val="left"/>
      <w:lvlText w:val="%2)"/>
      <w:numFmt w:val="lowerLetter"/>
      <w:start w:val="3"/>
    </w:lvl>
  </w:abstractNum>
  <w:abstractNum w:abstractNumId="46">
    <w:nsid w:val="3DC240FB"/>
    <w:multiLevelType w:val="hybridMultilevel"/>
    <w:lvl w:ilvl="0">
      <w:lvlJc w:val="left"/>
      <w:lvlText w:val="%1)"/>
      <w:numFmt w:val="decimal"/>
      <w:start w:val="11"/>
    </w:lvl>
    <w:lvl w:ilvl="1">
      <w:lvlJc w:val="left"/>
      <w:lvlText w:val="%2"/>
      <w:numFmt w:val="lowerLetter"/>
      <w:start w:val="1"/>
    </w:lvl>
  </w:abstractNum>
  <w:abstractNum w:abstractNumId="47">
    <w:nsid w:val="1BA026FA"/>
    <w:multiLevelType w:val="hybridMultilevel"/>
    <w:lvl w:ilvl="0">
      <w:lvlJc w:val="left"/>
      <w:lvlText w:val="%1)"/>
      <w:numFmt w:val="decimal"/>
      <w:start w:val="12"/>
    </w:lvl>
    <w:lvl w:ilvl="1">
      <w:lvlJc w:val="left"/>
      <w:lvlText w:val="%2)"/>
      <w:numFmt w:val="lowerLetter"/>
      <w:start w:val="1"/>
    </w:lvl>
  </w:abstractNum>
  <w:abstractNum w:abstractNumId="48">
    <w:nsid w:val="79A1DEAA"/>
    <w:multiLevelType w:val="hybridMultilevel"/>
    <w:lvl w:ilvl="0">
      <w:lvlJc w:val="left"/>
      <w:lvlText w:val="%1"/>
      <w:numFmt w:val="lowerLetter"/>
      <w:start w:val="1"/>
    </w:lvl>
    <w:lvl w:ilvl="1">
      <w:lvlJc w:val="left"/>
      <w:lvlText w:val="%2)"/>
      <w:numFmt w:val="lowerLetter"/>
      <w:start w:val="2"/>
    </w:lvl>
  </w:abstractNum>
  <w:abstractNum w:abstractNumId="49">
    <w:nsid w:val="75C6C33A"/>
    <w:multiLevelType w:val="hybridMultilevel"/>
    <w:lvl w:ilvl="0">
      <w:lvlJc w:val="left"/>
      <w:lvlText w:val="%1)"/>
      <w:numFmt w:val="lowerLetter"/>
      <w:start w:val="3"/>
    </w:lvl>
    <w:lvl w:ilvl="1">
      <w:lvlJc w:val="left"/>
      <w:lvlText w:val="%2"/>
      <w:numFmt w:val="lowerLetter"/>
      <w:start w:val="1"/>
    </w:lvl>
  </w:abstractNum>
  <w:abstractNum w:abstractNumId="50">
    <w:nsid w:val="12E685FB"/>
    <w:multiLevelType w:val="hybridMultilevel"/>
    <w:lvl w:ilvl="0">
      <w:lvlJc w:val="left"/>
      <w:lvlText w:val="%1)"/>
      <w:numFmt w:val="lowerLetter"/>
      <w:start w:val="6"/>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2019-12-29T14:26:19Z</dcterms:created>
  <dcterms:modified xsi:type="dcterms:W3CDTF">2019-12-29T14:26:19Z</dcterms:modified>
</cp:coreProperties>
</file>