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ANNUAL REPORT PURSUANT TO SECTION 13 OF THE SECURITIES EXCHANGE ACT OF 1934</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For the fiscal year ended December 31, 2012</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000-32191</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Borders>
              <w:bottom w:val="single" w:sz="8" w:color="auto"/>
            </w:tcBorders>
            <w:gridSpan w:val="5"/>
          </w:tcPr>
          <w:p>
            <w:pPr>
              <w:jc w:val="center"/>
              <w:spacing w:after="0"/>
              <w:rPr>
                <w:sz w:val="20"/>
                <w:szCs w:val="20"/>
                <w:color w:val="auto"/>
              </w:rPr>
            </w:pPr>
            <w:r>
              <w:rPr>
                <w:rFonts w:ascii="Arial" w:cs="Arial" w:eastAsia="Arial" w:hAnsi="Arial"/>
                <w:sz w:val="25"/>
                <w:szCs w:val="25"/>
                <w:b w:val="1"/>
                <w:bCs w:val="1"/>
                <w:color w:val="auto"/>
                <w:w w:val="99"/>
              </w:rPr>
              <w:t>T. ROWE PRICE GROUP, INC.</w:t>
            </w:r>
          </w:p>
        </w:tc>
        <w:tc>
          <w:tcPr>
            <w:tcW w:w="114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20" w:type="dxa"/>
            <w:vAlign w:val="bottom"/>
            <w:gridSpan w:val="9"/>
          </w:tcPr>
          <w:p>
            <w:pPr>
              <w:jc w:val="center"/>
              <w:ind w:right="980"/>
              <w:spacing w:after="0"/>
              <w:rPr>
                <w:sz w:val="20"/>
                <w:szCs w:val="20"/>
                <w:color w:val="auto"/>
              </w:rPr>
            </w:pPr>
            <w:r>
              <w:rPr>
                <w:rFonts w:ascii="Arial" w:cs="Arial" w:eastAsia="Arial" w:hAnsi="Arial"/>
                <w:sz w:val="18"/>
                <w:szCs w:val="18"/>
                <w:color w:val="auto"/>
                <w:w w:val="90"/>
              </w:rPr>
              <w:t>(Exact name of registrant as specified in its charter)</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392"/>
        </w:trPr>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8"/>
              </w:rPr>
              <w:t>Maryland</w:t>
            </w:r>
          </w:p>
        </w:tc>
        <w:tc>
          <w:tcPr>
            <w:tcW w:w="2020" w:type="dxa"/>
            <w:vAlign w:val="bottom"/>
            <w:gridSpan w:val="4"/>
          </w:tcPr>
          <w:p>
            <w:pPr>
              <w:spacing w:after="0"/>
              <w:rPr>
                <w:sz w:val="24"/>
                <w:szCs w:val="24"/>
                <w:color w:val="auto"/>
              </w:rPr>
            </w:pPr>
          </w:p>
        </w:tc>
        <w:tc>
          <w:tcPr>
            <w:tcW w:w="4360" w:type="dxa"/>
            <w:vAlign w:val="bottom"/>
            <w:gridSpan w:val="8"/>
          </w:tcPr>
          <w:p>
            <w:pPr>
              <w:jc w:val="center"/>
              <w:ind w:left="2610"/>
              <w:spacing w:after="0"/>
              <w:rPr>
                <w:sz w:val="20"/>
                <w:szCs w:val="20"/>
                <w:color w:val="auto"/>
              </w:rPr>
            </w:pPr>
            <w:r>
              <w:rPr>
                <w:rFonts w:ascii="Arial" w:cs="Arial" w:eastAsia="Arial" w:hAnsi="Arial"/>
                <w:sz w:val="18"/>
                <w:szCs w:val="18"/>
                <w:b w:val="1"/>
                <w:bCs w:val="1"/>
                <w:color w:val="auto"/>
                <w:w w:val="89"/>
              </w:rPr>
              <w:t>52-2264646</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1"/>
        </w:trPr>
        <w:tc>
          <w:tcPr>
            <w:tcW w:w="1200" w:type="dxa"/>
            <w:vAlign w:val="bottom"/>
          </w:tcPr>
          <w:p>
            <w:pPr>
              <w:spacing w:after="0"/>
              <w:rPr>
                <w:sz w:val="24"/>
                <w:szCs w:val="24"/>
                <w:color w:val="auto"/>
              </w:rPr>
            </w:pPr>
          </w:p>
        </w:tc>
        <w:tc>
          <w:tcPr>
            <w:tcW w:w="3960" w:type="dxa"/>
            <w:vAlign w:val="bottom"/>
            <w:gridSpan w:val="6"/>
          </w:tcPr>
          <w:p>
            <w:pPr>
              <w:jc w:val="center"/>
              <w:ind w:right="860"/>
              <w:spacing w:after="0"/>
              <w:rPr>
                <w:sz w:val="20"/>
                <w:szCs w:val="20"/>
                <w:color w:val="auto"/>
              </w:rPr>
            </w:pPr>
            <w:r>
              <w:rPr>
                <w:rFonts w:ascii="Arial" w:cs="Arial" w:eastAsia="Arial" w:hAnsi="Arial"/>
                <w:sz w:val="18"/>
                <w:szCs w:val="18"/>
                <w:color w:val="auto"/>
                <w:w w:val="92"/>
              </w:rPr>
              <w:t>State of incorporation</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7"/>
          </w:tcPr>
          <w:p>
            <w:pPr>
              <w:jc w:val="center"/>
              <w:ind w:right="320"/>
              <w:spacing w:after="0"/>
              <w:rPr>
                <w:sz w:val="20"/>
                <w:szCs w:val="20"/>
                <w:color w:val="auto"/>
              </w:rPr>
            </w:pPr>
            <w:r>
              <w:rPr>
                <w:rFonts w:ascii="Arial" w:cs="Arial" w:eastAsia="Arial" w:hAnsi="Arial"/>
                <w:sz w:val="18"/>
                <w:szCs w:val="18"/>
                <w:color w:val="auto"/>
                <w:w w:val="94"/>
              </w:rPr>
              <w:t>IRS Employer Identification No.</w:t>
            </w:r>
          </w:p>
        </w:tc>
      </w:tr>
      <w:tr>
        <w:trPr>
          <w:trHeight w:val="257"/>
        </w:trPr>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20" w:type="dxa"/>
            <w:vAlign w:val="bottom"/>
            <w:gridSpan w:val="9"/>
          </w:tcPr>
          <w:p>
            <w:pPr>
              <w:jc w:val="center"/>
              <w:ind w:right="1000"/>
              <w:spacing w:after="0"/>
              <w:rPr>
                <w:sz w:val="20"/>
                <w:szCs w:val="20"/>
                <w:color w:val="auto"/>
              </w:rPr>
            </w:pPr>
            <w:r>
              <w:rPr>
                <w:rFonts w:ascii="Arial" w:cs="Arial" w:eastAsia="Arial" w:hAnsi="Arial"/>
                <w:sz w:val="18"/>
                <w:szCs w:val="18"/>
                <w:b w:val="1"/>
                <w:bCs w:val="1"/>
                <w:color w:val="auto"/>
                <w:w w:val="92"/>
              </w:rPr>
              <w:t>100 East Pratt Street, Baltimore, Maryland 21202</w:t>
            </w: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80" w:type="dxa"/>
            <w:vAlign w:val="bottom"/>
            <w:gridSpan w:val="10"/>
          </w:tcPr>
          <w:p>
            <w:pPr>
              <w:jc w:val="center"/>
              <w:ind w:right="320"/>
              <w:spacing w:after="0"/>
              <w:rPr>
                <w:sz w:val="20"/>
                <w:szCs w:val="20"/>
                <w:color w:val="auto"/>
              </w:rPr>
            </w:pPr>
            <w:r>
              <w:rPr>
                <w:rFonts w:ascii="Arial" w:cs="Arial" w:eastAsia="Arial" w:hAnsi="Arial"/>
                <w:sz w:val="18"/>
                <w:szCs w:val="18"/>
                <w:color w:val="auto"/>
                <w:w w:val="92"/>
              </w:rPr>
              <w:t>Address, including zip code, of principal executive offices</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(410) 345-2000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20" w:type="dxa"/>
            <w:vAlign w:val="bottom"/>
            <w:gridSpan w:val="9"/>
          </w:tcPr>
          <w:p>
            <w:pPr>
              <w:jc w:val="center"/>
              <w:ind w:right="1000"/>
              <w:spacing w:after="0"/>
              <w:rPr>
                <w:sz w:val="20"/>
                <w:szCs w:val="20"/>
                <w:color w:val="auto"/>
              </w:rPr>
            </w:pPr>
            <w:r>
              <w:rPr>
                <w:rFonts w:ascii="Arial" w:cs="Arial" w:eastAsia="Arial" w:hAnsi="Arial"/>
                <w:sz w:val="18"/>
                <w:szCs w:val="18"/>
                <w:color w:val="auto"/>
                <w:w w:val="89"/>
              </w:rPr>
              <w:t>Registrant’s telephone number, including area code</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516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92"/>
        </w:trPr>
        <w:tc>
          <w:tcPr>
            <w:tcW w:w="1200" w:type="dxa"/>
            <w:vAlign w:val="bottom"/>
          </w:tcPr>
          <w:p>
            <w:pPr>
              <w:spacing w:after="0"/>
              <w:rPr>
                <w:sz w:val="24"/>
                <w:szCs w:val="24"/>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Common stock, $.20 par value per share</w:t>
            </w: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160" w:type="dxa"/>
            <w:vAlign w:val="bottom"/>
          </w:tcPr>
          <w:p>
            <w:pPr>
              <w:spacing w:after="0"/>
              <w:rPr>
                <w:sz w:val="24"/>
                <w:szCs w:val="24"/>
                <w:color w:val="auto"/>
              </w:rPr>
            </w:pPr>
          </w:p>
        </w:tc>
      </w:tr>
      <w:tr>
        <w:trPr>
          <w:trHeight w:val="291"/>
        </w:trPr>
        <w:tc>
          <w:tcPr>
            <w:tcW w:w="1200" w:type="dxa"/>
            <w:vAlign w:val="bottom"/>
          </w:tcPr>
          <w:p>
            <w:pPr>
              <w:spacing w:after="0"/>
              <w:rPr>
                <w:sz w:val="24"/>
                <w:szCs w:val="24"/>
                <w:color w:val="auto"/>
              </w:rPr>
            </w:pPr>
          </w:p>
        </w:tc>
        <w:tc>
          <w:tcPr>
            <w:tcW w:w="3960" w:type="dxa"/>
            <w:vAlign w:val="bottom"/>
            <w:gridSpan w:val="6"/>
          </w:tcPr>
          <w:p>
            <w:pPr>
              <w:jc w:val="center"/>
              <w:ind w:right="860"/>
              <w:spacing w:after="0"/>
              <w:rPr>
                <w:sz w:val="20"/>
                <w:szCs w:val="20"/>
                <w:color w:val="auto"/>
              </w:rPr>
            </w:pPr>
            <w:r>
              <w:rPr>
                <w:rFonts w:ascii="Arial" w:cs="Arial" w:eastAsia="Arial" w:hAnsi="Arial"/>
                <w:sz w:val="18"/>
                <w:szCs w:val="18"/>
                <w:color w:val="auto"/>
                <w:w w:val="94"/>
              </w:rPr>
              <w:t>(Title of class)</w:t>
            </w:r>
          </w:p>
        </w:tc>
        <w:tc>
          <w:tcPr>
            <w:tcW w:w="1120" w:type="dxa"/>
            <w:vAlign w:val="bottom"/>
          </w:tcPr>
          <w:p>
            <w:pPr>
              <w:spacing w:after="0"/>
              <w:rPr>
                <w:sz w:val="24"/>
                <w:szCs w:val="24"/>
                <w:color w:val="auto"/>
              </w:rPr>
            </w:pPr>
          </w:p>
        </w:tc>
        <w:tc>
          <w:tcPr>
            <w:tcW w:w="3880" w:type="dxa"/>
            <w:vAlign w:val="bottom"/>
            <w:gridSpan w:val="9"/>
          </w:tcPr>
          <w:p>
            <w:pPr>
              <w:jc w:val="center"/>
              <w:ind w:left="850"/>
              <w:spacing w:after="0"/>
              <w:rPr>
                <w:sz w:val="20"/>
                <w:szCs w:val="20"/>
                <w:color w:val="auto"/>
              </w:rPr>
            </w:pPr>
            <w:r>
              <w:rPr>
                <w:rFonts w:ascii="Arial" w:cs="Arial" w:eastAsia="Arial" w:hAnsi="Arial"/>
                <w:sz w:val="18"/>
                <w:szCs w:val="18"/>
                <w:color w:val="auto"/>
                <w:w w:val="90"/>
              </w:rPr>
              <w:t>(Name of exchange on which registered)</w:t>
            </w:r>
          </w:p>
        </w:tc>
      </w:tr>
      <w:tr>
        <w:trPr>
          <w:trHeight w:val="297"/>
        </w:trPr>
        <w:tc>
          <w:tcPr>
            <w:tcW w:w="8620" w:type="dxa"/>
            <w:vAlign w:val="bottom"/>
            <w:gridSpan w:val="13"/>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[X] Yes  </w:t>
            </w:r>
            <w:r>
              <w:rPr>
                <w:rFonts w:ascii="Arial" w:cs="Arial" w:eastAsia="Arial" w:hAnsi="Arial"/>
                <w:sz w:val="18"/>
                <w:szCs w:val="18"/>
                <w:color w:val="auto"/>
              </w:rPr>
              <w:t>[</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 No</w:t>
            </w:r>
          </w:p>
        </w:tc>
      </w:tr>
      <w:tr>
        <w:trPr>
          <w:trHeight w:val="324"/>
        </w:trPr>
        <w:tc>
          <w:tcPr>
            <w:tcW w:w="8620" w:type="dxa"/>
            <w:vAlign w:val="bottom"/>
            <w:gridSpan w:val="1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  ] Yes</w:t>
            </w:r>
          </w:p>
        </w:tc>
        <w:tc>
          <w:tcPr>
            <w:tcW w:w="640" w:type="dxa"/>
            <w:vAlign w:val="bottom"/>
            <w:gridSpan w:val="2"/>
          </w:tcPr>
          <w:p>
            <w:pPr>
              <w:ind w:left="60"/>
              <w:spacing w:after="0"/>
              <w:rPr>
                <w:sz w:val="20"/>
                <w:szCs w:val="20"/>
                <w:color w:val="auto"/>
              </w:rPr>
            </w:pPr>
            <w:r>
              <w:rPr>
                <w:rFonts w:ascii="Arial" w:cs="Arial" w:eastAsia="Arial" w:hAnsi="Arial"/>
                <w:sz w:val="18"/>
                <w:szCs w:val="18"/>
                <w:b w:val="1"/>
                <w:bCs w:val="1"/>
                <w:color w:val="auto"/>
              </w:rPr>
              <w:t>[X] No</w:t>
            </w:r>
          </w:p>
        </w:tc>
      </w:tr>
    </w:tbl>
    <w:p>
      <w:pPr>
        <w:spacing w:after="0" w:line="94" w:lineRule="exact"/>
        <w:rPr>
          <w:sz w:val="24"/>
          <w:szCs w:val="24"/>
          <w:color w:val="auto"/>
        </w:rPr>
      </w:pPr>
    </w:p>
    <w:p>
      <w:pPr>
        <w:ind w:right="420"/>
        <w:spacing w:after="0" w:line="308" w:lineRule="auto"/>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Arial" w:cs="Arial" w:eastAsia="Arial" w:hAnsi="Arial"/>
          <w:sz w:val="17"/>
          <w:szCs w:val="17"/>
          <w:b w:val="1"/>
          <w:bCs w:val="1"/>
          <w:color w:val="auto"/>
        </w:rPr>
        <w:t>[X] Yes</w:t>
      </w:r>
      <w:r>
        <w:rPr>
          <w:rFonts w:ascii="Arial" w:cs="Arial" w:eastAsia="Arial" w:hAnsi="Arial"/>
          <w:sz w:val="17"/>
          <w:szCs w:val="17"/>
          <w:color w:val="auto"/>
        </w:rPr>
        <w:t xml:space="preserve"> [ ] No</w:t>
      </w:r>
    </w:p>
    <w:p>
      <w:pPr>
        <w:spacing w:after="0" w:line="38"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every Interactive Data File required to be submitted and posted pursuant to Rule 405 of Regulations S-T during the preceding 12 months. </w:t>
      </w:r>
      <w:r>
        <w:rPr>
          <w:rFonts w:ascii="Arial" w:cs="Arial" w:eastAsia="Arial" w:hAnsi="Arial"/>
          <w:sz w:val="18"/>
          <w:szCs w:val="18"/>
          <w:b w:val="1"/>
          <w:bCs w:val="1"/>
          <w:color w:val="auto"/>
        </w:rPr>
        <w:t>[X] Yes</w:t>
      </w:r>
      <w:r>
        <w:rPr>
          <w:rFonts w:ascii="Arial" w:cs="Arial" w:eastAsia="Arial" w:hAnsi="Arial"/>
          <w:sz w:val="18"/>
          <w:szCs w:val="18"/>
          <w:color w:val="auto"/>
        </w:rPr>
        <w:t xml:space="preserve"> [ ] No</w:t>
      </w:r>
    </w:p>
    <w:p>
      <w:pPr>
        <w:spacing w:after="0" w:line="6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73"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3" w:right="299" w:bottom="1440" w:gutter="0" w:footer="0" w:header="0"/>
        </w:sectPr>
      </w:pPr>
    </w:p>
    <w:p>
      <w:pPr>
        <w:spacing w:after="0" w:line="8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63" w:lineRule="exact"/>
        <w:rPr>
          <w:sz w:val="24"/>
          <w:szCs w:val="24"/>
          <w:color w:val="auto"/>
        </w:rPr>
      </w:pPr>
    </w:p>
    <w:p>
      <w:pPr>
        <w:sectPr>
          <w:pgSz w:w="11900" w:h="16838" w:orient="portrait"/>
          <w:cols w:equalWidth="0" w:num="4">
            <w:col w:w="2560" w:space="720"/>
            <w:col w:w="3340" w:space="720"/>
            <w:col w:w="2520" w:space="720"/>
            <w:col w:w="780"/>
          </w:cols>
          <w:pgMar w:left="240" w:top="233" w:right="29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86" w:lineRule="exact"/>
        <w:rPr>
          <w:sz w:val="24"/>
          <w:szCs w:val="24"/>
          <w:color w:val="auto"/>
        </w:rPr>
      </w:pPr>
    </w:p>
    <w:p>
      <w:pPr>
        <w:sectPr>
          <w:pgSz w:w="11900" w:h="16838" w:orient="portrait"/>
          <w:cols w:equalWidth="0" w:num="4">
            <w:col w:w="2560" w:space="720"/>
            <w:col w:w="3340" w:space="720"/>
            <w:col w:w="2520" w:space="720"/>
            <w:col w:w="780"/>
          </w:cols>
          <w:pgMar w:left="240" w:top="233" w:right="299"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color w:val="auto"/>
        </w:rPr>
        <w:t>[  ] 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[X] No</w:t>
      </w:r>
    </w:p>
    <w:p>
      <w:pPr>
        <w:spacing w:after="0" w:line="121" w:lineRule="exact"/>
        <w:rPr>
          <w:sz w:val="24"/>
          <w:szCs w:val="24"/>
          <w:color w:val="auto"/>
        </w:rPr>
      </w:pPr>
    </w:p>
    <w:p>
      <w:pPr>
        <w:sectPr>
          <w:pgSz w:w="11900" w:h="16838" w:orient="portrait"/>
          <w:cols w:equalWidth="0" w:num="3">
            <w:col w:w="7440" w:space="180"/>
            <w:col w:w="600" w:space="180"/>
            <w:col w:w="2960"/>
          </w:cols>
          <w:pgMar w:left="240" w:top="233" w:right="299" w:bottom="1440" w:gutter="0" w:footer="0" w:header="0"/>
          <w:type w:val="continuous"/>
        </w:sectPr>
      </w:pPr>
    </w:p>
    <w:p>
      <w:pPr>
        <w:jc w:val="both"/>
        <w:ind w:right="440"/>
        <w:spacing w:after="0" w:line="264" w:lineRule="auto"/>
        <w:rPr>
          <w:sz w:val="20"/>
          <w:szCs w:val="20"/>
          <w:color w:val="auto"/>
        </w:rPr>
      </w:pPr>
      <w:r>
        <w:rPr>
          <w:rFonts w:ascii="Arial" w:cs="Arial" w:eastAsia="Arial" w:hAnsi="Arial"/>
          <w:sz w:val="18"/>
          <w:szCs w:val="18"/>
          <w:color w:val="auto"/>
        </w:rPr>
        <w:t>The aggregate market value of the common equity (all voting) held by non-affiliates (excludes current executive officers and directors) computed using $62.96 per share (the NASDAQ Official Closing Price on June 29, 2012, the last business day of the registrant’s most recently completed second fiscal quarter) was $15.5 billion.</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the latest practicable date, February 1, 2013, is 257,851,150.</w:t>
      </w:r>
    </w:p>
    <w:p>
      <w:pPr>
        <w:spacing w:after="0" w:line="11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DOCUMENTS INCORPORATED BY REFERENCE: In Part III, the Definitive Proxy Statement for the 2013 Annual Meeting of Stockholders to be filed pursuant to Regulation 14A.</w:t>
      </w:r>
    </w:p>
    <w:p>
      <w:pPr>
        <w:spacing w:after="0" w:line="170" w:lineRule="exact"/>
        <w:rPr>
          <w:sz w:val="24"/>
          <w:szCs w:val="24"/>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index begins on page </w:t>
      </w:r>
      <w:hyperlink w:anchor="page55">
        <w:r>
          <w:rPr>
            <w:rFonts w:ascii="Arial" w:cs="Arial" w:eastAsia="Arial" w:hAnsi="Arial"/>
            <w:sz w:val="18"/>
            <w:szCs w:val="18"/>
            <w:color w:val="auto"/>
          </w:rPr>
          <w:t>54.</w:t>
        </w:r>
      </w:hyperlink>
    </w:p>
    <w:p>
      <w:pPr>
        <w:sectPr>
          <w:pgSz w:w="11900" w:h="16838" w:orient="portrait"/>
          <w:cols w:equalWidth="0" w:num="1">
            <w:col w:w="11360"/>
          </w:cols>
          <w:pgMar w:left="240" w:top="23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60" w:type="dxa"/>
            <w:vAlign w:val="bottom"/>
            <w:gridSpan w:val="18"/>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601"/>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700" w:type="dxa"/>
            <w:vAlign w:val="bottom"/>
            <w:gridSpan w:val="10"/>
          </w:tcPr>
          <w:p>
            <w:pPr>
              <w:jc w:val="center"/>
              <w:ind w:right="4180"/>
              <w:spacing w:after="0"/>
              <w:rPr>
                <w:rFonts w:ascii="Arial" w:cs="Arial" w:eastAsia="Arial" w:hAnsi="Arial"/>
                <w:sz w:val="18"/>
                <w:szCs w:val="18"/>
                <w:color w:val="auto"/>
                <w:w w:val="89"/>
              </w:rPr>
            </w:pPr>
            <w:hyperlink w:anchor="page2">
              <w:r>
                <w:rPr>
                  <w:rFonts w:ascii="Arial" w:cs="Arial" w:eastAsia="Arial" w:hAnsi="Arial"/>
                  <w:sz w:val="18"/>
                  <w:szCs w:val="18"/>
                  <w:color w:val="auto"/>
                  <w:w w:val="89"/>
                </w:rPr>
                <w:t>PART I</w:t>
              </w:r>
            </w:hyperlink>
          </w:p>
        </w:tc>
        <w:tc>
          <w:tcPr>
            <w:tcW w:w="780" w:type="dxa"/>
            <w:vAlign w:val="bottom"/>
          </w:tcPr>
          <w:p>
            <w:pPr>
              <w:spacing w:after="0"/>
              <w:rPr>
                <w:sz w:val="21"/>
                <w:szCs w:val="21"/>
                <w:color w:val="auto"/>
              </w:rPr>
            </w:pPr>
          </w:p>
        </w:tc>
        <w:tc>
          <w:tcPr>
            <w:tcW w:w="460" w:type="dxa"/>
            <w:vAlign w:val="bottom"/>
            <w:tcBorders>
              <w:top w:val="single" w:sz="8" w:color="auto"/>
            </w:tcBorders>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auto"/>
            </w:tcBorders>
          </w:tcPr>
          <w:p>
            <w:pPr>
              <w:spacing w:after="0"/>
              <w:rPr>
                <w:rFonts w:ascii="Arial" w:cs="Arial" w:eastAsia="Arial" w:hAnsi="Arial"/>
                <w:sz w:val="18"/>
                <w:szCs w:val="18"/>
                <w:color w:val="auto"/>
                <w:w w:val="84"/>
              </w:rPr>
            </w:pPr>
            <w:hyperlink w:anchor="page3">
              <w:r>
                <w:rPr>
                  <w:rFonts w:ascii="Arial" w:cs="Arial" w:eastAsia="Arial" w:hAnsi="Arial"/>
                  <w:sz w:val="18"/>
                  <w:szCs w:val="18"/>
                  <w:color w:val="auto"/>
                  <w:w w:val="84"/>
                </w:rPr>
                <w:t>Business</w:t>
              </w:r>
            </w:hyperlink>
          </w:p>
        </w:tc>
        <w:tc>
          <w:tcPr>
            <w:tcW w:w="3520" w:type="dxa"/>
            <w:vAlign w:val="bottom"/>
            <w:gridSpan w:val="16"/>
          </w:tcPr>
          <w:p>
            <w:pPr>
              <w:spacing w:after="0"/>
              <w:rPr>
                <w:sz w:val="21"/>
                <w:szCs w:val="21"/>
                <w:color w:val="auto"/>
              </w:rPr>
            </w:pPr>
          </w:p>
        </w:tc>
        <w:tc>
          <w:tcPr>
            <w:tcW w:w="520" w:type="dxa"/>
            <w:vAlign w:val="bottom"/>
            <w:tcBorders>
              <w:top w:val="single" w:sz="8" w:color="auto"/>
            </w:tcBorders>
            <w:gridSpan w:val="2"/>
          </w:tcPr>
          <w:p>
            <w:pPr>
              <w:spacing w:after="0"/>
              <w:rPr>
                <w:sz w:val="21"/>
                <w:szCs w:val="21"/>
                <w:color w:val="auto"/>
              </w:rPr>
            </w:pPr>
          </w:p>
        </w:tc>
        <w:tc>
          <w:tcPr>
            <w:tcW w:w="4180" w:type="dxa"/>
            <w:vAlign w:val="bottom"/>
            <w:gridSpan w:val="8"/>
          </w:tcPr>
          <w:p>
            <w:pPr>
              <w:spacing w:after="0"/>
              <w:rPr>
                <w:sz w:val="21"/>
                <w:szCs w:val="21"/>
                <w:color w:val="auto"/>
              </w:rPr>
            </w:pPr>
          </w:p>
        </w:tc>
        <w:tc>
          <w:tcPr>
            <w:tcW w:w="124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auto"/>
            </w:tcBorders>
            <w:gridSpan w:val="3"/>
          </w:tcPr>
          <w:p>
            <w:pPr>
              <w:spacing w:after="0"/>
              <w:rPr>
                <w:rFonts w:ascii="Arial" w:cs="Arial" w:eastAsia="Arial" w:hAnsi="Arial"/>
                <w:sz w:val="18"/>
                <w:szCs w:val="18"/>
                <w:color w:val="auto"/>
                <w:w w:val="87"/>
              </w:rPr>
            </w:pPr>
            <w:hyperlink w:anchor="page10">
              <w:r>
                <w:rPr>
                  <w:rFonts w:ascii="Arial" w:cs="Arial" w:eastAsia="Arial" w:hAnsi="Arial"/>
                  <w:sz w:val="18"/>
                  <w:szCs w:val="18"/>
                  <w:color w:val="auto"/>
                  <w:w w:val="87"/>
                </w:rPr>
                <w:t>Risk Factors</w:t>
              </w:r>
            </w:hyperlink>
          </w:p>
        </w:tc>
        <w:tc>
          <w:tcPr>
            <w:tcW w:w="7960" w:type="dxa"/>
            <w:vAlign w:val="bottom"/>
            <w:gridSpan w:val="24"/>
          </w:tcPr>
          <w:p>
            <w:pPr>
              <w:spacing w:after="0"/>
              <w:rPr>
                <w:sz w:val="21"/>
                <w:szCs w:val="21"/>
                <w:color w:val="auto"/>
              </w:rPr>
            </w:pPr>
          </w:p>
        </w:tc>
        <w:tc>
          <w:tcPr>
            <w:tcW w:w="1240" w:type="dxa"/>
            <w:vAlign w:val="bottom"/>
            <w:gridSpan w:val="2"/>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9</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auto"/>
            </w:tcBorders>
            <w:gridSpan w:val="7"/>
          </w:tcPr>
          <w:p>
            <w:pPr>
              <w:spacing w:after="0"/>
              <w:rPr>
                <w:rFonts w:ascii="Arial" w:cs="Arial" w:eastAsia="Arial" w:hAnsi="Arial"/>
                <w:sz w:val="18"/>
                <w:szCs w:val="18"/>
                <w:color w:val="auto"/>
                <w:w w:val="89"/>
              </w:rPr>
            </w:pPr>
            <w:hyperlink w:anchor="page17">
              <w:r>
                <w:rPr>
                  <w:rFonts w:ascii="Arial" w:cs="Arial" w:eastAsia="Arial" w:hAnsi="Arial"/>
                  <w:sz w:val="18"/>
                  <w:szCs w:val="18"/>
                  <w:color w:val="auto"/>
                  <w:w w:val="89"/>
                </w:rPr>
                <w:t>Unresolved Staff Comments</w:t>
              </w:r>
            </w:hyperlink>
          </w:p>
        </w:tc>
        <w:tc>
          <w:tcPr>
            <w:tcW w:w="6820" w:type="dxa"/>
            <w:vAlign w:val="bottom"/>
            <w:gridSpan w:val="20"/>
          </w:tcPr>
          <w:p>
            <w:pPr>
              <w:spacing w:after="0"/>
              <w:rPr>
                <w:sz w:val="21"/>
                <w:szCs w:val="21"/>
                <w:color w:val="auto"/>
              </w:rPr>
            </w:pPr>
          </w:p>
        </w:tc>
        <w:tc>
          <w:tcPr>
            <w:tcW w:w="1240" w:type="dxa"/>
            <w:vAlign w:val="bottom"/>
            <w:gridSpan w:val="2"/>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60" w:type="dxa"/>
            <w:vAlign w:val="bottom"/>
            <w:gridSpan w:val="27"/>
          </w:tcPr>
          <w:p>
            <w:pPr>
              <w:spacing w:after="0"/>
              <w:rPr>
                <w:rFonts w:ascii="Arial" w:cs="Arial" w:eastAsia="Arial" w:hAnsi="Arial"/>
                <w:sz w:val="18"/>
                <w:szCs w:val="18"/>
                <w:color w:val="auto"/>
              </w:rPr>
            </w:pPr>
            <w:hyperlink w:anchor="page17">
              <w:r>
                <w:rPr>
                  <w:rFonts w:ascii="Arial" w:cs="Arial" w:eastAsia="Arial" w:hAnsi="Arial"/>
                  <w:sz w:val="18"/>
                  <w:szCs w:val="18"/>
                  <w:color w:val="auto"/>
                </w:rPr>
                <w:t>Properties</w:t>
              </w:r>
            </w:hyperlink>
          </w:p>
        </w:tc>
        <w:tc>
          <w:tcPr>
            <w:tcW w:w="1240" w:type="dxa"/>
            <w:vAlign w:val="bottom"/>
            <w:gridSpan w:val="2"/>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60" w:type="dxa"/>
            <w:vAlign w:val="bottom"/>
            <w:gridSpan w:val="27"/>
          </w:tcPr>
          <w:p>
            <w:pPr>
              <w:spacing w:after="0"/>
              <w:rPr>
                <w:rFonts w:ascii="Arial" w:cs="Arial" w:eastAsia="Arial" w:hAnsi="Arial"/>
                <w:sz w:val="18"/>
                <w:szCs w:val="18"/>
                <w:color w:val="auto"/>
              </w:rPr>
            </w:pPr>
            <w:hyperlink w:anchor="page18">
              <w:r>
                <w:rPr>
                  <w:rFonts w:ascii="Arial" w:cs="Arial" w:eastAsia="Arial" w:hAnsi="Arial"/>
                  <w:sz w:val="18"/>
                  <w:szCs w:val="18"/>
                  <w:color w:val="auto"/>
                </w:rPr>
                <w:t>Legal Proceedings</w:t>
              </w:r>
            </w:hyperlink>
          </w:p>
        </w:tc>
        <w:tc>
          <w:tcPr>
            <w:tcW w:w="124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60" w:type="dxa"/>
            <w:vAlign w:val="bottom"/>
            <w:gridSpan w:val="27"/>
          </w:tcPr>
          <w:p>
            <w:pPr>
              <w:spacing w:after="0"/>
              <w:rPr>
                <w:rFonts w:ascii="Arial" w:cs="Arial" w:eastAsia="Arial" w:hAnsi="Arial"/>
                <w:sz w:val="18"/>
                <w:szCs w:val="18"/>
                <w:color w:val="auto"/>
              </w:rPr>
            </w:pPr>
            <w:hyperlink w:anchor="page18">
              <w:r>
                <w:rPr>
                  <w:rFonts w:ascii="Arial" w:cs="Arial" w:eastAsia="Arial" w:hAnsi="Arial"/>
                  <w:sz w:val="18"/>
                  <w:szCs w:val="18"/>
                  <w:color w:val="auto"/>
                </w:rPr>
                <w:t>Mine Safety Disclosures</w:t>
              </w:r>
            </w:hyperlink>
          </w:p>
        </w:tc>
        <w:tc>
          <w:tcPr>
            <w:tcW w:w="124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w:t>
            </w:r>
          </w:p>
        </w:tc>
        <w:tc>
          <w:tcPr>
            <w:tcW w:w="8860" w:type="dxa"/>
            <w:vAlign w:val="bottom"/>
            <w:gridSpan w:val="27"/>
          </w:tcPr>
          <w:p>
            <w:pPr>
              <w:spacing w:after="0"/>
              <w:rPr>
                <w:rFonts w:ascii="Arial" w:cs="Arial" w:eastAsia="Arial" w:hAnsi="Arial"/>
                <w:sz w:val="18"/>
                <w:szCs w:val="18"/>
                <w:color w:val="auto"/>
              </w:rPr>
            </w:pPr>
            <w:hyperlink w:anchor="page18">
              <w:r>
                <w:rPr>
                  <w:rFonts w:ascii="Arial" w:cs="Arial" w:eastAsia="Arial" w:hAnsi="Arial"/>
                  <w:sz w:val="18"/>
                  <w:szCs w:val="18"/>
                  <w:color w:val="auto"/>
                </w:rPr>
                <w:t>Executive Officers of the Registrant</w:t>
              </w:r>
            </w:hyperlink>
          </w:p>
        </w:tc>
        <w:tc>
          <w:tcPr>
            <w:tcW w:w="124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17</w:t>
              </w:r>
            </w:hyperlink>
          </w:p>
        </w:tc>
      </w:tr>
      <w:tr>
        <w:trPr>
          <w:trHeight w:val="574"/>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gridSpan w:val="4"/>
          </w:tcPr>
          <w:p>
            <w:pPr>
              <w:jc w:val="center"/>
              <w:spacing w:after="0"/>
              <w:rPr>
                <w:rFonts w:ascii="Arial" w:cs="Arial" w:eastAsia="Arial" w:hAnsi="Arial"/>
                <w:sz w:val="18"/>
                <w:szCs w:val="18"/>
                <w:color w:val="auto"/>
                <w:w w:val="95"/>
              </w:rPr>
            </w:pPr>
            <w:hyperlink w:anchor="page18">
              <w:r>
                <w:rPr>
                  <w:rFonts w:ascii="Arial" w:cs="Arial" w:eastAsia="Arial" w:hAnsi="Arial"/>
                  <w:sz w:val="18"/>
                  <w:szCs w:val="18"/>
                  <w:color w:val="auto"/>
                  <w:w w:val="95"/>
                </w:rPr>
                <w:t>PART II</w:t>
              </w:r>
            </w:hyperlink>
          </w:p>
        </w:tc>
        <w:tc>
          <w:tcPr>
            <w:tcW w:w="4140" w:type="dxa"/>
            <w:vAlign w:val="bottom"/>
            <w:gridSpan w:val="7"/>
          </w:tcPr>
          <w:p>
            <w:pPr>
              <w:spacing w:after="0"/>
              <w:rPr>
                <w:sz w:val="24"/>
                <w:szCs w:val="24"/>
                <w:color w:val="auto"/>
              </w:rPr>
            </w:pPr>
          </w:p>
        </w:tc>
        <w:tc>
          <w:tcPr>
            <w:tcW w:w="124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60" w:type="dxa"/>
            <w:vAlign w:val="bottom"/>
            <w:gridSpan w:val="27"/>
          </w:tcPr>
          <w:p>
            <w:pPr>
              <w:spacing w:after="0"/>
              <w:rPr>
                <w:rFonts w:ascii="Arial" w:cs="Arial" w:eastAsia="Arial" w:hAnsi="Arial"/>
                <w:sz w:val="18"/>
                <w:szCs w:val="18"/>
                <w:color w:val="auto"/>
                <w:w w:val="99"/>
              </w:rPr>
            </w:pPr>
            <w:hyperlink w:anchor="page19">
              <w:r>
                <w:rPr>
                  <w:rFonts w:ascii="Arial" w:cs="Arial" w:eastAsia="Arial" w:hAnsi="Arial"/>
                  <w:sz w:val="18"/>
                  <w:szCs w:val="18"/>
                  <w:color w:val="auto"/>
                  <w:w w:val="99"/>
                </w:rPr>
                <w:t>Market for Registrant’s Common Equity, Related Stockholder Matters and Issuer Purchases of Equity Securities</w:t>
              </w:r>
            </w:hyperlink>
          </w:p>
        </w:tc>
        <w:tc>
          <w:tcPr>
            <w:tcW w:w="124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18</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auto"/>
            </w:tcBorders>
            <w:gridSpan w:val="26"/>
          </w:tcPr>
          <w:p>
            <w:pPr>
              <w:spacing w:after="0"/>
              <w:rPr>
                <w:rFonts w:ascii="Arial" w:cs="Arial" w:eastAsia="Arial" w:hAnsi="Arial"/>
                <w:sz w:val="18"/>
                <w:szCs w:val="18"/>
                <w:color w:val="auto"/>
              </w:rPr>
            </w:pPr>
            <w:hyperlink w:anchor="page19">
              <w:r>
                <w:rPr>
                  <w:rFonts w:ascii="Arial" w:cs="Arial" w:eastAsia="Arial" w:hAnsi="Arial"/>
                  <w:sz w:val="18"/>
                  <w:szCs w:val="18"/>
                  <w:color w:val="auto"/>
                </w:rPr>
                <w:t>Selected Financial Data</w:t>
              </w:r>
            </w:hyperlink>
          </w:p>
        </w:tc>
        <w:tc>
          <w:tcPr>
            <w:tcW w:w="800" w:type="dxa"/>
            <w:vAlign w:val="bottom"/>
          </w:tcPr>
          <w:p>
            <w:pPr>
              <w:spacing w:after="0"/>
              <w:rPr>
                <w:sz w:val="21"/>
                <w:szCs w:val="21"/>
                <w:color w:val="auto"/>
              </w:rPr>
            </w:pPr>
          </w:p>
        </w:tc>
        <w:tc>
          <w:tcPr>
            <w:tcW w:w="124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auto"/>
            </w:tcBorders>
            <w:gridSpan w:val="24"/>
          </w:tcPr>
          <w:p>
            <w:pPr>
              <w:spacing w:after="0"/>
              <w:rPr>
                <w:rFonts w:ascii="Arial" w:cs="Arial" w:eastAsia="Arial" w:hAnsi="Arial"/>
                <w:sz w:val="18"/>
                <w:szCs w:val="18"/>
                <w:color w:val="auto"/>
                <w:w w:val="90"/>
              </w:rPr>
            </w:pPr>
            <w:hyperlink w:anchor="page20">
              <w:r>
                <w:rPr>
                  <w:rFonts w:ascii="Arial" w:cs="Arial" w:eastAsia="Arial" w:hAnsi="Arial"/>
                  <w:sz w:val="18"/>
                  <w:szCs w:val="18"/>
                  <w:color w:val="auto"/>
                  <w:w w:val="90"/>
                </w:rPr>
                <w:t>Management’s Discussion and Analysis of Financial Condition and Results of Operations</w:t>
              </w:r>
            </w:hyperlink>
          </w:p>
        </w:tc>
        <w:tc>
          <w:tcPr>
            <w:tcW w:w="2400" w:type="dxa"/>
            <w:vAlign w:val="bottom"/>
            <w:gridSpan w:val="3"/>
          </w:tcPr>
          <w:p>
            <w:pPr>
              <w:spacing w:after="0"/>
              <w:rPr>
                <w:sz w:val="21"/>
                <w:szCs w:val="21"/>
                <w:color w:val="auto"/>
              </w:rPr>
            </w:pPr>
          </w:p>
        </w:tc>
        <w:tc>
          <w:tcPr>
            <w:tcW w:w="1240" w:type="dxa"/>
            <w:vAlign w:val="bottom"/>
            <w:gridSpan w:val="2"/>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00" w:type="dxa"/>
            <w:vAlign w:val="bottom"/>
            <w:tcBorders>
              <w:bottom w:val="single" w:sz="8" w:color="auto"/>
            </w:tcBorders>
            <w:gridSpan w:val="18"/>
          </w:tcPr>
          <w:p>
            <w:pPr>
              <w:spacing w:after="0"/>
              <w:rPr>
                <w:rFonts w:ascii="Arial" w:cs="Arial" w:eastAsia="Arial" w:hAnsi="Arial"/>
                <w:sz w:val="18"/>
                <w:szCs w:val="18"/>
                <w:color w:val="auto"/>
                <w:w w:val="91"/>
              </w:rPr>
            </w:pPr>
            <w:hyperlink w:anchor="page29">
              <w:r>
                <w:rPr>
                  <w:rFonts w:ascii="Arial" w:cs="Arial" w:eastAsia="Arial" w:hAnsi="Arial"/>
                  <w:sz w:val="18"/>
                  <w:szCs w:val="18"/>
                  <w:color w:val="auto"/>
                  <w:w w:val="91"/>
                </w:rPr>
                <w:t>Quantitative and Qualitative Disclosures about Market Risk</w:t>
              </w:r>
            </w:hyperlink>
          </w:p>
        </w:tc>
        <w:tc>
          <w:tcPr>
            <w:tcW w:w="4560" w:type="dxa"/>
            <w:vAlign w:val="bottom"/>
            <w:gridSpan w:val="9"/>
          </w:tcPr>
          <w:p>
            <w:pPr>
              <w:spacing w:after="0"/>
              <w:rPr>
                <w:sz w:val="21"/>
                <w:szCs w:val="21"/>
                <w:color w:val="auto"/>
              </w:rPr>
            </w:pPr>
          </w:p>
        </w:tc>
        <w:tc>
          <w:tcPr>
            <w:tcW w:w="1240" w:type="dxa"/>
            <w:vAlign w:val="bottom"/>
            <w:gridSpan w:val="2"/>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8860" w:type="dxa"/>
            <w:vAlign w:val="bottom"/>
            <w:gridSpan w:val="27"/>
          </w:tcPr>
          <w:p>
            <w:pPr>
              <w:spacing w:after="0"/>
              <w:rPr>
                <w:rFonts w:ascii="Arial" w:cs="Arial" w:eastAsia="Arial" w:hAnsi="Arial"/>
                <w:sz w:val="18"/>
                <w:szCs w:val="18"/>
                <w:color w:val="auto"/>
              </w:rPr>
            </w:pPr>
            <w:hyperlink w:anchor="page30">
              <w:r>
                <w:rPr>
                  <w:rFonts w:ascii="Arial" w:cs="Arial" w:eastAsia="Arial" w:hAnsi="Arial"/>
                  <w:sz w:val="18"/>
                  <w:szCs w:val="18"/>
                  <w:color w:val="auto"/>
                </w:rPr>
                <w:t>Financial Statements and Supplementary Data</w:t>
              </w:r>
            </w:hyperlink>
          </w:p>
        </w:tc>
        <w:tc>
          <w:tcPr>
            <w:tcW w:w="1240" w:type="dxa"/>
            <w:vAlign w:val="bottom"/>
            <w:gridSpan w:val="2"/>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860" w:type="dxa"/>
            <w:vAlign w:val="bottom"/>
            <w:gridSpan w:val="27"/>
          </w:tcPr>
          <w:p>
            <w:pPr>
              <w:spacing w:after="0"/>
              <w:rPr>
                <w:rFonts w:ascii="Arial" w:cs="Arial" w:eastAsia="Arial" w:hAnsi="Arial"/>
                <w:sz w:val="18"/>
                <w:szCs w:val="18"/>
                <w:color w:val="auto"/>
              </w:rPr>
            </w:pPr>
            <w:hyperlink w:anchor="page51">
              <w:r>
                <w:rPr>
                  <w:rFonts w:ascii="Arial" w:cs="Arial" w:eastAsia="Arial" w:hAnsi="Arial"/>
                  <w:sz w:val="18"/>
                  <w:szCs w:val="18"/>
                  <w:color w:val="auto"/>
                </w:rPr>
                <w:t>Changes in and Disagreements with Accountants on Accounting and Financial Disclosure</w:t>
              </w:r>
            </w:hyperlink>
          </w:p>
        </w:tc>
        <w:tc>
          <w:tcPr>
            <w:tcW w:w="1240" w:type="dxa"/>
            <w:vAlign w:val="bottom"/>
            <w:gridSpan w:val="2"/>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auto"/>
            </w:tcBorders>
            <w:gridSpan w:val="24"/>
          </w:tcPr>
          <w:p>
            <w:pPr>
              <w:spacing w:after="0"/>
              <w:rPr>
                <w:sz w:val="20"/>
                <w:szCs w:val="20"/>
                <w:color w:val="auto"/>
              </w:rPr>
            </w:pPr>
            <w:r>
              <w:rPr>
                <w:rFonts w:ascii="Arial" w:cs="Arial" w:eastAsia="Arial" w:hAnsi="Arial"/>
                <w:sz w:val="18"/>
                <w:szCs w:val="18"/>
                <w:color w:val="auto"/>
              </w:rPr>
              <w:t>Controls and Procedures</w:t>
            </w:r>
          </w:p>
        </w:tc>
        <w:tc>
          <w:tcPr>
            <w:tcW w:w="2400" w:type="dxa"/>
            <w:vAlign w:val="bottom"/>
            <w:gridSpan w:val="3"/>
          </w:tcPr>
          <w:p>
            <w:pPr>
              <w:spacing w:after="0"/>
              <w:rPr>
                <w:sz w:val="21"/>
                <w:szCs w:val="21"/>
                <w:color w:val="auto"/>
              </w:rPr>
            </w:pPr>
          </w:p>
        </w:tc>
        <w:tc>
          <w:tcPr>
            <w:tcW w:w="1240" w:type="dxa"/>
            <w:vAlign w:val="bottom"/>
            <w:gridSpan w:val="2"/>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51</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Other Information</w:t>
            </w:r>
          </w:p>
        </w:tc>
        <w:tc>
          <w:tcPr>
            <w:tcW w:w="7160" w:type="dxa"/>
            <w:vAlign w:val="bottom"/>
            <w:gridSpan w:val="22"/>
          </w:tcPr>
          <w:p>
            <w:pPr>
              <w:spacing w:after="0"/>
              <w:rPr>
                <w:sz w:val="21"/>
                <w:szCs w:val="21"/>
                <w:color w:val="auto"/>
              </w:rPr>
            </w:pPr>
          </w:p>
        </w:tc>
        <w:tc>
          <w:tcPr>
            <w:tcW w:w="1240" w:type="dxa"/>
            <w:vAlign w:val="bottom"/>
            <w:gridSpan w:val="2"/>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51</w:t>
              </w:r>
            </w:hyperlink>
          </w:p>
        </w:tc>
      </w:tr>
      <w:tr>
        <w:trPr>
          <w:trHeight w:val="574"/>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gridSpan w:val="12"/>
          </w:tcPr>
          <w:p>
            <w:pPr>
              <w:jc w:val="center"/>
              <w:ind w:right="4120"/>
              <w:spacing w:after="0"/>
              <w:rPr>
                <w:rFonts w:ascii="Arial" w:cs="Arial" w:eastAsia="Arial" w:hAnsi="Arial"/>
                <w:sz w:val="18"/>
                <w:szCs w:val="18"/>
                <w:color w:val="auto"/>
                <w:w w:val="94"/>
              </w:rPr>
            </w:pPr>
            <w:hyperlink w:anchor="page54">
              <w:r>
                <w:rPr>
                  <w:rFonts w:ascii="Arial" w:cs="Arial" w:eastAsia="Arial" w:hAnsi="Arial"/>
                  <w:sz w:val="18"/>
                  <w:szCs w:val="18"/>
                  <w:color w:val="auto"/>
                  <w:w w:val="94"/>
                </w:rPr>
                <w:t>PART III</w:t>
              </w:r>
            </w:hyperlink>
          </w:p>
        </w:tc>
        <w:tc>
          <w:tcPr>
            <w:tcW w:w="1240" w:type="dxa"/>
            <w:vAlign w:val="bottom"/>
            <w:gridSpan w:val="2"/>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5"/>
          </w:tcPr>
          <w:p>
            <w:pPr>
              <w:spacing w:after="0"/>
              <w:rPr>
                <w:rFonts w:ascii="Arial" w:cs="Arial" w:eastAsia="Arial" w:hAnsi="Arial"/>
                <w:sz w:val="18"/>
                <w:szCs w:val="18"/>
                <w:color w:val="auto"/>
                <w:w w:val="90"/>
              </w:rPr>
            </w:pPr>
            <w:hyperlink w:anchor="page55">
              <w:r>
                <w:rPr>
                  <w:rFonts w:ascii="Arial" w:cs="Arial" w:eastAsia="Arial" w:hAnsi="Arial"/>
                  <w:sz w:val="18"/>
                  <w:szCs w:val="18"/>
                  <w:color w:val="auto"/>
                  <w:w w:val="90"/>
                </w:rPr>
                <w:t>Directors, Executive Officers and Corporate Governance</w:t>
              </w:r>
            </w:hyperlink>
          </w:p>
        </w:tc>
        <w:tc>
          <w:tcPr>
            <w:tcW w:w="640" w:type="dxa"/>
            <w:vAlign w:val="bottom"/>
            <w:tcBorders>
              <w:top w:val="single" w:sz="8" w:color="auto"/>
            </w:tcBorders>
            <w:gridSpan w:val="6"/>
          </w:tcPr>
          <w:p>
            <w:pPr>
              <w:spacing w:after="0"/>
              <w:rPr>
                <w:sz w:val="21"/>
                <w:szCs w:val="21"/>
                <w:color w:val="auto"/>
              </w:rPr>
            </w:pPr>
          </w:p>
        </w:tc>
        <w:tc>
          <w:tcPr>
            <w:tcW w:w="4120" w:type="dxa"/>
            <w:vAlign w:val="bottom"/>
            <w:gridSpan w:val="6"/>
          </w:tcPr>
          <w:p>
            <w:pPr>
              <w:spacing w:after="0"/>
              <w:rPr>
                <w:sz w:val="21"/>
                <w:szCs w:val="21"/>
                <w:color w:val="auto"/>
              </w:rPr>
            </w:pPr>
          </w:p>
        </w:tc>
        <w:tc>
          <w:tcPr>
            <w:tcW w:w="1240" w:type="dxa"/>
            <w:vAlign w:val="bottom"/>
            <w:gridSpan w:val="2"/>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auto"/>
              <w:bottom w:val="single" w:sz="8" w:color="auto"/>
            </w:tcBorders>
            <w:gridSpan w:val="6"/>
          </w:tcPr>
          <w:p>
            <w:pPr>
              <w:spacing w:after="0"/>
              <w:rPr>
                <w:rFonts w:ascii="Arial" w:cs="Arial" w:eastAsia="Arial" w:hAnsi="Arial"/>
                <w:sz w:val="18"/>
                <w:szCs w:val="18"/>
                <w:color w:val="auto"/>
                <w:w w:val="89"/>
              </w:rPr>
            </w:pPr>
            <w:hyperlink w:anchor="page55">
              <w:r>
                <w:rPr>
                  <w:rFonts w:ascii="Arial" w:cs="Arial" w:eastAsia="Arial" w:hAnsi="Arial"/>
                  <w:sz w:val="18"/>
                  <w:szCs w:val="18"/>
                  <w:color w:val="auto"/>
                  <w:w w:val="89"/>
                </w:rPr>
                <w:t>Executive Compensation</w:t>
              </w:r>
            </w:hyperlink>
          </w:p>
        </w:tc>
        <w:tc>
          <w:tcPr>
            <w:tcW w:w="2280" w:type="dxa"/>
            <w:vAlign w:val="bottom"/>
            <w:tcBorders>
              <w:top w:val="single" w:sz="8" w:color="auto"/>
            </w:tcBorders>
            <w:gridSpan w:val="8"/>
          </w:tcPr>
          <w:p>
            <w:pPr>
              <w:spacing w:after="0"/>
              <w:rPr>
                <w:sz w:val="21"/>
                <w:szCs w:val="21"/>
                <w:color w:val="auto"/>
              </w:rPr>
            </w:pPr>
          </w:p>
        </w:tc>
        <w:tc>
          <w:tcPr>
            <w:tcW w:w="4780" w:type="dxa"/>
            <w:vAlign w:val="bottom"/>
            <w:gridSpan w:val="13"/>
          </w:tcPr>
          <w:p>
            <w:pPr>
              <w:spacing w:after="0"/>
              <w:rPr>
                <w:sz w:val="21"/>
                <w:szCs w:val="21"/>
                <w:color w:val="auto"/>
              </w:rPr>
            </w:pPr>
          </w:p>
        </w:tc>
        <w:tc>
          <w:tcPr>
            <w:tcW w:w="1240" w:type="dxa"/>
            <w:vAlign w:val="bottom"/>
            <w:gridSpan w:val="2"/>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860" w:type="dxa"/>
            <w:vAlign w:val="bottom"/>
            <w:gridSpan w:val="27"/>
          </w:tcPr>
          <w:p>
            <w:pPr>
              <w:spacing w:after="0"/>
              <w:rPr>
                <w:rFonts w:ascii="Arial" w:cs="Arial" w:eastAsia="Arial" w:hAnsi="Arial"/>
                <w:sz w:val="18"/>
                <w:szCs w:val="18"/>
                <w:color w:val="auto"/>
              </w:rPr>
            </w:pPr>
            <w:hyperlink w:anchor="page55">
              <w:r>
                <w:rPr>
                  <w:rFonts w:ascii="Arial" w:cs="Arial" w:eastAsia="Arial" w:hAnsi="Arial"/>
                  <w:sz w:val="18"/>
                  <w:szCs w:val="18"/>
                  <w:color w:val="auto"/>
                </w:rPr>
                <w:t>Security Ownership of Certain Beneficial Owners and Management and Related Stockholder Matters</w:t>
              </w:r>
            </w:hyperlink>
          </w:p>
        </w:tc>
        <w:tc>
          <w:tcPr>
            <w:tcW w:w="1240" w:type="dxa"/>
            <w:vAlign w:val="bottom"/>
            <w:gridSpan w:val="2"/>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auto"/>
            </w:tcBorders>
            <w:gridSpan w:val="25"/>
          </w:tcPr>
          <w:p>
            <w:pPr>
              <w:spacing w:after="0"/>
              <w:rPr>
                <w:rFonts w:ascii="Arial" w:cs="Arial" w:eastAsia="Arial" w:hAnsi="Arial"/>
                <w:sz w:val="18"/>
                <w:szCs w:val="18"/>
                <w:color w:val="auto"/>
              </w:rPr>
            </w:pPr>
            <w:hyperlink w:anchor="page55">
              <w:r>
                <w:rPr>
                  <w:rFonts w:ascii="Arial" w:cs="Arial" w:eastAsia="Arial" w:hAnsi="Arial"/>
                  <w:sz w:val="18"/>
                  <w:szCs w:val="18"/>
                  <w:color w:val="auto"/>
                </w:rPr>
                <w:t>Certain Relationships and Related Transactions, and Director Independence</w:t>
              </w:r>
            </w:hyperlink>
          </w:p>
        </w:tc>
        <w:tc>
          <w:tcPr>
            <w:tcW w:w="1580" w:type="dxa"/>
            <w:vAlign w:val="bottom"/>
            <w:gridSpan w:val="2"/>
          </w:tcPr>
          <w:p>
            <w:pPr>
              <w:spacing w:after="0"/>
              <w:rPr>
                <w:sz w:val="21"/>
                <w:szCs w:val="21"/>
                <w:color w:val="auto"/>
              </w:rPr>
            </w:pPr>
          </w:p>
        </w:tc>
        <w:tc>
          <w:tcPr>
            <w:tcW w:w="1240" w:type="dxa"/>
            <w:vAlign w:val="bottom"/>
            <w:gridSpan w:val="2"/>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auto"/>
            </w:tcBorders>
            <w:gridSpan w:val="23"/>
          </w:tcPr>
          <w:p>
            <w:pPr>
              <w:spacing w:after="0"/>
              <w:rPr>
                <w:rFonts w:ascii="Arial" w:cs="Arial" w:eastAsia="Arial" w:hAnsi="Arial"/>
                <w:sz w:val="18"/>
                <w:szCs w:val="18"/>
                <w:color w:val="auto"/>
              </w:rPr>
            </w:pPr>
            <w:hyperlink w:anchor="page55">
              <w:r>
                <w:rPr>
                  <w:rFonts w:ascii="Arial" w:cs="Arial" w:eastAsia="Arial" w:hAnsi="Arial"/>
                  <w:sz w:val="18"/>
                  <w:szCs w:val="18"/>
                  <w:color w:val="auto"/>
                </w:rPr>
                <w:t>Principal Accountant Fees and Services</w:t>
              </w:r>
            </w:hyperlink>
          </w:p>
        </w:tc>
        <w:tc>
          <w:tcPr>
            <w:tcW w:w="3420" w:type="dxa"/>
            <w:vAlign w:val="bottom"/>
            <w:gridSpan w:val="4"/>
          </w:tcPr>
          <w:p>
            <w:pPr>
              <w:spacing w:after="0"/>
              <w:rPr>
                <w:sz w:val="21"/>
                <w:szCs w:val="21"/>
                <w:color w:val="auto"/>
              </w:rPr>
            </w:pPr>
          </w:p>
        </w:tc>
        <w:tc>
          <w:tcPr>
            <w:tcW w:w="1240" w:type="dxa"/>
            <w:vAlign w:val="bottom"/>
            <w:gridSpan w:val="2"/>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r>
        <w:trPr>
          <w:trHeight w:val="574"/>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bottom w:val="single" w:sz="8" w:color="auto"/>
            </w:tcBorders>
            <w:gridSpan w:val="8"/>
          </w:tcPr>
          <w:p>
            <w:pPr>
              <w:jc w:val="center"/>
              <w:spacing w:after="0"/>
              <w:rPr>
                <w:rFonts w:ascii="Arial" w:cs="Arial" w:eastAsia="Arial" w:hAnsi="Arial"/>
                <w:sz w:val="18"/>
                <w:szCs w:val="18"/>
                <w:color w:val="auto"/>
                <w:w w:val="97"/>
              </w:rPr>
            </w:pPr>
            <w:hyperlink w:anchor="page55">
              <w:r>
                <w:rPr>
                  <w:rFonts w:ascii="Arial" w:cs="Arial" w:eastAsia="Arial" w:hAnsi="Arial"/>
                  <w:sz w:val="18"/>
                  <w:szCs w:val="18"/>
                  <w:color w:val="auto"/>
                  <w:w w:val="97"/>
                </w:rPr>
                <w:t>PART IV</w:t>
              </w:r>
            </w:hyperlink>
          </w:p>
        </w:tc>
        <w:tc>
          <w:tcPr>
            <w:tcW w:w="4100" w:type="dxa"/>
            <w:vAlign w:val="bottom"/>
            <w:gridSpan w:val="5"/>
          </w:tcPr>
          <w:p>
            <w:pPr>
              <w:spacing w:after="0"/>
              <w:rPr>
                <w:sz w:val="24"/>
                <w:szCs w:val="24"/>
                <w:color w:val="auto"/>
              </w:rPr>
            </w:pPr>
          </w:p>
        </w:tc>
        <w:tc>
          <w:tcPr>
            <w:tcW w:w="1240" w:type="dxa"/>
            <w:vAlign w:val="bottom"/>
            <w:gridSpan w:val="2"/>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8860" w:type="dxa"/>
            <w:vAlign w:val="bottom"/>
            <w:gridSpan w:val="27"/>
          </w:tcPr>
          <w:p>
            <w:pPr>
              <w:spacing w:after="0"/>
              <w:rPr>
                <w:rFonts w:ascii="Arial" w:cs="Arial" w:eastAsia="Arial" w:hAnsi="Arial"/>
                <w:sz w:val="18"/>
                <w:szCs w:val="18"/>
                <w:color w:val="auto"/>
              </w:rPr>
            </w:pPr>
            <w:hyperlink w:anchor="page55">
              <w:r>
                <w:rPr>
                  <w:rFonts w:ascii="Arial" w:cs="Arial" w:eastAsia="Arial" w:hAnsi="Arial"/>
                  <w:sz w:val="18"/>
                  <w:szCs w:val="18"/>
                  <w:color w:val="auto"/>
                </w:rPr>
                <w:t>Exhibits, Financial Statement Schedules</w:t>
              </w:r>
            </w:hyperlink>
          </w:p>
        </w:tc>
        <w:tc>
          <w:tcPr>
            <w:tcW w:w="1240" w:type="dxa"/>
            <w:vAlign w:val="bottom"/>
            <w:gridSpan w:val="2"/>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r>
        <w:trPr>
          <w:trHeight w:val="250"/>
        </w:trPr>
        <w:tc>
          <w:tcPr>
            <w:tcW w:w="1100" w:type="dxa"/>
            <w:vAlign w:val="bottom"/>
            <w:tcBorders>
              <w:bottom w:val="single" w:sz="8" w:color="auto"/>
            </w:tcBorders>
          </w:tcPr>
          <w:p>
            <w:pPr>
              <w:spacing w:after="0"/>
              <w:rPr>
                <w:rFonts w:ascii="Arial" w:cs="Arial" w:eastAsia="Arial" w:hAnsi="Arial"/>
                <w:sz w:val="18"/>
                <w:szCs w:val="18"/>
                <w:color w:val="auto"/>
                <w:w w:val="92"/>
              </w:rPr>
            </w:pPr>
            <w:hyperlink w:anchor="page57">
              <w:r>
                <w:rPr>
                  <w:rFonts w:ascii="Arial" w:cs="Arial" w:eastAsia="Arial" w:hAnsi="Arial"/>
                  <w:sz w:val="18"/>
                  <w:szCs w:val="18"/>
                  <w:color w:val="auto"/>
                  <w:w w:val="92"/>
                </w:rPr>
                <w:t>SIGNATURES</w:t>
              </w:r>
            </w:hyperlink>
          </w:p>
        </w:tc>
        <w:tc>
          <w:tcPr>
            <w:tcW w:w="1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40" w:type="dxa"/>
            <w:vAlign w:val="bottom"/>
            <w:gridSpan w:val="2"/>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57</w:t>
              </w:r>
            </w:hyperlink>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360"/>
          </w:cols>
          <w:pgMar w:left="280" w:top="108" w:right="259" w:bottom="1440" w:gutter="0" w:footer="0" w:header="0"/>
        </w:sectPr>
      </w:pPr>
    </w:p>
    <w:bookmarkStart w:id="2" w:name="page3"/>
    <w:bookmarkEnd w:id="2"/>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 Rowe Price Group is a financial services holding company that provides global investment management services through its subsidiaries to individual and institutional investors in the sponsored T. Rowe Price mutual funds distributed in the United States (Price funds) and other investment portfolios, including separately managed accounts, subadvised funds, and other sponsored investment portfolios, including collective investment trusts, Luxembourg-based funds offered to investors outside the United States and portfolios offered through variable annuity life insurance plans in the United States.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late Thomas Rowe Price, Jr., founded our firm in 1937, and the common stock of T. Rowe Price Associates was first offered to the public in 1986. The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Rowe Price Group corporate holding company structure was established in 2000.</w:t>
      </w:r>
    </w:p>
    <w:p>
      <w:pPr>
        <w:spacing w:after="0" w:line="21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derive the majority of our consolidated revenue and net income from investment advisory services provided by our subsidiaries, primarily T. Rowe Price Associates, Inc. and T. Rowe Price International Ltd. Our revenues depend largely on the total value and composition of assets under our management. Accordingly, fluctuations in financial markets and in the composition of assets under management impact our revenues and results of operations.</w:t>
      </w:r>
    </w:p>
    <w:p>
      <w:pPr>
        <w:spacing w:after="0" w:line="14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Our assets under management are accumulated from a diversified client base across four primary distribution channels: third-party financial intermediaries that distribute our managed investment portfolios in the U.S. and other countries; individual U.S. investors on a direct basis; U.S. defined contribution retirement plans; and institutional investors globally. As of December 31, 2012, approximately forty percent of our assets under management are sourced from our third-party financial intermediary distribution channel with the remaining three distribution channels equally making up the balance.</w:t>
      </w:r>
    </w:p>
    <w:p>
      <w:pPr>
        <w:spacing w:after="0" w:line="15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manage a broad range of U.S. and international stock, blended asset, bond, and money market mutual funds and other investment portfolios that are designed to meet the varied and changing needs and objectives of individual and institutional investors. Investment objectives for our managed investment portfolios, including the Price funds, accommodate a variety of strategies. Investors select from among the mutual funds based on the distinct objective that is described in each fund’s prospectus and can exchange balances among the funds as permitted when economic and market conditions and their investment needs change. Investment management of other client portfolios includes approaches similar to those employed in the Price funds.</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Equity investment strategies may emphasize large-cap, mid-cap or small-cap investing; growth, value or core investing; and U.S., global, international or sector investing. We also offer systematic, tax-efficient, and blended equity and asset allocation investment strategies, including target-date retirement investment portfolios, as well as active, systematic and municipal tax-free management strategies for fixed income investments. Our specialized advisory services include management of stable value investment contracts and a distribution management service for the disposition of equity securities received from third-party venture capital investment pools.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employ fundamental and quantitative security analysis in the performance of the investment advisory function through substantial internal equity and fixed income investment research capabilities. We perform original industry and company research using such sources as inspection of corporate activities, management interviews, company-published financial and other information, financial newspapers and magazines, corporate rating services, and field checks with suppliers and competitors in the same industry and particular business sector. Our research staff operates primarily from offices located in the U.S. and England with additional staff based in Argentina, Australia, Hong Kong, Japan, and Singapore. We also use research provided by brokerage firms and security analysts in a supportive capacity and information received from private economists, political observers, commentators, government experts, and market analysts. Our securities selection process for some investment portfolios is based on quantitative analysis using computerized data modeling.</w:t>
      </w:r>
    </w:p>
    <w:p>
      <w:pPr>
        <w:spacing w:after="0" w:line="16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From time to time, we introduce new funds and other investment portfolios to complement and expand our investment offerings, respond to competitive developments in the financial marketplace, and meet the changing needs of our investment advisory clients. We will open a new mutual fund or investment portfolio if we believe that we have the appropriate investment management expertise and that its objective will be useful for investors over a long period. Conversely, we may also limit new investments into a mutual fund or investment mandate in order to maintain the integrity of the investment strategy and to protect the interests of its existing fund shareholders and investors. At present, the following funds are closed to all new investors.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6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7480" w:type="dxa"/>
            <w:vAlign w:val="bottom"/>
            <w:gridSpan w:val="4"/>
          </w:tcPr>
          <w:p>
            <w:pPr>
              <w:jc w:val="right"/>
              <w:ind w:right="6110"/>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r>
      <w:tr>
        <w:trPr>
          <w:trHeight w:val="399"/>
        </w:trPr>
        <w:tc>
          <w:tcPr>
            <w:tcW w:w="3840" w:type="dxa"/>
            <w:vAlign w:val="bottom"/>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w:t>
            </w:r>
          </w:p>
        </w:tc>
        <w:tc>
          <w:tcPr>
            <w:tcW w:w="1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Date Closed</w:t>
            </w:r>
          </w:p>
        </w:tc>
      </w:tr>
      <w:tr>
        <w:trPr>
          <w:trHeight w:val="237"/>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Institutional Mid-Cap Equity Growth</w:t>
            </w:r>
          </w:p>
        </w:tc>
        <w:tc>
          <w:tcPr>
            <w:tcW w:w="12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December 8, 2003</w:t>
            </w:r>
          </w:p>
        </w:tc>
      </w:tr>
      <w:tr>
        <w:trPr>
          <w:trHeight w:val="27"/>
        </w:trPr>
        <w:tc>
          <w:tcPr>
            <w:tcW w:w="3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Institutional Small-Cap Stock</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February 20, 2004</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Mid-Cap Growth</w:t>
            </w: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20" w:type="dxa"/>
            <w:vAlign w:val="bottom"/>
          </w:tcPr>
          <w:p>
            <w:pPr>
              <w:jc w:val="right"/>
              <w:spacing w:after="0"/>
              <w:rPr>
                <w:sz w:val="20"/>
                <w:szCs w:val="20"/>
                <w:color w:val="auto"/>
              </w:rPr>
            </w:pPr>
            <w:r>
              <w:rPr>
                <w:rFonts w:ascii="Arial" w:cs="Arial" w:eastAsia="Arial" w:hAnsi="Arial"/>
                <w:sz w:val="18"/>
                <w:szCs w:val="18"/>
                <w:color w:val="auto"/>
              </w:rPr>
              <w:t>May 31, 2010</w:t>
            </w:r>
          </w:p>
        </w:tc>
      </w:tr>
      <w:tr>
        <w:trPr>
          <w:trHeight w:val="27"/>
        </w:trPr>
        <w:tc>
          <w:tcPr>
            <w:tcW w:w="3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Mid-Cap Value</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May 31, 2010</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High Yield</w:t>
            </w: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20" w:type="dxa"/>
            <w:vAlign w:val="bottom"/>
          </w:tcPr>
          <w:p>
            <w:pPr>
              <w:jc w:val="right"/>
              <w:spacing w:after="0"/>
              <w:rPr>
                <w:sz w:val="20"/>
                <w:szCs w:val="20"/>
                <w:color w:val="auto"/>
              </w:rPr>
            </w:pPr>
            <w:r>
              <w:rPr>
                <w:rFonts w:ascii="Arial" w:cs="Arial" w:eastAsia="Arial" w:hAnsi="Arial"/>
                <w:sz w:val="18"/>
                <w:szCs w:val="18"/>
                <w:color w:val="auto"/>
              </w:rPr>
              <w:t>April 30, 2012</w:t>
            </w:r>
          </w:p>
        </w:tc>
      </w:tr>
      <w:tr>
        <w:trPr>
          <w:trHeight w:val="27"/>
        </w:trPr>
        <w:tc>
          <w:tcPr>
            <w:tcW w:w="3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Institutional High Yield</w:t>
            </w:r>
          </w:p>
        </w:tc>
        <w:tc>
          <w:tcPr>
            <w:tcW w:w="1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30, 2012</w:t>
            </w:r>
          </w:p>
        </w:tc>
      </w:tr>
      <w:tr>
        <w:trPr>
          <w:trHeight w:val="27"/>
        </w:trPr>
        <w:tc>
          <w:tcPr>
            <w:tcW w:w="38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also provide certain administrative services as ancillary services to our investment advisory clients. These administrative services are provided by several of our subsidiaries and include mutual fund transfer agent, accounting, distribution, and shareholder services; participant recordkeeping and transfer agent services for defined contribution retirement plans investing in our sponsored mutual funds; recordkeeping services for defined contribution retirement plans investing in mutual funds outside the T. Rowe Price complex; brokerage; and trust services. Substantially all of our administrative and distribution and servicing fee revenues in 2012 were determined based generally on the recovery of our related costs to provide these services. Therefore, changes in our administrative revenues, distribution and servicing fees, and related expenses generally do not significantly affect our net operating income or net income.</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concerning our revenues, results of operations and total assets, and our assets under management during the past three years is contained in our consolidated financial statements and in note 2 thereto, which are both included in Item 8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2012 DEVELOPMENTS.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Major equity markets produced strong returns in 2012 despite a eurozone recession, the sovereign debt crisis, muted U.S. economic growth, uncertainty surrounding U.S. fiscal policy after 2012, and a slowdown in emerging economies. Equities were supported by solid U.S. corporate earnings, and actions taken by central banks around the world to stimulate economic growth. Bonds produced good returns over the year with high yield and emerging market issues outperforming other issues as income seeking investors continued favoring securities with attractive yields in the low interest rate environment. Higher market valuations and income, net of mutual fund distributions not reinvested, increased our assets under management by $70.1 billion in 2012. Our strong relative investment performance and brand awareness contributed significantly to attracting net inflows of $17.2 billion, primarily from third-party financial intermediaries. As a result, our assets under management increased $87.3 billion over the course of 2012 and ended the year at $576.8 billion.</w:t>
      </w:r>
    </w:p>
    <w:p>
      <w:pPr>
        <w:spacing w:after="0" w:line="16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firm’s long-term investment advisory results relative to our peers remain strong, with 78% of the Price funds across their share classes surpassing their comparable Lipper averages on a total return basis for the three-year period ended December 31, 2012, 84% outperforming for the five-year period, 78% outperforming for the 10-year period, and 74% outperforming for the one-year period. In addition, T. Rowe Price stock, bond and blended asset mutual funds that ended the quarter with an overall rating of four or five stars from Morningstar account for 76% of our rated Price funds’ assets under management.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assets under management (in billions) at December 31, 2012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Assets under management by investment portfolio</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900" w:type="dxa"/>
            <w:vAlign w:val="bottom"/>
            <w:gridSpan w:val="3"/>
          </w:tcPr>
          <w:p>
            <w:pPr>
              <w:ind w:left="140"/>
              <w:spacing w:after="0"/>
              <w:rPr>
                <w:sz w:val="20"/>
                <w:szCs w:val="20"/>
                <w:color w:val="auto"/>
              </w:rPr>
            </w:pPr>
            <w:r>
              <w:rPr>
                <w:rFonts w:ascii="Arial" w:cs="Arial" w:eastAsia="Arial" w:hAnsi="Arial"/>
                <w:sz w:val="18"/>
                <w:szCs w:val="18"/>
                <w:color w:val="auto"/>
              </w:rPr>
              <w:t>Sponsored mutual funds distributed in U.S.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346.9</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investment portfolios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229.9</w:t>
            </w:r>
          </w:p>
        </w:tc>
      </w:tr>
      <w:tr>
        <w:trPr>
          <w:trHeight w:val="237"/>
        </w:trPr>
        <w:tc>
          <w:tcPr>
            <w:tcW w:w="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576.8</w:t>
            </w:r>
          </w:p>
        </w:tc>
      </w:tr>
      <w:tr>
        <w:trPr>
          <w:trHeight w:val="67"/>
        </w:trPr>
        <w:tc>
          <w:tcPr>
            <w:tcW w:w="40" w:type="dxa"/>
            <w:vAlign w:val="bottom"/>
            <w:tcBorders>
              <w:bottom w:val="single" w:sz="8" w:color="CCEEFF"/>
            </w:tcBorders>
          </w:tcPr>
          <w:p>
            <w:pPr>
              <w:spacing w:after="0"/>
              <w:rPr>
                <w:sz w:val="5"/>
                <w:szCs w:val="5"/>
                <w:color w:val="auto"/>
              </w:rPr>
            </w:pPr>
          </w:p>
        </w:tc>
        <w:tc>
          <w:tcPr>
            <w:tcW w:w="29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84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156"/>
        </w:trPr>
        <w:tc>
          <w:tcPr>
            <w:tcW w:w="994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color w:val="auto"/>
              </w:rPr>
              <w:t>Assets under management by asset class</w:t>
            </w: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8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r>
      <w:tr>
        <w:trPr>
          <w:trHeight w:val="243"/>
        </w:trPr>
        <w:tc>
          <w:tcPr>
            <w:tcW w:w="40" w:type="dxa"/>
            <w:vAlign w:val="bottom"/>
          </w:tcPr>
          <w:p>
            <w:pPr>
              <w:spacing w:after="0"/>
              <w:rPr>
                <w:sz w:val="21"/>
                <w:szCs w:val="21"/>
                <w:color w:val="auto"/>
              </w:rPr>
            </w:pPr>
          </w:p>
        </w:tc>
        <w:tc>
          <w:tcPr>
            <w:tcW w:w="9900" w:type="dxa"/>
            <w:vAlign w:val="bottom"/>
            <w:gridSpan w:val="3"/>
          </w:tcPr>
          <w:p>
            <w:pPr>
              <w:ind w:left="140"/>
              <w:spacing w:after="0"/>
              <w:rPr>
                <w:sz w:val="20"/>
                <w:szCs w:val="20"/>
                <w:color w:val="auto"/>
              </w:rPr>
            </w:pPr>
            <w:r>
              <w:rPr>
                <w:rFonts w:ascii="Arial" w:cs="Arial" w:eastAsia="Arial" w:hAnsi="Arial"/>
                <w:sz w:val="18"/>
                <w:szCs w:val="18"/>
                <w:color w:val="auto"/>
              </w:rPr>
              <w:t>Stock and blended asset portfolios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421.1</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Fixed income portfolios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r>
      <w:tr>
        <w:trPr>
          <w:trHeight w:val="237"/>
        </w:trPr>
        <w:tc>
          <w:tcPr>
            <w:tcW w:w="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576.8</w:t>
            </w:r>
          </w:p>
        </w:tc>
      </w:tr>
      <w:tr>
        <w:trPr>
          <w:trHeight w:val="67"/>
        </w:trPr>
        <w:tc>
          <w:tcPr>
            <w:tcW w:w="40" w:type="dxa"/>
            <w:vAlign w:val="bottom"/>
            <w:tcBorders>
              <w:bottom w:val="single" w:sz="8" w:color="CCEEFF"/>
            </w:tcBorders>
          </w:tcPr>
          <w:p>
            <w:pPr>
              <w:spacing w:after="0"/>
              <w:rPr>
                <w:sz w:val="5"/>
                <w:szCs w:val="5"/>
                <w:color w:val="auto"/>
              </w:rPr>
            </w:pPr>
          </w:p>
        </w:tc>
        <w:tc>
          <w:tcPr>
            <w:tcW w:w="29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84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156"/>
        </w:trPr>
        <w:tc>
          <w:tcPr>
            <w:tcW w:w="994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color w:val="auto"/>
              </w:rPr>
              <w:t>Assets under management by account type</w:t>
            </w: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68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r>
      <w:tr>
        <w:trPr>
          <w:trHeight w:val="243"/>
        </w:trPr>
        <w:tc>
          <w:tcPr>
            <w:tcW w:w="40" w:type="dxa"/>
            <w:vAlign w:val="bottom"/>
          </w:tcPr>
          <w:p>
            <w:pPr>
              <w:spacing w:after="0"/>
              <w:rPr>
                <w:sz w:val="21"/>
                <w:szCs w:val="21"/>
                <w:color w:val="auto"/>
              </w:rPr>
            </w:pPr>
          </w:p>
        </w:tc>
        <w:tc>
          <w:tcPr>
            <w:tcW w:w="9900" w:type="dxa"/>
            <w:vAlign w:val="bottom"/>
            <w:gridSpan w:val="3"/>
          </w:tcPr>
          <w:p>
            <w:pPr>
              <w:ind w:left="140"/>
              <w:spacing w:after="0"/>
              <w:rPr>
                <w:sz w:val="20"/>
                <w:szCs w:val="20"/>
                <w:color w:val="auto"/>
              </w:rPr>
            </w:pPr>
            <w:r>
              <w:rPr>
                <w:rFonts w:ascii="Arial" w:cs="Arial" w:eastAsia="Arial" w:hAnsi="Arial"/>
                <w:sz w:val="18"/>
                <w:szCs w:val="18"/>
                <w:color w:val="auto"/>
              </w:rPr>
              <w:t>Retirement accounts and variable annuity portfolios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334.0</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242.8</w:t>
            </w:r>
          </w:p>
        </w:tc>
      </w:tr>
      <w:tr>
        <w:trPr>
          <w:trHeight w:val="237"/>
        </w:trPr>
        <w:tc>
          <w:tcPr>
            <w:tcW w:w="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576.8</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108" w:right="239" w:bottom="1440" w:gutter="0" w:footer="0" w:header="0"/>
        </w:sectPr>
      </w:pPr>
    </w:p>
    <w:bookmarkStart w:id="4" w:name="page5"/>
    <w:bookmarkEnd w:id="4"/>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Non-U.S. dollar denominated securities account for about $83.6 billion, or 14.5%, of our total assets under management at December 31, 2012.</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target-date retirement portfolios, which provide shareholders with single, diversified portfolios that invest in underlying Price funds and other investment portfolios, continue to be a significant source of our asset growth. Of the firm’s net inflows of $17.2 billion in 2012, $10.1 billion originated in these portfolios. Assets under management in these portfolios were $88.9 billion at December 31, 2012, including $80.2 billion in target-date retirement funds and $8.7 billion in target-date retirement trusts, and represent 15.4% of our managed assets at year-end.</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Six Price funds - Growth Stock, Equity Income, Mid-Cap Growth, Blue-Chip Growth, Value, New Income - accounted for 25% of our investment advisory revenues in 2012 and 21% of our assets under management at December 31, 2012. Our largest client account relationship apart from the T. Rowe Price funds is with a third-party financial intermediary that accounted for about 3% of our investment advisory revenues in 2012. Our international clients account for 9.5% of our total assets under management at December 31, 2012.</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the Background section of Management’s Discussion and Analysis of Financial Condition and Results of Operations in Item 7 of this report for more information on the 2012 market environment in which we operated.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PRICE FUNDS.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provide investment advisory, distribution and other administrative services to the Price funds under various agreements. Investment advisory services are provided to each fund under individual investment management agreements that grant the fund the right to use the 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must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 Independent directors and trustees of the Price funds regularly review our fee structures.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Advisory Services.</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Investment advisory revenues earned from the Price funds are determined daily based on the net assets managed in each fund. The advisory fee paid monthly by each of the Price funds is computed on a daily basis by multiplying a fund’s net assets by a specific fee rate. For the majority of the Price funds, the fee rate is equal to the sum of a tiered group fee rate plus an individual fund rate that is set based on the fund’s specific investment objective.</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effective tiered group rate is based on the combined net assets of nearly all of the Price funds. When combined net assets of these Price funds exceeds $300.0 billion, the weighted-average fee across pricing tiers is 30 basis points for the first $300.0 billion of net assets plus 28 basis points for net assets in excess of $300 billion. To the extent that the combined net assets of the funds included in the group rate calculation increase, the group charge component of a fund's advisory fee rate, and therefore the advisory fee rate paid by each fund, will decrease.</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individual fund rates are flat rates with the exception of the individual rate for the Blue Chip Growth, Equity Income, Growth Stock and Mid-Cap Growth funds. These funds have an effective tiered individual fund rate in which their base individual rate is reduced by about 15% on net assets in excess of $15 billion.</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total effective fee rates determined in the above manner for those stock and bond funds that incurred advisory fees of at least $6.0 million in 2012 varied from a low of 40 basis points for the Maryland Tax-Free Bond, Tax-Free Short-Intermediate and Short Term Bond funds to a high of 105 basis points for the Emerging Markets Stock, International Discovery, and Latin America funds.</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fee rate of several of the Price funds, including the Index and Summit funds as well as specific funds offered solely to institutional investors, do not include a group fee component but rather an individual fund fee or an all-inclusive fee, which covers both investment management and ordinary operating expenses. Each of the funds in the series of Spectrum Funds and in the series of target-date Retirement Funds that we offer invest in a diversified portfolio of other Price funds and have no separate investment advisory fee; however, they indirectly bear the expenses of the funds in which they invest.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125" w:right="239" w:bottom="1440" w:gutter="0" w:footer="0" w:header="0"/>
        </w:sectPr>
      </w:pPr>
    </w:p>
    <w:bookmarkStart w:id="5" w:name="page6"/>
    <w:bookmarkEnd w:id="5"/>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continued to voluntarily waive a portion of the advisory fees in 2012 of all of our money market funds and trusts in order to maintain a positive or zero yield for fund investors. Advisory fees waived in 2012 totaled $35.0 million, or about 1% of total investment advisory revenues earned in 2012, compared to $36.4 million in 2011. We expect that these fee waivers will continue in 2013.</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usually provide that a newly organized fund’s expenses will not exceed a specified percentage of its net assets during an initial operating period.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Generally, during the earlier portion of the period, we will waive advisory fees and absorb other mutual fund expenses in excess of these self-imposed limits.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latter portion of the period, we may recover some or all of the waived fees and absorbed costs, but such recovery is not assured.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Details of each fund’s fee arrangement are available in its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and Servicing.</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Each of the Price funds has a distinct investment objective that has been developed as part of our strategy to provide a broad, comprehensive selection of investing opportunities. The Investor class of all Price funds can be purchased in the U.S. on a no-load basis, without a sales commission or 12b-1 fee. No-load mutual fund shares offer investors a low-cost and relatively easy method of directly investing in a variety of stock and fixed income portfolios.</w:t>
      </w:r>
    </w:p>
    <w:p>
      <w:pPr>
        <w:spacing w:after="0" w:line="14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Certain of the Price funds also offer Advisor and R classes of shares that are distributed to mutual fund shareholders, and defined contribution retirement plans, respectively, through third-party financial intermediaries. These share classes incur 12b-1 fees of 25 and 50 basis points, respectively, for distribution, administration, and personal services. In addition, those Price funds offered to investors through variable annuity life insurance plans have a share class that incurs a 12b-1 fee of 25 basis points. Our subsidiary, T. Rowe Price Investment Services, is the principal distributor of the Price funds and enters into agreements with each intermediary. Payment of 12b-1 fees is made by each fund directly to the applicable intermediaries.</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accounting for 12b-1 fees, the applicable mutual fund share classes incur the related expense and we recognize the corresponding distribution and servicing fee revenue in our consolidated statements of income. We also recognize, as distribution and servicing costs in the consolidated statements of income, the corresponding payment of these fees from each fund to the third-party financial intermediaries. The fee revenue that we recognize from the funds and the expense that we recognize for the fees paid to third-party intermediaries are equal in amount and, therefore, do not impact our net operating income.</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Except as noted above for 12b-1 fees, we bear all advertising and promotion expenses associated with our distribution of the Price funds. These costs are recognized currently, and include advertising and direct mail communications to potential fund shareholders as well as substantial staff and communications capabilities to respond to investor inquiries. Marketing and promotional efforts are focused in print media, television, and the Internet. In addition, we direct considerable marketing efforts to defined contribution plans that invest in mutual funds. Advertising and promotion expenditures vary over time based on investor interest, market conditions, new and existing investment offerings, and the development and expansion of new marketing initiatives, including enhancements to our website.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Services.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provide advisory-related administrative services to the Price funds through our subsidiaries. T. Rowe Price Services provides mutual fund transfer agency and shareholder services, including maintenance of staff, facilities, and technology and other equipment to respond to inquiries from fund shareholders. T. Rowe Price Associates provides mutual fund accounting services, including maintenance of financial records, preparation of financial statements and reports, daily valuation of portfolio securities and computation of daily net asset values per share. T. Rowe Price Retirement Plan Services provides participant accounting, plan administration and transfer agent services for defined contribution retirement plans that invest in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125" w:right="259" w:bottom="1440" w:gutter="0" w:footer="0" w:header="0"/>
        </w:sectPr>
      </w:pPr>
    </w:p>
    <w:bookmarkStart w:id="6" w:name="page7"/>
    <w:bookmarkEnd w:id="6"/>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Price funds. Plan sponsors and participants compensate us for some services while the Price funds compensate us for maintaining and administering the individual participant accounts for those plans that invest in the funds.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trustee services are provided by another subsidiary, T. Rowe Price Trust Company. Through this Maryland-chartered limited-service trust company, we offer collective investment trust funds for investment by qualified retirement plans and serve as trustee for retirement plans and IRAs. T. Rowe Price Trust Company may not accept deposits and cannot make personal or commercial loans. Another subsidiary, T. Rowe Price Savings Bank, issues federally insured certificates of deposit.</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provide non-discretionary advisory planning services to fund shareholders and potential investors through our subsidiary T. Rowe Price Advisory Services. These services are limited in scope and include retirement planning services, such as saving for retirement, transitioning into retirement, and income in retirement. An investment portfolio evaluation service is an integral part of these services. An ongoing checkup service is also available to assist an investor in remaining on track to achieve their financial goals.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Price Fund Assets under Management.</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December 31, 2012, assets under our management in the Price funds aggregated $346.9 billion, an increase of 19.9% or $57.5 billion from the beginning of the year. The following table presents the net assets (in billions) of our largest Price funds (net assets in excess of $1.0 billion at December 31, 2012) at December 31 and the year each fund was started.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40" w:type="dxa"/>
            <w:vAlign w:val="bottom"/>
            <w:gridSpan w:val="2"/>
            <w:shd w:val="clear" w:color="auto" w:fill="CCEEFF"/>
          </w:tcPr>
          <w:p>
            <w:pPr>
              <w:ind w:left="8920"/>
              <w:spacing w:after="0"/>
              <w:rPr>
                <w:sz w:val="20"/>
                <w:szCs w:val="20"/>
                <w:color w:val="auto"/>
              </w:rPr>
            </w:pPr>
            <w:r>
              <w:rPr>
                <w:rFonts w:ascii="Arial" w:cs="Arial" w:eastAsia="Arial" w:hAnsi="Arial"/>
                <w:sz w:val="18"/>
                <w:szCs w:val="18"/>
                <w:color w:val="auto"/>
                <w:w w:val="99"/>
              </w:rPr>
              <w:t>2011</w:t>
            </w: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Stock and blended asset funds:</w:t>
            </w: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9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Balanced (1991)</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auto"/>
              </w:rPr>
              <w:t>Blue Chip Growth (1993)</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Appreciation (1986)</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auto"/>
              </w:rPr>
              <w:t>Dividend Growth (1992)</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Emerging Markets Stock (1995)</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auto"/>
              </w:rPr>
              <w:t>Equity Income (1985)</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Index 500 (1990)</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auto"/>
              </w:rPr>
              <w:t>Growth &amp; Income (1982)</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Growth Stock (1950)</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auto"/>
              </w:rPr>
              <w:t>Health Sciences (1995)</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Institutional Emerging Markets Equity (2002)</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auto"/>
              </w:rPr>
              <w:t>Institutional Large-Cap Growth (2001)</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Institutional Large-Cap Value (2000)</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auto"/>
              </w:rPr>
              <w:t>Institutional Mid-Cap Equity Growth (1996)</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International Discovery (1988)</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auto"/>
              </w:rPr>
              <w:t>International Growth &amp; Income (1998)</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International Stock (1980)</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auto"/>
              </w:rPr>
              <w:t>Latin America (1993)</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Media &amp; Telecommunications (1993)</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auto"/>
              </w:rPr>
              <w:t>Mid-Cap Growth (1992)</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Mid-Cap Value (1996)</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auto"/>
              </w:rPr>
              <w:t>New America Growth (1985)</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New Asia (1990)</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auto"/>
              </w:rPr>
              <w:t>New Era (1969)</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New Horizons (1960)</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auto"/>
              </w:rPr>
              <w:t>Overseas Stock (2006)</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Personal Strategy Balanced (1994)</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9340" w:type="dxa"/>
            <w:vAlign w:val="bottom"/>
            <w:gridSpan w:val="2"/>
          </w:tcPr>
          <w:p>
            <w:pPr>
              <w:ind w:left="180"/>
              <w:spacing w:after="0"/>
              <w:rPr>
                <w:sz w:val="20"/>
                <w:szCs w:val="20"/>
                <w:color w:val="auto"/>
              </w:rPr>
            </w:pPr>
            <w:r>
              <w:rPr>
                <w:rFonts w:ascii="Arial" w:cs="Arial" w:eastAsia="Arial" w:hAnsi="Arial"/>
                <w:sz w:val="18"/>
                <w:szCs w:val="18"/>
                <w:color w:val="auto"/>
              </w:rPr>
              <w:t>Personal Strategy Growth (1994)</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604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480" w:type="dxa"/>
            <w:vAlign w:val="bottom"/>
          </w:tcPr>
          <w:p>
            <w:pPr>
              <w:spacing w:after="0"/>
              <w:rPr>
                <w:sz w:val="17"/>
                <w:szCs w:val="17"/>
                <w:color w:val="auto"/>
              </w:rPr>
            </w:pPr>
          </w:p>
        </w:tc>
      </w:tr>
      <w:tr>
        <w:trPr>
          <w:trHeight w:val="399"/>
        </w:trPr>
        <w:tc>
          <w:tcPr>
            <w:tcW w:w="3900" w:type="dxa"/>
            <w:vAlign w:val="bottom"/>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Assets (2010)</w:t>
            </w:r>
          </w:p>
        </w:tc>
        <w:tc>
          <w:tcPr>
            <w:tcW w:w="59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Real Estate (1997)</w:t>
            </w:r>
          </w:p>
        </w:tc>
        <w:tc>
          <w:tcPr>
            <w:tcW w:w="5940" w:type="dxa"/>
            <w:vAlign w:val="bottom"/>
            <w:gridSpan w:val="3"/>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3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Science &amp; Technology (1987)</w:t>
            </w:r>
          </w:p>
        </w:tc>
        <w:tc>
          <w:tcPr>
            <w:tcW w:w="59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Small-Cap Stock (1992)</w:t>
            </w:r>
          </w:p>
        </w:tc>
        <w:tc>
          <w:tcPr>
            <w:tcW w:w="5940" w:type="dxa"/>
            <w:vAlign w:val="bottom"/>
            <w:gridSpan w:val="3"/>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3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Small-Cap Value (1988)</w:t>
            </w:r>
          </w:p>
        </w:tc>
        <w:tc>
          <w:tcPr>
            <w:tcW w:w="59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Value (1994)</w:t>
            </w:r>
          </w:p>
        </w:tc>
        <w:tc>
          <w:tcPr>
            <w:tcW w:w="5940" w:type="dxa"/>
            <w:vAlign w:val="bottom"/>
            <w:gridSpan w:val="3"/>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3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stock and blended asset funds</w:t>
            </w:r>
          </w:p>
        </w:tc>
        <w:tc>
          <w:tcPr>
            <w:tcW w:w="4440" w:type="dxa"/>
            <w:vAlign w:val="bottom"/>
            <w:tcBorders>
              <w:bottom w:val="single" w:sz="8" w:color="CCEEFF"/>
            </w:tcBorders>
            <w:gridSpan w:val="2"/>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37"/>
        </w:trPr>
        <w:tc>
          <w:tcPr>
            <w:tcW w:w="3900" w:type="dxa"/>
            <w:vAlign w:val="bottom"/>
          </w:tcPr>
          <w:p>
            <w:pPr>
              <w:spacing w:after="0"/>
              <w:rPr>
                <w:sz w:val="20"/>
                <w:szCs w:val="20"/>
                <w:color w:val="auto"/>
              </w:rPr>
            </w:pPr>
          </w:p>
        </w:tc>
        <w:tc>
          <w:tcPr>
            <w:tcW w:w="4440" w:type="dxa"/>
            <w:vAlign w:val="bottom"/>
            <w:gridSpan w:val="2"/>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256.9</w:t>
            </w:r>
          </w:p>
        </w:tc>
      </w:tr>
      <w:tr>
        <w:trPr>
          <w:trHeight w:val="27"/>
        </w:trPr>
        <w:tc>
          <w:tcPr>
            <w:tcW w:w="39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and money market funds:</w:t>
            </w:r>
          </w:p>
        </w:tc>
        <w:tc>
          <w:tcPr>
            <w:tcW w:w="128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Emerging Markets Bond (1994)</w:t>
            </w:r>
          </w:p>
        </w:tc>
        <w:tc>
          <w:tcPr>
            <w:tcW w:w="5940" w:type="dxa"/>
            <w:vAlign w:val="bottom"/>
            <w:gridSpan w:val="3"/>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3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GNMA (1985)</w:t>
            </w:r>
          </w:p>
        </w:tc>
        <w:tc>
          <w:tcPr>
            <w:tcW w:w="59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High Yield (1984)</w:t>
            </w:r>
          </w:p>
        </w:tc>
        <w:tc>
          <w:tcPr>
            <w:tcW w:w="5940" w:type="dxa"/>
            <w:vAlign w:val="bottom"/>
            <w:gridSpan w:val="3"/>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3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Inflation Focused Bond (2006)</w:t>
            </w:r>
          </w:p>
        </w:tc>
        <w:tc>
          <w:tcPr>
            <w:tcW w:w="59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Institutional Floating Rate (2008)</w:t>
            </w:r>
          </w:p>
        </w:tc>
        <w:tc>
          <w:tcPr>
            <w:tcW w:w="5940" w:type="dxa"/>
            <w:vAlign w:val="bottom"/>
            <w:gridSpan w:val="3"/>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3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Institutional High Yield (2002)</w:t>
            </w:r>
          </w:p>
        </w:tc>
        <w:tc>
          <w:tcPr>
            <w:tcW w:w="59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International Bond (1986)</w:t>
            </w:r>
          </w:p>
        </w:tc>
        <w:tc>
          <w:tcPr>
            <w:tcW w:w="5940" w:type="dxa"/>
            <w:vAlign w:val="bottom"/>
            <w:gridSpan w:val="3"/>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3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Maryland Tax-Free Bond (1987)</w:t>
            </w:r>
          </w:p>
        </w:tc>
        <w:tc>
          <w:tcPr>
            <w:tcW w:w="59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New Income (1973)</w:t>
            </w:r>
          </w:p>
        </w:tc>
        <w:tc>
          <w:tcPr>
            <w:tcW w:w="5940" w:type="dxa"/>
            <w:vAlign w:val="bottom"/>
            <w:gridSpan w:val="3"/>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3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Prime Reserve (1976)</w:t>
            </w:r>
          </w:p>
        </w:tc>
        <w:tc>
          <w:tcPr>
            <w:tcW w:w="59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Short-Term Bond (1984)</w:t>
            </w:r>
          </w:p>
        </w:tc>
        <w:tc>
          <w:tcPr>
            <w:tcW w:w="5940" w:type="dxa"/>
            <w:vAlign w:val="bottom"/>
            <w:gridSpan w:val="3"/>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3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Summit Cash Reserves (1993)</w:t>
            </w:r>
          </w:p>
        </w:tc>
        <w:tc>
          <w:tcPr>
            <w:tcW w:w="59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Summit Municipal Intermediate (1993)</w:t>
            </w:r>
          </w:p>
        </w:tc>
        <w:tc>
          <w:tcPr>
            <w:tcW w:w="5940" w:type="dxa"/>
            <w:vAlign w:val="bottom"/>
            <w:gridSpan w:val="3"/>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3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Tax-Free High Yield (1985)</w:t>
            </w:r>
          </w:p>
        </w:tc>
        <w:tc>
          <w:tcPr>
            <w:tcW w:w="59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Tax-Free Income (1976)</w:t>
            </w:r>
          </w:p>
        </w:tc>
        <w:tc>
          <w:tcPr>
            <w:tcW w:w="5940" w:type="dxa"/>
            <w:vAlign w:val="bottom"/>
            <w:gridSpan w:val="3"/>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3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Tax-Free Short-Intermediate (1983)</w:t>
            </w:r>
          </w:p>
        </w:tc>
        <w:tc>
          <w:tcPr>
            <w:tcW w:w="59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U.S. Treasury Money (1982)</w:t>
            </w:r>
          </w:p>
        </w:tc>
        <w:tc>
          <w:tcPr>
            <w:tcW w:w="5940" w:type="dxa"/>
            <w:vAlign w:val="bottom"/>
            <w:gridSpan w:val="3"/>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3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Virginia Tax-Free Bond (1991)</w:t>
            </w:r>
          </w:p>
        </w:tc>
        <w:tc>
          <w:tcPr>
            <w:tcW w:w="59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Other bond and money market funds</w:t>
            </w:r>
          </w:p>
        </w:tc>
        <w:tc>
          <w:tcPr>
            <w:tcW w:w="5940" w:type="dxa"/>
            <w:vAlign w:val="bottom"/>
            <w:gridSpan w:val="3"/>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39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37"/>
        </w:trPr>
        <w:tc>
          <w:tcPr>
            <w:tcW w:w="3900" w:type="dxa"/>
            <w:vAlign w:val="bottom"/>
          </w:tcPr>
          <w:p>
            <w:pPr>
              <w:spacing w:after="0"/>
              <w:rPr>
                <w:sz w:val="20"/>
                <w:szCs w:val="20"/>
                <w:color w:val="auto"/>
              </w:rPr>
            </w:pPr>
          </w:p>
        </w:tc>
        <w:tc>
          <w:tcPr>
            <w:tcW w:w="4440" w:type="dxa"/>
            <w:vAlign w:val="bottom"/>
            <w:gridSpan w:val="2"/>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346.9</w:t>
            </w:r>
          </w:p>
        </w:tc>
      </w:tr>
      <w:tr>
        <w:trPr>
          <w:trHeight w:val="27"/>
        </w:trPr>
        <w:tc>
          <w:tcPr>
            <w:tcW w:w="3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Spectrum and target-date retirement fund-of-funds series are not presented in the table above because their assets are already included in their underlying fund holdings.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operating subsidiaries invest in many of the T. Rowe Price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 PORTFOLIOS.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managed $229.9 billion at December 31, 2012, in other client investment portfolios, up $29.8 billion from the beginning of the year. We provide investment advisory services to these clients through our subsidiaries on a separately managed or subadvised account basis and through sponsored investment portfolios, including collective investment trusts, Luxembourg-based funds offered to investors outside the U.S. and portfolios offered through variable annuity life insurance plans in the U.S. At December 31, these portfolios included the following investment assets: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108" w:right="239" w:bottom="1440" w:gutter="0" w:footer="0" w:header="0"/>
        </w:sectPr>
      </w:pPr>
    </w:p>
    <w:bookmarkStart w:id="8" w:name="page9"/>
    <w:bookmarkEnd w:id="8"/>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U.S. stocks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114.9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140.5</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stocks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Stable value assets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Bonds and money market securities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37"/>
        </w:trPr>
        <w:tc>
          <w:tcPr>
            <w:tcW w:w="834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200.1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229.9</w:t>
            </w: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charge fees for investment management to these clients based on, among other things, the specific investment services to be provided. Our standard form of investment advisory agreement for client accounts provides that the agreement may be terminated at any time and that any unearned fees paid in advance will be refunded.</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fees for managing these investment portfolios are computed using the value of assets under our management at a contracted annual fee rate. The value of assets under management billed is generally based on daily valuations, month-end average valuations, or end of billing period valuations. In 2012, approximately 59% of advisory fees were recognized based on daily portfolio valuations, 22% were based on month-end averages, and 18% were based on end of billing period valuations.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T. Rowe Price International Ltd, T. Rowe Price (Canada), T. Rowe Price Hong Kong Limited,</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 Rowe Price Singapore Private Ltd., and T. Rowe Price Advisory Services are registered with the Securities and Exchange Commission (SEC) as investment advisers under the Investment Advisers Act of 1940. T. Rowe Price International Ltd is also regulated by the Financial Services Authority (FSA) in the United Kingdom and, in certain cases, by other foreign regulators. The Securities and Futures Commission (SFC) and Monetary Authority of Singapore (MAS) also regulate T. Rowe Price Hong Kong Limited and T. Rowe Price Singapore Private Ltd., respectively. Our subsidiaries providing transfer agent services are registered under the Securities Exchange Act of 1934, and our trust company is regulated by the State of Maryland, Commissioner of Financial Regulation. T. Rowe Price (Canada) is also registered with several of the provincial securities commissions in Canada.</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 Rowe Price Savings Bank is regulated by the Office of the Comptroller of the Currency, U.S. Department of the Treasury. In addition, the Federal Reserve is now responsible for supervision of T. Rowe Price Group and T. Rowe Price Associates, as savings and loan holding companies, as well as the other T. Rowe Price non-depository subsidiaries.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 Rowe Price Investment Services is a registered broker-dealer and member of the Financial Industry Regulatory Authority (FINRA) and the Securities Investor Protection Corporation. We provide introducing brokerage services through this subsidiary primarily to complement the other services provided to shareholders of the Price funds. Pershing, a third-party clearing broker and affiliate of the Bank of New York, maintains our brokerage’s customer accounts and clears all transactions.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All aspects of our business are subject to extensive federal, state and foreign laws and regulations. These laws and regulations are primarily intended to benefit or protect our clients and the Price funds'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international regulatory agencies. Each of our subsidiaries’ net capital, as defined, meets or exceeds all minimum requirements.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further discussion of the potential impact of current or proposed legal or regulatory requirements, please see the Legal and Regulatory risk factors included in Item 1A.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mutual fund companies, and other financial institutions in all aspects of our business and in every country in which we offer our advisory services. Many of these financial institutions have substantially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125" w:right="239" w:bottom="1440" w:gutter="0" w:footer="0" w:header="0"/>
        </w:sectPr>
      </w:pPr>
    </w:p>
    <w:bookmarkStart w:id="9" w:name="page10"/>
    <w:bookmarkEnd w:id="9"/>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greater resources than we do. We compete with other providers of investment advisory services primarily based on the availability and objectives of the investment portfolios offered, investment performance, and the scope and quality of investment advice and other client services. In order to maintain and enhance our competitive position, we may review acquisition and venture opportunities and, if appropriate, engage in discussions and negotiations that could lead to the acquisition of a new equity or other financial relationship.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December 31, 2012, we employed 5,372 associates, up 2% from the 5,255 associates employed at the end of 2011. We may add additional temporary and part-time personnel to our staff from time to time to meet periodic and special project demands, primarily for technology and mutual fund administrative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AVAILABLE INFORMATION.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Internet address is www.troweprice.com. At our Investor Relations website, http://trow.client.shareholder.com, we make available free of charge a variety of information for investors. Our goal is to maintain the Investor Relations website as a portal through which investors can easily find or navigate to pertinent information about us, including:</w:t>
      </w:r>
    </w:p>
    <w:p>
      <w:pPr>
        <w:spacing w:after="0" w:line="181" w:lineRule="exact"/>
        <w:rPr>
          <w:sz w:val="20"/>
          <w:szCs w:val="20"/>
          <w:color w:val="auto"/>
        </w:rPr>
      </w:pPr>
    </w:p>
    <w:p>
      <w:pPr>
        <w:ind w:left="500" w:right="540" w:hanging="330"/>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annual report on Form 10-K, quarterly reports on Form 10-Q, current reports on Form 8-K, and any amendments to those reports, as soon as reasonably practicable after we electronically file that material with or furnish it to the SEC;</w:t>
      </w:r>
    </w:p>
    <w:p>
      <w:pPr>
        <w:spacing w:after="0" w:line="170" w:lineRule="exact"/>
        <w:rPr>
          <w:rFonts w:ascii="Arial" w:cs="Arial" w:eastAsia="Arial" w:hAnsi="Arial"/>
          <w:sz w:val="18"/>
          <w:szCs w:val="18"/>
          <w:color w:val="auto"/>
        </w:rPr>
      </w:pPr>
    </w:p>
    <w:p>
      <w:pPr>
        <w:ind w:left="500" w:right="460" w:hanging="330"/>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statement information from our periodic SEC filings in the form of XBRL data files that may be used to facilitate computer-assisted investor analysis;</w:t>
      </w:r>
    </w:p>
    <w:p>
      <w:pPr>
        <w:spacing w:after="0" w:line="170" w:lineRule="exact"/>
        <w:rPr>
          <w:rFonts w:ascii="Arial" w:cs="Arial" w:eastAsia="Arial" w:hAnsi="Arial"/>
          <w:sz w:val="18"/>
          <w:szCs w:val="18"/>
          <w:color w:val="auto"/>
        </w:rPr>
      </w:pPr>
    </w:p>
    <w:p>
      <w:pPr>
        <w:ind w:left="500" w:right="440" w:hanging="330"/>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corporate governance information including our charter, bylaws, governance guidelines, committee charters, code of ethics and conduct and other governance-related policies;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opportunities to sign up for email alerts and RSS feeds to have information pushed in real time.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found on our website is not part of this or any other report we file with, or furnish to,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OUR BUSINESS AND THE FINANCIAL SERVICES INDUSTRY.</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Our revenues are based on the market value and composition of the assets under our management, all of which are subject to fluctuation caused by factors outside of our control.</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derive our revenues primarily from investment advisory services provided by our subsidiaries to individual and institutional investors in the T. Rowe Price mutual funds distributed in the U.S. and other investment portfolios. Our investment advisory fees typically are calculated as a percentage of the market value of the assets under our management. We generally earn higher fees on assets invested in our equity funds and equity investment portfolios than we earn on assets invested in our fixed income funds and portfolios. Among equity investments, there is a significant variation in fees earned from index-based investments at the low end and emerging markets funds and portfolios at the high end. Fees also vary across the fixed income funds and portfolios, though not as widely as equity investments, with stable value portfolios and money market securities at the lower end and non-U.S. dollar denominated bonds at the high end. As a result, our revenues are dependent on the value and composition of the assets under our management, all of which are subject to substantial fluctuation due to many factors, including:</w:t>
      </w:r>
    </w:p>
    <w:p>
      <w:pPr>
        <w:spacing w:after="0" w:line="192" w:lineRule="exact"/>
        <w:rPr>
          <w:sz w:val="20"/>
          <w:szCs w:val="20"/>
          <w:color w:val="auto"/>
        </w:rPr>
      </w:pPr>
    </w:p>
    <w:p>
      <w:pPr>
        <w:ind w:left="5480" w:right="1040" w:hanging="5350"/>
        <w:spacing w:after="0" w:line="559" w:lineRule="auto"/>
        <w:tabs>
          <w:tab w:leader="none" w:pos="46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Investor Mobility. Our investors generally may withdraw their funds at any time, on very short notice and without any significant penalty. Page 9</w:t>
      </w:r>
    </w:p>
    <w:p>
      <w:pPr>
        <w:sectPr>
          <w:pgSz w:w="11900" w:h="16838" w:orient="portrait"/>
          <w:cols w:equalWidth="0" w:num="1">
            <w:col w:w="11420"/>
          </w:cols>
          <w:pgMar w:left="240" w:top="125" w:right="239" w:bottom="1440" w:gutter="0" w:footer="0" w:header="0"/>
        </w:sectPr>
      </w:pPr>
    </w:p>
    <w:bookmarkStart w:id="10" w:name="page11"/>
    <w:bookmarkEnd w:id="10"/>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460" w:right="140" w:hanging="330"/>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Market Declines. A downturn in stock or bond prices would cause the value of assets under our management to decrease, and may also cause investors to withdraw their investments, thereby further decreasing the level of assets under our management.</w:t>
      </w:r>
    </w:p>
    <w:p>
      <w:pPr>
        <w:spacing w:after="0" w:line="62" w:lineRule="exact"/>
        <w:rPr>
          <w:rFonts w:ascii="Arial" w:cs="Arial" w:eastAsia="Arial" w:hAnsi="Arial"/>
          <w:sz w:val="18"/>
          <w:szCs w:val="18"/>
          <w:color w:val="auto"/>
        </w:rPr>
      </w:pPr>
    </w:p>
    <w:p>
      <w:pPr>
        <w:ind w:left="460" w:right="300" w:hanging="330"/>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Performance. If the investment performance of our managed portfolios is less than that of our competitors or applicable third-party benchmarks, we could lose existing and potential customers and suffer a decrease in assets under management. Institutional investors in particular consider changing investment advisers based upon poor relative investment performance. Individual investors in contrast are more likely to react to poor absolute investment performance.</w:t>
      </w:r>
    </w:p>
    <w:p>
      <w:pPr>
        <w:spacing w:after="0" w:line="78" w:lineRule="exact"/>
        <w:rPr>
          <w:rFonts w:ascii="Arial" w:cs="Arial" w:eastAsia="Arial" w:hAnsi="Arial"/>
          <w:sz w:val="18"/>
          <w:szCs w:val="18"/>
          <w:color w:val="auto"/>
        </w:rPr>
      </w:pPr>
    </w:p>
    <w:p>
      <w:pPr>
        <w:ind w:left="460" w:right="120" w:hanging="330"/>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Trends. Changes in investing trends and, in particular, retirement savings trends, including the prevalence of defined contribution retirement plans, may reduce interest in our funds and portfolios and may alter our mix of assets under management.</w:t>
      </w:r>
    </w:p>
    <w:p>
      <w:pPr>
        <w:spacing w:after="0" w:line="62" w:lineRule="exact"/>
        <w:rPr>
          <w:rFonts w:ascii="Arial" w:cs="Arial" w:eastAsia="Arial" w:hAnsi="Arial"/>
          <w:sz w:val="18"/>
          <w:szCs w:val="18"/>
          <w:color w:val="auto"/>
        </w:rPr>
      </w:pPr>
    </w:p>
    <w:p>
      <w:pPr>
        <w:ind w:left="460" w:right="320" w:hanging="330"/>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Changes. Investor interest in and the valuation of our fixed income investment funds and portfolios are affected by changes in interest rates.</w:t>
      </w:r>
    </w:p>
    <w:p>
      <w:pPr>
        <w:spacing w:after="0" w:line="62" w:lineRule="exact"/>
        <w:rPr>
          <w:rFonts w:ascii="Arial" w:cs="Arial" w:eastAsia="Arial" w:hAnsi="Arial"/>
          <w:sz w:val="18"/>
          <w:szCs w:val="18"/>
          <w:color w:val="auto"/>
        </w:rPr>
      </w:pPr>
    </w:p>
    <w:p>
      <w:pPr>
        <w:ind w:left="460" w:right="80" w:hanging="330"/>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Exposure. Our managed portfolios may have significant investments in international markets that are subject to risk of loss from political or diplomatic developments, government policies, civil unrest, currency fluctuations and changes in legislation related to foreign ownership. International markets, particularly emerging markets, which are often smaller, may not have the liquidity of established markets, may lack established regulations and may experience significantly more volatility than established markets.</w:t>
      </w:r>
    </w:p>
    <w:p>
      <w:pPr>
        <w:spacing w:after="0" w:line="78" w:lineRule="exact"/>
        <w:rPr>
          <w:rFonts w:ascii="Arial" w:cs="Arial" w:eastAsia="Arial" w:hAnsi="Arial"/>
          <w:sz w:val="18"/>
          <w:szCs w:val="18"/>
          <w:color w:val="auto"/>
        </w:rPr>
      </w:pPr>
    </w:p>
    <w:p>
      <w:pPr>
        <w:ind w:left="460" w:right="380" w:hanging="330"/>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Regulation Changes. Changes in the status of tax deferred retirement plan investments and tax-free municipal bonds, the capital gains and corporate dividend tax rates, and other individual and corporate tax rates and regulations could adversely affect investor behavior and may cause investors to view certain investment offerings less favorably and withdraw their investment assets, thereby decreasing the level of assets under our management.</w:t>
      </w:r>
    </w:p>
    <w:p>
      <w:pPr>
        <w:spacing w:after="0" w:line="18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 decrease in the value of assets under our management, or an adverse change in their composition, could have a material adverse effect on our investment advisory fees and revenues. For any period in which revenues decline, net income and operating margins will likely decline by a greater proportion because certain expenses will be fixed over that finite period and may not decrease in proportion to the decrease in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performance of our money market funds is impacted by the historically low interest rate environment.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money market funds performance or yield is dependent on the income earned from the underlying securities exceeding the operating costs of the fund. When interest rates are at the historic lows that presently exist, the operating costs of the funds will become a greater portion of the portfolio's income, thereby reducing the yield of the funds to very low levels. Since the second half of 2009 and presently, such an environment has led us to voluntarily waive a portion of our advisory fee earned on our money market funds in order to maintain yields at or above 0% for fund investors. Such actions reduce our advisory fee income and net income. The actual amount of fees waived is dependent on a number of variables including, among others, changes in the net assets held by our money market funds, changes in market yields, changes in the expense levels of the funds, and our willingness to voluntarily continue such fee waivers. Also, bank deposits may become more attractive to investors and money market funds could experience significant redemptions, which could decrease our revenues and net income. See our discussion under Results of Operations in our Management Discussion and Analysis related to fees waived in the current period, management's expectation as to future fee waivers and the net cash flows of our money market funds.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 significant majority of our revenues are based on contracts with the Price funds that are subject to termination without cause and on short notice.</w:t>
      </w:r>
    </w:p>
    <w:p>
      <w:pPr>
        <w:spacing w:after="0" w:line="2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provide investment advisory, distribution and other administrative services to the Price funds under various agreements. Investment advisory services are provided to each Price fund under individual investment management agreements. The board of each Price fund must annually approve the terms of the investment management and service agreements and can terminate the agreement upon 60-days notice. If a Price fund seeks to lower the fees that we receive or terminate its contract with us, we would experience a decline in fees earned from the Price funds, which could have a material adverse effect on our revenues and net income.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We operate in an intensely competitive industry, which could cause a loss of customers and their assets, thereby reducing our assets under management and our revenues and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competition in all aspects of our business from:</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80"/>
          </w:cols>
          <w:pgMar w:left="240" w:top="125" w:right="279" w:bottom="1440" w:gutter="0" w:footer="0" w:header="0"/>
        </w:sectPr>
      </w:pPr>
    </w:p>
    <w:bookmarkStart w:id="11" w:name="page12"/>
    <w:bookmarkEnd w:id="11"/>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management firms,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mutual fund companies,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banks and thrift institutions,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hedge funds,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exchange traded funds,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brokerage and investment banking firms,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financial institutions including multinational firms and subsidiaries of diversified conglomerates.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Many of these financial institutions have substantially greater resources than we do and may offer a broader range of financial products across more markets. Some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portfolios offered, investment performance, and the scope and quality of investment advice and other client services. Some institutions have proprietary products and distribution channels that make it more difficult for us to compete with them. Most of our investment portfolios are available without sales or redemption fees, which means that investors may be more willing to transfer assets to competing funds.</w:t>
      </w:r>
    </w:p>
    <w:p>
      <w:pPr>
        <w:spacing w:after="0" w:line="178"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If current or potential customers decide to use one of our competitors, we could face a significant decline in market share, assets under management, revenues, and net income. In the event that we were to decide to reduce the fees we charge for investment advisory services in response to competitive pressures, revenues and operating margins could be adversely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success depends on our key personnel and our financial performance could be negatively affected by the loss of their services.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on our highly skilled personnel, including our portfolio and fund managers, investment analysts, management and client relationship personnel, and corporate officers, many of whom have specialized expertise and extensive experience in our industry. Strong financial services professionals are in demand, and we face significant competition for highly qualified employees. Our key employees do not have employment contracts, and generally can terminate their employment with us at any time. We cannot assure that we will be able to retain or replace key personnel.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Our operations are complex and a failure to perform operational tasks or the misrepresentation of products and services could have an adverse effect on our reputation and subject us to regulatory sanctions, fines, penalties, litigation, and a decrease in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risks include:</w:t>
      </w:r>
    </w:p>
    <w:p>
      <w:pPr>
        <w:spacing w:after="0" w:line="225" w:lineRule="exact"/>
        <w:rPr>
          <w:sz w:val="20"/>
          <w:szCs w:val="20"/>
          <w:color w:val="auto"/>
        </w:rPr>
      </w:pPr>
    </w:p>
    <w:p>
      <w:pPr>
        <w:ind w:left="460" w:right="480" w:hanging="330"/>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properly perform fund or portfolio recordkeeping responsibilities, including portfolio accounting, security pricing, corporate actions, investment restrictions compliance, daily net asset value computations, account reconciliations, and required distributions to fund shareholders to comply with tax regulations;</w:t>
      </w:r>
    </w:p>
    <w:p>
      <w:pPr>
        <w:spacing w:after="0" w:line="73" w:lineRule="exact"/>
        <w:rPr>
          <w:rFonts w:ascii="Arial" w:cs="Arial" w:eastAsia="Arial" w:hAnsi="Arial"/>
          <w:sz w:val="18"/>
          <w:szCs w:val="18"/>
          <w:color w:val="auto"/>
        </w:rPr>
      </w:pPr>
    </w:p>
    <w:p>
      <w:pPr>
        <w:ind w:left="460" w:right="440" w:hanging="330"/>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properly perform transfer agent and participant recordkeeping responsibilities, including transaction processing, supervision of staff, tax reporting and record retention; and failure to identify excessive trading in mutual funds by our customers or plan participants; and</w:t>
      </w:r>
    </w:p>
    <w:p>
      <w:pPr>
        <w:spacing w:after="0" w:line="38" w:lineRule="exact"/>
        <w:rPr>
          <w:rFonts w:ascii="Arial" w:cs="Arial" w:eastAsia="Arial" w:hAnsi="Arial"/>
          <w:sz w:val="17"/>
          <w:szCs w:val="17"/>
          <w:color w:val="auto"/>
        </w:rPr>
      </w:pPr>
    </w:p>
    <w:p>
      <w:pPr>
        <w:jc w:val="both"/>
        <w:ind w:left="460" w:right="40" w:hanging="330"/>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and marketing risks, including the intentional or unintentional misrepresentation of products and services in advertising materials, public relations information, or other external communications, and failure to properly calculate and present investment performance data accurately and in accordance with established guidelines and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Any damage to our reputation could harm our business and lead to a loss of revenues and net income.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00"/>
          </w:cols>
          <w:pgMar w:left="240" w:top="125" w:right="259" w:bottom="1440" w:gutter="0" w:footer="0" w:header="0"/>
        </w:sectPr>
      </w:pPr>
    </w:p>
    <w:bookmarkStart w:id="12" w:name="page13"/>
    <w:bookmarkEnd w:id="12"/>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spent many years developing our reputation for integrity, strong investment performance, and superior client services. Our brand is a valuable intangible asset, but it is vulnerable to a variety of threats that can be difficult or impossible to control, and costly or even impossible to remediate. Regulatory inquiries and rumors can tarnish or substantially damage our reputation, even if they are satisfactorily addressed. Any damage to our brand could impede our ability to attract and retain customers and key personnel, and reduce the amount of assets under our management, any of which could have a material adverse effect on our revenues and net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expenses are subject to significant fluctuations that could materially decrease net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225" w:lineRule="exact"/>
        <w:rPr>
          <w:sz w:val="20"/>
          <w:szCs w:val="20"/>
          <w:color w:val="auto"/>
        </w:rPr>
      </w:pPr>
    </w:p>
    <w:p>
      <w:pPr>
        <w:ind w:left="460" w:right="400" w:hanging="330"/>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level of our advertising expenses, including the costs of expanding investment advisory services to investors outside of the U.S. and further penetrating U.S. distribution channels;</w:t>
      </w:r>
    </w:p>
    <w:p>
      <w:pPr>
        <w:spacing w:after="0" w:line="62" w:lineRule="exact"/>
        <w:rPr>
          <w:rFonts w:ascii="Arial" w:cs="Arial" w:eastAsia="Arial" w:hAnsi="Arial"/>
          <w:sz w:val="18"/>
          <w:szCs w:val="18"/>
          <w:color w:val="auto"/>
        </w:rPr>
      </w:pPr>
    </w:p>
    <w:p>
      <w:pPr>
        <w:ind w:left="460" w:right="60" w:hanging="330"/>
        <w:spacing w:after="0" w:line="34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variations in the level of total compensation expense due to, among other things, bonuses, stock option grants and other stock-based awards, changes in employee benefit costs due to regulatory or plan design changes, changes in our employee count and mix, competitive factors, and inflation;</w:t>
      </w:r>
    </w:p>
    <w:p>
      <w:pPr>
        <w:spacing w:after="0" w:line="15" w:lineRule="exact"/>
        <w:rPr>
          <w:rFonts w:ascii="Arial" w:cs="Arial" w:eastAsia="Arial" w:hAnsi="Arial"/>
          <w:sz w:val="16"/>
          <w:szCs w:val="16"/>
          <w:color w:val="auto"/>
        </w:rPr>
      </w:pPr>
    </w:p>
    <w:p>
      <w:pPr>
        <w:ind w:left="460" w:hanging="33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future impairment of investments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future impairment of goodwill that is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117" w:lineRule="exact"/>
        <w:rPr>
          <w:rFonts w:ascii="Arial" w:cs="Arial" w:eastAsia="Arial" w:hAnsi="Arial"/>
          <w:sz w:val="18"/>
          <w:szCs w:val="18"/>
          <w:color w:val="auto"/>
        </w:rPr>
      </w:pPr>
    </w:p>
    <w:p>
      <w:pPr>
        <w:ind w:left="460" w:right="640" w:hanging="330"/>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costs incurred to protect investor accounts and client goodwill;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of third-party services such as communications, power, and mutual fund transfer agent and accounting systems.</w:t>
      </w:r>
    </w:p>
    <w:p>
      <w:pPr>
        <w:spacing w:after="0" w:line="239"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Under our agreements with the T. Rowe Price mutual funds, we charge the mutual funds certain administrative fees and related expenses based upon contracted terms. If we fail to accurately estimate our underlying expense levels or otherwise are required to incur expenses relating to the mutual funds that are not otherwise paid by the funds, our operating results will be adversely affected. While we are under no obligation to provide financial support to any of our sponsored investment products, any financial support provided would reduce capital available for other purposes and may have an adverse effect on revenues and net income</w:t>
      </w:r>
      <w:r>
        <w:rPr>
          <w:rFonts w:ascii="Arial" w:cs="Arial" w:eastAsia="Arial" w:hAnsi="Arial"/>
          <w:sz w:val="19"/>
          <w:szCs w:val="19"/>
          <w:color w:val="auto"/>
        </w:rPr>
        <w:t>.</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We have contracted with third-party financial intermediaries that distribute our investment portfolios in the U.S. and abroad and such relationships may not be available or profitable to us in the future.</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These contracted third-party intermediaries generally offer their clients various investment products in addition to, and in competition with, our investment offerings, and have no contractual obligation to encourage investment in our portfolios. It would be difficult for us to acquire or retain the management of those assets without the assistance of the intermediaries, and we cannot assure that we will be able to maintain an adequate number of successful distribution relationships. In addition, some investors rely on third-party financial planners, registered investment advisers, and other consultants or financial professionals to advise them on the choice of investment adviser and investment portfolio. These professionals and consultants can favor a competing investment portfolio as better meeting their particular client’s needs. We cannot assure that our investment offerings will be among their recommended choices in the future. Further, their recommendations can change over time and we could lose their recommendation and their client assets under our management. Mergers, acquisitions, and other ownership or management changes could also adversely impact our relationships with these third-party intermediaries. The presence of any of the adverse conditions discussed above would reduce revenues and net income, possibly by material amounts.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Natural disasters and other unpredictable events could adversely affect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Armed conflict, terrorist attacks, cyber-attacks, power failures, and natural disasters could adversely affect our revenues, expenses and net income by:</w:t>
      </w:r>
    </w:p>
    <w:p>
      <w:pPr>
        <w:spacing w:after="0" w:line="237" w:lineRule="exact"/>
        <w:rPr>
          <w:sz w:val="20"/>
          <w:szCs w:val="20"/>
          <w:color w:val="auto"/>
        </w:rPr>
      </w:pPr>
    </w:p>
    <w:p>
      <w:pPr>
        <w:ind w:left="5420" w:right="4160" w:hanging="5290"/>
        <w:spacing w:after="0" w:line="559" w:lineRule="auto"/>
        <w:tabs>
          <w:tab w:leader="none" w:pos="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decreasing investment valuations in, and returns on, the investment portfolios that we manage, Page 12</w:t>
      </w:r>
    </w:p>
    <w:p>
      <w:pPr>
        <w:sectPr>
          <w:pgSz w:w="11900" w:h="16838" w:orient="portrait"/>
          <w:cols w:equalWidth="0" w:num="1">
            <w:col w:w="11420"/>
          </w:cols>
          <w:pgMar w:left="240" w:top="125" w:right="239" w:bottom="1440" w:gutter="0" w:footer="0" w:header="0"/>
        </w:sectPr>
      </w:pPr>
    </w:p>
    <w:bookmarkStart w:id="13" w:name="page14"/>
    <w:bookmarkEnd w:id="13"/>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460" w:hanging="330"/>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causing disruptions in national or global economies that decrease investor confidence and make investment products generally less attractive,</w:t>
      </w:r>
    </w:p>
    <w:p>
      <w:pPr>
        <w:spacing w:after="0" w:line="128" w:lineRule="exact"/>
        <w:rPr>
          <w:rFonts w:ascii="Arial" w:cs="Arial" w:eastAsia="Arial" w:hAnsi="Arial"/>
          <w:sz w:val="17"/>
          <w:szCs w:val="17"/>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incapacitating or inflicting losses of lives among our associates,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interrupting our business operations,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triggering technology delays or failures,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significant portion of our business operations are concentrated in the Baltimore, Maryland region and in London, England. We have developed various backup systems and contingency plans but we cannot be assured that they will be adequate in all circumstances that could arise or that material interruptions and disruptions will not occur. In addition, we rely to varying degrees on outside vendors for disaster contingency support, and we cannot be assured that these vendors will be able to perform in an adequate and timely manner. If we lose the availability of any associates, or if we are unable to respond adequately to such an event in a timely manner, we may be unable to timely resume our business operations, which could lead to a tarnished reputation and loss of customers that results in a decrease in assets under management, lower revenues and materially reduced net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investment income and asset levels may be negatively impacted by fluctuations in our investment portfolio.</w:t>
      </w:r>
    </w:p>
    <w:p>
      <w:pPr>
        <w:spacing w:after="0" w:line="22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currently have a substantial portion of our assets invested in sponsored stock, blended asset and bond funds. All of these investments are subject to investment market risk and our non-operating investment income could be adversely affected by the realization of losses upon the disposition of our investments or the recognition of significant other-than-temporary impairments. In addition, related investment income has fluctuated significantly over the years depending upon the performance of our corporate investments, including the impact of market conditions and interest rates, and the size of our corporate money market and longer-term mutual fund holdings. Fluctuations in other investment income are expected to occur in the future.</w:t>
      </w:r>
    </w:p>
    <w:p>
      <w:pPr>
        <w:spacing w:after="0" w:line="15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savings bank subsidiary subjects us to investment credit risk by maintaining a portfolio of investments in asset-backed debt securities with maturity schedules intended to correspond with customer time deposit maturity dates. In the event that underlying securities are impaired in maturity value or do not yield returns in excess of customer deposit interest payments, our assets and results of operations would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review and pursue acquisition and venture opportunities in order to maintain or enhance our competitive position.</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Any strategic transaction can involve a number of risks, including additional demands on our staff; unanticipated problems regarding integration of investor account and investment security recordkeeping, operating facilities and technologies, and new employees; adverse effects in the event acquired intangible assets or goodwill become impaired; and the existence of liabilities or contingencies not disclosed to or otherwise known by us prior to closing a transaction.</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own a 26% investment in UTI Asset Management Company Ltd (UTI), an Indian asset management company and we may consider non-controlling minority investments in other entities in the future. We may not realize future returns from such investments or any collaborative activities that may develop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are exposed to a number of risks arising from our international operations.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operate in a number of jurisdictions outside of the U.S. and have an equity investment in UTI. Our international operations require us to comply with the legal and regulatory requirements of various foreign jurisdictions and expose us to the political consequences of operating in foreign jurisdictions. Our foreign business operations are also subject to the following risks:</w:t>
      </w:r>
    </w:p>
    <w:p>
      <w:pPr>
        <w:spacing w:after="0" w:line="181" w:lineRule="exact"/>
        <w:rPr>
          <w:sz w:val="20"/>
          <w:szCs w:val="20"/>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managing, operating and marketing our international operations;</w:t>
      </w:r>
    </w:p>
    <w:p>
      <w:pPr>
        <w:spacing w:after="0" w:line="117" w:lineRule="exact"/>
        <w:rPr>
          <w:rFonts w:ascii="Arial" w:cs="Arial" w:eastAsia="Arial" w:hAnsi="Arial"/>
          <w:sz w:val="18"/>
          <w:szCs w:val="18"/>
          <w:color w:val="auto"/>
        </w:rPr>
      </w:pPr>
    </w:p>
    <w:p>
      <w:pPr>
        <w:ind w:left="460" w:right="60" w:hanging="330"/>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which may result in substantial negative effects on assets under our management, revenues, expenses and assets in our U.S. dollar based financial statements; and</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adverse changes in international legal and regulatory environments.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125" w:right="239" w:bottom="1440" w:gutter="0" w:footer="0" w:header="0"/>
        </w:sectPr>
      </w:pPr>
    </w:p>
    <w:bookmarkStart w:id="14" w:name="page15"/>
    <w:bookmarkEnd w:id="14"/>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Legal and regulatory developments in the mutual fund and investment advisory industry could increase our regulatory burden, impose significant financial and strategic costs on our business, and cause a loss of mutual fund investors or clients.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regulatory environment is frequently altered by new regulations and by revisions to, and evolving interpretations of, existing regulations. Future changes could require us to modify or curtail our investment offerings and business operations, or impact our expenses and profitability. For example, the Volcker Rule as currently proposed has led us to continue to evaluate whether it remains prudent to maintain our savings bank subsidiary in light of the potential restrictions the rule could place on our other business activities. Although our savings bank operation is not material to the operating results of the company, the final terms of the rule are not yet settled and uncertainty related to how it may apply to our funds and affiliates could negatively impact our ability to launch and seed new funds if we continue to maintain a savings bank affiliate. Additionally, aspects of the rule present the risk that liquidity in capital markets may be impacted, and it may be more difficult or costly to execute certain security transactions on behalf of our clients.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other current or proposed legal or regulatory requirements include, without limitation, the following:</w:t>
      </w:r>
    </w:p>
    <w:p>
      <w:pPr>
        <w:spacing w:after="0" w:line="225" w:lineRule="exact"/>
        <w:rPr>
          <w:sz w:val="20"/>
          <w:szCs w:val="20"/>
          <w:color w:val="auto"/>
        </w:rPr>
      </w:pPr>
    </w:p>
    <w:p>
      <w:pPr>
        <w:ind w:left="500" w:right="340" w:hanging="330"/>
        <w:spacing w:after="0" w:line="276"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Federal Reserve Board has adopted final regulations related to non-Bank Systemically Important Financial Institutions (“SIFIs”). It has been suggested by some that large mutual funds, particularly money market funds, should be designated as SIFIs. We do not believe that mutual funds should be deemed SIFIs. Further, we do not believe SIFI designation was intended for traditional asset management businesses. If, however, any T. Rowe Price fund or T. Rowe Price affiliate is deemed a SIFI, increased regulatory oversight would apply, which may include enhanced capital, liquidity, leverage, stress testing, resolution planning, and risk management requirements.</w:t>
      </w:r>
    </w:p>
    <w:p>
      <w:pPr>
        <w:spacing w:after="0" w:line="172" w:lineRule="exact"/>
        <w:rPr>
          <w:rFonts w:ascii="Arial" w:cs="Arial" w:eastAsia="Arial" w:hAnsi="Arial"/>
          <w:sz w:val="17"/>
          <w:szCs w:val="17"/>
          <w:color w:val="auto"/>
        </w:rPr>
      </w:pPr>
    </w:p>
    <w:p>
      <w:pPr>
        <w:ind w:left="500" w:right="260" w:hanging="330"/>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is expected that additional money market fund reform will be proposed in the near future. Proposed reforms could require funds to adopt floating NAVs or various capital buffers or redemption restrictions. Adoption of any such reforms could have a negative impact on the attractiveness of such funds to investors, or the willingness of the firm to sponsor such products.</w:t>
      </w:r>
    </w:p>
    <w:p>
      <w:pPr>
        <w:spacing w:after="0" w:line="181" w:lineRule="exact"/>
        <w:rPr>
          <w:rFonts w:ascii="Arial" w:cs="Arial" w:eastAsia="Arial" w:hAnsi="Arial"/>
          <w:sz w:val="18"/>
          <w:szCs w:val="18"/>
          <w:color w:val="auto"/>
        </w:rPr>
      </w:pPr>
    </w:p>
    <w:p>
      <w:pPr>
        <w:ind w:left="500" w:hanging="330"/>
        <w:spacing w:after="0" w:line="259"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Commodity Futures Trading Commission has adopted certain amendments to its rules that would limit the ability of mutual funds and certain other products we sponsor to use commodities, futures, swaps and other derivatives without additional registration. Although we do not anticipate the need to register at this time, if our use of these products on behalf of client accounts increases so as to require registration, we would be subject to additional regulatory requirements and costs associated with registration.</w:t>
      </w:r>
    </w:p>
    <w:p>
      <w:pPr>
        <w:spacing w:after="0" w:line="186" w:lineRule="exact"/>
        <w:rPr>
          <w:rFonts w:ascii="Arial" w:cs="Arial" w:eastAsia="Arial" w:hAnsi="Arial"/>
          <w:sz w:val="18"/>
          <w:szCs w:val="18"/>
          <w:color w:val="auto"/>
        </w:rPr>
      </w:pPr>
    </w:p>
    <w:p>
      <w:pPr>
        <w:ind w:left="500" w:right="180" w:hanging="330"/>
        <w:spacing w:after="0" w:line="31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SEC has proposed new municipal adviser registration rules as a result of The Dodd-Frank Wall Street Reform and Consumer Protection Act ("Dodd-Frank"). It is uncertain at this point what the full impact of these new rules will be on our business, but it is expected, if adopted as proposed, that certain affiliates would be subject to additional regulatory requirements and incur costs to ensure compliance with these requirements.</w:t>
      </w:r>
    </w:p>
    <w:p>
      <w:pPr>
        <w:spacing w:after="0" w:line="146" w:lineRule="exact"/>
        <w:rPr>
          <w:rFonts w:ascii="Arial" w:cs="Arial" w:eastAsia="Arial" w:hAnsi="Arial"/>
          <w:sz w:val="16"/>
          <w:szCs w:val="16"/>
          <w:color w:val="auto"/>
        </w:rPr>
      </w:pPr>
    </w:p>
    <w:p>
      <w:pPr>
        <w:ind w:left="500" w:right="60" w:hanging="330"/>
        <w:spacing w:after="0" w:line="259"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U.K. Financial Services Bill will fundamentally transform financial services regulation in the U.K. Although the new regulatory architecture will likely have an impact on the manner in which our U.K. subsidiary is supervised, we do not believe there will be substantive changes to the conduct of business rules to which we are subject. However, the operations of our U.K. subsidiary could be impacted to the extent the nature of our supervision or the substance of such rules change.</w:t>
      </w:r>
    </w:p>
    <w:p>
      <w:pPr>
        <w:spacing w:after="0" w:line="186" w:lineRule="exact"/>
        <w:rPr>
          <w:rFonts w:ascii="Arial" w:cs="Arial" w:eastAsia="Arial" w:hAnsi="Arial"/>
          <w:sz w:val="18"/>
          <w:szCs w:val="18"/>
          <w:color w:val="auto"/>
        </w:rPr>
      </w:pPr>
    </w:p>
    <w:p>
      <w:pPr>
        <w:ind w:left="500" w:right="320" w:hanging="330"/>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has been increased global regulatory focus on the manner in which intermediaries are paid for distribution of mutual funds. Changes to long-standing market practices related to fees or enhanced disclosure requirements may negatively impact sales of mutual funds by intermediaries, especially if such requirements are not applied to other investment products.</w:t>
      </w:r>
    </w:p>
    <w:p>
      <w:pPr>
        <w:spacing w:after="0" w:line="181" w:lineRule="exact"/>
        <w:rPr>
          <w:rFonts w:ascii="Arial" w:cs="Arial" w:eastAsia="Arial" w:hAnsi="Arial"/>
          <w:sz w:val="18"/>
          <w:szCs w:val="18"/>
          <w:color w:val="auto"/>
        </w:rPr>
      </w:pPr>
    </w:p>
    <w:p>
      <w:pPr>
        <w:jc w:val="both"/>
        <w:ind w:left="500" w:right="460" w:hanging="330"/>
        <w:spacing w:after="0" w:line="286"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Global regulations on OTC derivatives are evolving, including proposed rules under Dodd-Frank and European Market Infrastructure Regulation relating to central clearing counterparties, trade reporting and repositories. There remains uncertainty related to the requirements under these new regulations and the exact manner in which they will impact current trading strategies for our clients.</w:t>
      </w:r>
    </w:p>
    <w:p>
      <w:pPr>
        <w:spacing w:after="0" w:line="165" w:lineRule="exact"/>
        <w:rPr>
          <w:rFonts w:ascii="Arial" w:cs="Arial" w:eastAsia="Arial" w:hAnsi="Arial"/>
          <w:sz w:val="17"/>
          <w:szCs w:val="17"/>
          <w:color w:val="auto"/>
        </w:rPr>
      </w:pPr>
    </w:p>
    <w:p>
      <w:pPr>
        <w:ind w:left="500" w:right="200" w:hanging="330"/>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various laws and regulations in the jurisdictions where we operate outside the U.S., including pan-European Directives, such as the Alternative Investment Fund Management Directive (“AIFMD”). The AIFMD has not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125" w:right="239" w:bottom="1440" w:gutter="0" w:footer="0" w:header="0"/>
        </w:sectPr>
      </w:pPr>
    </w:p>
    <w:bookmarkStart w:id="15" w:name="page16"/>
    <w:bookmarkEnd w:id="15"/>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500" w:right="760"/>
        <w:spacing w:after="0" w:line="395" w:lineRule="auto"/>
        <w:rPr>
          <w:sz w:val="20"/>
          <w:szCs w:val="20"/>
          <w:color w:val="auto"/>
        </w:rPr>
      </w:pPr>
      <w:r>
        <w:rPr>
          <w:rFonts w:ascii="Arial" w:cs="Arial" w:eastAsia="Arial" w:hAnsi="Arial"/>
          <w:sz w:val="16"/>
          <w:szCs w:val="16"/>
          <w:color w:val="auto"/>
        </w:rPr>
        <w:t>yet been implemented and interpretations of certain provisions are not yet final. Depending on such interpretations, the AIFMD may impact remuneration policies, capital requirements, and the manner in which affiliated entities provide services to funds covered by the Directive.</w:t>
      </w:r>
    </w:p>
    <w:p>
      <w:pPr>
        <w:spacing w:after="0" w:line="9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Compliance within a complex regulatory environment imposes significant financial and strategic costs on our business, and non-compliance could result in fines and penalties.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become involved in legal and regulatory proceedings that may not be covered by insurance.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an increase of litigation and in regulatory investigations in the financial services industry in recent years, including customer claims and class action suits alleging substantial monetary damages.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carry insurance in amounts and under terms that we believe are appropriate.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 may impede the business operations of our subsidiaries.</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Certain of our subsidiaries are subject to net capital requirements imposed by various federal, state, and foreign authorities. Each of our subsidiaries’ net capital meets or exceeds all minimum requirements; however, a significant operating or investment loss or an extraordinary charge against net capital could adversely affect the ability of our subsidiaries to expand or even maintain their operations if we were unable to make additional investments in them.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TECHNOLOGY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require specialized technology to operate our business and would be adversely affected if our technology became inoperative or obsolete.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depend on highly specialized and, in many cases, proprietary technology to support our business functions, including among others:</w:t>
      </w:r>
    </w:p>
    <w:p>
      <w:pPr>
        <w:spacing w:after="0" w:line="225" w:lineRule="exact"/>
        <w:rPr>
          <w:sz w:val="20"/>
          <w:szCs w:val="20"/>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analysis,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trading,</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and internal financial reporting processes and controls,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320"/>
          </w:cols>
          <w:pgMar w:left="240" w:top="125" w:right="339" w:bottom="1440" w:gutter="0" w:footer="0" w:header="0"/>
        </w:sectPr>
      </w:pPr>
    </w:p>
    <w:bookmarkStart w:id="16" w:name="page17"/>
    <w:bookmarkEnd w:id="16"/>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All of our technology systems are vulnerable to disability or failures due to cyber-attacks such as hacking or viruses, natural disasters, power failures, acts of war or terrorism, and other causes. Some of our software is licensed from and supported by outside vendors upon whom we rely to prevent operating system failure. A suspension or termination of these licenses or the related support, upgrades and maintenance could cause system delays or interruption. Although we have robust business and disaster recovery plans, if our technology systems were to fail and we were unable to recover in a timely way, we would be unable to fulfill critical business functions, which could lead to a loss of customers and could harm our reputation. A technological breakdown could also interfere with our ability to comply with financial reporting and other regulatory requirements, exposing us to disciplinary action and to liability to our customers.</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countries, and to adopt new or adapt existing technologies to meet client, industry and regulatory demands. We might be required to make significant capital expenditures to maintain competitive infrastructure. If we are unable to upgrade our infrastructure in a timely fashion, we might lose customers and fail to maintain regulatory compliance, which could affect our results of operations and severely damage our reputation.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could be subject to losses if we fail to properly safeguard sensitive and confidential information.</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As part of our normal operations, we maintain and transmit confidential information about our clients as well as proprietary information relating to our business operations. We maintain a system of internal controls designed to provide reasonable assurance that fraudulent activity, including misappropriation of assets, fraudulent financial reporting, and unauthorized access to sensitive or confidential data is either prevented or timely detected. Our systems or our third-party service providers’ systems could be victimized by unauthorized users or corrupted by computer viruses or other malicious software code, or authorized persons could inadvertently or intentionally release confidential or proprietary information. Such disclosure could, among other things:</w:t>
      </w:r>
    </w:p>
    <w:p>
      <w:pPr>
        <w:spacing w:after="0" w:line="158" w:lineRule="exact"/>
        <w:rPr>
          <w:sz w:val="20"/>
          <w:szCs w:val="20"/>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 in the termination of contracts by our existing customers,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us to regulatory action,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corporate headquarters occupies 422,000 square feet of space at 100 East Pratt Street in Baltimore, Maryland, under a lease until mid-2017. We have offices in 13 countries around the world, including the U.S.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operating and servicing activities are largely conducted at owned facilities in campus settings comprising 294,000 square feet in Colorado Springs, Colorado, and 586,000 square feet on three parcels of land in close proximity to Baltimore in Owings Mills, Maryland. We have an additional 381,000 square feet of space in two facilities at the largest Owings Mills site that we currently expect will be placed into service in late 2013. We maintain a 60,000 square foot technology support facility in Hagerstown, Maryland and own a 72-acre parcel of land in Pasco County, Florida to accommodate potential future development as business demands require.</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presently maintain investor centers for walk-in traffic and investor meetings in leased facilities located in the Baltimore, Maryland; Boca Raton, Florida; Boston (Wellesley, Massachusetts); Chicago (Oak Brook and Northbrook, Illinois); Los Angeles (Century City, California); New York City/New Jersey (Garden City, New York, and Paramus and Short Hills, New Jersey); San Francisco (Walnut Creek, California); Tampa, Florida; and Washington, D.C. (Washington, D.C. and McLean, Virginia) areas. We also have investor centers in our owned facilities in Colorado Springs and Owings Mills.</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also lease other offices, including our offices in London and Hong Kong, our business recovery site in Maryland, and our customer service call center in Tampa.</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360"/>
          </w:cols>
          <w:pgMar w:left="240" w:top="125" w:right="299" w:bottom="1440" w:gutter="0" w:footer="0" w:header="0"/>
        </w:sectPr>
      </w:pPr>
    </w:p>
    <w:bookmarkStart w:id="17" w:name="page18"/>
    <w:bookmarkEnd w:id="17"/>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Information concerning our anticipated capital expenditures in 2013 and our future minimum rental payments under noncancelable operating leases at December 31, 2012, is set forth in the capital resources and liquidity and contractual obligations discussions in Item 7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information includes the names, ages, and positions of our executive officers. There are no arrangements or understandings pursuant to which any person serves as an officer. The first seven individuals are members of our management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James A.C. Kennedy (59), Chief Executive Officer and President since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C. Rogers (57), Chairman since 2007, Chief Investment Officer since 2004, and a Vice President since 1985.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Edward C. Bernard (56), Vice Chairman and Head of Distribution and Client Service since 2007, and a Vice President since 1989.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J. Stromberg (52), Head of Global Equities since 2010, and a Vice President since 1990.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Christopher D. Alderson (50), Head of International Equities since 2009 and a Vice President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C. Gitlin (42), Head of Fixed Income since 2010, and a Vice President since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D. Linehan (48), Head of U.S. Equities since 2010 and a Vice President since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Kenneth V. Moreland (56), Chief Financial Officer and a Vice President since 2004, and Treasurer since 2010.</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Jessica M. Hiebler (37), Principal Accounting Officer since 2010 and a Vice President since 2009. Ms. Hiebler has been a Vice President of T. Rowe Price Associates since she joined the firm in 2005.</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280"/>
          </w:cols>
          <w:pgMar w:left="240" w:top="125" w:right="379" w:bottom="1440" w:gutter="0" w:footer="0" w:header="0"/>
        </w:sectPr>
      </w:pPr>
    </w:p>
    <w:bookmarkStart w:id="18" w:name="page19"/>
    <w:bookmarkEnd w:id="18"/>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The high and low trade price information and dividends per share during the past two years were: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1st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6"/>
              </w:rPr>
              <w:t>2nd</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3rd</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4th</w:t>
            </w:r>
          </w:p>
        </w:tc>
      </w:tr>
      <w:tr>
        <w:trPr>
          <w:trHeight w:val="257"/>
        </w:trPr>
        <w:tc>
          <w:tcPr>
            <w:tcW w:w="6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Quarter</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Quarter</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Quarter</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Quarter</w:t>
            </w: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color w:val="auto"/>
              </w:rPr>
              <w:t>2011 – High price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68.59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59.55</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 price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44.68</w:t>
            </w:r>
          </w:p>
        </w:tc>
      </w:tr>
      <w:tr>
        <w:trPr>
          <w:trHeight w:val="243"/>
        </w:trPr>
        <w:tc>
          <w:tcPr>
            <w:tcW w:w="6160" w:type="dxa"/>
            <w:vAlign w:val="bottom"/>
          </w:tcPr>
          <w:p>
            <w:pPr>
              <w:ind w:left="580"/>
              <w:spacing w:after="0"/>
              <w:rPr>
                <w:sz w:val="20"/>
                <w:szCs w:val="20"/>
                <w:color w:val="auto"/>
              </w:rPr>
            </w:pPr>
            <w:r>
              <w:rPr>
                <w:rFonts w:ascii="Arial" w:cs="Arial" w:eastAsia="Arial" w:hAnsi="Arial"/>
                <w:sz w:val="18"/>
                <w:szCs w:val="18"/>
                <w:color w:val="auto"/>
              </w:rPr>
              <w:t>Cash dividends declared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6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2012 – High price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65.97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66.95</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 price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62.35</w:t>
            </w:r>
          </w:p>
        </w:tc>
      </w:tr>
      <w:tr>
        <w:trPr>
          <w:trHeight w:val="243"/>
        </w:trPr>
        <w:tc>
          <w:tcPr>
            <w:tcW w:w="6160" w:type="dxa"/>
            <w:vAlign w:val="bottom"/>
          </w:tcPr>
          <w:p>
            <w:pPr>
              <w:ind w:left="580"/>
              <w:spacing w:after="0"/>
              <w:rPr>
                <w:sz w:val="20"/>
                <w:szCs w:val="20"/>
                <w:color w:val="auto"/>
              </w:rPr>
            </w:pPr>
            <w:r>
              <w:rPr>
                <w:rFonts w:ascii="Arial" w:cs="Arial" w:eastAsia="Arial" w:hAnsi="Arial"/>
                <w:sz w:val="18"/>
                <w:szCs w:val="18"/>
                <w:color w:val="auto"/>
              </w:rPr>
              <w:t>Cash dividends declared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1.34</w:t>
            </w:r>
          </w:p>
        </w:tc>
      </w:tr>
    </w:tbl>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cash dividends declared during the fourth quarter of 2012 includes a special dividend of $1.00 per share that was paid on December 28, 2012. We presently plan to declare and pay quarterly cash dividends in 2013 that, taken together, will exceed the $1.36 per share in regular annual dividends declared and paid in 2012. Our annual dividends per share have increased every year since we became a public company in 1986; however, there can be no assurance that we will continue to pay dividends at increasing rates or at all.</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common stockholders have approved all of our equity compensation plans. These plans provide for the issuance of up to 53,012,986 shares of our common stock at December 31, 2012, including 34,622,435 shares that may be issued upon the exercise of outstanding stock options at a weighted-average price of $48.82, and 638,466 shares that may be issued upon settlement of our outstanding stock units. Additionally, 21,164,593 shares remain available for future issuances, including 3,412,508 shares that may be issued under our Employee Stock Purchase Plan. No shares have been issued under our Employee Stock Purchase Plan since its inception; all shares have been purchased in the open market. Under the terms of the 2012 Long-term Incentive Plan, approved by stockholders in April 2012, the number of shares provided and available for future issuance will increase as we repurchase common stock in the future with the proceeds from stock option exercises.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 activity during the fourth quarter of 2012.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2"/>
              </w:rPr>
              <w:t>Total Number of</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4"/>
              </w:rPr>
              <w:t>Shares Purchased as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Shares that May Yet</w:t>
            </w: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Total Number of</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Average Price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3"/>
              </w:rPr>
              <w:t>Part of Publicly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Be Purchased Under</w:t>
            </w:r>
          </w:p>
        </w:tc>
      </w:tr>
      <w:tr>
        <w:trPr>
          <w:trHeight w:val="257"/>
        </w:trPr>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Month</w:t>
            </w:r>
          </w:p>
        </w:tc>
        <w:tc>
          <w:tcPr>
            <w:tcW w:w="2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Shares Purchased</w:t>
            </w: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86"/>
              </w:rPr>
              <w:t>Paid per Share</w:t>
            </w: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Announced Program</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the Program</w:t>
            </w:r>
          </w:p>
        </w:tc>
      </w:tr>
      <w:tr>
        <w:trPr>
          <w:trHeight w:val="237"/>
        </w:trPr>
        <w:tc>
          <w:tcPr>
            <w:tcW w:w="2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October</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106,700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64.70</w:t>
            </w:r>
          </w:p>
        </w:tc>
        <w:tc>
          <w:tcPr>
            <w:tcW w:w="12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11,413,467</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November</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188,967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65.11</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11,413,467</w:t>
            </w:r>
          </w:p>
        </w:tc>
      </w:tr>
      <w:tr>
        <w:trPr>
          <w:trHeight w:val="243"/>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757,123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65.28</w:t>
            </w: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30"/>
              <w:spacing w:after="0"/>
              <w:rPr>
                <w:sz w:val="20"/>
                <w:szCs w:val="20"/>
                <w:color w:val="auto"/>
              </w:rPr>
            </w:pPr>
            <w:r>
              <w:rPr>
                <w:rFonts w:ascii="Arial" w:cs="Arial" w:eastAsia="Arial" w:hAnsi="Arial"/>
                <w:sz w:val="18"/>
                <w:szCs w:val="18"/>
                <w:color w:val="auto"/>
              </w:rPr>
              <w:t>11,413,467</w:t>
            </w: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2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1,052,790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65.19</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company to pay the exercise price in connection with swap exercises of employee stock options, and shares withheld to cover the minimum payroll tax withholding obligation associated with the vesting of restricted stock awards. Of the shares purchased in the fourth quarter of 2012, 993,537 were related to shares surrendered to the company in connection with employee stock option exercises and 59,253 were related to shares withheld to cover payroll tax withholdings associated with the vesting of restricted stock awards.</w:t>
      </w:r>
    </w:p>
    <w:p>
      <w:pPr>
        <w:spacing w:after="0" w:line="18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During 2012, we repurchased 2,302,214 shares of our common stock pursuant to the Board of Directors’ September 8, 2010 authorization. There are approximately 143,000 beneficial stockholder accounts holding our common stock.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125" w:right="259" w:bottom="1440" w:gutter="0" w:footer="0" w:header="0"/>
        </w:sectPr>
      </w:pPr>
    </w:p>
    <w:bookmarkStart w:id="19" w:name="page20"/>
    <w:bookmarkEnd w:id="19"/>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2008</w:t>
            </w:r>
          </w:p>
        </w:tc>
        <w:tc>
          <w:tcPr>
            <w:tcW w:w="4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2009</w:t>
            </w:r>
          </w:p>
        </w:tc>
        <w:tc>
          <w:tcPr>
            <w:tcW w:w="4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2010</w:t>
            </w:r>
          </w:p>
        </w:tc>
        <w:tc>
          <w:tcPr>
            <w:tcW w:w="5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2011</w:t>
            </w:r>
          </w:p>
        </w:tc>
        <w:tc>
          <w:tcPr>
            <w:tcW w:w="4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r>
      <w:tr>
        <w:trPr>
          <w:trHeight w:val="243"/>
        </w:trPr>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(in millions, except per-share data)</w:t>
            </w: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2,367</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849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1,037</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1,364</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491</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r>
      <w:tr>
        <w:trPr>
          <w:trHeight w:val="324"/>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742</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r>
      <w:tr>
        <w:trPr>
          <w:trHeight w:val="324"/>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common share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Basic earnings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1.89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3.47</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1.81</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Cash dividends declared </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324"/>
        </w:trPr>
        <w:tc>
          <w:tcPr>
            <w:tcW w:w="3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2"/>
              </w:rPr>
              <w:t>Weighted-average common shares outstanding</w:t>
            </w:r>
          </w:p>
        </w:tc>
        <w:tc>
          <w:tcPr>
            <w:tcW w:w="36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259.3</w:t>
            </w: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255.9</w:t>
            </w:r>
          </w:p>
        </w:tc>
        <w:tc>
          <w:tcPr>
            <w:tcW w:w="4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257.2</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255.6</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253.4</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Weighted-average common shares outstanding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assuming dilution</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269.9</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262.3</w:t>
            </w: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265.1</w:t>
            </w: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263.3</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261.0</w:t>
            </w:r>
          </w:p>
        </w:tc>
      </w:tr>
      <w:tr>
        <w:trPr>
          <w:trHeight w:val="27"/>
        </w:trPr>
        <w:tc>
          <w:tcPr>
            <w:tcW w:w="3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Cash dividends declared in 2012 includes a special dividend of $1.00 per share that we paid on December 28,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31750</wp:posOffset>
            </wp:positionV>
            <wp:extent cx="4999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2008</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2011</w:t>
            </w:r>
          </w:p>
        </w:tc>
        <w:tc>
          <w:tcPr>
            <w:tcW w:w="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r>
      <w:tr>
        <w:trPr>
          <w:trHeight w:val="27"/>
        </w:trPr>
        <w:tc>
          <w:tcPr>
            <w:tcW w:w="3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(in millions)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2,819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3,642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3,770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4,203</w:t>
            </w:r>
          </w:p>
        </w:tc>
      </w:tr>
      <w:tr>
        <w:trPr>
          <w:trHeight w:val="27"/>
        </w:trPr>
        <w:tc>
          <w:tcPr>
            <w:tcW w:w="3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2,489</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Assets under management (in billions)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276.3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391.3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482.0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489.5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576.8</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U.S. sponsored mutual funds and other managed investment portfolios. The other managed investment portfolios include separately managed accounts, subadvised funds, and other sponsored investment portfolios including collective investment trusts, and Luxembourg-based funds offered to investors outside the U.S. and portfolios offered through variable annuity life insurance plans in the U.S. Investment advisory clients outside the U.S. account for 9.5% of our assets under management at December 31, 2012.</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8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remain debt-free with substantial liquidity and resources that allow us to take advantage of attractive growth opportunities; invest in key capabilities, including investment professionals, technologies, and new fund offerings; and, most importantly, provide our clients with strong investment management expertise and service both now and in the future.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125" w:right="239" w:bottom="1440" w:gutter="0" w:footer="0" w:header="0"/>
        </w:sectPr>
      </w:pPr>
    </w:p>
    <w:bookmarkStart w:id="20" w:name="page21"/>
    <w:bookmarkEnd w:id="20"/>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Major equity indexes produced strong returns in 2012 despite a eurozone recession, the sovereign debt crisis, muted U.S. economic growth, uncertainty surrounding U.S. fiscal policy after 2012, and a slowdown in emerging economies. Equities were supported by solid U.S. corporate earnings, and actions taken by central banks around the world to stimulate economic growth. During the year, the Federal Reserve kept the federal funds rate near 0% and implemented a third-round of quantitative easing in the form of an open-ended policy of monthly agency mortgage-backed securities purchases. Further, the Federal Reserve announced at its December meeting that it would add open-ended monthly purchases of long-term Treasury securities when its current maturity extension program for Treasuries ends in 2013. It also confirmed that it expects to keep the federal funds rate very low at least through mid-2015. As 2013 began, equity markets had positive momentum as U.S. Congress passed legislation on January 1st that delayed deep spending cuts for two months and prevented many broad-based tax increases.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Results of several major equity market indexes for the full year 2012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Index</w:t>
            </w:r>
          </w:p>
        </w:tc>
        <w:tc>
          <w:tcPr>
            <w:tcW w:w="41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2012</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41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724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Composite Index (excluding dividends)</w:t>
            </w:r>
          </w:p>
        </w:tc>
        <w:tc>
          <w:tcPr>
            <w:tcW w:w="4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Russell 2000 Index</w:t>
            </w:r>
          </w:p>
        </w:tc>
        <w:tc>
          <w:tcPr>
            <w:tcW w:w="41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724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4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MSCI Emerging Markets Index</w:t>
            </w:r>
          </w:p>
        </w:tc>
        <w:tc>
          <w:tcPr>
            <w:tcW w:w="4180" w:type="dxa"/>
            <w:vAlign w:val="bottom"/>
          </w:tcPr>
          <w:p>
            <w:pPr>
              <w:jc w:val="right"/>
              <w:spacing w:after="0"/>
              <w:rPr>
                <w:sz w:val="20"/>
                <w:szCs w:val="20"/>
                <w:color w:val="auto"/>
              </w:rPr>
            </w:pPr>
            <w:r>
              <w:rPr>
                <w:rFonts w:ascii="Arial" w:cs="Arial" w:eastAsia="Arial" w:hAnsi="Arial"/>
                <w:sz w:val="18"/>
                <w:szCs w:val="18"/>
                <w:color w:val="auto"/>
              </w:rPr>
              <w:t>18.6%</w:t>
            </w:r>
          </w:p>
        </w:tc>
      </w:tr>
    </w:tbl>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Bonds produced good returns over the year. High yield and emerging market issues outperformed all others as income-seeking investors continued favoring securities with attractive yields in the low interest rate environment. Outside the U.S., investors also sought bonds issued by developing countries due to their lower debt levels and better growth prospects relative to developed countries. Long-term Treasury bond yields were essentially flat for the year and remained near historic lows in response to weak global economic growth and the Federal Reserve's maturity extension program noted above. The yield on the benchmark 10-year U.S. Treasury at December 31, 2012, was 1.8%, compared with 1.9% at the end of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Results of several major bond market indexes for the full year 2012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Index</w:t>
            </w:r>
          </w:p>
        </w:tc>
        <w:tc>
          <w:tcPr>
            <w:tcW w:w="41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2012</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Barclays U.S. Aggregate Bond Index</w:t>
            </w:r>
          </w:p>
        </w:tc>
        <w:tc>
          <w:tcPr>
            <w:tcW w:w="4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724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Suisse High Yield Index</w:t>
            </w:r>
          </w:p>
        </w:tc>
        <w:tc>
          <w:tcPr>
            <w:tcW w:w="4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Barclays Municipal Bond Index</w:t>
            </w:r>
          </w:p>
        </w:tc>
        <w:tc>
          <w:tcPr>
            <w:tcW w:w="41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724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Barclays Global Aggregate Ex-U.S. Dollar Bond Index</w:t>
            </w:r>
          </w:p>
        </w:tc>
        <w:tc>
          <w:tcPr>
            <w:tcW w:w="4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JPMorgan Emerging Markets Index Plus</w:t>
            </w:r>
          </w:p>
        </w:tc>
        <w:tc>
          <w:tcPr>
            <w:tcW w:w="4180" w:type="dxa"/>
            <w:vAlign w:val="bottom"/>
          </w:tcPr>
          <w:p>
            <w:pPr>
              <w:jc w:val="right"/>
              <w:spacing w:after="0"/>
              <w:rPr>
                <w:sz w:val="20"/>
                <w:szCs w:val="20"/>
                <w:color w:val="auto"/>
              </w:rPr>
            </w:pPr>
            <w:r>
              <w:rPr>
                <w:rFonts w:ascii="Arial" w:cs="Arial" w:eastAsia="Arial" w:hAnsi="Arial"/>
                <w:sz w:val="18"/>
                <w:szCs w:val="18"/>
                <w:color w:val="auto"/>
              </w:rPr>
              <w:t>18.0%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With this market environment as a backdrop, investors entrusted $17.2 billion to our management in 2012. Total assets under management ended 2012 at a record $576.8 billion, an increase of $87.3 billion from the end of 2011. Assets under management (in billions) at the end of and changes over each of the last three years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Assets under management by investment portfolio</w:t>
      </w:r>
    </w:p>
    <w:p>
      <w:pPr>
        <w:spacing w:after="0" w:line="6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740" w:type="dxa"/>
            <w:vAlign w:val="bottom"/>
            <w:tcBorders>
              <w:top w:val="single" w:sz="8" w:color="CCEEFF"/>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54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Sponsored mutual funds distributed in the U.S.</w:t>
            </w: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282.6</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289.4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346.9</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199.4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200.1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482.0</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489.5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576.8</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125" w:right="239" w:bottom="1440" w:gutter="0" w:footer="0" w:header="0"/>
        </w:sectPr>
      </w:pPr>
    </w:p>
    <w:bookmarkStart w:id="21" w:name="page22"/>
    <w:bookmarkEnd w:id="21"/>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Assets under management by asset class</w:t>
      </w:r>
    </w:p>
    <w:p>
      <w:pPr>
        <w:spacing w:after="0" w:line="6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3800" w:type="dxa"/>
            <w:vAlign w:val="bottom"/>
            <w:tcBorders>
              <w:top w:val="single" w:sz="8" w:color="CCEEFF"/>
              <w:bottom w:val="single" w:sz="8" w:color="CCEEFF"/>
            </w:tcBorders>
            <w:shd w:val="clear" w:color="auto" w:fill="CCEEFF"/>
          </w:tcPr>
          <w:p>
            <w:pPr>
              <w:spacing w:after="0"/>
              <w:rPr>
                <w:sz w:val="24"/>
                <w:szCs w:val="24"/>
                <w:color w:val="auto"/>
              </w:rPr>
            </w:pPr>
          </w:p>
        </w:tc>
        <w:tc>
          <w:tcPr>
            <w:tcW w:w="29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2010</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126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421.1</w:t>
            </w: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income portfolios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576.8</w:t>
            </w: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32"/>
        </w:trPr>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Components of changes in assets under management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800" w:type="dxa"/>
            <w:vAlign w:val="bottom"/>
            <w:tcBorders>
              <w:top w:val="single" w:sz="8" w:color="auto"/>
            </w:tcBorders>
          </w:tcPr>
          <w:p>
            <w:pPr>
              <w:spacing w:after="0"/>
              <w:rPr>
                <w:sz w:val="21"/>
                <w:szCs w:val="21"/>
                <w:color w:val="auto"/>
              </w:rPr>
            </w:pPr>
          </w:p>
        </w:tc>
        <w:tc>
          <w:tcPr>
            <w:tcW w:w="29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color w:val="auto"/>
              </w:rPr>
              <w:t>Year ended</w:t>
            </w:r>
          </w:p>
        </w:tc>
        <w:tc>
          <w:tcPr>
            <w:tcW w:w="34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Assets under management at beginning of year</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489.5</w:t>
            </w:r>
          </w:p>
        </w:tc>
      </w:tr>
      <w:tr>
        <w:trPr>
          <w:trHeight w:val="27"/>
        </w:trPr>
        <w:tc>
          <w:tcPr>
            <w:tcW w:w="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Sponsored mutual funds distributed in the U.S.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market gains (losses) and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Mutual fund distributions not reinvested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Assets under management at end of year</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576.8</w:t>
            </w: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2010 net cash inflows were sourced most significantly from third-party financial intermediaries and from institutional investors around the world, whereas net cash flows in 2011 and 2012 were sourced primarily from third-party financial intermediaries. Our relative investment performance over much of this period and brand awareness contributed significantly to attracting net inflows to our firm.</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often involve costs that precede any future revenues that we may recognize from increases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2012 versus </w:t>
      </w:r>
      <w:r>
        <w:rPr>
          <w:rFonts w:ascii="Arial" w:cs="Arial" w:eastAsia="Arial" w:hAnsi="Arial"/>
          <w:sz w:val="18"/>
          <w:szCs w:val="18"/>
          <w:u w:val="single" w:color="auto"/>
          <w:color w:val="auto"/>
          <w:highlight w:val="white"/>
        </w:rPr>
        <w:t>2011.</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Investment advisory revenues were up 10.3%, or $243.0 million, to nearly $2.6 billion in 2012, as average assets under our management increased $52.3 billion to $549.4 billion. The average annualized fee rate earned on our assets under management was 47.2 basis points during 2012, virtually unchanged from the 47.3 basis points earned in 2011. We continued to voluntarily waive a portion of our money market advisory fees in 2012 in order to maintain a positive or zero yield for fund investors. These fees were waived from each of our money market funds and trusts and totaled $35.0 million, or about 1% of total investment advisory revenues earned in 2012, as compared to $36.4 million in 2011. Combined net assets at December 31, 2012 of the funds and trusts in which we waived fees in 2012 was $15.4 billion, or 2.7% of our total assets under management. The firm expects that these fee waivers will continue in 2013.</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Net revenues increased $275.4 million, or 10.0%, to $3.0 billion in 2012. Operating expenses were $1.7 billion in 2012, an increase of $138.0 million, or</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9.1%. Overall, net operating income for 2012 increased $137.4 million, or 11.2%, to nearly $1.4 billion. The increase in our average assets under management and resulting advisory revenue lifted our operating margin for 2012 to 45.1% from 44.7% in 2011. Non-operating investment income of $70.8 million in 2012 included $32.6 million, or $.07 per share after income taxes, in gains realized from the sale of certain of our investments in sponsored funds to seed other sponsored funds in support of our distribution efforts outside the U.S. Net income, including these realized gains, increased $110.4 million, or 14.3%, to $883.6 million in 2012, and our diluted earnings per share on our common stock increased 15.1% to $3.36 from the $2.92 earned in 2011.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125" w:right="239" w:bottom="1440" w:gutter="0" w:footer="0" w:header="0"/>
        </w:sectPr>
      </w:pPr>
    </w:p>
    <w:bookmarkStart w:id="22" w:name="page23"/>
    <w:bookmarkEnd w:id="22"/>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U.S. were $1.8 billion in 2012, an increase of 11.4%, or $182.7 million, on higher average mutual fund assets. Average mutual fund assets in 2012 were $326.6 billion, an increase of 11.8% from the 2011 average. Mutual fund assets at December 31, 2012, were $346.9 billion, up $57.5 billion from the end of 2011.</w:t>
      </w:r>
    </w:p>
    <w:p>
      <w:pPr>
        <w:spacing w:after="0" w:line="18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Net inflows to the mutual funds during 2012 were $15.7 billion, including $8.6 billion into our stock and blended asset funds and $7.5 billion into our bond funds. Our money market funds had net outflows of $.4 billion. Mutual fund net inflows include $6.4 billion that originated in our target-date retirement funds, which in turn invest in a broadly diversified portfolio of other Price funds, and automatically rebalance to maintain their specific asset allocation weightings. These fund net inflow amounts are presented net of $4.5 billion that was transferred to the other investment portfolios during the year. These transfers were primarily from our target-date retirement funds to our target-date retirement trusts. Market appreciation and income, net of distributions not reinvested, added $41.8 billion to our mutual fund assets under management in 2012.</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advisory revenues earned on the other investment portfolios that we manage increased $60.3 million, or 8.1%, to $801.7 million. Average assets in these portfolios were $222.8 billion during 2012, an increase of $17.8 billion, or 8.7%, from the 2011 year. Ending assets at December 31, 2012, were $229.9 billion, an increase of $29.8 billion from the end of 2011. Net inflows into these portfolios in 2012 were $1.5 billion, including $4.5 billion that was transferred from the mutual funds. Strong cash inflows in 2012 into our subadvised funds from third-party intermediaries were offset by outflows from institutional investors outside the U.S. These net outflows were primarily from institutional separate account portfolios that have experienced investment performance challenges, or changes in the clients' investment objectives. Market appreciation and income increased assets under management in these portfolios by $28.3 billion.</w:t>
      </w:r>
    </w:p>
    <w:p>
      <w:pPr>
        <w:spacing w:after="0" w:line="1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Administrative fees increased $11.4 million to $332.6 million in 2012. The increase is attributable to our mutual fund servicing activities and defined contribution recordkeeping services for the mutual funds and their investors. Changes in administrative fees are generally offset by similar changes in related operating expenses that are incurred to provide services to the funds and their investors.</w:t>
      </w:r>
    </w:p>
    <w:p>
      <w:pPr>
        <w:spacing w:after="0" w:line="18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Distribution and servicing fees earned from 12b-1 plans of the Advisor, R, and VIP II classes of our sponsored mutual funds were $96.1 million in 2012, an increase of $21.5 million from 2011. The increase includes $13.0 million recognized on greater assets under management in these share classes, and $8.5 million earned primarily on R class shares in the first quarter of 2012 for which the comparable 2011 fees were netted against related distribution and servicing costs. The 12b-1 fees earned are offset entirely by the cost paid to third-party intermediaries who source these assets. These costs are reported as distribution and servicing costs on the face of the consolidated statements of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Compensation and related costs were $1.0 billion, an increase of $77.8 million, or 8.0%, compared to 2011. The largest part of the increase is attributable to a $33.7 million increase in salaries and related benefits, which results from a modest increase in salaries at the beginning of 2012 combined with a 2.1% increase in our average staff size from 2011. The 2012 change also includes a $32.0 million increase in our annual variable compensation programs. The remainder of the change from 2011 is attributable to increased use of outside contractors to meet growing business demands, higher non-cash stock-based compensation expense, and other employee related costs. At December 31, 2012, we employed 5,372 associates, an increase of 2.2% from the end of 2011, to support both business growth and added capabilities.</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Advertising and promotion expenditures were $89.8 million in 2012 compared to $90.8 million in 2011. We currently estimate that advertising and promotion expenditures for 2013 will be similar to 2012 levels. We vary our level of spending based on market conditions and investor demand as well as our efforts to expand our investor base globally.</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Distribution and servicing costs paid to third-party intermediaries who source assets into the Advisor, R, and VIP II classes of our sponsored mutual funds were $96.1 million in 2012, an increase of $21.5 million from 2011. The increase includes $13.0 million recognized on greater assets under management in these share classes, and $8.5 million incurred primarily on R class shares in the first quarter of 2012 for which the comparable 2011 costs were netted against related distribution and servicing fees. The costs are offset entirely by the 12b-1 fees we earn. These fees are reported as distribution and servicing fees on the face of the consolidated statements of income.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125" w:right="239" w:bottom="1440" w:gutter="0" w:footer="0" w:header="0"/>
        </w:sectPr>
      </w:pPr>
    </w:p>
    <w:bookmarkStart w:id="23" w:name="page24"/>
    <w:bookmarkEnd w:id="23"/>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Occupancy and facility costs together with depreciation expense increased $18.6 million, or 9.9%, versus 2011. The change includes the added costs incurred to expand our facilities around the world as well as update our technology capabilities, including related maintenance programs, to meet increasing business demands.</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Other operating expenses increased $21.1 million, or 10.7%, from 2011, including $16.4 million in certain third-party servicing costs incurred in 2012, for which the comparable 2011 costs were reported as reductions of advisory and administrative fee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non-operating investment income, which includes interest income as well as the recognition of investment gains and losses, was up $47.1 million from the 2011 period. This increase includes $32.6 million in gains realized in the second half of 2012 from the sale of certain of our investments in sponsored funds to seed other sponsored funds in support of our distribution efforts outside the U.S. The balance of the change is primarily attributable to $8.4 million in higher net gains recognized on our cost-method investments and trading securities and $3.8 million in larger dividends earned on our mutual fund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effective tax rate for 2012 was 38.4% as compared to 38.2% in 2011. The firm currently estimates its effective tax rate for 2013 will be about 38.5%. Our effective income tax rate reflects the relative contribution of pre-tax income generated by our non-U.S. subsidiaries that are subject to tax rates lower than our U.S. rates. Changes in the relative contribution of pre-tax income from U.S. and non-U.S. sources or changes in tax rates in relevant non-U.S. jurisdictions may affect our effective income tax rate and overall net income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2011 versus 2010.</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Investment advisory revenues were up 15.9%, or $322.2 million, to $2.3 billion in 2011, as average assets under our management increased $74.5 billion to $497.1 billion. The average annualized fee rate earned on our assets under management was 47.3 basis points during 2011 compared to 48.0 basis points earned in 2010. The decrease in our average annualized fee rate was primarily a result of the $11.3 million increase in money market management fees voluntarily waived by the firm in order to maintain a positive yield for fund investors. The firm waived $36.4 million in money market fees in 2011 compared to $25.1 million in 2010.</w:t>
      </w:r>
    </w:p>
    <w:p>
      <w:pPr>
        <w:spacing w:after="0" w:line="18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Net revenues increased $379.9 million, or 16.0%, to $2.7 billion. Operating expenses were $1.5 billion in 2011, an increase of $189.5 million, or 14.2%. Overall, net operating income for 2011 increased $190.4 million, or 18.4%, to $1.2 billion. The increase in our average assets under management and resulting advisory revenue increased our operating margin for 2011 to 44.7% from 43.8% in 2010. Net income increased $101.0 million, or 15.0%, to $773.2 million from the 2010 period. Our diluted earnings per share on our common stock increased 15.4% to $2.92 from the $2.53 earned in 2010.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U.S. were $1.6 billion in 2011, an increase of 15.3%, or $213.3 million, on higher average mutual fund assets. Average mutual fund assets in 2011 were $292.1 billion, an increase of 16.5% from the 2010 average. Mutual fund assets at December 31, 2011, were $289.4 billion, up $6.8 billion from the end of 2010.</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Net inflows to the mutual funds during 2011 were $11.0 billion. These net inflows include $7.5 billion that originated in our target-date retirement funds, which in turn invest in a broadly diversified portfolio of other Price funds, and automatically rebalance to maintain their specific asset allocation weightings. Net cash inflows of $6.6 billion were added to our stock and blended asset funds, $3.9 billion to our bond funds, and $.5 billion were added to our money market funds. The Overseas Stock, International Stock, New America Growth, Emerging Markets Stock, and New Income funds each added more than $1.2 billion in net inflows for a combined total of $6.8 billion. Fund net inflow amounts in 2011 are presented net of $1.4 billion that was transferred to the other investment portfolios during the year. Market depreciation and income not reinvested lowered our mutual fund assets under management by $4.2 billion in 2011.</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Investment advisory revenues earned on the other investment portfolios that we manage increased $108.9 million, or 17.2%, to $741.4 million. Average assets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these portfolios were $205.0 billion during 2011, an increase of $33.2 billion, or 19.3%, from the 2010 year. Ending assets at December 31, 2011,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$200.1 billion, an increase of $.7 billion from the end of 2010. Net inflows into these portfolios in 2011 were $3.1 billion. We experienced strong cash inflows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into our subadvised funds from</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125" w:right="239" w:bottom="1440" w:gutter="0" w:footer="0" w:header="0"/>
        </w:sectPr>
      </w:pPr>
    </w:p>
    <w:bookmarkStart w:id="24" w:name="page25"/>
    <w:bookmarkEnd w:id="24"/>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third-party intermediaries, into our fixed income portfolios from institutional investors, and into our other sponsored portfolios during the year. These inflows were partially offset by outflows from our equity portfolios by a few institutional investors that were reducing risk in their portfolios in the wake of the volatile market environment experienced in 2011. Lower market valuations reduced assets under management in these portfolios by $2.4 billion.</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Administrative fees increased $26.9 million to $321.2 million in 2011. The increase is attributable to our mutual fund servicing activities and defined contribution recordkeeping services for the mutual funds and their investors. Changes in administrative fees are generally offset by similar changes in related operating expenses that are incurred to provide services to the funds and their investors.</w:t>
      </w:r>
    </w:p>
    <w:p>
      <w:pPr>
        <w:spacing w:after="0" w:line="18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Distribution and servicing fees earned from 12b-1 plans of the Advisor, R, and VIP II classes of our sponsored mutual funds were $74.6 million in 2011, an increase of $31.4 million from 2010. The increase includes $7.3 million recognized on greater assets under management in these share classes, and $24.1 million earned primarily on R class shares in the last nine months of 2011 for which the comparable 2010 fees were netted against related distribution and servicing costs. The 12b-1 fees earned are offset entirely by the cost paid to third-party intermediaries who source these assets. These costs are reported as distribution and servicing costs on the face of the consolidated income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Compensation and related costs were $969.8 million, an increase of $109.4 million, or 12.7%, compared to 2010. The largest part of the increase is attributable to a $46.9 million increase in salaries and related benefits, which results from a 5.6% annual increase in our average staff size. The 2011 change also includes a $36.4 million increase in our annual variable compensation programs. Greater use of outside contractors to meet growing business demands increased our 2011 costs by $11.2 million. The remainder of the change from 2010 is attributable to higher non-cash stock-based compensation expense and other employee related costs. At December 31, 2011, we employed 5,255 associates, an increase of 4.0% from the end of 2010, to support both business growth and added capabilities.</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Advertising and promotion expenditures were $90.8 million, up $3.9 million, or 4.5%, compared to 2010. We vary our level of spending based on market conditions and investor demand as well as our efforts to expand our investor base globally.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Occupancy and facility costs together with depreciation expense increased $15.3 million, or 8.9%, versus 2010. The change includes the impact of placing our new technology support facility into service in February 2011, as well as the added costs to update our technology capabilities, including related maintenance programs, to meet increasing business demands.</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operating expenses increased $29.5 million, or 17.5%, from 2010. The charitable contribution made to the T. Rowe Price Foundation in 2011 was higher than in 2010, and we increased our spending on professional fees, information and other third-party services, and travel to meet increasing business demands. The increases in these costs were offset by the $16.4 million charge incurred in 2010 from the one-time contribution made to certain money market funds that did not reoccur in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non-operating investment income, which includes interest income as well as the recognition of investment gains and losses, was down $9.8 million from the 2010 period. This decrease is primarily due to the 2010 period including $7.6 million in gains realized on the sale of certain mutual fund investments and $2.2 million recognized in early 2010 on the settlement and valuation of the forward contracts used to hedge the foreign currency exposure associated with our investment in UTI Asset Management Company Limited (UTI). The 2011 period includes $6.4 million in net earnings from our investment in UTI, an increase of $1.1 million over the earnings recognized in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Our effective tax rate for 2011 is 38.2% as compared to 37.2% in 2010. The increase is primarily attributable to higher effective state tax rates as well as greater discrete tax benefits recognized in 2010 from the settlement of state income tax positions and the firm’s international reorganization.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2012, stockholders’ equity increased from $3.4 billion to $3.8 billion. In 2012, we expended $135.2 million to repurchase 2.3 million common shares and paid $2.36 per share in dividends, including a $1.00 per share special dividend paid in December 2012, from existing cash balances and cash generated from operations. Tangible book value is $3.2 billion 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125" w:right="239" w:bottom="1440" w:gutter="0" w:footer="0" w:header="0"/>
        </w:sectPr>
      </w:pPr>
    </w:p>
    <w:bookmarkStart w:id="25" w:name="page26"/>
    <w:bookmarkEnd w:id="25"/>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December 31, 2012, and our cash and our fund investment holdings total $2.0 billion. Given the availability of these financial resources, we do not maintain an available external source of liquidity.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2012, we had outstanding commitments to make additional contributions totaling $36.5 million to various investment partnerships in which we have an existing investment. We presently anticipate funding 2013 property and equipment expenditures of about $125 million from our cash balances and operating cash inflows.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2012 versus 2011.</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Operating activities during 2012 provided cash flows of $902.8 million, down $45.6 million from 2011, due in part to the $92.7 million in net investments made by the consolidated sponsored funds we seeded during the first half of 2012 for which we have a controlling financial interest. Timing differences in the cash settlement of our accounts receivable and accrued revenues, payables and accrued liabilities, and other assets and liabilities decreased our operating cash flows by $42.5 million compared to the 2011 year. The cash flows from operating activities in 2012 also includes a reduction for the $35.1 million in gains recognized on the sale of certain fund investments as the related cash flow activity is reflected in net cash used in investing activities. These operating cash flow decreases are offset by a $110.4 million increase in net income and increases in non-cash expenses for depreciation, amortization, and stock-based compensation, which are added back to net income to determine cash from operations.</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cash used in investing activities totaled $310.1 million, up $145.1 million from 2011. We made $218.3 million more net investments in our sponsored funds during 2012 compared with 2011. This increase was offset by greater net cash proceeds of $73.4 million in 2012 from the sale of more debt securities held by our savings bank subsidiary.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used in financing activities was $611.5 million in 2012, down $87.1 million from the comparable 2011 period. During 2011, we expended $344.5 million more for stock repurchases, including the repurchase of 6.4 million more shares than in 2012. This reduction in cash used was partially offset by the change in customer deposits at our savings bank subsidiary during 2012 compared to 2011 as well as a $285.5 million increase in dividends paid. The increase in dividends paid in 2012 is due to a $.03 increase in our quarterly per-share dividend and the payment of a $1.00 per share special dividend in December 2012. The balance of the decrease from 2011 in cash used is due to greater proceeds and tax benefits related to our stock-based compensation plans on increased exercise activity in late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2011 versus 2010.</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Operating activities during 2011 provided cash flows of $948.4 million, up $215.6 million from 2010, including a $101.0 million increase in net income. The increase also includes an $81.7 million change in the timing differences in the cash settlement of our income taxes, accounts receivable and accrued revenues and payables, and accrued liabilities.</w:t>
      </w:r>
    </w:p>
    <w:p>
      <w:pPr>
        <w:spacing w:after="0" w:line="12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Net cash used in investing activities totaled $165.0 million, down $111.9 million from the 2010 period. Cash flows in 2010 included $143.6 million in cash used to purchase our 26% equity interest in UTI. We spent $35.7 million less in property and equipment expenditures in 2011 compared to 2010 due to the construction of our technology support facility being substantially complete at the end of 2010. These reductions in cash used in 2011 were offset by an increase of $57.0 million in net investments made into our sponsored funds compared to the 2010 period.</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cash used in financing activities was $698.6 million in 2011, up $312.5 million from the 2010 period. We increased our stock repurchases by expending $239.7 million more in 2011 compared to the 2010 year. Dividends paid during 2011 increased $39.0 million from the 2010 period due primarily to a $.04 increase in our quarterly per-share dividend. The impact of dividends paid and stock repurchases was greater in 2011, as proceeds related to our stock-based compensation plans decreased $47.8 million on reduced exercise activity.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00"/>
          </w:cols>
          <w:pgMar w:left="240" w:top="125" w:right="259" w:bottom="1440" w:gutter="0" w:footer="0" w:header="0"/>
        </w:sectPr>
      </w:pPr>
    </w:p>
    <w:bookmarkStart w:id="26" w:name="page27"/>
    <w:bookmarkEnd w:id="26"/>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following table presents a summary of our future obligations (in millions) under the terms of existing operating leases and other contractual cash purchase commitments at December 31, 2012. 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generally of a normal recurring nature, we expect that we will fund them from future cash flows from operations. The information presented does not include operating expenses or capital expenditures that will be committed in the normal course of operations in 2013 and future years. The information also excludes the $4.9 million of uncertain tax positions discussed in Note 8 to our consolidated financial statements because it is not possible to estimate the time period in which a payment might be made to the tax authorities.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4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2014-15</w:t>
            </w:r>
          </w:p>
        </w:tc>
        <w:tc>
          <w:tcPr>
            <w:tcW w:w="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2016-17</w:t>
            </w:r>
          </w:p>
        </w:tc>
        <w:tc>
          <w:tcPr>
            <w:tcW w:w="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Later</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Noncancelable operating leases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purchase commitments</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3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also have outstanding commitments to fund additional contributions to investment partnerships in which we have an existing investment totaling $36.5 million at December 31,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2012 Annual Report. In the following discussion, we highlight and explain further certain of those policies that are most critical to the preparation and understanding of our financial statements.</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u w:val="single" w:color="auto"/>
          <w:color w:val="auto"/>
        </w:rPr>
        <w:t>Other-than-temporary impairments of available-for-sale securities</w:t>
      </w:r>
      <w:r>
        <w:rPr>
          <w:rFonts w:ascii="Arial" w:cs="Arial" w:eastAsia="Arial" w:hAnsi="Arial"/>
          <w:sz w:val="16"/>
          <w:szCs w:val="16"/>
          <w:color w:val="auto"/>
        </w:rPr>
        <w:t>. We generally classify our investment holdings in sponsored funds and the debt securities held for investment by our savings bank subsidiary as available-for-sale. At the end of each quarter, we mark the carrying amount of each investment holding to fair value and recognize an unrealized gain or loss as a component of comprehensive income within the consolidated statements of comprehensive income. We next review each individual security position that has an unrealized loss or impairment to determine if that impairment is other than temporary.</w:t>
      </w:r>
    </w:p>
    <w:p>
      <w:pPr>
        <w:spacing w:after="0" w:line="15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determining whether a mutual fund holding is other-than-temporarily impaired, we consider many factors, including the duration of time it has existed, the severity of the impairment, any subsequent changes in value, and our intent and ability to hold the security for a period of time sufficient for an anticipated recovery in fair value. Subject to the other considerations noted above, with respect to duration of time, we believe a fund holding with an unrealized loss that has persisted daily throughout the six months between quarter-ends is generally presumed to have an other-than-temporary impairment. We may also recognize an other-than-temporary loss of less than six months in our consolidated statements of income if the particular circumstances of the underlying investment do not warrant our belief that a near-term recovery is possible.</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 impaired debt security held by our savings bank subsidiary is considered to have an other-than-temporary loss that we will recognize in our consolidated statements of income if the impairment is caused by a change in credit quality that affects our ability to recover our amortized cost or if we intend to sell the security or believe that it is more likely than not that we will be required to sell the security before recovering cost. Minor impairments of 5% or less are generally considered temporary.</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u w:val="single" w:color="auto"/>
          <w:color w:val="auto"/>
        </w:rPr>
        <w:t>Other-than-temporary impairments of equity method investments</w:t>
      </w:r>
      <w:r>
        <w:rPr>
          <w:rFonts w:ascii="Arial" w:cs="Arial" w:eastAsia="Arial" w:hAnsi="Arial"/>
          <w:sz w:val="18"/>
          <w:szCs w:val="18"/>
          <w:color w:val="auto"/>
        </w:rPr>
        <w:t>. We evaluate our equity method investments, including our investment in UTI, for impairment when events or changes in circumstances indicate that the carrying value of the investment exceeds its fair value, and the decline in fair value is other than temporary.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125" w:right="239" w:bottom="1440" w:gutter="0" w:footer="0" w:header="0"/>
        </w:sectPr>
      </w:pPr>
    </w:p>
    <w:bookmarkStart w:id="27" w:name="page28"/>
    <w:bookmarkEnd w:id="27"/>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We internally conduct, manage,and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evaluate the carrying amount of goodwill in our consolidated balance sheets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consolidated balance sheets, $665.7 million.</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We recognize stock option-based compensation expense in our consolidated statements of income using a fair value based method. Fair value methods use a valuation model for shorter-term, market-traded financial instruments to theoretically value stock option grants even though they are not available for trading and are of longer duration. The Black-Scholes option-pricing model that we use includes the input of certain variables that are dependent on future expectations, including the expected lives of our options from grant date to exercise date, the volatility of our underlying common shares in the market over that time period, and the rate of dividends that we will pay during that time. Our estimates of these variables are made for the purpose of using the valuation model to determine an expense for each reporting period and are not subsequently adjusted. Unlike most of our expenses, the resulting charge to earnings using a fair value based method is a non-cash charge that is never measured by, or adjusted based on, a cash outflow.</w:t>
      </w:r>
    </w:p>
    <w:p>
      <w:pPr>
        <w:spacing w:after="0" w:line="16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u w:val="single" w:color="auto"/>
          <w:color w:val="auto"/>
        </w:rPr>
        <w:t>Provision for income taxes</w:t>
      </w:r>
      <w:r>
        <w:rPr>
          <w:rFonts w:ascii="Arial" w:cs="Arial" w:eastAsia="Arial" w:hAnsi="Arial"/>
          <w:sz w:val="16"/>
          <w:szCs w:val="16"/>
          <w:color w:val="auto"/>
        </w:rPr>
        <w:t>. 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NEWLY ISSUED BUT NOT YET ADOPTED ACCOUNTING GUIDANCE.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also considered all other newly issued accounting guidance that is applicable to our operations and the preparation of our consolidated financial statements, including that which we have not yet adopted. We do not believe that any such guidance will have a material effect on our financial position or results of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dividends,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00"/>
          </w:cols>
          <w:pgMar w:left="240" w:top="125" w:right="259" w:bottom="1440" w:gutter="0" w:footer="0" w:header="0"/>
        </w:sectPr>
      </w:pPr>
    </w:p>
    <w:bookmarkStart w:id="28" w:name="page29"/>
    <w:bookmarkEnd w:id="28"/>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6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and other equity grants, other incentive awards,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table (in millions) presents the equity price risk from investments in sponsored funds that are accounted for as available-for-sale securities by assuming a hypothetical decline in the fair values of fund shares. We have chosen to use a variant of each fund's net asset value to quantify the equity price risk as we believe that the volatility in each fund's net asset value best reflects the underlying risk potential as well as the market trends surrounding each fund's investment objective. The potential future loss of value, before any income tax benefits, of our fund investments at year-end was determined by using the lower of each fund’s lowest net asset value per share during 2012 or its net asset value per share at December 31, 2012 reduced by 10%. In considering this presentation, it is important to note that: not all funds experienced their lowest net asset value per share on the same day; it is likely that the composition of the fund investment portfolio would be changed if adverse market conditions persisted; and we could experience future losses in excess of those presented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Fair value</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Percentage of</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Potential lower</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Percentage of</w:t>
            </w:r>
          </w:p>
        </w:tc>
        <w:tc>
          <w:tcPr>
            <w:tcW w:w="4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Potential</w:t>
            </w:r>
          </w:p>
        </w:tc>
        <w:tc>
          <w:tcPr>
            <w:tcW w:w="640" w:type="dxa"/>
            <w:vAlign w:val="bottom"/>
            <w:shd w:val="clear" w:color="auto" w:fill="CCEEFF"/>
          </w:tcPr>
          <w:p>
            <w:pPr>
              <w:spacing w:after="0"/>
              <w:rPr>
                <w:sz w:val="19"/>
                <w:szCs w:val="19"/>
                <w:color w:val="auto"/>
              </w:rPr>
            </w:pPr>
          </w:p>
        </w:tc>
      </w:tr>
      <w:tr>
        <w:trPr>
          <w:trHeight w:val="257"/>
        </w:trPr>
        <w:tc>
          <w:tcPr>
            <w:tcW w:w="27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5"/>
              </w:rPr>
              <w:t>12/31/2012</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portfolio</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value</w:t>
            </w: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portfolio</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loss</w:t>
            </w:r>
          </w:p>
        </w:tc>
        <w:tc>
          <w:tcPr>
            <w:tcW w:w="640" w:type="dxa"/>
            <w:vAlign w:val="bottom"/>
            <w:tcBorders>
              <w:bottom w:val="single" w:sz="8" w:color="CCEEFF"/>
            </w:tcBorders>
            <w:shd w:val="clear" w:color="auto" w:fill="CCEEFF"/>
          </w:tcPr>
          <w:p>
            <w:pPr>
              <w:spacing w:after="0"/>
              <w:rPr>
                <w:sz w:val="22"/>
                <w:szCs w:val="22"/>
                <w:color w:val="auto"/>
              </w:rPr>
            </w:pPr>
          </w:p>
        </w:tc>
      </w:tr>
      <w:tr>
        <w:trPr>
          <w:trHeight w:val="237"/>
        </w:trPr>
        <w:tc>
          <w:tcPr>
            <w:tcW w:w="2780" w:type="dxa"/>
            <w:vAlign w:val="bottom"/>
          </w:tcPr>
          <w:p>
            <w:pPr>
              <w:ind w:left="40"/>
              <w:spacing w:after="0"/>
              <w:rPr>
                <w:sz w:val="20"/>
                <w:szCs w:val="20"/>
                <w:color w:val="auto"/>
              </w:rPr>
            </w:pPr>
            <w:r>
              <w:rPr>
                <w:rFonts w:ascii="Arial" w:cs="Arial" w:eastAsia="Arial" w:hAnsi="Arial"/>
                <w:sz w:val="18"/>
                <w:szCs w:val="18"/>
                <w:color w:val="auto"/>
              </w:rPr>
              <w:t>Stock and blended asset funds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515.8</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431.6</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84.2</w:t>
            </w:r>
          </w:p>
        </w:tc>
        <w:tc>
          <w:tcPr>
            <w:tcW w:w="5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624.3</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554.7</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w:t>
            </w:r>
          </w:p>
        </w:tc>
        <w:tc>
          <w:tcPr>
            <w:tcW w:w="5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27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1,140.1</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986.3</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153.8</w:t>
            </w:r>
          </w:p>
        </w:tc>
        <w:tc>
          <w:tcPr>
            <w:tcW w:w="5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2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comparable potential loss of value in 2011 if we would have applied the same methodology noted above would have been $80.1 million on sponsored fund investments of $764.5 million. During 2012, we actually experienced net unrealized gains of $99.9 million.</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our fund holdings are considered available-for-sale securities, we recognize unrealized losses that are considered temporary in other comprehensive income. We review the carrying amount of each investment on a quarterly basis and recognize an impairment charge in non-operating investment income (loss) whenever an unrealized loss is considered other than temporary.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380"/>
          </w:cols>
          <w:pgMar w:left="240" w:top="125" w:right="279" w:bottom="1440" w:gutter="0" w:footer="0" w:header="0"/>
        </w:sectPr>
      </w:pPr>
    </w:p>
    <w:bookmarkStart w:id="29" w:name="page30"/>
    <w:bookmarkEnd w:id="29"/>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Investments in mutual funds generally moderate market risk because funds, by their nature, are diversified investment portfolios that invest in a number of different financial instruments. T. Rowe Price further manages its exposure to market risk by diversifying its investments among many domestic and international funds. In addition, investment holdings may be altered from time to time in response to changes in market risks and other factors, as management deems appropriate.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investment portfolio and customer deposit liabilities of our savings bank subsidiary are subject to interest rate risk. If interest rates change 1%, the change in the net value of these assets and liabilities would not be material.</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also hold other investments of $304.7 million at December 31, 2012, including our $139.8 million equity investment in UTI. Given the nature of UTI’s business, should conditions deteriorate in markets in which they operate, we are at risk for loss up to our carrying amount. In addition, our investment in UTI exposes us to foreign currency risk related to translating our proportionate share of its financial statements, which are denominated in Indian rupees (INR), to U.S. dollars (USD) each reporting period. We do not use derivative financial instruments to manage this foreign currency risk, so both positive and negative fluctuations in the INR against the USD will affect accumulated other comprehensive income and the carrying amount of our investment. Our cumulative translation loss, net of tax, at December 31, 2012, was $12.6 million.</w:t>
      </w:r>
    </w:p>
    <w:p>
      <w:pPr>
        <w:spacing w:after="0" w:line="1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operate in several foreign countries of which the United Kingdom is the most prominent. We incur operating expenses and have foreign currency-denominated assets and liabilities associated with these operations, though our revenues are predominately realized in USD. We do not believe that foreign currency fluctuations materially affect our results of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12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3540" w:type="dxa"/>
            <w:vAlign w:val="bottom"/>
            <w:gridSpan w:val="5"/>
          </w:tcPr>
          <w:p>
            <w:pPr>
              <w:spacing w:after="0"/>
              <w:rPr>
                <w:sz w:val="17"/>
                <w:szCs w:val="17"/>
                <w:color w:val="auto"/>
              </w:rPr>
            </w:pPr>
          </w:p>
        </w:tc>
        <w:tc>
          <w:tcPr>
            <w:tcW w:w="23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80"/>
        </w:trPr>
        <w:tc>
          <w:tcPr>
            <w:tcW w:w="872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27"/>
        </w:trPr>
        <w:tc>
          <w:tcPr>
            <w:tcW w:w="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91"/>
        </w:trPr>
        <w:tc>
          <w:tcPr>
            <w:tcW w:w="8720" w:type="dxa"/>
            <w:vAlign w:val="bottom"/>
            <w:gridSpan w:val="11"/>
          </w:tcPr>
          <w:p>
            <w:pPr>
              <w:ind w:left="40"/>
              <w:spacing w:after="0"/>
              <w:rPr>
                <w:sz w:val="20"/>
                <w:szCs w:val="20"/>
                <w:color w:val="auto"/>
              </w:rPr>
            </w:pPr>
            <w:r>
              <w:rPr>
                <w:rFonts w:ascii="Arial" w:cs="Arial" w:eastAsia="Arial" w:hAnsi="Arial"/>
                <w:sz w:val="18"/>
                <w:szCs w:val="18"/>
                <w:color w:val="auto"/>
              </w:rPr>
              <w:t>Index to Financial Statements:</w:t>
            </w:r>
          </w:p>
        </w:tc>
        <w:tc>
          <w:tcPr>
            <w:tcW w:w="2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4420" w:type="dxa"/>
            <w:vAlign w:val="bottom"/>
            <w:tcBorders>
              <w:bottom w:val="single" w:sz="8" w:color="auto"/>
            </w:tcBorders>
            <w:gridSpan w:val="4"/>
          </w:tcPr>
          <w:p>
            <w:pPr>
              <w:spacing w:after="0"/>
              <w:rPr>
                <w:rFonts w:ascii="Arial" w:cs="Arial" w:eastAsia="Arial" w:hAnsi="Arial"/>
                <w:sz w:val="18"/>
                <w:szCs w:val="18"/>
                <w:color w:val="auto"/>
                <w:w w:val="88"/>
              </w:rPr>
            </w:pPr>
            <w:hyperlink w:anchor="page31">
              <w:r>
                <w:rPr>
                  <w:rFonts w:ascii="Arial" w:cs="Arial" w:eastAsia="Arial" w:hAnsi="Arial"/>
                  <w:sz w:val="18"/>
                  <w:szCs w:val="18"/>
                  <w:color w:val="auto"/>
                  <w:w w:val="88"/>
                </w:rPr>
                <w:t>Consolidated Balance Sheets at December 31, 2011 and 2012</w:t>
              </w:r>
            </w:hyperlink>
          </w:p>
        </w:tc>
        <w:tc>
          <w:tcPr>
            <w:tcW w:w="4120" w:type="dxa"/>
            <w:vAlign w:val="bottom"/>
            <w:gridSpan w:val="6"/>
          </w:tcPr>
          <w:p>
            <w:pPr>
              <w:spacing w:after="0"/>
              <w:rPr>
                <w:sz w:val="19"/>
                <w:szCs w:val="19"/>
                <w:color w:val="auto"/>
              </w:rPr>
            </w:pPr>
          </w:p>
        </w:tc>
        <w:tc>
          <w:tcPr>
            <w:tcW w:w="2680" w:type="dxa"/>
            <w:vAlign w:val="bottom"/>
            <w:gridSpan w:val="2"/>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50"/>
        </w:trPr>
        <w:tc>
          <w:tcPr>
            <w:tcW w:w="180" w:type="dxa"/>
            <w:vAlign w:val="bottom"/>
          </w:tcPr>
          <w:p>
            <w:pPr>
              <w:spacing w:after="0"/>
              <w:rPr>
                <w:sz w:val="21"/>
                <w:szCs w:val="21"/>
                <w:color w:val="auto"/>
              </w:rPr>
            </w:pPr>
          </w:p>
        </w:tc>
        <w:tc>
          <w:tcPr>
            <w:tcW w:w="8540" w:type="dxa"/>
            <w:vAlign w:val="bottom"/>
            <w:gridSpan w:val="10"/>
          </w:tcPr>
          <w:p>
            <w:pPr>
              <w:spacing w:after="0"/>
              <w:rPr>
                <w:rFonts w:ascii="Arial" w:cs="Arial" w:eastAsia="Arial" w:hAnsi="Arial"/>
                <w:sz w:val="18"/>
                <w:szCs w:val="18"/>
                <w:color w:val="auto"/>
              </w:rPr>
            </w:pPr>
            <w:hyperlink w:anchor="page32">
              <w:r>
                <w:rPr>
                  <w:rFonts w:ascii="Arial" w:cs="Arial" w:eastAsia="Arial" w:hAnsi="Arial"/>
                  <w:sz w:val="18"/>
                  <w:szCs w:val="18"/>
                  <w:color w:val="auto"/>
                </w:rPr>
                <w:t>Consolidated Statements of Income for each of the three years in the period ended December 31, 2012</w:t>
              </w:r>
            </w:hyperlink>
          </w:p>
        </w:tc>
        <w:tc>
          <w:tcPr>
            <w:tcW w:w="2680" w:type="dxa"/>
            <w:vAlign w:val="bottom"/>
            <w:gridSpan w:val="2"/>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0"/>
        </w:trPr>
        <w:tc>
          <w:tcPr>
            <w:tcW w:w="1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680" w:type="dxa"/>
            <w:vAlign w:val="bottom"/>
            <w:gridSpan w:val="3"/>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540" w:type="dxa"/>
            <w:vAlign w:val="bottom"/>
            <w:tcBorders>
              <w:bottom w:val="single" w:sz="8" w:color="auto"/>
            </w:tcBorders>
            <w:gridSpan w:val="10"/>
          </w:tcPr>
          <w:p>
            <w:pPr>
              <w:spacing w:after="0"/>
              <w:rPr>
                <w:rFonts w:ascii="Arial" w:cs="Arial" w:eastAsia="Arial" w:hAnsi="Arial"/>
                <w:sz w:val="18"/>
                <w:szCs w:val="18"/>
                <w:color w:val="auto"/>
                <w:w w:val="89"/>
              </w:rPr>
            </w:pPr>
            <w:hyperlink w:anchor="page33">
              <w:r>
                <w:rPr>
                  <w:rFonts w:ascii="Arial" w:cs="Arial" w:eastAsia="Arial" w:hAnsi="Arial"/>
                  <w:sz w:val="18"/>
                  <w:szCs w:val="18"/>
                  <w:color w:val="auto"/>
                  <w:w w:val="89"/>
                </w:rPr>
                <w:t>Consolidated Statements of Comprehensive Income for each of the three years in the period ended December 31, 2012</w:t>
              </w:r>
            </w:hyperlink>
          </w:p>
        </w:tc>
        <w:tc>
          <w:tcPr>
            <w:tcW w:w="2680" w:type="dxa"/>
            <w:vAlign w:val="bottom"/>
            <w:gridSpan w:val="2"/>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50"/>
        </w:trPr>
        <w:tc>
          <w:tcPr>
            <w:tcW w:w="180" w:type="dxa"/>
            <w:vAlign w:val="bottom"/>
          </w:tcPr>
          <w:p>
            <w:pPr>
              <w:spacing w:after="0"/>
              <w:rPr>
                <w:sz w:val="21"/>
                <w:szCs w:val="21"/>
                <w:color w:val="auto"/>
              </w:rPr>
            </w:pPr>
          </w:p>
        </w:tc>
        <w:tc>
          <w:tcPr>
            <w:tcW w:w="8540" w:type="dxa"/>
            <w:vAlign w:val="bottom"/>
            <w:gridSpan w:val="10"/>
          </w:tcPr>
          <w:p>
            <w:pPr>
              <w:spacing w:after="0"/>
              <w:rPr>
                <w:rFonts w:ascii="Arial" w:cs="Arial" w:eastAsia="Arial" w:hAnsi="Arial"/>
                <w:sz w:val="18"/>
                <w:szCs w:val="18"/>
                <w:color w:val="auto"/>
                <w:w w:val="99"/>
              </w:rPr>
            </w:pPr>
            <w:hyperlink w:anchor="page34">
              <w:r>
                <w:rPr>
                  <w:rFonts w:ascii="Arial" w:cs="Arial" w:eastAsia="Arial" w:hAnsi="Arial"/>
                  <w:sz w:val="18"/>
                  <w:szCs w:val="18"/>
                  <w:color w:val="auto"/>
                  <w:w w:val="99"/>
                </w:rPr>
                <w:t>Consolidated Statements of Cash Flows for each of the three years in the period ended December 31, 2012</w:t>
              </w:r>
            </w:hyperlink>
          </w:p>
        </w:tc>
        <w:tc>
          <w:tcPr>
            <w:tcW w:w="2680" w:type="dxa"/>
            <w:vAlign w:val="bottom"/>
            <w:gridSpan w:val="2"/>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680" w:type="dxa"/>
            <w:vAlign w:val="bottom"/>
            <w:gridSpan w:val="3"/>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320" w:type="dxa"/>
            <w:vAlign w:val="bottom"/>
            <w:tcBorders>
              <w:bottom w:val="single" w:sz="8" w:color="auto"/>
            </w:tcBorders>
            <w:gridSpan w:val="9"/>
          </w:tcPr>
          <w:p>
            <w:pPr>
              <w:spacing w:after="0"/>
              <w:rPr>
                <w:rFonts w:ascii="Arial" w:cs="Arial" w:eastAsia="Arial" w:hAnsi="Arial"/>
                <w:sz w:val="18"/>
                <w:szCs w:val="18"/>
                <w:color w:val="auto"/>
                <w:w w:val="89"/>
              </w:rPr>
            </w:pPr>
            <w:hyperlink w:anchor="page35">
              <w:r>
                <w:rPr>
                  <w:rFonts w:ascii="Arial" w:cs="Arial" w:eastAsia="Arial" w:hAnsi="Arial"/>
                  <w:sz w:val="18"/>
                  <w:szCs w:val="18"/>
                  <w:color w:val="auto"/>
                  <w:w w:val="89"/>
                </w:rPr>
                <w:t>Consolidated Statements of Stockholders' Equity for each of the three years in the period ended December 31, 2012</w:t>
              </w:r>
            </w:hyperlink>
          </w:p>
        </w:tc>
        <w:tc>
          <w:tcPr>
            <w:tcW w:w="220" w:type="dxa"/>
            <w:vAlign w:val="bottom"/>
          </w:tcPr>
          <w:p>
            <w:pPr>
              <w:spacing w:after="0"/>
              <w:rPr>
                <w:sz w:val="21"/>
                <w:szCs w:val="21"/>
                <w:color w:val="auto"/>
              </w:rPr>
            </w:pPr>
          </w:p>
        </w:tc>
        <w:tc>
          <w:tcPr>
            <w:tcW w:w="2680" w:type="dxa"/>
            <w:vAlign w:val="bottom"/>
            <w:gridSpan w:val="2"/>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50"/>
        </w:trPr>
        <w:tc>
          <w:tcPr>
            <w:tcW w:w="180" w:type="dxa"/>
            <w:vAlign w:val="bottom"/>
          </w:tcPr>
          <w:p>
            <w:pPr>
              <w:spacing w:after="0"/>
              <w:rPr>
                <w:sz w:val="21"/>
                <w:szCs w:val="21"/>
                <w:color w:val="auto"/>
              </w:rPr>
            </w:pPr>
          </w:p>
        </w:tc>
        <w:tc>
          <w:tcPr>
            <w:tcW w:w="3220" w:type="dxa"/>
            <w:vAlign w:val="bottom"/>
            <w:tcBorders>
              <w:bottom w:val="single" w:sz="8" w:color="auto"/>
            </w:tcBorders>
          </w:tcPr>
          <w:p>
            <w:pPr>
              <w:spacing w:after="0"/>
              <w:rPr>
                <w:rFonts w:ascii="Arial" w:cs="Arial" w:eastAsia="Arial" w:hAnsi="Arial"/>
                <w:sz w:val="18"/>
                <w:szCs w:val="18"/>
                <w:color w:val="auto"/>
                <w:w w:val="92"/>
              </w:rPr>
            </w:pPr>
            <w:hyperlink w:anchor="page36">
              <w:r>
                <w:rPr>
                  <w:rFonts w:ascii="Arial" w:cs="Arial" w:eastAsia="Arial" w:hAnsi="Arial"/>
                  <w:sz w:val="18"/>
                  <w:szCs w:val="18"/>
                  <w:color w:val="auto"/>
                  <w:w w:val="92"/>
                </w:rPr>
                <w:t>Summary of Significant Accounting Policies</w:t>
              </w:r>
            </w:hyperlink>
          </w:p>
        </w:tc>
        <w:tc>
          <w:tcPr>
            <w:tcW w:w="5320" w:type="dxa"/>
            <w:vAlign w:val="bottom"/>
            <w:gridSpan w:val="9"/>
          </w:tcPr>
          <w:p>
            <w:pPr>
              <w:spacing w:after="0"/>
              <w:rPr>
                <w:sz w:val="21"/>
                <w:szCs w:val="21"/>
                <w:color w:val="auto"/>
              </w:rPr>
            </w:pPr>
          </w:p>
        </w:tc>
        <w:tc>
          <w:tcPr>
            <w:tcW w:w="2680" w:type="dxa"/>
            <w:vAlign w:val="bottom"/>
            <w:gridSpan w:val="2"/>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50"/>
        </w:trPr>
        <w:tc>
          <w:tcPr>
            <w:tcW w:w="180" w:type="dxa"/>
            <w:vAlign w:val="bottom"/>
          </w:tcPr>
          <w:p>
            <w:pPr>
              <w:spacing w:after="0"/>
              <w:rPr>
                <w:sz w:val="21"/>
                <w:szCs w:val="21"/>
                <w:color w:val="auto"/>
              </w:rPr>
            </w:pPr>
          </w:p>
        </w:tc>
        <w:tc>
          <w:tcPr>
            <w:tcW w:w="6880" w:type="dxa"/>
            <w:vAlign w:val="bottom"/>
            <w:tcBorders>
              <w:bottom w:val="single" w:sz="8" w:color="auto"/>
            </w:tcBorders>
            <w:gridSpan w:val="6"/>
          </w:tcPr>
          <w:p>
            <w:pPr>
              <w:spacing w:after="0"/>
              <w:rPr>
                <w:rFonts w:ascii="Arial" w:cs="Arial" w:eastAsia="Arial" w:hAnsi="Arial"/>
                <w:sz w:val="18"/>
                <w:szCs w:val="18"/>
                <w:color w:val="auto"/>
                <w:w w:val="90"/>
              </w:rPr>
            </w:pPr>
            <w:hyperlink w:anchor="page40">
              <w:r>
                <w:rPr>
                  <w:rFonts w:ascii="Arial" w:cs="Arial" w:eastAsia="Arial" w:hAnsi="Arial"/>
                  <w:sz w:val="18"/>
                  <w:szCs w:val="18"/>
                  <w:color w:val="auto"/>
                  <w:w w:val="90"/>
                </w:rPr>
                <w:t>Notes to Consolidated Financial Statements, including Supplementary Quarterly Financial Data</w:t>
              </w:r>
            </w:hyperlink>
          </w:p>
        </w:tc>
        <w:tc>
          <w:tcPr>
            <w:tcW w:w="1660" w:type="dxa"/>
            <w:vAlign w:val="bottom"/>
            <w:gridSpan w:val="4"/>
          </w:tcPr>
          <w:p>
            <w:pPr>
              <w:spacing w:after="0"/>
              <w:rPr>
                <w:sz w:val="21"/>
                <w:szCs w:val="21"/>
                <w:color w:val="auto"/>
              </w:rPr>
            </w:pPr>
          </w:p>
        </w:tc>
        <w:tc>
          <w:tcPr>
            <w:tcW w:w="2680" w:type="dxa"/>
            <w:vAlign w:val="bottom"/>
            <w:gridSpan w:val="2"/>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250"/>
        </w:trPr>
        <w:tc>
          <w:tcPr>
            <w:tcW w:w="180" w:type="dxa"/>
            <w:vAlign w:val="bottom"/>
          </w:tcPr>
          <w:p>
            <w:pPr>
              <w:spacing w:after="0"/>
              <w:rPr>
                <w:sz w:val="21"/>
                <w:szCs w:val="21"/>
                <w:color w:val="auto"/>
              </w:rPr>
            </w:pPr>
          </w:p>
        </w:tc>
        <w:tc>
          <w:tcPr>
            <w:tcW w:w="8540" w:type="dxa"/>
            <w:vAlign w:val="bottom"/>
            <w:gridSpan w:val="10"/>
          </w:tcPr>
          <w:p>
            <w:pPr>
              <w:spacing w:after="0"/>
              <w:rPr>
                <w:rFonts w:ascii="Arial" w:cs="Arial" w:eastAsia="Arial" w:hAnsi="Arial"/>
                <w:sz w:val="18"/>
                <w:szCs w:val="18"/>
                <w:color w:val="auto"/>
              </w:rPr>
            </w:pPr>
            <w:hyperlink w:anchor="page50">
              <w:r>
                <w:rPr>
                  <w:rFonts w:ascii="Arial" w:cs="Arial" w:eastAsia="Arial" w:hAnsi="Arial"/>
                  <w:sz w:val="18"/>
                  <w:szCs w:val="18"/>
                  <w:color w:val="auto"/>
                </w:rPr>
                <w:t>Report of Independent Registered Public Accounting Firm</w:t>
              </w:r>
            </w:hyperlink>
          </w:p>
        </w:tc>
        <w:tc>
          <w:tcPr>
            <w:tcW w:w="2680" w:type="dxa"/>
            <w:vAlign w:val="bottom"/>
            <w:gridSpan w:val="2"/>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r>
      <w:tr>
        <w:trPr>
          <w:trHeight w:val="20"/>
        </w:trPr>
        <w:tc>
          <w:tcPr>
            <w:tcW w:w="1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00"/>
          </w:cols>
          <w:pgMar w:left="240" w:top="108" w:right="259" w:bottom="1440" w:gutter="0" w:footer="0" w:header="0"/>
        </w:sectPr>
      </w:pPr>
    </w:p>
    <w:bookmarkStart w:id="31" w:name="page32"/>
    <w:bookmarkEnd w:id="31"/>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12/31/2011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12/31/2012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353.9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securities held by savings bank subsidiary</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136.0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561.0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162.3</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4,202.8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Customer deposits at savings bank subsidiary</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154.7</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356.7</w:t>
            </w:r>
          </w:p>
        </w:tc>
      </w:tr>
      <w:tr>
        <w:trPr>
          <w:trHeight w:val="318"/>
        </w:trPr>
        <w:tc>
          <w:tcPr>
            <w:tcW w:w="83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324"/>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Common stock, $.20 par value - authorized 750,000,000; issued 253,272,000 shares in 2011 and 257,018,000 in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631.0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131.9</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3,846.1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3,770.3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4,202.8</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20" w:right="68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31</w:t>
      </w:r>
    </w:p>
    <w:p>
      <w:pPr>
        <w:sectPr>
          <w:pgSz w:w="11900" w:h="16838" w:orient="portrait"/>
          <w:cols w:equalWidth="0" w:num="1">
            <w:col w:w="11420"/>
          </w:cols>
          <w:pgMar w:left="240" w:top="125" w:right="239" w:bottom="1440" w:gutter="0" w:footer="0" w:header="0"/>
        </w:sectPr>
      </w:pPr>
    </w:p>
    <w:bookmarkStart w:id="32" w:name="page33"/>
    <w:bookmarkEnd w:id="32"/>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958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2,026.8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2,349.0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2,592.0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fees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Distribution and servicing fees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96.1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 of savings bank subsidiary</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3,022.5</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and 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Advertising and promotion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89.8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and servicing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Occupancy and facility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219.1</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1,658.2</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1,364.3</w:t>
            </w:r>
          </w:p>
        </w:tc>
      </w:tr>
      <w:tr>
        <w:trPr>
          <w:trHeight w:val="32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investment income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551.5</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3.47</w:t>
            </w: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56"/>
        </w:trPr>
        <w:tc>
          <w:tcPr>
            <w:tcW w:w="67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32</w:t>
      </w:r>
    </w:p>
    <w:p>
      <w:pPr>
        <w:sectPr>
          <w:pgSz w:w="11900" w:h="16838" w:orient="portrait"/>
          <w:cols w:equalWidth="0" w:num="1">
            <w:col w:w="11400"/>
          </w:cols>
          <w:pgMar w:left="240" w:top="125" w:right="259" w:bottom="1440" w:gutter="0" w:footer="0" w:header="0"/>
        </w:sectPr>
      </w:pPr>
    </w:p>
    <w:bookmarkStart w:id="33" w:name="page34"/>
    <w:bookmarkEnd w:id="33"/>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5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58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2012</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672.2</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773.2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883.6</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unrealized holding gains (losses) 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Investments in sponsored funds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holding gains (losses)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Reclassification adjustment related to capital gain distributions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Reclassification adjustment on net gains realized on dispositions in non-operating</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investment income</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37"/>
        </w:trPr>
        <w:tc>
          <w:tcPr>
            <w:tcW w:w="6720" w:type="dxa"/>
            <w:vAlign w:val="bottom"/>
          </w:tcPr>
          <w:p>
            <w:pPr>
              <w:ind w:left="160"/>
              <w:spacing w:after="0"/>
              <w:rPr>
                <w:sz w:val="20"/>
                <w:szCs w:val="20"/>
                <w:color w:val="auto"/>
              </w:rPr>
            </w:pPr>
            <w:r>
              <w:rPr>
                <w:rFonts w:ascii="Arial" w:cs="Arial" w:eastAsia="Arial" w:hAnsi="Arial"/>
                <w:sz w:val="18"/>
                <w:szCs w:val="18"/>
                <w:color w:val="auto"/>
              </w:rPr>
              <w:t>Investments in sponsored funds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(45.5)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w:t>
            </w: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securities held by savings bank subsidiary</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6720" w:type="dxa"/>
            <w:vAlign w:val="bottom"/>
          </w:tcPr>
          <w:p>
            <w:pPr>
              <w:ind w:left="160"/>
              <w:spacing w:after="0"/>
              <w:rPr>
                <w:sz w:val="20"/>
                <w:szCs w:val="20"/>
                <w:color w:val="auto"/>
              </w:rPr>
            </w:pPr>
            <w:r>
              <w:rPr>
                <w:rFonts w:ascii="Arial" w:cs="Arial" w:eastAsia="Arial" w:hAnsi="Arial"/>
                <w:sz w:val="18"/>
                <w:szCs w:val="18"/>
                <w:color w:val="auto"/>
                <w:w w:val="99"/>
              </w:rPr>
              <w:t>Proportionate share of net unrealized holding gains on securities held by UTI Asset</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20" w:type="dxa"/>
            <w:vAlign w:val="bottom"/>
          </w:tcPr>
          <w:p>
            <w:pPr>
              <w:ind w:left="240"/>
              <w:spacing w:after="0"/>
              <w:rPr>
                <w:sz w:val="20"/>
                <w:szCs w:val="20"/>
                <w:color w:val="auto"/>
              </w:rPr>
            </w:pPr>
            <w:r>
              <w:rPr>
                <w:rFonts w:ascii="Arial" w:cs="Arial" w:eastAsia="Arial" w:hAnsi="Arial"/>
                <w:sz w:val="18"/>
                <w:szCs w:val="18"/>
                <w:color w:val="auto"/>
              </w:rPr>
              <w:t>Management Company Limited</w:t>
            </w:r>
          </w:p>
        </w:tc>
        <w:tc>
          <w:tcPr>
            <w:tcW w:w="96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4"/>
              </w:rPr>
              <w:t>Total net unrealized holding gains (losses) recognized in other comprehensive income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 before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Deferred tax benefits (income taxes)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(36.3)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709.4</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736.9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912.7</w:t>
            </w:r>
          </w:p>
        </w:tc>
      </w:tr>
      <w:tr>
        <w:trPr>
          <w:trHeight w:val="27"/>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33</w:t>
      </w:r>
    </w:p>
    <w:p>
      <w:pPr>
        <w:sectPr>
          <w:pgSz w:w="11900" w:h="16838" w:orient="portrait"/>
          <w:cols w:equalWidth="0" w:num="1">
            <w:col w:w="11400"/>
          </w:cols>
          <w:pgMar w:left="240" w:top="125" w:right="259" w:bottom="1440" w:gutter="0" w:footer="0" w:header="0"/>
        </w:sectPr>
      </w:pPr>
    </w:p>
    <w:bookmarkStart w:id="34" w:name="page35"/>
    <w:bookmarkEnd w:id="34"/>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958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773.2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883.6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Realized gains on the dispositions of sponsored funds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Changes in securities held by consolidated sponsored investment portfolios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accounts receivable and accrued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Changes in payables and accrued liabilities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changes in assets and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902.8</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UTI Asset Management Company Limited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Investments in sponsored funds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 of sponsored funds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Investments in debt securities held by savings bank subsidiary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debt securities held by savings bank subsidiary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investments made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Excess tax benefits from stock-based compensation plans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savings bank subsidiary deposits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change during year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897.9</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At end of year</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813.1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879.1</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34</w:t>
      </w:r>
    </w:p>
    <w:p>
      <w:pPr>
        <w:sectPr>
          <w:pgSz w:w="11900" w:h="16838" w:orient="portrait"/>
          <w:cols w:equalWidth="0" w:num="1">
            <w:col w:w="11400"/>
          </w:cols>
          <w:pgMar w:left="240" w:top="125" w:right="259" w:bottom="1440" w:gutter="0" w:footer="0" w:header="0"/>
        </w:sectPr>
      </w:pPr>
    </w:p>
    <w:bookmarkStart w:id="35" w:name="page36"/>
    <w:bookmarkEnd w:id="35"/>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in thousands; dollars 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Additional</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Accumulated</w:t>
            </w:r>
          </w:p>
        </w:tc>
        <w:tc>
          <w:tcPr>
            <w:tcW w:w="1120" w:type="dxa"/>
            <w:vAlign w:val="bottom"/>
            <w:shd w:val="clear" w:color="auto" w:fill="CCEEFF"/>
          </w:tcPr>
          <w:p>
            <w:pPr>
              <w:spacing w:after="0"/>
              <w:rPr>
                <w:sz w:val="13"/>
                <w:szCs w:val="13"/>
                <w:color w:val="auto"/>
              </w:rPr>
            </w:pPr>
          </w:p>
        </w:tc>
      </w:tr>
      <w:tr>
        <w:trPr>
          <w:trHeight w:val="135"/>
        </w:trPr>
        <w:tc>
          <w:tcPr>
            <w:tcW w:w="39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0"/>
              </w:rPr>
              <w:t>Common</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3"/>
              </w:rPr>
              <w:t>capital in</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other</w:t>
            </w:r>
          </w:p>
        </w:tc>
        <w:tc>
          <w:tcPr>
            <w:tcW w:w="1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Total</w:t>
            </w:r>
          </w:p>
        </w:tc>
      </w:tr>
      <w:tr>
        <w:trPr>
          <w:trHeight w:val="135"/>
        </w:trPr>
        <w:tc>
          <w:tcPr>
            <w:tcW w:w="39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1"/>
              </w:rPr>
              <w:t>shares</w:t>
            </w:r>
          </w:p>
        </w:tc>
        <w:tc>
          <w:tcPr>
            <w:tcW w:w="12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0"/>
              </w:rPr>
              <w:t>Common</w:t>
            </w:r>
          </w:p>
        </w:tc>
        <w:tc>
          <w:tcPr>
            <w:tcW w:w="12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5"/>
              </w:rPr>
              <w:t>excess of par</w:t>
            </w:r>
          </w:p>
        </w:tc>
        <w:tc>
          <w:tcPr>
            <w:tcW w:w="122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Retained</w:t>
            </w:r>
          </w:p>
        </w:tc>
        <w:tc>
          <w:tcPr>
            <w:tcW w:w="13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comprehensive</w:t>
            </w:r>
          </w:p>
        </w:tc>
        <w:tc>
          <w:tcPr>
            <w:tcW w:w="11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stockholders’</w:t>
            </w:r>
          </w:p>
        </w:tc>
      </w:tr>
      <w:tr>
        <w:trPr>
          <w:trHeight w:val="170"/>
        </w:trPr>
        <w:tc>
          <w:tcPr>
            <w:tcW w:w="39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outstanding</w:t>
            </w:r>
          </w:p>
        </w:tc>
        <w:tc>
          <w:tcPr>
            <w:tcW w:w="12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stock</w:t>
            </w:r>
          </w:p>
        </w:tc>
        <w:tc>
          <w:tcPr>
            <w:tcW w:w="12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value</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earnings</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income (loss)</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equity</w:t>
            </w:r>
          </w:p>
        </w:tc>
      </w:tr>
    </w:tbl>
    <w:p>
      <w:pPr>
        <w:spacing w:after="0" w:line="1"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3"/>
          <w:szCs w:val="13"/>
          <w:color w:val="auto"/>
        </w:rPr>
        <w:t>Balances at December 31, 2009</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 net of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w:t>
      </w:r>
    </w:p>
    <w:p>
      <w:pPr>
        <w:spacing w:after="0" w:line="121" w:lineRule="exact"/>
        <w:rPr>
          <w:sz w:val="20"/>
          <w:szCs w:val="20"/>
          <w:color w:val="auto"/>
        </w:rPr>
      </w:pPr>
    </w:p>
    <w:p>
      <w:pPr>
        <w:ind w:left="180" w:right="620" w:hanging="134"/>
        <w:spacing w:after="0" w:line="469" w:lineRule="auto"/>
        <w:rPr>
          <w:sz w:val="20"/>
          <w:szCs w:val="20"/>
          <w:color w:val="auto"/>
        </w:rPr>
      </w:pPr>
      <w:r>
        <w:rPr>
          <w:rFonts w:ascii="Arial" w:cs="Arial" w:eastAsia="Arial" w:hAnsi="Arial"/>
          <w:sz w:val="12"/>
          <w:szCs w:val="12"/>
          <w:color w:val="auto"/>
        </w:rPr>
        <w:t>Common stock-based compensation plans activity Shares issued upon option exercises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Restricted shares issued, net of shares withheld for taxes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Shares issued upon vesting of restricted stock units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Forfeiture of restricted awards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tax benefits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Stock-based compensation expense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shares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2010</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 net of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w:t>
      </w:r>
    </w:p>
    <w:p>
      <w:pPr>
        <w:spacing w:after="0" w:line="121" w:lineRule="exact"/>
        <w:rPr>
          <w:sz w:val="20"/>
          <w:szCs w:val="20"/>
          <w:color w:val="auto"/>
        </w:rPr>
      </w:pPr>
    </w:p>
    <w:p>
      <w:pPr>
        <w:ind w:left="180" w:right="620" w:hanging="134"/>
        <w:spacing w:after="0" w:line="469" w:lineRule="auto"/>
        <w:rPr>
          <w:sz w:val="20"/>
          <w:szCs w:val="20"/>
          <w:color w:val="auto"/>
        </w:rPr>
      </w:pPr>
      <w:r>
        <w:rPr>
          <w:rFonts w:ascii="Arial" w:cs="Arial" w:eastAsia="Arial" w:hAnsi="Arial"/>
          <w:sz w:val="12"/>
          <w:szCs w:val="12"/>
          <w:color w:val="auto"/>
        </w:rPr>
        <w:t>Common stock-based compensation plans activity Shares issued upon option exercises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Restricted shares issued, net of shares withheld for taxes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Shares issued upon vesting of restricted stock units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Forfeiture of restricted awards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tax benefits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Stock-based compensation expense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shares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2011</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 net of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w:t>
      </w:r>
    </w:p>
    <w:p>
      <w:pPr>
        <w:spacing w:after="0" w:line="121" w:lineRule="exact"/>
        <w:rPr>
          <w:sz w:val="20"/>
          <w:szCs w:val="20"/>
          <w:color w:val="auto"/>
        </w:rPr>
      </w:pPr>
    </w:p>
    <w:p>
      <w:pPr>
        <w:ind w:left="180" w:right="620" w:hanging="134"/>
        <w:spacing w:after="0" w:line="469" w:lineRule="auto"/>
        <w:rPr>
          <w:sz w:val="20"/>
          <w:szCs w:val="20"/>
          <w:color w:val="auto"/>
        </w:rPr>
      </w:pPr>
      <w:r>
        <w:rPr>
          <w:rFonts w:ascii="Arial" w:cs="Arial" w:eastAsia="Arial" w:hAnsi="Arial"/>
          <w:sz w:val="12"/>
          <w:szCs w:val="12"/>
          <w:color w:val="auto"/>
        </w:rPr>
        <w:t>Common stock-based compensation plans activity Shares issued upon option exercises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Restricted shares issued, net of shares withheld for taxes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Shares issued upon vesting of restricted stock units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Forfeiture of restricted awards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tax benefits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Stock-based compensation expense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shares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2012</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258,534</w:t>
            </w:r>
          </w:p>
        </w:tc>
        <w:tc>
          <w:tcPr>
            <w:tcW w:w="120" w:type="dxa"/>
            <w:vAlign w:val="bottom"/>
          </w:tcPr>
          <w:p>
            <w:pPr>
              <w:spacing w:after="0"/>
              <w:rPr>
                <w:sz w:val="13"/>
                <w:szCs w:val="13"/>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51.7</w:t>
            </w:r>
          </w:p>
        </w:tc>
        <w:tc>
          <w:tcPr>
            <w:tcW w:w="120" w:type="dxa"/>
            <w:vAlign w:val="bottom"/>
          </w:tcPr>
          <w:p>
            <w:pPr>
              <w:spacing w:after="0"/>
              <w:rPr>
                <w:sz w:val="13"/>
                <w:szCs w:val="13"/>
                <w:color w:val="auto"/>
              </w:rPr>
            </w:pP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488.5</w:t>
            </w:r>
          </w:p>
        </w:tc>
        <w:tc>
          <w:tcPr>
            <w:tcW w:w="100" w:type="dxa"/>
            <w:vAlign w:val="bottom"/>
          </w:tcPr>
          <w:p>
            <w:pPr>
              <w:spacing w:after="0"/>
              <w:rPr>
                <w:sz w:val="13"/>
                <w:szCs w:val="13"/>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2,240.1</w:t>
            </w:r>
          </w:p>
        </w:tc>
        <w:tc>
          <w:tcPr>
            <w:tcW w:w="100" w:type="dxa"/>
            <w:vAlign w:val="bottom"/>
          </w:tcPr>
          <w:p>
            <w:pPr>
              <w:spacing w:after="0"/>
              <w:rPr>
                <w:sz w:val="13"/>
                <w:szCs w:val="13"/>
                <w:color w:val="auto"/>
              </w:rPr>
            </w:pPr>
          </w:p>
        </w:tc>
        <w:tc>
          <w:tcPr>
            <w:tcW w:w="48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101.9</w:t>
            </w:r>
          </w:p>
        </w:tc>
        <w:tc>
          <w:tcPr>
            <w:tcW w:w="100" w:type="dxa"/>
            <w:vAlign w:val="bottom"/>
          </w:tcPr>
          <w:p>
            <w:pPr>
              <w:spacing w:after="0"/>
              <w:rPr>
                <w:sz w:val="13"/>
                <w:szCs w:val="13"/>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2,882.2</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672.2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672.2</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37.2</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(278.9)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(278.9)</w:t>
            </w:r>
          </w:p>
        </w:tc>
      </w:tr>
      <w:tr>
        <w:trPr>
          <w:trHeight w:val="54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4,933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86.5</w:t>
            </w: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234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270"/>
        </w:trPr>
        <w:tc>
          <w:tcPr>
            <w:tcW w:w="116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50.9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50.9</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89.5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89.5</w:t>
            </w:r>
          </w:p>
        </w:tc>
      </w:tr>
      <w:tr>
        <w:trPr>
          <w:trHeight w:val="280"/>
        </w:trPr>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(4,998)</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(205.0)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(240.0)</w:t>
            </w:r>
          </w:p>
        </w:tc>
      </w:tr>
      <w:tr>
        <w:trPr>
          <w:trHeight w:val="241"/>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258,760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506.3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2,599.4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139.1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3,296.5</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773.2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773.2</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(36.3)</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(317.9)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(317.9)</w:t>
            </w:r>
          </w:p>
        </w:tc>
      </w:tr>
      <w:tr>
        <w:trPr>
          <w:trHeight w:val="54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2,920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54.1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54.7</w:t>
            </w: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224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270"/>
        </w:trPr>
        <w:tc>
          <w:tcPr>
            <w:tcW w:w="1160" w:type="dxa"/>
            <w:vAlign w:val="bottom"/>
          </w:tcPr>
          <w:p>
            <w:pPr>
              <w:jc w:val="right"/>
              <w:ind w:right="1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35.9</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98.7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98.7</w:t>
            </w:r>
          </w:p>
        </w:tc>
      </w:tr>
      <w:tr>
        <w:trPr>
          <w:trHeight w:val="280"/>
        </w:trPr>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(8,695)</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(188.5)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(289.5)</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(479.7)</w:t>
            </w:r>
          </w:p>
        </w:tc>
      </w:tr>
      <w:tr>
        <w:trPr>
          <w:trHeight w:val="241"/>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253,272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50.7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2,765.2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3,420.7</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883.6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883.6</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29.1</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(603.6)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(603.6)</w:t>
            </w:r>
          </w:p>
        </w:tc>
      </w:tr>
      <w:tr>
        <w:trPr>
          <w:trHeight w:val="54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5,239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91.5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92.6</w:t>
            </w: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734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270"/>
        </w:trPr>
        <w:tc>
          <w:tcPr>
            <w:tcW w:w="1160" w:type="dxa"/>
            <w:vAlign w:val="bottom"/>
          </w:tcPr>
          <w:p>
            <w:pPr>
              <w:jc w:val="right"/>
              <w:ind w:right="1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60.8</w:t>
            </w: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104.1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104.1</w:t>
            </w:r>
          </w:p>
        </w:tc>
      </w:tr>
      <w:tr>
        <w:trPr>
          <w:trHeight w:val="280"/>
        </w:trPr>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(2,302)</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(121.3)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(135.2)</w:t>
            </w:r>
          </w:p>
        </w:tc>
      </w:tr>
      <w:tr>
        <w:trPr>
          <w:trHeight w:val="237"/>
        </w:trPr>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257,018</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51.4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631.0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3,031.8</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131.9</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3,846.1</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-6191250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-5848350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-5504815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-5161915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-4819015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-4476115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-4133215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-3789680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-3446780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-3103880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-2760980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-2417445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-2074545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-1731645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-1388745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-1045845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-702310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-359410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720"/>
            <w:col w:w="7520"/>
          </w:cols>
          <w:pgMar w:left="240" w:top="125" w:right="239" w:bottom="1440" w:gutter="0" w:footer="0" w:header="0"/>
          <w:type w:val="continuous"/>
        </w:sectPr>
      </w:pPr>
    </w:p>
    <w:p>
      <w:pPr>
        <w:spacing w:after="0" w:line="353" w:lineRule="exact"/>
        <w:rPr>
          <w:sz w:val="20"/>
          <w:szCs w:val="20"/>
          <w:color w:val="auto"/>
        </w:rPr>
      </w:pPr>
    </w:p>
    <w:p>
      <w:pPr>
        <w:ind w:left="5420" w:right="68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35</w:t>
      </w:r>
    </w:p>
    <w:p>
      <w:pPr>
        <w:sectPr>
          <w:pgSz w:w="11900" w:h="16838" w:orient="portrait"/>
          <w:cols w:equalWidth="0" w:num="1">
            <w:col w:w="11420"/>
          </w:cols>
          <w:pgMar w:left="240" w:top="125" w:right="239" w:bottom="1440" w:gutter="0" w:footer="0" w:header="0"/>
          <w:type w:val="continuous"/>
        </w:sectPr>
      </w:pPr>
    </w:p>
    <w:bookmarkStart w:id="36" w:name="page37"/>
    <w:bookmarkEnd w:id="36"/>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SUMMARY OF SIGNIFICANT ACCOUNTING POLICIES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 Rowe Price Group derives its consolidated revenues and net income primarily from investment advisory services that its subsidiaries provide to individual and institutional investors in the sponsored T. Rowe Price U.S. mutual funds and other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BASIS OF PREPARATION.</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These consolidated financial statements have been prepared by our management in accordance with accounting principles generally accepted in the U.S. These principles require that we make certain estimates and assumptions. Actual results may vary from our estimates. Certain 2011 amounts have been reclassed to conform with 2012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NEW FINANCIAL REPORTING GUIDANCE.</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January 1, 2012, we adopted new financial reporting guidance related to the presentation of comprehensive income in our consolidated financial statements. The new guidance requires net income and other comprehensive income to be presented in either a single-continuous statement of comprehensive income or two separate, but consecutive, statements of income and comprehensive income. We elected to present the components of comprehensive income in a separate statement following our consolidated statements of income. Additional disclosures required by this new guidance are included in Note 12. In accordance with the guidance, the presentation of all prior year information has been revised to conform with the new presentation.</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also adopted new reporting guidance that clarified how to measure financial instruments at fair value and expanded the required fair value measurement disclosures. The adoption of the new measurement guidance did not have an impact on our consolidated financial statements. However, we now disclose in Note 6 the level of the fair value hierarchy in which the inputs used in determining the disclosed fair value of customer deposits at our savings bank subsidiary can be categorized.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financial statements include the accounts of all subsidiaries and sponsored products in which we have a controlling financial interest. We are generally considered to have a controlling financial interest when we own a majority of the voting interest in an entity. All material intercompany accounts and transactions are eliminated in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Cash equivalents consist primarily of short-term, highly liquid investments in our sponsored money market mutual funds. The cost of these funds is equivalent to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SPONSORED FUNDS.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value our investments in sponsored funds at the quoted closing net asset value, or NAV, per share of each fund as of the balance sheet date, and generally classify these holdings as available-for-sale. Changes in net unrealized holding gains (losses) on these investments are recognized in accumulated other comprehensive income.</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review the carrying amount of each investment on a quarterly basis and recognize an impairment charge in non-operating investment income whenever an unrealized loss is considered other than temporary. In determining whether a fund holding is other-than-temporarily impaired, we consider various factors, including the duration of time it has existed, the severity of the impairment, any subsequent changes in value, and our intent and ability to hold the fund for a period of time sufficient for an anticipated recovery in fair value. Subject to the other considerations noted above, with respect to duration of time, we believe a fund holding with an unrealized loss that has persisted daily throughout the six months between quarter-ends is generally presumed to have an other-than-temporary impairment. We may also recognize an other-than-temporary loss if particular circumstances of the underlying investment do not warrant our belief that a near-term recovery is possible.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20"/>
          </w:cols>
          <w:pgMar w:left="240" w:top="125" w:right="239" w:bottom="1440" w:gutter="0" w:footer="0" w:header="0"/>
        </w:sectPr>
      </w:pPr>
    </w:p>
    <w:bookmarkStart w:id="37" w:name="page38"/>
    <w:bookmarkEnd w:id="37"/>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DEBT SECURITIES HELD BY SAVINGS BANK SUBSIDIARY.</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Our investments in marketable debt securities, including mortgage- and other asset-backed securities held by our savings bank subsidiary, are classified as available-for-sale and reported at fair value. Changes in net unrealized holding gains (losses) on these debt securities are recognized in accumulated other comprehensive income.</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debt securities are generally traded in the over-the-counter market. Securities with remaining maturities of one year or more at the time of acquisition are valued by us based on prices furnished by dealers who make markets in such securities or by an independent pricing service, which considers the yield or price of bonds of comparable quality, coupon, maturity, and type, as well as prices quoted by dealers who make markets in such securities. Securities with remaining maturities of less than one year at the time of acquisition generally are valued at amortized cost, which approximates fair value; however, if amortized cost is deemed not to reflect fair value, such securities are valued by us based generally on prices furnished by dealers who make markets in such securities or by an independent pricing service. Our investment valuation policies, methods, and sources are the same as those employed by the sponsored mutual funds to price similar investment holdings.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review the carrying amount of each investment on a quarterly basis. We will recognize an impairment charge in non-operating investment income if the impairment is caused by a change in credit quality that affects our ability to recover our amortized cost. An impairment charge will also be taken if we intend to sell the security before its maturity, which generally correlates to the maturities of our customer deposits, or if we believe that it is more likely than not that we will be required to sell the security before recovering cost.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Those other investments to which we do not exercise significant influence over the operating and financial policies of the investee are recognized using the cost method of accounting.</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Investments that give us the ability to exercise significant influence over the operating and financial policies of the investee are recognized using the equity method of accounting. The carrying value of these investments are adjusted to reflect our proportionate share of net income or loss, any unrealized gain or loss resulting from the translation of foreign denominated financial statements into U.S. dollars, and dividends received. Our proportionate share of income or loss is included in non-operating investment income in the consolidated statements of income. 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1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evaluate our equity and cost method investments for impairment when events or changes in circumstances indicate that the carrying value of the investment exceeds its fair value, and the decline in fair value is other than temporary.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make initial seed investments in sponsored investment portfolios at the portfolio's formation. If we are deemed to have a controlling financial interest, we will consolidate the investment, and the underlying individual securities are accounted for as trading securities. We will also classify certain other seed investments in which we do not have a controlling financial interest as trading if we expect to hold them for only a short period of time. These investments are carried at fair value, with changes in fair value recognized in non-operating investment income. The valuation policies, methods, and sources for these investments are the same as those employed by the sponsored funds to price similar investment holdings as further described under our revenue recognition policy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CONCENTRATIONS OF RISK.</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that we manage for them.</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Our investments in sponsored funds and investments held as trading expose us to market risk in the form of equity price risk, that is, the potential future loss of value that would result from a decline in the fair value of each fund or its underlying net assets. Each fund and its underlying net assets are also subject to market risk, which may arise from changes in equity prices, credit ratings, foreign currency exchange rates, and interest rates.</w:t>
      </w:r>
    </w:p>
    <w:p>
      <w:pPr>
        <w:spacing w:after="0" w:line="166"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Investments by our savings bank subsidiary in debt securities expose us to market risk, which may arise from changes in credit ratings and interest rates.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125" w:right="239" w:bottom="1440" w:gutter="0" w:footer="0" w:header="0"/>
        </w:sectPr>
      </w:pPr>
    </w:p>
    <w:bookmarkStart w:id="38" w:name="page39"/>
    <w:bookmarkEnd w:id="38"/>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Property and equipment is stated at cost net of accumulated depreciation and amortization computed using the straight-line method. Provisions for depreciation and amortization are based on the following weighted-average estimated useful lives: computer and communications software and equipment, 4 years; buildings and improvements, 32 years; leasehold improvements, 8 years; furniture and other equipment, 6 years; and leased land, 99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third quarter of each year using a fair value approach. Our evaluations have indicated that no impairment exists.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Fees for investment advisory services, which are based on a percentage of assets under management, and related administrative services that we provide to investment advisory clients, including our sponsored funds, are recognized in the period that our services are provided.</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assets under management are valued in accordance with a valuation and pricing policy that defines the valuation and pricing processes for each major type of investment held in our sponsored mutual funds and other client investment portfolios.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Investments for which market prices are not readily available are not a material portion of our total assets under management.</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Distribution and servicing fees earned from 12b-1 plans of the Advisor, R, and VIP II classes of our sponsored mutual funds are recognized in the period that they are earned, which is the same period that the related mutual funds recognize their expense. These fees are offset entirely by the distribution and servicing costs paid to third-party financial intermediaries that source the assets of these share classes.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provide all services to the sponsored U.S. mutual funds under contracts that are subject to periodic review and approval by each of the funds’ boards.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maintain three stockholder approved employee long-term incentive plans (2012 Long-Term Incentive Plan, 2004 Stock Incentive Plan, and 2001 Stock Incentive Plan, collectively the LTI Plans) and two stockholder approved non-employee director plans (2007 Non-Employee Director Equity Plan and 1998 Director Stock Option Plan). We believe that our stock-based compensation programs align the interests of our employees and directors with those of our common stockholders. As of December 31, 2012, a total of 17,752,085 shares were available for future grant under the 2012 Long-Term Incentive Plan and 2007 Non-Employee Director Equity Plan.</w:t>
      </w:r>
    </w:p>
    <w:p>
      <w:pPr>
        <w:spacing w:after="0" w:line="18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Under our LTI Plans, we have issued restricted shares and restricted stock units to employees that convert to shares after vesting. Vesting of these awards is based on the individual continuing to render service over a four-to six-year graded schedule. All restricted shareholders and restricted stock unit holders receive non-forfeitable cash dividends and cash dividend-equivalents, respectively, on our dividend payable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125" w:right="239" w:bottom="1440" w:gutter="0" w:footer="0" w:header="0"/>
        </w:sectPr>
      </w:pPr>
    </w:p>
    <w:bookmarkStart w:id="39" w:name="page40"/>
    <w:bookmarkEnd w:id="39"/>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2012, we began granting performance-based restricted shares and restricted stock units to certain executive officers in which the number of restricted shares or restricted stock units ultimately retained is determined based on achievement of certain performance thresholds. The number of restricted shares or restricted stock units retained are also subject to the same time-based vesting requirement as the other restricted shares or restricted stock units described above. Cash dividends and cash dividend-equivalents are accrued and paid to the holders of performance-based restricted shares and restricted stock units only after the performance period has lapsed and the performance thresholds have been met.</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Under our LTI plans, we have granted qualified incentive and nonqualified fixed stock options with a maximum term of 10 years to employees. Vesting of our employee option grants is based on the individual continuing to render service and generally occurs over a five- to six-year graded schedule. The exercise price of each option granted is equivalent to the market price of the common stock at the date of grant.</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grant options, with a maximum term of 10 years, restricted shares and restricted stock units to non-employee directors under the stockholder approved 2007 Non-Employee Director Plan. These grants vest over 6 months to one year, and in the case of restricted stock units, are settled upon the non-employee directors’ departure from the board. Non-employee directors holding restricted shares receive non-forfeitable dividends while restricted stock unit holders are issued non-forfeitable dividend equivalents in the form of vested stock units on our dividend payable date.</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recognize the grant-date fair value of these awards as compensation expense ratably over the awards' service period. The expense recognized includes an estimate of awards that will be forfeited. Both time-based and performance-based restricted shares and units are valued on the grant-date using the closing market price of our common stock, though consideration is also given to the probability of the performance thresholds being met when valuing the performance-based restricted awards and units. We used the Black-Scholes option-pricing model to estimate the fair value of each option grant, including reloads,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4"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Weighted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30702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2012</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Grant-date fair value per option awarded, including reload grants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16.27</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Assumptions used:</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life in years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expected life assumptions are based on the vesting period for each option grant and our historical experience with respect to the average holding period from vesting to option exercise. The assumptions for expected volatility are based on historical experience for the same periods as our expected lives. Dividend yields are based on recent historical experience and future expectations. Risk-free interest rates are set using grant-date U.S. Treasury yield curves for the same periods as our expected lives.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compute our basic and diluted earnings per share under the two-class method, which considers our outstanding restricted shares and stock units, on which we pay non-forfeitable dividends, as if they were a separate class of stock.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125" w:right="239" w:bottom="1440" w:gutter="0" w:footer="0" w:header="0"/>
        </w:sectPr>
      </w:pPr>
    </w:p>
    <w:bookmarkStart w:id="40" w:name="page41"/>
    <w:bookmarkEnd w:id="40"/>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 – CASH EQUIVALENTS.</w:t>
      </w:r>
    </w:p>
    <w:p>
      <w:pPr>
        <w:spacing w:after="0" w:line="22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Cash equivalent investments in our sponsored money market mutual funds aggregate $823.2 million at December 31, 2011, and $732.8 million at December 31, 2012. Dividends earned on these investments were $.1 million in 2010, 2011, and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Accounts receivable from our sponsored mutual funds in the U.S. for advisory fees and advisory-related administrative services aggregate $155.9 million at December 31, 2011, and $184.0 million at December 31, 2012.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Revenues (in millions) from advisory services provided under agreements with our sponsored mutual funds in the U.S. and other investment clients include: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Sponsored mutual funds in the U.S.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352.7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1,790.3</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Other portfolios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166.6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2,349.0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2,592.0</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during</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2720" w:type="dxa"/>
            <w:vAlign w:val="bottom"/>
            <w:tcBorders>
              <w:bottom w:val="single" w:sz="8" w:color="auto"/>
            </w:tcBorders>
            <w:gridSpan w:val="4"/>
            <w:shd w:val="clear" w:color="auto" w:fill="CCEEFF"/>
          </w:tcPr>
          <w:p>
            <w:pPr>
              <w:jc w:val="right"/>
              <w:ind w:right="690"/>
              <w:spacing w:after="0"/>
              <w:rPr>
                <w:sz w:val="20"/>
                <w:szCs w:val="20"/>
                <w:color w:val="auto"/>
              </w:rPr>
            </w:pPr>
            <w:r>
              <w:rPr>
                <w:rFonts w:ascii="Arial" w:cs="Arial" w:eastAsia="Arial" w:hAnsi="Arial"/>
                <w:sz w:val="18"/>
                <w:szCs w:val="18"/>
                <w:color w:val="auto"/>
              </w:rPr>
              <w:t>As of December 31,</w:t>
            </w:r>
          </w:p>
        </w:tc>
      </w:tr>
      <w:tr>
        <w:trPr>
          <w:trHeight w:val="243"/>
        </w:trPr>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mutual funds in the U.S.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256.9</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37"/>
        </w:trPr>
        <w:tc>
          <w:tcPr>
            <w:tcW w:w="3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250.8</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346.9</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portfolios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164.2</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37"/>
        </w:trPr>
        <w:tc>
          <w:tcPr>
            <w:tcW w:w="3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171.8</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229.9</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9.5% of our assets under management at December 31, 2012.</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Fees for advisory-related administrative services provided to our sponsored mutual funds in the U.S. were $223.6 million in 2010, $247.0 million in 2011, and $258.3 million in 2012. Distribution and other servicing fees earned from certain classes of our sponsored mutual funds in the U.S. were $43.2 million in 2010, $74.6 million in 2011, and $96.1 million in 2012.</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20"/>
          </w:cols>
          <w:pgMar w:left="240" w:top="125" w:right="239" w:bottom="1440" w:gutter="0" w:footer="0" w:header="0"/>
        </w:sectPr>
      </w:pPr>
    </w:p>
    <w:bookmarkStart w:id="41" w:name="page42"/>
    <w:bookmarkEnd w:id="41"/>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 IN SPONSORED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(in millions) in sponsored funds accounted for as available-for-sale at December 31 include: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7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Unrealized holding</w:t>
            </w: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Aggregate</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2"/>
              </w:rPr>
              <w:t>Aggregate cost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gains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losses</w:t>
            </w: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fair value</w:t>
            </w:r>
          </w:p>
        </w:tc>
      </w:tr>
      <w:tr>
        <w:trPr>
          <w:trHeight w:val="183"/>
        </w:trPr>
        <w:tc>
          <w:tcPr>
            <w:tcW w:w="400" w:type="dxa"/>
            <w:vAlign w:val="bottom"/>
            <w:gridSpan w:val="3"/>
          </w:tcPr>
          <w:p>
            <w:pPr>
              <w:ind w:left="40"/>
              <w:spacing w:after="0" w:line="182" w:lineRule="exact"/>
              <w:rPr>
                <w:sz w:val="20"/>
                <w:szCs w:val="20"/>
                <w:color w:val="auto"/>
              </w:rPr>
            </w:pPr>
            <w:r>
              <w:rPr>
                <w:rFonts w:ascii="Arial" w:cs="Arial" w:eastAsia="Arial" w:hAnsi="Arial"/>
                <w:sz w:val="18"/>
                <w:szCs w:val="18"/>
                <w:color w:val="auto"/>
                <w:w w:val="84"/>
              </w:rPr>
              <w:t>2011</w:t>
            </w:r>
          </w:p>
        </w:tc>
        <w:tc>
          <w:tcPr>
            <w:tcW w:w="47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281.7</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417.9</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Bond funds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346.6</w:t>
            </w: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592.3</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4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2012</w:t>
            </w:r>
          </w:p>
        </w:tc>
        <w:tc>
          <w:tcPr>
            <w:tcW w:w="4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Stock and blended asset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336.9</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515.8</w:t>
            </w: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624.3</w:t>
            </w:r>
          </w:p>
        </w:tc>
      </w:tr>
      <w:tr>
        <w:trPr>
          <w:trHeight w:val="23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907.8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1,140.1</w:t>
            </w: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unrealized holding losses at December 31, 2011 are attributable to ten fund holdings with an aggregate fair value of $86.3 million and were considered temporary.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Dividends, excluding capital gain distributions, earned on sponsored mutual fund investments totaled $10.3 million in 2010, $10.6 million in 2011, and $11.8 million in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4 – SAVINGS BANK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 at December 31.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gridSpan w:val="3"/>
            <w:shd w:val="clear" w:color="auto" w:fill="CCEEFF"/>
          </w:tcPr>
          <w:p>
            <w:pPr>
              <w:jc w:val="right"/>
              <w:ind w:right="930"/>
              <w:spacing w:after="0"/>
              <w:rPr>
                <w:sz w:val="20"/>
                <w:szCs w:val="20"/>
                <w:color w:val="auto"/>
              </w:rPr>
            </w:pPr>
            <w:r>
              <w:rPr>
                <w:rFonts w:ascii="Arial" w:cs="Arial" w:eastAsia="Arial" w:hAnsi="Arial"/>
                <w:sz w:val="18"/>
                <w:szCs w:val="18"/>
                <w:color w:val="auto"/>
                <w:w w:val="84"/>
              </w:rPr>
              <w:t>2011</w:t>
            </w:r>
          </w:p>
        </w:tc>
        <w:tc>
          <w:tcPr>
            <w:tcW w:w="3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2012</w:t>
            </w:r>
          </w:p>
        </w:tc>
        <w:tc>
          <w:tcPr>
            <w:tcW w:w="1240" w:type="dxa"/>
            <w:vAlign w:val="bottom"/>
            <w:tcBorders>
              <w:bottom w:val="single" w:sz="8" w:color="auto"/>
            </w:tcBorders>
            <w:shd w:val="clear" w:color="auto" w:fill="CCEEFF"/>
          </w:tcPr>
          <w:p>
            <w:pPr>
              <w:spacing w:after="0"/>
              <w:rPr>
                <w:sz w:val="22"/>
                <w:szCs w:val="22"/>
                <w:color w:val="auto"/>
              </w:rPr>
            </w:pPr>
          </w:p>
        </w:tc>
      </w:tr>
      <w:tr>
        <w:trPr>
          <w:trHeight w:val="229"/>
        </w:trPr>
        <w:tc>
          <w:tcPr>
            <w:tcW w:w="5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2"/>
              </w:rPr>
              <w:t>Unrealized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color w:val="auto"/>
                <w:w w:val="92"/>
              </w:rPr>
              <w:t>Unrealized</w:t>
            </w:r>
          </w:p>
        </w:tc>
      </w:t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6"/>
              </w:rPr>
              <w:t>holding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color w:val="auto"/>
                <w:w w:val="96"/>
              </w:rPr>
              <w:t>holding</w:t>
            </w:r>
          </w:p>
        </w:tc>
      </w:tr>
      <w:tr>
        <w:trPr>
          <w:trHeight w:val="216"/>
        </w:trPr>
        <w:tc>
          <w:tcPr>
            <w:tcW w:w="5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Fair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88"/>
              </w:rPr>
              <w:t>gains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Fair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color w:val="auto"/>
                <w:w w:val="88"/>
              </w:rPr>
              <w:t>gains</w:t>
            </w:r>
          </w:p>
        </w:tc>
      </w:tr>
      <w:tr>
        <w:trPr>
          <w:trHeight w:val="230"/>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value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88"/>
              </w:rPr>
              <w:t>(losses)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value</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color w:val="auto"/>
                <w:w w:val="88"/>
              </w:rPr>
              <w:t>(losses)</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Investments with temporary impairment (18 securities in 2012) of</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Less than 12 months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22.8</w:t>
            </w:r>
          </w:p>
        </w:tc>
        <w:tc>
          <w:tcPr>
            <w:tcW w:w="1380" w:type="dxa"/>
            <w:vAlign w:val="bottom"/>
            <w:gridSpan w:val="3"/>
          </w:tcPr>
          <w:p>
            <w:pPr>
              <w:jc w:val="right"/>
              <w:ind w:right="93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12 months or more</w:t>
            </w: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with unrealized holding gains</w:t>
            </w: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169.3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198.4</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136.0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67"/>
        </w:trPr>
        <w:tc>
          <w:tcPr>
            <w:tcW w:w="516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Aggregate cost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195.3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unrealized losses in these investments were generally caused by changes in interest rates and market liquidity, and not by changes in credit quality. We intend to hold these securities to their maturities, which generally correlate to the maturities of our customer deposits, and believe it is more-likely-than-not that we will not be required to sell any of these securities before recovery of their amortized cost. Accordingly, impairment of these investments is considered temporary.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420"/>
          </w:cols>
          <w:pgMar w:left="240" w:top="125" w:right="239" w:bottom="1440" w:gutter="0" w:footer="0" w:header="0"/>
        </w:sectPr>
      </w:pPr>
    </w:p>
    <w:bookmarkStart w:id="42" w:name="page43"/>
    <w:bookmarkEnd w:id="42"/>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revenue (in millions) includes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2010</w:t>
            </w:r>
          </w:p>
        </w:tc>
        <w:tc>
          <w:tcPr>
            <w:tcW w:w="4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Investment income from debt securities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customer deposits</w:t>
            </w: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revenue</w:t>
            </w: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color w:val="auto"/>
              </w:rPr>
              <w:t>NOTE 5 – OTHER INVESTMENTS.</w:t>
            </w: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These investments (in millions) at December 31 include:</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 interest in Daiwa SB Investments Ltd. (Japan)</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144.8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Investments held as trading</w:t>
            </w: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Sponsored mutual fund investments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Securities held by consolidated sponsored investment portfolios</w:t>
            </w: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note</w:t>
            </w: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206.3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2012, we had outstanding commitments to make additional contributions totaling $36.5 million to various investment partnerships in which we have an existing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820" w:right="720" w:hanging="161"/>
        <w:spacing w:after="0" w:line="265"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ind w:left="820" w:right="40" w:hanging="161"/>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of our investments using Level 3 inputs.</w:t>
      </w:r>
    </w:p>
    <w:p>
      <w:pPr>
        <w:spacing w:after="0" w:line="13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were no transfers in or out of the levels in 2011 or 2012. The following table summarizes our investments (in millions) that are recognized in our consolidated balance sheets at year end using fair value measurements determined based on the differing levels of inputs.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20"/>
          </w:cols>
          <w:pgMar w:left="240" w:top="125" w:right="239" w:bottom="1440" w:gutter="0" w:footer="0" w:header="0"/>
        </w:sectPr>
      </w:pPr>
    </w:p>
    <w:bookmarkStart w:id="43" w:name="page44"/>
    <w:bookmarkEnd w:id="43"/>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Level 2</w:t>
            </w:r>
          </w:p>
        </w:tc>
      </w:tr>
      <w:tr>
        <w:trPr>
          <w:trHeight w:val="183"/>
        </w:trPr>
        <w:tc>
          <w:tcPr>
            <w:tcW w:w="400" w:type="dxa"/>
            <w:vAlign w:val="bottom"/>
            <w:gridSpan w:val="3"/>
          </w:tcPr>
          <w:p>
            <w:pPr>
              <w:ind w:left="40"/>
              <w:spacing w:after="0" w:line="182" w:lineRule="exact"/>
              <w:rPr>
                <w:sz w:val="20"/>
                <w:szCs w:val="20"/>
                <w:color w:val="auto"/>
              </w:rPr>
            </w:pPr>
            <w:r>
              <w:rPr>
                <w:rFonts w:ascii="Arial" w:cs="Arial" w:eastAsia="Arial" w:hAnsi="Arial"/>
                <w:sz w:val="18"/>
                <w:szCs w:val="18"/>
                <w:color w:val="auto"/>
                <w:w w:val="84"/>
              </w:rPr>
              <w:t>2011</w:t>
            </w:r>
          </w:p>
        </w:tc>
        <w:tc>
          <w:tcPr>
            <w:tcW w:w="79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7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in sponsored funds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Debt securities held by savings bank subsidiary</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198.4</w:t>
            </w: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3"/>
        </w:trPr>
        <w:tc>
          <w:tcPr>
            <w:tcW w:w="4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2012</w:t>
            </w:r>
          </w:p>
        </w:tc>
        <w:tc>
          <w:tcPr>
            <w:tcW w:w="7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7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held as trading</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77.2</w:t>
            </w: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Debt securities held by savings bank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r>
      <w:tr>
        <w:trPr>
          <w:trHeight w:val="237"/>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1,891.0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213.2</w:t>
            </w: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Customer deposits at our savings bank subsidiary are not measured at fair value in our consolidated balance sheets. The estimated fair value of these deposits, based on discounting expected cash outflows at maturity dates that range up to five years using current interest rates offered for deposits with the same dates of maturity, was $176.9 million at December 31, 2011, and $157.8 million at December 31, 2012. The fair value was determined using Level 2 inputs.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7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(in millions) at December 31 consists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Computer and communications software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369.1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land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1,014.8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561.0</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$8.1 million in 2010, $7.5 million in 2011, and $14.9 million in 2012 have been capitalized.</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occupy certain office facilities and lease computer and other equipment under noncancelable operating leases. Related rental expense was $29.6 million in 2010, $26.5 million in 2011, and $28.3 million in 2012. Future minimum payments under these leases aggregate $31.0 million in 2013, $31.1 million in 2014, $28.7 million in 2015, $27.5 million in 2016, $17.7 million in 2017, and $17.8 million in later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20"/>
          </w:cols>
          <w:pgMar w:left="240" w:top="125" w:right="239" w:bottom="1440" w:gutter="0" w:footer="0" w:header="0"/>
        </w:sectPr>
      </w:pPr>
    </w:p>
    <w:bookmarkStart w:id="44" w:name="page45"/>
    <w:bookmarkEnd w:id="44"/>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8 –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(in millions) consists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Current income taxes</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local</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taxes (tax benefits)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397.8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Deferred income taxes (tax benefits) arise from temporary differences between taxable income for financial statement and income tax return purposes. Deferred tax benefits in 2010 include $27.6 million relating to the recognition of stock-based compensation expense. Deferred income taxes in 2011 include $13.9 million related to property and equipment offset by deferred tax benefits of $15.1 million related to the recognition of stock-based compensation expense. Deferred income taxes in 2012 include $14.2 million from the reversal of deferred tax assets related to other-than-temporary impairments previously recognized on sponsored fund investments that were sold in 2012. These deferred income taxes were offset by deferred tax benefits of $5.2 million related to accrued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the effective income tax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00" w:type="dxa"/>
            <w:vAlign w:val="bottom"/>
            <w:gridSpan w:val="2"/>
            <w:shd w:val="clear" w:color="auto" w:fill="CCEEFF"/>
          </w:tcPr>
          <w:p>
            <w:pPr>
              <w:ind w:left="7100"/>
              <w:spacing w:after="0"/>
              <w:rPr>
                <w:sz w:val="20"/>
                <w:szCs w:val="20"/>
                <w:color w:val="auto"/>
              </w:rPr>
            </w:pPr>
            <w:r>
              <w:rPr>
                <w:rFonts w:ascii="Arial" w:cs="Arial" w:eastAsia="Arial" w:hAnsi="Arial"/>
                <w:sz w:val="18"/>
                <w:szCs w:val="18"/>
                <w:color w:val="auto"/>
                <w:w w:val="94"/>
              </w:rPr>
              <w:t>2010</w:t>
            </w: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2012</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Statutory U.S. federal income tax rate</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35.0 %</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Other items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65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37.2 %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recognized in our consolidated balance sheets in other assets includes the following (in millions) at December 31.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to property and equipment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Recognized in other comprehensive income on net unrealized holding gains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Related to stock-based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to other-than-temporary impairments of investments in sponsored funds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Related to accrued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Recognized in other comprehensive income on cumulative translation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 deferred tax liability for unremitted earnings of our foreign subsidiaries has not been recognized, as it is our intention to indefinitely reinvest these earnings outside the U.S. The unremitted earnings of these subsidiaries are estimated to be $212.3 million at December 31, 2012. If these earnings were distributed to the U.S. in the form of dividends or otherwise, or if the entity was sold or otherwise transferred, we would be subject to U.S. income taxes, less any foreign tax credits. Determination of the amount of the unrecognized deferred tax liability related to these earnings is not practicable.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20"/>
          </w:cols>
          <w:pgMar w:left="240" w:top="125" w:right="239" w:bottom="1440" w:gutter="0" w:footer="0" w:header="0"/>
        </w:sectPr>
      </w:pPr>
    </w:p>
    <w:bookmarkStart w:id="45" w:name="page46"/>
    <w:bookmarkEnd w:id="45"/>
    <w:p>
      <w:pPr>
        <w:jc w:val="center"/>
        <w:ind w:right="2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assets also include tax refund receivables of $20.1 million at December 31, 2011, and $45.0 million at December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outflows from operating activities include income taxes paid of $383.0 million in 2010, $430.1 million in 2011, and $514.9 million in 2012.</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Additional income tax benefits of $51.9 million in 2010, $36.3 million in 2011, and $60.9 million in 2012 arising from stock-based compensation plans activity reduced the amount of income taxes that would have otherwise been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unrecognized tax benefits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5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2011</w:t>
            </w:r>
          </w:p>
        </w:tc>
        <w:tc>
          <w:tcPr>
            <w:tcW w:w="4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beginning of year</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tax positions related to</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Expired statute of limitations</w:t>
            </w:r>
          </w:p>
        </w:tc>
        <w:tc>
          <w:tcPr>
            <w:tcW w:w="102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year end</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recognized, these tax benefits would affect our effective tax rate; however, we do not expect that unrecognized tax benefits for tax positions taken with respect to 2012 and prior years will significantly change in 2013. The U.S. has concluded examinations related to federal tax obligations through the year 2009. Net interest recoverable recognized in our consolidated balance sheets was $5.9 million at December 31, 2011, and $6.3 million at December 31, 2012. Our accounting policy with respect to interest and penalties arising from income tax settlements is to recognize them as part of our provision for income taxes. Interest recognized as part of our provision for income taxes was not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9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11,413,467 common shares as of December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Regular cash dividends declared per share were $1.08 in 2010, $1.24 in 2011, and $1.36 in 2012. In December 2012, the Board of Directors also declared a special dividend of $1.00 per share, which was paid on December 28,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RESTRICTED CAPITAL.</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consolidated stockholders' equity at December 31, 2012, includes about $114 million that is restricted as to use by various regulations and agreements arising in the ordinary course of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10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 OF SPECIAL DIVIDEND.</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accordance with the anti-dilution provisions of our LTI Plans and the non-employee director plans, the number of shares authorized for these plans and the number of options outstanding as of the special dividend's ex-dividend date (December 13, 2012) and their exercise price were adjusted to neutralize the effect of the special dividend. The adjustment resulted in an increase of 549,877 in options outstanding on the ex-dividend date, and no incremental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FOR STOCK-BASED COMPENSATION PROGRAMS.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 December 31, 2012, 53,012,986 shares of unissued common stock were authorized for issuance under our stock-based compensation plans. Additionally, 3,412,508 shares are authorized for issuance under a plan whereby substantially all employees may acquire common stock through payroll deductions at prevailing market prices.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20"/>
          </w:cols>
          <w:pgMar w:left="240" w:top="125" w:right="239" w:bottom="1440" w:gutter="0" w:footer="0" w:header="0"/>
        </w:sectPr>
      </w:pPr>
    </w:p>
    <w:bookmarkStart w:id="46" w:name="page47"/>
    <w:bookmarkEnd w:id="46"/>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status of and changes in our stock option grants during 2012. All numbers have been adjusted to reflect the effect of the special dividend as noted above.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Weighted-average</w:t>
            </w: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2"/>
              </w:rPr>
              <w:t>Weighted-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remaining</w:t>
            </w: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6"/>
              </w:rPr>
              <w:t>average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contractual</w:t>
            </w: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exercise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term in</w:t>
            </w:r>
          </w:p>
        </w:tc>
      </w:tr>
      <w:tr>
        <w:trPr>
          <w:trHeight w:val="257"/>
        </w:trPr>
        <w:tc>
          <w:tcPr>
            <w:tcW w:w="60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Options</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2"/>
              </w:rPr>
              <w:t>price</w:t>
            </w: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years</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Outstanding at beginning of year</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39,734,010</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44.71</w:t>
            </w: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Semiannual grants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3,536,967</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61.44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Reload grants</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150,870</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62.60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hire grants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50,210</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61.27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Non-employee director grants</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16,248</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63.07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(8,127,009)</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34.23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(676,650)</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51.75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(62,211)</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63.17</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end of year</w:t>
            </w: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34,622,435</w:t>
            </w:r>
          </w:p>
        </w:tc>
        <w:tc>
          <w:tcPr>
            <w:tcW w:w="1300" w:type="dxa"/>
            <w:vAlign w:val="bottom"/>
            <w:tcBorders>
              <w:bottom w:val="single" w:sz="8" w:color="CCEEFF"/>
            </w:tcBorders>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8"/>
              </w:rPr>
              <w:t>48.82</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w:t>
            </w:r>
          </w:p>
        </w:tc>
      </w:tr>
      <w:tr>
        <w:trPr>
          <w:trHeight w:val="251"/>
        </w:trPr>
        <w:tc>
          <w:tcPr>
            <w:tcW w:w="60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end of year</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20,344,305</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45.48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Compensation and related costs includes a charge for stock option-based compensation expense of $71.5 million in 2010, $79.5 million in 2011, and $74.5 million in 2012, including $3.2 million, $.5 million, and $.8 million, respectively, for reload option grants.</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total intrinsic value of options exercised was $189.4 million in 2010, $123.5 million in 2011, and $239.6 million in 2012. At December 31, 2012, the aggregate intrinsic value of in-the-money options outstanding was $575.9 million, including $402.0 million related to options exercisable.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Restricted</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0"/>
              </w:rPr>
              <w:t>Weighted-</w:t>
            </w:r>
          </w:p>
        </w:tc>
      </w:tr>
      <w:tr>
        <w:trPr>
          <w:trHeight w:val="216"/>
        </w:trPr>
        <w:tc>
          <w:tcPr>
            <w:tcW w:w="60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Restricted</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stock</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6"/>
              </w:rPr>
              <w:t>average</w:t>
            </w:r>
          </w:p>
        </w:tc>
      </w:tr>
      <w:tr>
        <w:trPr>
          <w:trHeight w:val="257"/>
        </w:trPr>
        <w:tc>
          <w:tcPr>
            <w:tcW w:w="606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1"/>
              </w:rPr>
              <w:t>shares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units</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color w:val="auto"/>
                <w:w w:val="95"/>
              </w:rPr>
              <w:t>fair value</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Nonvested at beginning of year</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637,393</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351,017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51.83</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to employees and directors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796,717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399,075</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Vested (value at vest date was $24.5 million)</w:t>
            </w:r>
          </w:p>
        </w:tc>
        <w:tc>
          <w:tcPr>
            <w:tcW w:w="1720" w:type="dxa"/>
            <w:vAlign w:val="bottom"/>
          </w:tcPr>
          <w:p>
            <w:pPr>
              <w:jc w:val="right"/>
              <w:spacing w:after="0"/>
              <w:rPr>
                <w:sz w:val="20"/>
                <w:szCs w:val="20"/>
                <w:color w:val="auto"/>
              </w:rPr>
            </w:pPr>
            <w:r>
              <w:rPr>
                <w:rFonts w:ascii="Arial" w:cs="Arial" w:eastAsia="Arial" w:hAnsi="Arial"/>
                <w:sz w:val="18"/>
                <w:szCs w:val="18"/>
                <w:color w:val="auto"/>
              </w:rPr>
              <w:t>(246,903)</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(136,275)</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50.90</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(26,043)</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(16,775)</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55.82</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Nonvested at end of year</w:t>
            </w: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1,161,164</w:t>
            </w:r>
          </w:p>
        </w:tc>
        <w:tc>
          <w:tcPr>
            <w:tcW w:w="1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597,042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59.13</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table above includes 24,000 performance-based restricted shares and 70,875 performance-based restricted stock units with a weighted-average fair value of $62.41 granted in 2012 to certain executive officers. All were nonvested at December 31, 2012.</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Compensation and related costs includes expenses for restricted shares and restricted stock units of $18.0 million in 2010, $19.2 million in 2011, and $29.6 million in 2012.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2012, non-employee directors held 41,424 vested stock units that will convert to common shares upon their separation from the Board.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420"/>
          </w:cols>
          <w:pgMar w:left="240" w:top="125" w:right="239" w:bottom="1440" w:gutter="0" w:footer="0" w:header="0"/>
        </w:sectPr>
      </w:pPr>
    </w:p>
    <w:bookmarkStart w:id="47" w:name="page48"/>
    <w:bookmarkEnd w:id="47"/>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December 31, 2012.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First quarter 2013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Second quarter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Third quarter 2013</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Fourth quarter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2013</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2014 through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1025" w:hanging="1025"/>
        <w:spacing w:after="0"/>
        <w:tabs>
          <w:tab w:leader="none" w:pos="10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23.0</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22.9</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22.7</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18.0</w:t>
      </w:r>
    </w:p>
    <w:p>
      <w:pPr>
        <w:spacing w:after="0" w:line="99"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86.6</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88.1</w:t>
      </w:r>
    </w:p>
    <w:p>
      <w:pPr>
        <w:spacing w:after="0" w:line="100" w:lineRule="exact"/>
        <w:rPr>
          <w:sz w:val="20"/>
          <w:szCs w:val="20"/>
          <w:color w:val="auto"/>
        </w:rPr>
      </w:pPr>
    </w:p>
    <w:p>
      <w:pPr>
        <w:ind w:left="925" w:hanging="925"/>
        <w:spacing w:after="0"/>
        <w:tabs>
          <w:tab w:leader="none" w:pos="9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174.7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9347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9255" w:space="720"/>
            <w:col w:w="1445"/>
          </w:cols>
          <w:pgMar w:left="240" w:top="125" w:right="2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NOTE 11 – EARNINGS PER SHARE CALCULATIONS.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weighted-average shares (in millions) that are used in calculating the basic and the diluted earnings per share on our common stock. Weighted-average common shares outstanding assuming dilution reflects the potential additional dilution, determined using the treasury stock method that could occur if outstanding stock options were exercised.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672.2</w:t>
            </w:r>
          </w:p>
        </w:tc>
        <w:tc>
          <w:tcPr>
            <w:tcW w:w="100" w:type="dxa"/>
            <w:vAlign w:val="bottom"/>
          </w:tcPr>
          <w:p>
            <w:pPr>
              <w:spacing w:after="0"/>
              <w:rPr>
                <w:sz w:val="20"/>
                <w:szCs w:val="20"/>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773.2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outstanding restricted share and stock unit holders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669.4</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769.7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878.1</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7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common shares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257.2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255.6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Outstanding assuming dilution</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265.1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263.3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and their average exercise price that are excluded from the calculation of diluted earnings per common share, as the inclusion of such shares would be anti-dilutive.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outstanding stock options excluded</w:t>
            </w:r>
          </w:p>
        </w:tc>
        <w:tc>
          <w:tcPr>
            <w:tcW w:w="9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67"/>
        </w:trPr>
        <w:tc>
          <w:tcPr>
            <w:tcW w:w="67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Average exercise price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52.07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420"/>
          </w:cols>
          <w:pgMar w:left="240" w:top="125" w:right="239" w:bottom="1440" w:gutter="0" w:footer="0" w:header="0"/>
          <w:type w:val="continuous"/>
        </w:sectPr>
      </w:pPr>
    </w:p>
    <w:bookmarkStart w:id="48" w:name="page49"/>
    <w:bookmarkEnd w:id="48"/>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12 – OTHER COMPREHENSIVE INCOME AND 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deferred tax benefit (income tax) impact of the components (in millions) of other comprehensive income.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5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benefit (income taxes) on</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holding gains or losses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Capital gain distributions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Reclassification adjustment on net gains or losses realized on dispositions in non-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investment income</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09"/>
        </w:trPr>
        <w:tc>
          <w:tcPr>
            <w:tcW w:w="6740" w:type="dxa"/>
            <w:vAlign w:val="bottom"/>
          </w:tcPr>
          <w:p>
            <w:pPr>
              <w:ind w:left="40"/>
              <w:spacing w:after="0"/>
              <w:rPr>
                <w:sz w:val="20"/>
                <w:szCs w:val="20"/>
                <w:color w:val="auto"/>
              </w:rPr>
            </w:pPr>
            <w:r>
              <w:rPr>
                <w:rFonts w:ascii="Arial" w:cs="Arial" w:eastAsia="Arial" w:hAnsi="Arial"/>
                <w:sz w:val="18"/>
                <w:szCs w:val="18"/>
                <w:color w:val="auto"/>
                <w:w w:val="91"/>
              </w:rPr>
              <w:t>Deferred tax benefits (income taxes) on net unrealized holding gains or losses recognized in</w:t>
            </w: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(24.1)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 (expense) on currency translation adjustment</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 tax benefits (income taxes)</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(26.1)</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income (in millions), by component, for each year ended December 31 are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1"/>
              </w:rPr>
              <w:t>Other</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1"/>
              </w:rPr>
              <w:t>Other</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6"/>
              </w:rPr>
              <w:t>Other</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2"/>
              </w:rPr>
              <w:t>comprehensive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comprehensive loss,</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0"/>
              </w:rPr>
              <w:t>comprehensive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4"/>
              </w:rPr>
              <w:t>income, net of tax</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7"/>
              </w:rPr>
              <w:t>net of tax</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2011</w:t>
            </w:r>
          </w:p>
        </w:tc>
        <w:tc>
          <w:tcPr>
            <w:tcW w:w="12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94"/>
              </w:rPr>
              <w:t>income, net of tax</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1"/>
        </w:trPr>
        <w:tc>
          <w:tcPr>
            <w:tcW w:w="3760" w:type="dxa"/>
            <w:vAlign w:val="bottom"/>
          </w:tcPr>
          <w:p>
            <w:pPr>
              <w:ind w:left="40"/>
              <w:spacing w:after="0"/>
              <w:rPr>
                <w:sz w:val="20"/>
                <w:szCs w:val="20"/>
                <w:color w:val="auto"/>
              </w:rPr>
            </w:pPr>
            <w:r>
              <w:rPr>
                <w:rFonts w:ascii="Arial" w:cs="Arial" w:eastAsia="Arial" w:hAnsi="Arial"/>
                <w:sz w:val="14"/>
                <w:szCs w:val="14"/>
                <w:color w:val="auto"/>
              </w:rPr>
              <w:t>Net unrealized holding gains on</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7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Investments in sponsored funds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57.7</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217.7</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172.2</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232.3</w:t>
            </w:r>
          </w:p>
        </w:tc>
        <w:tc>
          <w:tcPr>
            <w:tcW w:w="0" w:type="dxa"/>
            <w:vAlign w:val="bottom"/>
          </w:tcPr>
          <w:p>
            <w:pPr>
              <w:spacing w:after="0"/>
              <w:rPr>
                <w:sz w:val="1"/>
                <w:szCs w:val="1"/>
                <w:color w:val="auto"/>
              </w:rPr>
            </w:pPr>
          </w:p>
        </w:tc>
      </w:tr>
      <w:tr>
        <w:trPr>
          <w:trHeight w:val="80"/>
        </w:trPr>
        <w:tc>
          <w:tcPr>
            <w:tcW w:w="376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760" w:type="dxa"/>
            <w:vAlign w:val="bottom"/>
          </w:tcPr>
          <w:p>
            <w:pPr>
              <w:ind w:left="540"/>
              <w:spacing w:after="0"/>
              <w:rPr>
                <w:sz w:val="20"/>
                <w:szCs w:val="20"/>
                <w:color w:val="auto"/>
              </w:rPr>
            </w:pPr>
            <w:r>
              <w:rPr>
                <w:rFonts w:ascii="Arial" w:cs="Arial" w:eastAsia="Arial" w:hAnsi="Arial"/>
                <w:sz w:val="14"/>
                <w:szCs w:val="14"/>
                <w:color w:val="auto"/>
              </w:rPr>
              <w:t>Debt securities held by savings bank subsidiary</w:t>
            </w:r>
          </w:p>
        </w:tc>
        <w:tc>
          <w:tcPr>
            <w:tcW w:w="18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74"/>
        </w:trPr>
        <w:tc>
          <w:tcPr>
            <w:tcW w:w="3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Proportionate share of investments held by UTI</w:t>
            </w:r>
          </w:p>
        </w:tc>
        <w:tc>
          <w:tcPr>
            <w:tcW w:w="18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74"/>
        </w:trPr>
        <w:tc>
          <w:tcPr>
            <w:tcW w:w="37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163.3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221.0</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175.7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236.1</w:t>
            </w: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80"/>
        </w:trPr>
        <w:tc>
          <w:tcPr>
            <w:tcW w:w="376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760" w:type="dxa"/>
            <w:vAlign w:val="bottom"/>
          </w:tcPr>
          <w:p>
            <w:pPr>
              <w:ind w:left="40"/>
              <w:spacing w:after="0"/>
              <w:rPr>
                <w:sz w:val="20"/>
                <w:szCs w:val="20"/>
                <w:color w:val="auto"/>
              </w:rPr>
            </w:pPr>
            <w:r>
              <w:rPr>
                <w:rFonts w:ascii="Arial" w:cs="Arial" w:eastAsia="Arial" w:hAnsi="Arial"/>
                <w:sz w:val="14"/>
                <w:szCs w:val="14"/>
                <w:color w:val="auto"/>
              </w:rPr>
              <w:t>Net unrealized holding gains, net of taxes</w:t>
            </w:r>
          </w:p>
        </w:tc>
        <w:tc>
          <w:tcPr>
            <w:tcW w:w="180" w:type="dxa"/>
            <w:vAlign w:val="bottom"/>
          </w:tcPr>
          <w:p>
            <w:pPr>
              <w:spacing w:after="0"/>
              <w:rPr>
                <w:sz w:val="14"/>
                <w:szCs w:val="14"/>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135.5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108.4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74"/>
        </w:trPr>
        <w:tc>
          <w:tcPr>
            <w:tcW w:w="3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 net of taxes</w:t>
            </w:r>
          </w:p>
        </w:tc>
        <w:tc>
          <w:tcPr>
            <w:tcW w:w="18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80"/>
        </w:trPr>
        <w:tc>
          <w:tcPr>
            <w:tcW w:w="37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760" w:type="dxa"/>
            <w:vAlign w:val="bottom"/>
          </w:tcPr>
          <w:p>
            <w:pPr>
              <w:ind w:left="40"/>
              <w:spacing w:after="0"/>
              <w:rPr>
                <w:sz w:val="20"/>
                <w:szCs w:val="20"/>
                <w:color w:val="auto"/>
              </w:rPr>
            </w:pPr>
            <w:r>
              <w:rPr>
                <w:rFonts w:ascii="Arial" w:cs="Arial" w:eastAsia="Arial" w:hAnsi="Arial"/>
                <w:sz w:val="14"/>
                <w:szCs w:val="14"/>
                <w:color w:val="auto"/>
              </w:rPr>
              <w:t>Accumulated other comprehensive income</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139.1</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102.8</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65"/>
        </w:trPr>
        <w:tc>
          <w:tcPr>
            <w:tcW w:w="376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currency translation adjustment results from translating our proportionate share of the financial statements of UTI, our equity method investment, into U.S. dollars. Assets and liabilities are translated into U.S. dollars using year-end exchange rates, and revenues and expenses are translated using weighted-average exchange rates for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13 – OTHER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CONTINGENCIES.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RETIREMENT PLANS.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Compensation and related costs includes expense recognized for our defined contribution retirement plans of $48.2 million in 2010, $54.5 million in 2011, and $58.2 million in 2012.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420"/>
          </w:cols>
          <w:pgMar w:left="240" w:top="125" w:right="239" w:bottom="1440" w:gutter="0" w:footer="0" w:header="0"/>
        </w:sectPr>
      </w:pPr>
    </w:p>
    <w:bookmarkStart w:id="49" w:name="page50"/>
    <w:bookmarkEnd w:id="49"/>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14 – SUPPLEMENTARY QUARTERLY FINANCIAL DATA (Unaudited).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Basic earnings on</w:t>
            </w:r>
          </w:p>
        </w:tc>
        <w:tc>
          <w:tcPr>
            <w:tcW w:w="1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Diluted earnings</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1"/>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8"/>
              </w:rPr>
              <w:t>Net income</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2"/>
              </w:rPr>
              <w:t>on common stock</w:t>
            </w: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3"/>
          </w:tcPr>
          <w:p>
            <w:pPr>
              <w:jc w:val="right"/>
              <w:ind w:right="890"/>
              <w:spacing w:after="0"/>
              <w:rPr>
                <w:sz w:val="20"/>
                <w:szCs w:val="20"/>
                <w:color w:val="auto"/>
              </w:rPr>
            </w:pPr>
            <w:r>
              <w:rPr>
                <w:rFonts w:ascii="Arial" w:cs="Arial" w:eastAsia="Arial" w:hAnsi="Arial"/>
                <w:sz w:val="18"/>
                <w:szCs w:val="18"/>
                <w:color w:val="auto"/>
              </w:rPr>
              <w:t>(in millions)</w:t>
            </w:r>
          </w:p>
        </w:tc>
        <w:tc>
          <w:tcPr>
            <w:tcW w:w="24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2"/>
          </w:tcPr>
          <w:p>
            <w:pPr>
              <w:ind w:left="900"/>
              <w:spacing w:after="0"/>
              <w:rPr>
                <w:sz w:val="20"/>
                <w:szCs w:val="20"/>
                <w:color w:val="auto"/>
              </w:rPr>
            </w:pPr>
            <w:r>
              <w:rPr>
                <w:rFonts w:ascii="Arial" w:cs="Arial" w:eastAsia="Arial" w:hAnsi="Arial"/>
                <w:sz w:val="18"/>
                <w:szCs w:val="18"/>
                <w:color w:val="auto"/>
              </w:rPr>
              <w:t>(per-share)</w:t>
            </w:r>
          </w:p>
        </w:tc>
        <w:tc>
          <w:tcPr>
            <w:tcW w:w="68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4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2011</w:t>
            </w:r>
          </w:p>
        </w:tc>
        <w:tc>
          <w:tcPr>
            <w:tcW w:w="5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1st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194.6</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80" w:type="dxa"/>
            <w:vAlign w:val="bottom"/>
          </w:tcPr>
          <w:p>
            <w:pPr>
              <w:ind w:left="900"/>
              <w:spacing w:after="0"/>
              <w:rPr>
                <w:sz w:val="20"/>
                <w:szCs w:val="20"/>
                <w:color w:val="auto"/>
              </w:rPr>
            </w:pPr>
            <w:r>
              <w:rPr>
                <w:rFonts w:ascii="Arial" w:cs="Arial" w:eastAsia="Arial" w:hAnsi="Arial"/>
                <w:sz w:val="18"/>
                <w:szCs w:val="18"/>
                <w:color w:val="auto"/>
              </w:rPr>
              <w:t>.75</w:t>
            </w:r>
          </w:p>
        </w:tc>
        <w:tc>
          <w:tcPr>
            <w:tcW w:w="7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204.7</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.79</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3rd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679.4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185.5</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80" w:type="dxa"/>
            <w:vAlign w:val="bottom"/>
          </w:tcPr>
          <w:p>
            <w:pPr>
              <w:ind w:left="900"/>
              <w:spacing w:after="0"/>
              <w:rPr>
                <w:sz w:val="20"/>
                <w:szCs w:val="20"/>
                <w:color w:val="auto"/>
              </w:rPr>
            </w:pPr>
            <w:r>
              <w:rPr>
                <w:rFonts w:ascii="Arial" w:cs="Arial" w:eastAsia="Arial" w:hAnsi="Arial"/>
                <w:sz w:val="18"/>
                <w:szCs w:val="18"/>
                <w:color w:val="auto"/>
              </w:rPr>
              <w:t>.73</w:t>
            </w:r>
          </w:p>
        </w:tc>
        <w:tc>
          <w:tcPr>
            <w:tcW w:w="7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188.4</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.74</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32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4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2012</w:t>
            </w:r>
          </w:p>
        </w:tc>
        <w:tc>
          <w:tcPr>
            <w:tcW w:w="5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1st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728.7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197.5</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80" w:type="dxa"/>
            <w:vAlign w:val="bottom"/>
          </w:tcPr>
          <w:p>
            <w:pPr>
              <w:ind w:left="900"/>
              <w:spacing w:after="0"/>
              <w:rPr>
                <w:sz w:val="20"/>
                <w:szCs w:val="20"/>
                <w:color w:val="auto"/>
              </w:rPr>
            </w:pPr>
            <w:r>
              <w:rPr>
                <w:rFonts w:ascii="Arial" w:cs="Arial" w:eastAsia="Arial" w:hAnsi="Arial"/>
                <w:sz w:val="18"/>
                <w:szCs w:val="18"/>
                <w:color w:val="auto"/>
              </w:rPr>
              <w:t>.78</w:t>
            </w:r>
          </w:p>
        </w:tc>
        <w:tc>
          <w:tcPr>
            <w:tcW w:w="7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.81</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3rd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247.3</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80" w:type="dxa"/>
            <w:vAlign w:val="bottom"/>
          </w:tcPr>
          <w:p>
            <w:pPr>
              <w:ind w:left="900"/>
              <w:spacing w:after="0"/>
              <w:rPr>
                <w:sz w:val="20"/>
                <w:szCs w:val="20"/>
                <w:color w:val="auto"/>
              </w:rPr>
            </w:pPr>
            <w:r>
              <w:rPr>
                <w:rFonts w:ascii="Arial" w:cs="Arial" w:eastAsia="Arial" w:hAnsi="Arial"/>
                <w:sz w:val="18"/>
                <w:szCs w:val="18"/>
                <w:color w:val="auto"/>
              </w:rPr>
              <w:t>.97</w:t>
            </w:r>
          </w:p>
        </w:tc>
        <w:tc>
          <w:tcPr>
            <w:tcW w:w="7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56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232.0</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.90</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sums of quarterly earnings per share do not equal annual earnings per share because the computations are done independently.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49</w:t>
      </w:r>
    </w:p>
    <w:p>
      <w:pPr>
        <w:sectPr>
          <w:pgSz w:w="11900" w:h="16838" w:orient="portrait"/>
          <w:cols w:equalWidth="0" w:num="1">
            <w:col w:w="11420"/>
          </w:cols>
          <w:pgMar w:left="240" w:top="125" w:right="239" w:bottom="1440" w:gutter="0" w:footer="0" w:header="0"/>
        </w:sectPr>
      </w:pPr>
    </w:p>
    <w:bookmarkStart w:id="50" w:name="page51"/>
    <w:bookmarkEnd w:id="50"/>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T. Rowe Price Group, Inc. and subsidiaries (“the Company”) as of December 31, 2012 and 2011, and the related consolidated statements of income, comprehensive income, stockholders’ equity, and cash flows for each of the years in the three-year period ended December 31, 2012.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 Rowe Price Group, Inc. and subsidiaries as of December 31, 2012 and 2011, and the results of their operations and their cash flows for each of the years in the three-year period ended December 31, 2012, in conformity with U.S. generally accepted accounting principles.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December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February 5, 2013, expressed an unqualified opinion on the effectiveness of the Company’s internal control over financial reporting.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2013</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50</w:t>
      </w:r>
    </w:p>
    <w:p>
      <w:pPr>
        <w:sectPr>
          <w:pgSz w:w="11900" w:h="16838" w:orient="portrait"/>
          <w:cols w:equalWidth="0" w:num="1">
            <w:col w:w="11380"/>
          </w:cols>
          <w:pgMar w:left="240" w:top="125" w:right="279" w:bottom="1440" w:gutter="0" w:footer="0" w:header="0"/>
        </w:sectPr>
      </w:pPr>
    </w:p>
    <w:bookmarkStart w:id="51" w:name="page52"/>
    <w:bookmarkEnd w:id="51"/>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December 31, 2012. Based on that evaluation, our principal executive and principal financial officers have concluded that our disclosure controls and procedures as of December 31, 2012,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1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2012, and has concluded that there was no change during the fourth quarter of 2012 that has materially affected, or is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51</w:t>
      </w:r>
    </w:p>
    <w:p>
      <w:pPr>
        <w:sectPr>
          <w:pgSz w:w="11900" w:h="16838" w:orient="portrait"/>
          <w:cols w:equalWidth="0" w:num="1">
            <w:col w:w="11380"/>
          </w:cols>
          <w:pgMar w:left="240" w:top="125" w:right="279" w:bottom="1440" w:gutter="0" w:footer="0" w:header="0"/>
        </w:sectPr>
      </w:pPr>
    </w:p>
    <w:bookmarkStart w:id="52" w:name="page53"/>
    <w:bookmarkEnd w:id="52"/>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together with other members of management of T. Rowe Price Group, Inc.,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15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Management has evaluated the effectiveness of internal control over financial reporting as of December 31, 2012, in relation to criteria described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of Sponsoring Organizations of the Treadway Commission (COSO). Based on management’s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we believe that the company’s internal control over financial reporting was effective as of December 31, 2012.</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2012.</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1400"/>
          </w:cols>
          <w:pgMar w:left="240" w:top="125" w:right="259" w:bottom="1440" w:gutter="0" w:footer="0" w:header="0"/>
        </w:sectPr>
      </w:pPr>
    </w:p>
    <w:bookmarkStart w:id="53" w:name="page54"/>
    <w:bookmarkEnd w:id="53"/>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T. Rowe Price Group, Inc. and subsidiaries’ (“the Company”) internal control over financial reporting as of December 31, 2012,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In our opinion, T. Rowe Price Group, Inc. and subsidiaries maintained, in all material respects, effective internal control over financial reporting as of December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 Rowe Price Group, Inc. and subsidiaries as of December 31, 2012 and 2011, and the related consolidated statements of income, comprehensive income, stockholders’ equity, and cash flows for each of the years in the three-year period ended December 31, 2012, and our report dated February 5, 2013, expressed an unqualified opinion on those consolidated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2013</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380"/>
          </w:cols>
          <w:pgMar w:left="240" w:top="125" w:right="279" w:bottom="1440" w:gutter="0" w:footer="0" w:header="0"/>
        </w:sectPr>
      </w:pPr>
    </w:p>
    <w:bookmarkStart w:id="54" w:name="page55"/>
    <w:bookmarkEnd w:id="54"/>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10.Directors, Executive Officers and Corporate Governance.</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for the 2013 Annual Meeting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14.Principal Accountant Fees and Services.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Information required by these items are incorporated by reference from the definitive proxy statement required to be filed pursuant to Regulation 14A for the 2013 Annual Meeting of our stockholders.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Financial Statement Schedules.</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85" w:lineRule="exact"/>
        <w:rPr>
          <w:sz w:val="20"/>
          <w:szCs w:val="20"/>
          <w:color w:val="auto"/>
        </w:rPr>
      </w:pPr>
    </w:p>
    <w:p>
      <w:pPr>
        <w:ind w:left="620" w:hanging="585"/>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84" w:lineRule="exact"/>
        <w:rPr>
          <w:rFonts w:ascii="Arial" w:cs="Arial" w:eastAsia="Arial" w:hAnsi="Arial"/>
          <w:sz w:val="18"/>
          <w:szCs w:val="18"/>
          <w:color w:val="auto"/>
        </w:rPr>
      </w:pPr>
    </w:p>
    <w:p>
      <w:pPr>
        <w:ind w:left="620" w:right="360" w:hanging="585"/>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filed as Exhibits 10.07 through 10.18.4.</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3(i)</w:t>
            </w:r>
          </w:p>
        </w:tc>
        <w:tc>
          <w:tcPr>
            <w:tcW w:w="9640" w:type="dxa"/>
            <w:vAlign w:val="bottom"/>
          </w:tcPr>
          <w:p>
            <w:pPr>
              <w:ind w:left="580"/>
              <w:spacing w:after="0"/>
              <w:rPr>
                <w:sz w:val="20"/>
                <w:szCs w:val="20"/>
                <w:color w:val="auto"/>
              </w:rPr>
            </w:pPr>
            <w:r>
              <w:rPr>
                <w:rFonts w:ascii="Arial" w:cs="Arial" w:eastAsia="Arial" w:hAnsi="Arial"/>
                <w:sz w:val="18"/>
                <w:szCs w:val="18"/>
                <w:color w:val="auto"/>
                <w:w w:val="98"/>
              </w:rPr>
              <w:t>Charter of T. Rowe Price Group, Inc., as Amended by Articles of Amendment dated April 10, 2008. (Incorporated by</w:t>
            </w:r>
          </w:p>
        </w:tc>
      </w:tr>
      <w:tr>
        <w:trPr>
          <w:trHeight w:val="216"/>
        </w:trPr>
        <w:tc>
          <w:tcPr>
            <w:tcW w:w="1120" w:type="dxa"/>
            <w:vAlign w:val="bottom"/>
          </w:tcPr>
          <w:p>
            <w:pPr>
              <w:spacing w:after="0"/>
              <w:rPr>
                <w:sz w:val="18"/>
                <w:szCs w:val="18"/>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w w:val="97"/>
              </w:rPr>
              <w:t>reference from Form 10-Q Report for the quarterly period ended March 31, 2008 filed on April 24, 2008; File No. 033-</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3(ii)</w:t>
            </w:r>
          </w:p>
        </w:tc>
        <w:tc>
          <w:tcPr>
            <w:tcW w:w="9640" w:type="dxa"/>
            <w:vAlign w:val="bottom"/>
          </w:tcPr>
          <w:p>
            <w:pPr>
              <w:ind w:left="580"/>
              <w:spacing w:after="0"/>
              <w:rPr>
                <w:sz w:val="20"/>
                <w:szCs w:val="20"/>
                <w:color w:val="auto"/>
              </w:rPr>
            </w:pPr>
            <w:r>
              <w:rPr>
                <w:rFonts w:ascii="Arial" w:cs="Arial" w:eastAsia="Arial" w:hAnsi="Arial"/>
                <w:sz w:val="18"/>
                <w:szCs w:val="18"/>
                <w:color w:val="auto"/>
                <w:w w:val="94"/>
              </w:rPr>
              <w:t>Amended and Restated By-Laws of T. Rowe Price Group, Inc. as of February 12, 2009. (Incorporated by reference from</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Form 8-K Current Report as of February 17, 2009;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10.01.1</w:t>
            </w:r>
          </w:p>
        </w:tc>
        <w:tc>
          <w:tcPr>
            <w:tcW w:w="9640" w:type="dxa"/>
            <w:vAlign w:val="bottom"/>
          </w:tcPr>
          <w:p>
            <w:pPr>
              <w:ind w:left="580"/>
              <w:spacing w:after="0"/>
              <w:rPr>
                <w:sz w:val="20"/>
                <w:szCs w:val="20"/>
                <w:color w:val="auto"/>
              </w:rPr>
            </w:pPr>
            <w:r>
              <w:rPr>
                <w:rFonts w:ascii="Arial" w:cs="Arial" w:eastAsia="Arial" w:hAnsi="Arial"/>
                <w:sz w:val="18"/>
                <w:szCs w:val="18"/>
                <w:color w:val="auto"/>
                <w:w w:val="89"/>
              </w:rPr>
              <w:t>Representative Investment Management Agreement for the T. Rowe Price mutual funds that pay a management fee consisting</w:t>
            </w:r>
          </w:p>
        </w:tc>
      </w:tr>
      <w:tr>
        <w:trPr>
          <w:trHeight w:val="216"/>
        </w:trPr>
        <w:tc>
          <w:tcPr>
            <w:tcW w:w="1120" w:type="dxa"/>
            <w:vAlign w:val="bottom"/>
          </w:tcPr>
          <w:p>
            <w:pPr>
              <w:spacing w:after="0"/>
              <w:rPr>
                <w:sz w:val="18"/>
                <w:szCs w:val="18"/>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w w:val="92"/>
              </w:rPr>
              <w:t>of two components - a group management fee and individual management fee. (Incorporated by reference from Form N-1A</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filed on August 22, 2008; File No. 333-153130.)</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10.01.2</w:t>
            </w:r>
          </w:p>
        </w:tc>
        <w:tc>
          <w:tcPr>
            <w:tcW w:w="9640" w:type="dxa"/>
            <w:vAlign w:val="bottom"/>
          </w:tcPr>
          <w:p>
            <w:pPr>
              <w:ind w:left="580"/>
              <w:spacing w:after="0"/>
              <w:rPr>
                <w:sz w:val="20"/>
                <w:szCs w:val="20"/>
                <w:color w:val="auto"/>
              </w:rPr>
            </w:pPr>
            <w:r>
              <w:rPr>
                <w:rFonts w:ascii="Arial" w:cs="Arial" w:eastAsia="Arial" w:hAnsi="Arial"/>
                <w:sz w:val="18"/>
                <w:szCs w:val="18"/>
                <w:color w:val="auto"/>
                <w:w w:val="91"/>
              </w:rPr>
              <w:t>Representative Investment Management Agreement for the T. Rowe Price mutual funds that pay an individual management</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fee. (Incorporated by reference from Form 485APOS filed on August 11, 2010; File No. 033-29697)</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10.01.3</w:t>
            </w:r>
          </w:p>
        </w:tc>
        <w:tc>
          <w:tcPr>
            <w:tcW w:w="9640" w:type="dxa"/>
            <w:vAlign w:val="bottom"/>
          </w:tcPr>
          <w:p>
            <w:pPr>
              <w:ind w:left="580"/>
              <w:spacing w:after="0"/>
              <w:rPr>
                <w:sz w:val="20"/>
                <w:szCs w:val="20"/>
                <w:color w:val="auto"/>
              </w:rPr>
            </w:pPr>
            <w:r>
              <w:rPr>
                <w:rFonts w:ascii="Arial" w:cs="Arial" w:eastAsia="Arial" w:hAnsi="Arial"/>
                <w:sz w:val="18"/>
                <w:szCs w:val="18"/>
                <w:color w:val="auto"/>
                <w:w w:val="92"/>
              </w:rPr>
              <w:t>Representative Investment Management Agreement for the T. Rowe Price mutual funds that pay an all-inclusive fee (i.e., a</w:t>
            </w:r>
          </w:p>
        </w:tc>
      </w:tr>
      <w:tr>
        <w:trPr>
          <w:trHeight w:val="216"/>
        </w:trPr>
        <w:tc>
          <w:tcPr>
            <w:tcW w:w="1120" w:type="dxa"/>
            <w:vAlign w:val="bottom"/>
          </w:tcPr>
          <w:p>
            <w:pPr>
              <w:spacing w:after="0"/>
              <w:rPr>
                <w:sz w:val="18"/>
                <w:szCs w:val="18"/>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w w:val="91"/>
              </w:rPr>
              <w:t>single fee that covers investment management and ordinary recurring operating expenses). (Incorporated by reference from</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Form 485APOS filed on March 15, 2007; File No. 033-29697)</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10.02</w:t>
            </w:r>
          </w:p>
        </w:tc>
        <w:tc>
          <w:tcPr>
            <w:tcW w:w="9640" w:type="dxa"/>
            <w:vAlign w:val="bottom"/>
          </w:tcPr>
          <w:p>
            <w:pPr>
              <w:ind w:left="580"/>
              <w:spacing w:after="0"/>
              <w:rPr>
                <w:sz w:val="20"/>
                <w:szCs w:val="20"/>
                <w:color w:val="auto"/>
              </w:rPr>
            </w:pPr>
            <w:r>
              <w:rPr>
                <w:rFonts w:ascii="Arial" w:cs="Arial" w:eastAsia="Arial" w:hAnsi="Arial"/>
                <w:sz w:val="18"/>
                <w:szCs w:val="18"/>
                <w:color w:val="auto"/>
                <w:w w:val="91"/>
              </w:rPr>
              <w:t>Representative Underwriting Agreement between a T. Rowe Price mutual fund and T. Rowe Price Investment Services, Inc.</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(Incorporated by reference from Form N-1A/A filed on August 29, 2006; File No. 333-136805.)</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10.03</w:t>
            </w:r>
          </w:p>
        </w:tc>
        <w:tc>
          <w:tcPr>
            <w:tcW w:w="9640" w:type="dxa"/>
            <w:vAlign w:val="bottom"/>
          </w:tcPr>
          <w:p>
            <w:pPr>
              <w:ind w:left="580"/>
              <w:spacing w:after="0"/>
              <w:rPr>
                <w:sz w:val="20"/>
                <w:szCs w:val="20"/>
                <w:color w:val="auto"/>
              </w:rPr>
            </w:pPr>
            <w:r>
              <w:rPr>
                <w:rFonts w:ascii="Arial" w:cs="Arial" w:eastAsia="Arial" w:hAnsi="Arial"/>
                <w:sz w:val="18"/>
                <w:szCs w:val="18"/>
                <w:color w:val="auto"/>
                <w:w w:val="90"/>
              </w:rPr>
              <w:t>Transfer Agency and Service Agreement as of January 1, 2012, between T. Rowe Price Services, Inc. and the T. Rowe Price</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Funds. (Incorporated by reference from Form 485BPOS filed on April 26, 2012; File No. 033-38791.)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10.04</w:t>
            </w:r>
          </w:p>
        </w:tc>
        <w:tc>
          <w:tcPr>
            <w:tcW w:w="9640" w:type="dxa"/>
            <w:vAlign w:val="bottom"/>
          </w:tcPr>
          <w:p>
            <w:pPr>
              <w:ind w:left="580"/>
              <w:spacing w:after="0"/>
              <w:rPr>
                <w:sz w:val="20"/>
                <w:szCs w:val="20"/>
                <w:color w:val="auto"/>
              </w:rPr>
            </w:pPr>
            <w:r>
              <w:rPr>
                <w:rFonts w:ascii="Arial" w:cs="Arial" w:eastAsia="Arial" w:hAnsi="Arial"/>
                <w:sz w:val="18"/>
                <w:szCs w:val="18"/>
                <w:color w:val="auto"/>
                <w:w w:val="93"/>
              </w:rPr>
              <w:t>Agreement as of January 1, 2012, between T. Rowe Price Retirement Plan Services, Inc. and certain of the T. Rowe Price</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Funds. (Incorporated by reference from Form 485BPOS filed on April 26, 2012; File No. 033-38791.)</w:t>
            </w:r>
          </w:p>
        </w:tc>
      </w:tr>
    </w:tbl>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54</w:t>
      </w:r>
    </w:p>
    <w:p>
      <w:pPr>
        <w:sectPr>
          <w:pgSz w:w="11900" w:h="16838" w:orient="portrait"/>
          <w:cols w:equalWidth="0" w:num="1">
            <w:col w:w="11380"/>
          </w:cols>
          <w:pgMar w:left="240" w:top="125" w:right="2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80" w:type="dxa"/>
            <w:vAlign w:val="bottom"/>
            <w:tcBorders>
              <w:bottom w:val="single" w:sz="8" w:color="0000FF"/>
            </w:tcBorders>
          </w:tcPr>
          <w:p>
            <w:pP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6200" w:type="dxa"/>
            <w:vAlign w:val="bottom"/>
          </w:tcPr>
          <w:p>
            <w:pPr>
              <w:spacing w:after="0"/>
              <w:rPr>
                <w:sz w:val="17"/>
                <w:szCs w:val="17"/>
                <w:color w:val="auto"/>
              </w:rPr>
            </w:pPr>
          </w:p>
        </w:tc>
      </w:tr>
      <w:tr>
        <w:trPr>
          <w:trHeight w:val="627"/>
        </w:trPr>
        <w:tc>
          <w:tcPr>
            <w:tcW w:w="1120" w:type="dxa"/>
            <w:vAlign w:val="bottom"/>
          </w:tcPr>
          <w:p>
            <w:pPr>
              <w:spacing w:after="0"/>
              <w:rPr>
                <w:sz w:val="20"/>
                <w:szCs w:val="20"/>
                <w:color w:val="auto"/>
              </w:rPr>
            </w:pPr>
            <w:r>
              <w:rPr>
                <w:rFonts w:ascii="Arial" w:cs="Arial" w:eastAsia="Arial" w:hAnsi="Arial"/>
                <w:sz w:val="18"/>
                <w:szCs w:val="18"/>
                <w:color w:val="auto"/>
              </w:rPr>
              <w:t>10.05</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6"/>
              </w:rPr>
              <w:t>Second Amended, Restated and Consolidated Lease Agreement dated November 9, 2004, between East Pratt Street</w:t>
            </w:r>
          </w:p>
        </w:tc>
      </w:tr>
      <w:tr>
        <w:trPr>
          <w:trHeight w:val="216"/>
        </w:trPr>
        <w:tc>
          <w:tcPr>
            <w:tcW w:w="1120" w:type="dxa"/>
            <w:vAlign w:val="bottom"/>
          </w:tcPr>
          <w:p>
            <w:pPr>
              <w:spacing w:after="0"/>
              <w:rPr>
                <w:sz w:val="18"/>
                <w:szCs w:val="18"/>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1"/>
              </w:rPr>
              <w:t>Associates Limited Partnership and T. Rowe Price Associates, Inc. (Incorporated by reference from Form 10-K for 2004 filed</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on March 1, 2005;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10.07</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8"/>
              </w:rPr>
              <w:t>1998 Director Stock Option Plan, as Amended and Restated effective December 16, 2004, including forms of option</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agreements. (Incorporated by reference from Form 10-K for 2004 filed on March 1, 2005;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10.08</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3"/>
              </w:rPr>
              <w:t>Statements of additional terms and conditions for awards granted under the Amended and Restated 2007 Non-Employee</w:t>
            </w:r>
          </w:p>
        </w:tc>
      </w:tr>
      <w:tr>
        <w:trPr>
          <w:trHeight w:val="216"/>
        </w:trPr>
        <w:tc>
          <w:tcPr>
            <w:tcW w:w="1120" w:type="dxa"/>
            <w:vAlign w:val="bottom"/>
          </w:tcPr>
          <w:p>
            <w:pPr>
              <w:spacing w:after="0"/>
              <w:rPr>
                <w:sz w:val="18"/>
                <w:szCs w:val="18"/>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4"/>
              </w:rPr>
              <w:t>Director Equity Plans after February 12, 2009. (Incorporated by reference from Form 10-Q for the quarterly period ended</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March 31, 2009 filed on April 22, 2009; File No. 033-07012-99.)</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10.08.1</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Amended and Restated 2007 Non-Employee Director Equity Plan.</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3"/>
              </w:rPr>
              <w:t>T. Rowe Price Group, Inc. Outside Directors Deferred Compensation Plan. (Incorporated by reference from Form 10-K for</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2004 filed on March 1, 2005;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10.13.1</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6"/>
              </w:rPr>
              <w:t>2001 Stock Incentive Plan. (Incorporated by reference from Form DEFR 14A filed on February 26, 2001; File No. 033-</w:t>
            </w:r>
          </w:p>
        </w:tc>
      </w:tr>
      <w:tr>
        <w:trPr>
          <w:trHeight w:val="230"/>
        </w:trPr>
        <w:tc>
          <w:tcPr>
            <w:tcW w:w="1120" w:type="dxa"/>
            <w:vAlign w:val="bottom"/>
          </w:tcPr>
          <w:p>
            <w:pPr>
              <w:spacing w:after="0"/>
              <w:rPr>
                <w:sz w:val="20"/>
                <w:szCs w:val="20"/>
                <w:color w:val="auto"/>
              </w:rPr>
            </w:pPr>
          </w:p>
        </w:tc>
        <w:tc>
          <w:tcPr>
            <w:tcW w:w="2160" w:type="dxa"/>
            <w:vAlign w:val="bottom"/>
          </w:tcPr>
          <w:p>
            <w:pPr>
              <w:ind w:left="580"/>
              <w:spacing w:after="0"/>
              <w:rPr>
                <w:sz w:val="20"/>
                <w:szCs w:val="20"/>
                <w:color w:val="auto"/>
              </w:rPr>
            </w:pPr>
            <w:r>
              <w:rPr>
                <w:rFonts w:ascii="Arial" w:cs="Arial" w:eastAsia="Arial" w:hAnsi="Arial"/>
                <w:sz w:val="18"/>
                <w:szCs w:val="18"/>
                <w:color w:val="auto"/>
              </w:rPr>
              <w:t>07012-99.)</w:t>
            </w:r>
          </w:p>
        </w:tc>
        <w:tc>
          <w:tcPr>
            <w:tcW w:w="128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10.13.2</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2"/>
              </w:rPr>
              <w:t>First Amendment to 2001 Stock Incentive Plan dated April 8, 2004. (Incorporated by reference from Form DEF 14A filed on</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February 27, 2004;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10.13.3</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1"/>
              </w:rPr>
              <w:t>Second Amendment to 2001 Stock Incentive Plan dated December 12, 2008. (Incorporated by reference from Form 10-Q for</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the quarterly period ended March 31, 2009 filed on April 22, 2009;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10.14.1</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5"/>
              </w:rPr>
              <w:t>2004 Stock Incentive Plan. (Incorporated by reference from Form 10-K for 2007 filed on February 7, 2008; File No. 033-</w:t>
            </w:r>
          </w:p>
        </w:tc>
      </w:tr>
      <w:tr>
        <w:trPr>
          <w:trHeight w:val="230"/>
        </w:trPr>
        <w:tc>
          <w:tcPr>
            <w:tcW w:w="1120" w:type="dxa"/>
            <w:vAlign w:val="bottom"/>
          </w:tcPr>
          <w:p>
            <w:pPr>
              <w:spacing w:after="0"/>
              <w:rPr>
                <w:sz w:val="20"/>
                <w:szCs w:val="20"/>
                <w:color w:val="auto"/>
              </w:rPr>
            </w:pPr>
          </w:p>
        </w:tc>
        <w:tc>
          <w:tcPr>
            <w:tcW w:w="2160" w:type="dxa"/>
            <w:vAlign w:val="bottom"/>
          </w:tcPr>
          <w:p>
            <w:pPr>
              <w:ind w:left="580"/>
              <w:spacing w:after="0"/>
              <w:rPr>
                <w:sz w:val="20"/>
                <w:szCs w:val="20"/>
                <w:color w:val="auto"/>
              </w:rPr>
            </w:pPr>
            <w:r>
              <w:rPr>
                <w:rFonts w:ascii="Arial" w:cs="Arial" w:eastAsia="Arial" w:hAnsi="Arial"/>
                <w:sz w:val="18"/>
                <w:szCs w:val="18"/>
                <w:color w:val="auto"/>
              </w:rPr>
              <w:t>07012-99.)</w:t>
            </w:r>
          </w:p>
        </w:tc>
        <w:tc>
          <w:tcPr>
            <w:tcW w:w="128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10.14.2</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3"/>
              </w:rPr>
              <w:t>HM Revenue and Customs Approved Sub-Plan for UK Employees under the 2004 Stock Incentive Plan. (Incorporated by</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5"/>
              </w:rPr>
              <w:t>reference from Form 10-Q for the quarterly period ended June 30, 2010 filed on July 23,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10.14.3</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0"/>
              </w:rPr>
              <w:t>First Amendment to 2004 Stock Incentive Plan dated December 12, 2008. (Incorporated by reference from Form 10-Q for the</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quarterly period ended March 31, 2009 filed on April 22, 2009;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0"/>
              </w:rPr>
              <w:t>Forms of agreements available for stock-based awards issued under the 2001 and 2004 Stock Incentive Plans. (Incorporated</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3"/>
              </w:rPr>
              <w:t>by reference from Form 10-Q for the quarterly period ended June 30, 2010 filed on July 23,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10.15.1</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3"/>
              </w:rPr>
              <w:t>Forms of agreement for stock options issued under the HM Revenue and Customs Approved Sub-Plan for UK Employees</w:t>
            </w:r>
          </w:p>
        </w:tc>
      </w:tr>
      <w:tr>
        <w:trPr>
          <w:trHeight w:val="216"/>
        </w:trPr>
        <w:tc>
          <w:tcPr>
            <w:tcW w:w="1120" w:type="dxa"/>
            <w:vAlign w:val="bottom"/>
          </w:tcPr>
          <w:p>
            <w:pPr>
              <w:spacing w:after="0"/>
              <w:rPr>
                <w:sz w:val="18"/>
                <w:szCs w:val="18"/>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4"/>
              </w:rPr>
              <w:t>under the 2004 Stock Incentive Plan. (Incorporated by reference from Form 10-Q for the quarterly period ended June 30,</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2010 filed on July 23,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10.15.2</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2"/>
              </w:rPr>
              <w:t>Forms of agreement for stock options issued after February 2, 2012 under the 2004 Stock Incentive Plan. (Incorporated by</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5"/>
              </w:rPr>
              <w:t>reference from Form 10-Q for the quarterly period ended June 30, 2012 filed on July 25, 2012;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10.15.3</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Forms of agreement for restricted stock units issued after February 2, 2012 under the 2004 Stock Incentive Plan.</w:t>
            </w:r>
          </w:p>
        </w:tc>
      </w:tr>
      <w:tr>
        <w:trPr>
          <w:trHeight w:val="216"/>
        </w:trPr>
        <w:tc>
          <w:tcPr>
            <w:tcW w:w="1120" w:type="dxa"/>
            <w:vAlign w:val="bottom"/>
          </w:tcPr>
          <w:p>
            <w:pPr>
              <w:spacing w:after="0"/>
              <w:rPr>
                <w:sz w:val="18"/>
                <w:szCs w:val="18"/>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4"/>
              </w:rPr>
              <w:t>(Incorporated by reference from Form 10-Q for the quarterly period ended June 30, 2012 filed on July 25, 2012; File No.</w:t>
            </w:r>
          </w:p>
        </w:tc>
      </w:tr>
      <w:tr>
        <w:trPr>
          <w:trHeight w:val="230"/>
        </w:trPr>
        <w:tc>
          <w:tcPr>
            <w:tcW w:w="1120" w:type="dxa"/>
            <w:vAlign w:val="bottom"/>
          </w:tcPr>
          <w:p>
            <w:pPr>
              <w:spacing w:after="0"/>
              <w:rPr>
                <w:sz w:val="20"/>
                <w:szCs w:val="20"/>
                <w:color w:val="auto"/>
              </w:rPr>
            </w:pPr>
          </w:p>
        </w:tc>
        <w:tc>
          <w:tcPr>
            <w:tcW w:w="2160" w:type="dxa"/>
            <w:vAlign w:val="bottom"/>
          </w:tcPr>
          <w:p>
            <w:pPr>
              <w:ind w:left="580"/>
              <w:spacing w:after="0"/>
              <w:rPr>
                <w:sz w:val="20"/>
                <w:szCs w:val="20"/>
                <w:color w:val="auto"/>
              </w:rPr>
            </w:pPr>
            <w:r>
              <w:rPr>
                <w:rFonts w:ascii="Arial" w:cs="Arial" w:eastAsia="Arial" w:hAnsi="Arial"/>
                <w:sz w:val="18"/>
                <w:szCs w:val="18"/>
                <w:color w:val="auto"/>
              </w:rPr>
              <w:t>033-07012-99.)</w:t>
            </w:r>
          </w:p>
        </w:tc>
        <w:tc>
          <w:tcPr>
            <w:tcW w:w="128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431"/>
        </w:trPr>
        <w:tc>
          <w:tcPr>
            <w:tcW w:w="1120" w:type="dxa"/>
            <w:vAlign w:val="bottom"/>
          </w:tcPr>
          <w:p>
            <w:pPr>
              <w:spacing w:after="0"/>
              <w:rPr>
                <w:sz w:val="20"/>
                <w:szCs w:val="20"/>
                <w:color w:val="auto"/>
              </w:rPr>
            </w:pPr>
            <w:r>
              <w:rPr>
                <w:rFonts w:ascii="Arial" w:cs="Arial" w:eastAsia="Arial" w:hAnsi="Arial"/>
                <w:sz w:val="18"/>
                <w:szCs w:val="18"/>
                <w:color w:val="auto"/>
              </w:rPr>
              <w:t>10.15.4</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8"/>
              </w:rPr>
              <w:t>Forms of agreement for restricted stock awards issued after February 2, 2012 under the 2004 Stock Incentive Plan.</w:t>
            </w:r>
          </w:p>
        </w:tc>
      </w:tr>
      <w:tr>
        <w:trPr>
          <w:trHeight w:val="216"/>
        </w:trPr>
        <w:tc>
          <w:tcPr>
            <w:tcW w:w="1120" w:type="dxa"/>
            <w:vAlign w:val="bottom"/>
          </w:tcPr>
          <w:p>
            <w:pPr>
              <w:spacing w:after="0"/>
              <w:rPr>
                <w:sz w:val="18"/>
                <w:szCs w:val="18"/>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4"/>
              </w:rPr>
              <w:t>(Incorporated by reference from Form 10-Q for the quarterly period ended June 30, 2012 filed on July 25, 2012; File No.</w:t>
            </w:r>
          </w:p>
        </w:tc>
      </w:tr>
      <w:tr>
        <w:trPr>
          <w:trHeight w:val="230"/>
        </w:trPr>
        <w:tc>
          <w:tcPr>
            <w:tcW w:w="1120" w:type="dxa"/>
            <w:vAlign w:val="bottom"/>
          </w:tcPr>
          <w:p>
            <w:pPr>
              <w:spacing w:after="0"/>
              <w:rPr>
                <w:sz w:val="20"/>
                <w:szCs w:val="20"/>
                <w:color w:val="auto"/>
              </w:rPr>
            </w:pPr>
          </w:p>
        </w:tc>
        <w:tc>
          <w:tcPr>
            <w:tcW w:w="2160" w:type="dxa"/>
            <w:vAlign w:val="bottom"/>
          </w:tcPr>
          <w:p>
            <w:pPr>
              <w:ind w:left="580"/>
              <w:spacing w:after="0"/>
              <w:rPr>
                <w:sz w:val="20"/>
                <w:szCs w:val="20"/>
                <w:color w:val="auto"/>
              </w:rPr>
            </w:pPr>
            <w:r>
              <w:rPr>
                <w:rFonts w:ascii="Arial" w:cs="Arial" w:eastAsia="Arial" w:hAnsi="Arial"/>
                <w:sz w:val="18"/>
                <w:szCs w:val="18"/>
                <w:color w:val="auto"/>
              </w:rPr>
              <w:t>033-07012-99.)</w:t>
            </w:r>
          </w:p>
        </w:tc>
        <w:tc>
          <w:tcPr>
            <w:tcW w:w="128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10.16</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2"/>
              </w:rPr>
              <w:t>Annual Incentive Compensation Pool. (Incorporated by reference from Form DEF 14A filed on March 3, 2003; File No. 033-</w:t>
            </w:r>
          </w:p>
        </w:tc>
      </w:tr>
      <w:tr>
        <w:trPr>
          <w:trHeight w:val="230"/>
        </w:trPr>
        <w:tc>
          <w:tcPr>
            <w:tcW w:w="1120" w:type="dxa"/>
            <w:vAlign w:val="bottom"/>
          </w:tcPr>
          <w:p>
            <w:pPr>
              <w:spacing w:after="0"/>
              <w:rPr>
                <w:sz w:val="20"/>
                <w:szCs w:val="20"/>
                <w:color w:val="auto"/>
              </w:rPr>
            </w:pPr>
          </w:p>
        </w:tc>
        <w:tc>
          <w:tcPr>
            <w:tcW w:w="2160" w:type="dxa"/>
            <w:vAlign w:val="bottom"/>
          </w:tcPr>
          <w:p>
            <w:pPr>
              <w:ind w:left="580"/>
              <w:spacing w:after="0"/>
              <w:rPr>
                <w:sz w:val="20"/>
                <w:szCs w:val="20"/>
                <w:color w:val="auto"/>
              </w:rPr>
            </w:pPr>
            <w:r>
              <w:rPr>
                <w:rFonts w:ascii="Arial" w:cs="Arial" w:eastAsia="Arial" w:hAnsi="Arial"/>
                <w:sz w:val="18"/>
                <w:szCs w:val="18"/>
                <w:color w:val="auto"/>
              </w:rPr>
              <w:t>07012-99.)</w:t>
            </w:r>
          </w:p>
        </w:tc>
        <w:tc>
          <w:tcPr>
            <w:tcW w:w="128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10.17</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2"/>
              </w:rPr>
              <w:t>Policy for Recoupment of Incentive Compensation. (Incorporated by reference from Form 8-K Current Report as of April 14,</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2010 filed on April 16, 2010; File No. 033-07012-99.)</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10.18.1</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2012 Long-term Incentive Plan.</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10.18.2</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1"/>
              </w:rPr>
              <w:t>Forms of agreement for restricted stock awards issued under the 2012 Long-term Incentive Plan. (Incorporated by reference</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from Form 10-Q Report for the quarterly period ended June 30, 2012 filed on July 25, 2012; File No. 000-32191).</w:t>
            </w:r>
          </w:p>
        </w:tc>
      </w:tr>
    </w:tbl>
    <w:p>
      <w:pPr>
        <w:spacing w:after="0" w:line="200" w:lineRule="exact"/>
        <w:rPr>
          <w:sz w:val="20"/>
          <w:szCs w:val="20"/>
          <w:color w:val="auto"/>
        </w:rPr>
      </w:pPr>
    </w:p>
    <w:p>
      <w:pPr>
        <w:sectPr>
          <w:pgSz w:w="11900" w:h="16838" w:orient="portrait"/>
          <w:cols w:equalWidth="0" w:num="1">
            <w:col w:w="10760"/>
          </w:cols>
          <w:pgMar w:left="860" w:top="108" w:right="279" w:bottom="1440" w:gutter="0" w:footer="0" w:header="0"/>
        </w:sectPr>
      </w:pPr>
    </w:p>
    <w:p>
      <w:pPr>
        <w:spacing w:after="0" w:line="245" w:lineRule="exact"/>
        <w:rPr>
          <w:sz w:val="20"/>
          <w:szCs w:val="20"/>
          <w:color w:val="auto"/>
        </w:rPr>
      </w:pPr>
    </w:p>
    <w:p>
      <w:pPr>
        <w:ind w:left="4800"/>
        <w:spacing w:after="0"/>
        <w:rPr>
          <w:sz w:val="20"/>
          <w:szCs w:val="20"/>
          <w:color w:val="auto"/>
        </w:rPr>
      </w:pPr>
      <w:r>
        <w:rPr>
          <w:rFonts w:ascii="Arial" w:cs="Arial" w:eastAsia="Arial" w:hAnsi="Arial"/>
          <w:sz w:val="15"/>
          <w:szCs w:val="15"/>
          <w:color w:val="auto"/>
        </w:rPr>
        <w:t>Page 55</w:t>
      </w:r>
    </w:p>
    <w:p>
      <w:pPr>
        <w:sectPr>
          <w:pgSz w:w="11900" w:h="16838" w:orient="portrait"/>
          <w:cols w:equalWidth="0" w:num="1">
            <w:col w:w="10760"/>
          </w:cols>
          <w:pgMar w:left="860" w:top="108" w:right="27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80" w:type="dxa"/>
            <w:vAlign w:val="bottom"/>
            <w:tcBorders>
              <w:bottom w:val="single" w:sz="8" w:color="0000FF"/>
            </w:tcBorders>
          </w:tcPr>
          <w:p>
            <w:pP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6140" w:type="dxa"/>
            <w:vAlign w:val="bottom"/>
          </w:tcPr>
          <w:p>
            <w:pPr>
              <w:spacing w:after="0"/>
              <w:rPr>
                <w:sz w:val="17"/>
                <w:szCs w:val="17"/>
                <w:color w:val="auto"/>
              </w:rPr>
            </w:pPr>
          </w:p>
        </w:tc>
      </w:tr>
      <w:tr>
        <w:trPr>
          <w:trHeight w:val="627"/>
        </w:trPr>
        <w:tc>
          <w:tcPr>
            <w:tcW w:w="1120" w:type="dxa"/>
            <w:vAlign w:val="bottom"/>
          </w:tcPr>
          <w:p>
            <w:pPr>
              <w:spacing w:after="0"/>
              <w:rPr>
                <w:sz w:val="20"/>
                <w:szCs w:val="20"/>
                <w:color w:val="auto"/>
              </w:rPr>
            </w:pPr>
            <w:r>
              <w:rPr>
                <w:rFonts w:ascii="Arial" w:cs="Arial" w:eastAsia="Arial" w:hAnsi="Arial"/>
                <w:sz w:val="18"/>
                <w:szCs w:val="18"/>
                <w:color w:val="auto"/>
              </w:rPr>
              <w:t>10.18.3</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w w:val="92"/>
              </w:rPr>
              <w:t>Forms of agreement for restricted stock units issued under the 2012 Long-term Incentive Plan. (Incorporated by reference</w:t>
            </w:r>
          </w:p>
        </w:tc>
      </w:tr>
      <w:tr>
        <w:trPr>
          <w:trHeight w:val="230"/>
        </w:trPr>
        <w:tc>
          <w:tcPr>
            <w:tcW w:w="1120" w:type="dxa"/>
            <w:vAlign w:val="bottom"/>
          </w:tcPr>
          <w:p>
            <w:pPr>
              <w:spacing w:after="0"/>
              <w:rPr>
                <w:sz w:val="20"/>
                <w:szCs w:val="20"/>
                <w:color w:val="auto"/>
              </w:rPr>
            </w:pP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from Form 10-Q Report for the quarterly period ended June 30, 2012 filed on July 25, 2012; File No. 000-32191).</w:t>
            </w:r>
          </w:p>
        </w:tc>
      </w:tr>
      <w:tr>
        <w:trPr>
          <w:trHeight w:val="431"/>
        </w:trPr>
        <w:tc>
          <w:tcPr>
            <w:tcW w:w="1120" w:type="dxa"/>
            <w:vAlign w:val="bottom"/>
          </w:tcPr>
          <w:p>
            <w:pPr>
              <w:spacing w:after="0"/>
              <w:rPr>
                <w:sz w:val="20"/>
                <w:szCs w:val="20"/>
                <w:color w:val="auto"/>
              </w:rPr>
            </w:pPr>
            <w:r>
              <w:rPr>
                <w:rFonts w:ascii="Arial" w:cs="Arial" w:eastAsia="Arial" w:hAnsi="Arial"/>
                <w:sz w:val="18"/>
                <w:szCs w:val="18"/>
                <w:color w:val="auto"/>
              </w:rPr>
              <w:t>10.18.4</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w w:val="90"/>
              </w:rPr>
              <w:t>Forms of agreement of stock options issued under the 2012 Long-term Incentive Plan. (Incorporated by reference from Form</w:t>
            </w:r>
          </w:p>
        </w:tc>
      </w:tr>
      <w:tr>
        <w:trPr>
          <w:trHeight w:val="230"/>
        </w:trPr>
        <w:tc>
          <w:tcPr>
            <w:tcW w:w="1120" w:type="dxa"/>
            <w:vAlign w:val="bottom"/>
          </w:tcPr>
          <w:p>
            <w:pPr>
              <w:spacing w:after="0"/>
              <w:rPr>
                <w:sz w:val="20"/>
                <w:szCs w:val="20"/>
                <w:color w:val="auto"/>
              </w:rPr>
            </w:pP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10-Q Report for the quarterly period ended June 30, 2012 filed on July 25, 2012; File No. 000-32191).</w:t>
            </w:r>
          </w:p>
        </w:tc>
      </w:tr>
      <w:tr>
        <w:trPr>
          <w:trHeight w:val="446"/>
        </w:trPr>
        <w:tc>
          <w:tcPr>
            <w:tcW w:w="1120" w:type="dxa"/>
            <w:vAlign w:val="bottom"/>
          </w:tcPr>
          <w:p>
            <w:pPr>
              <w:spacing w:after="0"/>
              <w:rPr>
                <w:sz w:val="20"/>
                <w:szCs w:val="20"/>
                <w:color w:val="auto"/>
              </w:rPr>
            </w:pPr>
            <w:r>
              <w:rPr>
                <w:rFonts w:ascii="Arial" w:cs="Arial" w:eastAsia="Arial" w:hAnsi="Arial"/>
                <w:sz w:val="18"/>
                <w:szCs w:val="18"/>
                <w:color w:val="auto"/>
              </w:rPr>
              <w:t>21</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Subsidiaries of T. Rowe Price Group, Inc.</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23</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Consent of Independent Registered Public Accounting Firm, KPMG LLP.</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31(i).1</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31(i).2</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Section 1350 Certifications.</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w w:val="97"/>
              </w:rPr>
              <w:t>The following series of unaudited XBRL-formatted documents are collectively included herewith as Exhibit 101. The</w:t>
            </w:r>
          </w:p>
        </w:tc>
      </w:tr>
    </w:tbl>
    <w:p>
      <w:pPr>
        <w:ind w:left="1700"/>
        <w:spacing w:after="0" w:line="261" w:lineRule="auto"/>
        <w:rPr>
          <w:sz w:val="20"/>
          <w:szCs w:val="20"/>
          <w:color w:val="auto"/>
        </w:rPr>
      </w:pPr>
      <w:r>
        <w:rPr>
          <w:rFonts w:ascii="Arial" w:cs="Arial" w:eastAsia="Arial" w:hAnsi="Arial"/>
          <w:sz w:val="18"/>
          <w:szCs w:val="18"/>
          <w:color w:val="auto"/>
        </w:rPr>
        <w:t>financial information is extracted from T. Rowe Price Group’s consolidated financial statements and notes that are included in this Form 10-K Report.</w:t>
      </w:r>
    </w:p>
    <w:p>
      <w:pPr>
        <w:spacing w:after="0" w:line="1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101.INS XBRL Instance Document(File name: trow-20121231.xml)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101.SCH XBRL Taxonomy Extension Schema Document (File name: trow-20121231.xsd)</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101.CAL XBRL Taxonomy Calculation Linkbase Document (File name: trow-20121231_cal.xml)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101.LAB XBRL Taxonomy Label Linkbase Document (File name: trow-20121231_lab.xml)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101.PRE XBRL Taxonomy Presentation Linkbase Document (File name: trow-20121231_pre.xml)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101.DEF XBRL Taxonomy Definition Linkbase Document (File name: trow-20121231_def.xml)</w:t>
      </w:r>
    </w:p>
    <w:p>
      <w:pPr>
        <w:spacing w:after="0" w:line="200" w:lineRule="exact"/>
        <w:rPr>
          <w:sz w:val="20"/>
          <w:szCs w:val="20"/>
          <w:color w:val="auto"/>
        </w:rPr>
      </w:pPr>
    </w:p>
    <w:p>
      <w:pPr>
        <w:spacing w:after="0" w:line="24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0780"/>
          </w:cols>
          <w:pgMar w:left="860" w:top="108" w:right="259" w:bottom="1440" w:gutter="0" w:footer="0" w:header="0"/>
        </w:sectPr>
      </w:pPr>
    </w:p>
    <w:bookmarkStart w:id="57" w:name="page58"/>
    <w:bookmarkEnd w:id="57"/>
    <w:p>
      <w:pPr>
        <w:ind w:left="39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5,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James A.C. Kennedy, Chief Executive Officer and President</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5,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Brian C. Rogers,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C. Bernard, Vice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 Chief Executive Officer and President,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T. Brady,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 Alfred Broaddus, Jr.,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Mary K. Bush,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Donald B. Hebb, Jr.,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Freeman A. Hrabowski, III,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F. MacLellan,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Alfred Sommer,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Dwight S. Taylor,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Anne Marie Whittemore, Director</w:t>
      </w:r>
    </w:p>
    <w:p>
      <w:pPr>
        <w:spacing w:after="0" w:line="225" w:lineRule="exact"/>
        <w:rPr>
          <w:sz w:val="20"/>
          <w:szCs w:val="20"/>
          <w:color w:val="auto"/>
        </w:rPr>
      </w:pPr>
    </w:p>
    <w:p>
      <w:pPr>
        <w:ind w:right="5600"/>
        <w:spacing w:after="0" w:line="624" w:lineRule="auto"/>
        <w:rPr>
          <w:sz w:val="20"/>
          <w:szCs w:val="20"/>
          <w:color w:val="auto"/>
        </w:rPr>
      </w:pPr>
      <w:r>
        <w:rPr>
          <w:rFonts w:ascii="Arial" w:cs="Arial" w:eastAsia="Arial" w:hAnsi="Arial"/>
          <w:sz w:val="16"/>
          <w:szCs w:val="16"/>
          <w:color w:val="auto"/>
        </w:rPr>
        <w:t>/s/ Kenneth V. Moreland, Vice President, Chief Financial Officer and Treasurer /s/ Jessica M. Hiebler, Vice President and Principal Accounting Officer</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57</w:t>
      </w:r>
    </w:p>
    <w:p>
      <w:pPr>
        <w:sectPr>
          <w:pgSz w:w="11900" w:h="16838" w:orient="portrait"/>
          <w:cols w:equalWidth="0" w:num="1">
            <w:col w:w="11300"/>
          </w:cols>
          <w:pgMar w:left="240" w:top="125" w:right="35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10.08.1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 ROWE PRICE GROUP,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2007 NON-EMPLOYEE DIRECTOR EQUITY PLAN</w:t>
      </w:r>
    </w:p>
    <w:p>
      <w:pPr>
        <w:spacing w:after="0" w:line="200" w:lineRule="exact"/>
        <w:rPr>
          <w:sz w:val="20"/>
          <w:szCs w:val="20"/>
          <w:color w:val="auto"/>
        </w:rPr>
      </w:pPr>
    </w:p>
    <w:p>
      <w:pPr>
        <w:spacing w:after="0" w:line="293"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66" w:lineRule="exact"/>
        <w:rPr>
          <w:sz w:val="20"/>
          <w:szCs w:val="20"/>
          <w:color w:val="auto"/>
        </w:rPr>
      </w:pPr>
    </w:p>
    <w:p>
      <w:pPr>
        <w:jc w:val="both"/>
        <w:spacing w:after="0" w:line="260" w:lineRule="exact"/>
        <w:rPr>
          <w:sz w:val="20"/>
          <w:szCs w:val="20"/>
          <w:color w:val="auto"/>
        </w:rPr>
      </w:pPr>
      <w:r>
        <w:rPr>
          <w:rFonts w:ascii="Arial" w:cs="Arial" w:eastAsia="Arial" w:hAnsi="Arial"/>
          <w:sz w:val="22"/>
          <w:szCs w:val="22"/>
          <w:color w:val="auto"/>
        </w:rPr>
        <w:t>T. Rowe Price Group, Inc., a Maryland corporation (the “Company”), maintains the T. Rowe Price Group, Inc. 2007 Non-Employee Director Equity Plan (the “Plan”) for the benefit of Non</w:t>
      </w:r>
      <w:r>
        <w:rPr>
          <w:rFonts w:ascii="MS PGothic" w:cs="MS PGothic" w:eastAsia="MS PGothic" w:hAnsi="MS PGothic"/>
          <w:sz w:val="22"/>
          <w:szCs w:val="22"/>
          <w:color w:val="auto"/>
        </w:rPr>
        <w:t>‑</w:t>
      </w:r>
      <w:r>
        <w:rPr>
          <w:rFonts w:ascii="Arial" w:cs="Arial" w:eastAsia="Arial" w:hAnsi="Arial"/>
          <w:sz w:val="22"/>
          <w:szCs w:val="22"/>
          <w:color w:val="auto"/>
        </w:rPr>
        <w:t>Employee Directors of the Company. The Plan is intended to benefit the Company by providing Non-Employee Directors of the Company with a proprietary stake in the Company’s future success and, thereby, aligning their interests with those of the Company’s stockholders. The Plan hereby is amended and restated, as set forth herein, effective as of February 12, 2009, to be known hereafter as the T. Rowe Price Group, Inc. Amended and Restated 2007 Non</w:t>
      </w:r>
      <w:r>
        <w:rPr>
          <w:rFonts w:ascii="MS PGothic" w:cs="MS PGothic" w:eastAsia="MS PGothic" w:hAnsi="MS PGothic"/>
          <w:sz w:val="22"/>
          <w:szCs w:val="22"/>
          <w:color w:val="auto"/>
        </w:rPr>
        <w:t>‑</w:t>
      </w:r>
      <w:r>
        <w:rPr>
          <w:rFonts w:ascii="Arial" w:cs="Arial" w:eastAsia="Arial" w:hAnsi="Arial"/>
          <w:sz w:val="22"/>
          <w:szCs w:val="22"/>
          <w:color w:val="auto"/>
        </w:rPr>
        <w:t>Employee Director Equity Plan.</w:t>
      </w: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Plan provides for equity grants to Non-Employee Directors which they may choose to receive in the form of stock options, restricted shares, or stock units.</w:t>
      </w:r>
    </w:p>
    <w:p>
      <w:pPr>
        <w:spacing w:after="0" w:line="209"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Under this Plan, except where the context otherwise indicates, the following definitions apply:</w:t>
      </w:r>
    </w:p>
    <w:p>
      <w:pPr>
        <w:spacing w:after="0" w:line="260" w:lineRule="exact"/>
        <w:rPr>
          <w:sz w:val="20"/>
          <w:szCs w:val="20"/>
          <w:color w:val="auto"/>
        </w:rPr>
      </w:pPr>
    </w:p>
    <w:p>
      <w:pPr>
        <w:ind w:left="1460" w:hanging="817"/>
        <w:spacing w:after="0"/>
        <w:tabs>
          <w:tab w:leader="none" w:pos="14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w:t>
      </w:r>
      <w:r>
        <w:rPr>
          <w:rFonts w:ascii="Arial" w:cs="Arial" w:eastAsia="Arial" w:hAnsi="Arial"/>
          <w:sz w:val="19"/>
          <w:szCs w:val="19"/>
          <w:color w:val="auto"/>
        </w:rPr>
        <w:t>” means a bookkeeping reserve account to which Stock Units are credited on behalf of Non-Employee</w:t>
      </w:r>
    </w:p>
    <w:p>
      <w:pPr>
        <w:spacing w:after="0" w:line="56"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Directors.</w:t>
      </w:r>
    </w:p>
    <w:p>
      <w:pPr>
        <w:spacing w:after="0" w:line="242" w:lineRule="exact"/>
        <w:rPr>
          <w:rFonts w:ascii="Arial" w:cs="Arial" w:eastAsia="Arial" w:hAnsi="Arial"/>
          <w:sz w:val="19"/>
          <w:szCs w:val="19"/>
          <w:color w:val="auto"/>
        </w:rPr>
      </w:pPr>
    </w:p>
    <w:p>
      <w:pPr>
        <w:ind w:left="80" w:firstLine="563"/>
        <w:spacing w:after="0" w:line="263" w:lineRule="auto"/>
        <w:tabs>
          <w:tab w:leader="none" w:pos="1475" w:val="left"/>
        </w:tabs>
        <w:numPr>
          <w:ilvl w:val="0"/>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Meeting</w:t>
      </w:r>
      <w:r>
        <w:rPr>
          <w:rFonts w:ascii="Arial" w:cs="Arial" w:eastAsia="Arial" w:hAnsi="Arial"/>
          <w:sz w:val="22"/>
          <w:szCs w:val="22"/>
          <w:color w:val="auto"/>
        </w:rPr>
        <w:t>” means the annual meeting of the stockholders of the Company at which members of the Board are to be elected.</w:t>
      </w:r>
    </w:p>
    <w:p>
      <w:pPr>
        <w:spacing w:after="0" w:line="215" w:lineRule="exact"/>
        <w:rPr>
          <w:rFonts w:ascii="Arial" w:cs="Arial" w:eastAsia="Arial" w:hAnsi="Arial"/>
          <w:sz w:val="22"/>
          <w:szCs w:val="22"/>
          <w:color w:val="auto"/>
        </w:rPr>
      </w:pPr>
    </w:p>
    <w:p>
      <w:pPr>
        <w:ind w:left="1460" w:hanging="817"/>
        <w:spacing w:after="0"/>
        <w:tabs>
          <w:tab w:leader="none" w:pos="14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a share of Common Stock, Stock Unit, or Option granted under this Plan.</w:t>
      </w:r>
    </w:p>
    <w:p>
      <w:pPr>
        <w:spacing w:after="0" w:line="260" w:lineRule="exact"/>
        <w:rPr>
          <w:rFonts w:ascii="Arial" w:cs="Arial" w:eastAsia="Arial" w:hAnsi="Arial"/>
          <w:sz w:val="22"/>
          <w:szCs w:val="22"/>
          <w:color w:val="auto"/>
        </w:rPr>
      </w:pPr>
    </w:p>
    <w:p>
      <w:pPr>
        <w:ind w:left="1480" w:hanging="837"/>
        <w:spacing w:after="0"/>
        <w:tabs>
          <w:tab w:leader="none" w:pos="14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60" w:lineRule="exact"/>
        <w:rPr>
          <w:rFonts w:ascii="Arial" w:cs="Arial" w:eastAsia="Arial" w:hAnsi="Arial"/>
          <w:sz w:val="22"/>
          <w:szCs w:val="22"/>
          <w:color w:val="auto"/>
        </w:rPr>
      </w:pPr>
    </w:p>
    <w:p>
      <w:pPr>
        <w:ind w:left="1460" w:hanging="817"/>
        <w:spacing w:after="0"/>
        <w:tabs>
          <w:tab w:leader="none" w:pos="14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the earliest to occur of any of the following events, construed in accordance with Code</w:t>
      </w:r>
    </w:p>
    <w:p>
      <w:pPr>
        <w:spacing w:after="0" w:line="56"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section 409A:</w:t>
      </w:r>
    </w:p>
    <w:p>
      <w:pPr>
        <w:spacing w:after="0" w:line="242" w:lineRule="exact"/>
        <w:rPr>
          <w:rFonts w:ascii="Arial" w:cs="Arial" w:eastAsia="Arial" w:hAnsi="Arial"/>
          <w:sz w:val="19"/>
          <w:szCs w:val="19"/>
          <w:color w:val="auto"/>
        </w:rPr>
      </w:pPr>
    </w:p>
    <w:p>
      <w:pPr>
        <w:jc w:val="both"/>
        <w:ind w:left="660" w:firstLine="645"/>
        <w:spacing w:after="0" w:line="271" w:lineRule="auto"/>
        <w:tabs>
          <w:tab w:leader="none" w:pos="1706" w:val="left"/>
        </w:tabs>
        <w:numPr>
          <w:ilvl w:val="1"/>
          <w:numId w:val="19"/>
        </w:numPr>
        <w:rPr>
          <w:rFonts w:ascii="Arial" w:cs="Arial" w:eastAsia="Arial" w:hAnsi="Arial"/>
          <w:sz w:val="21"/>
          <w:szCs w:val="21"/>
          <w:color w:val="auto"/>
        </w:rPr>
      </w:pPr>
      <w:r>
        <w:rPr>
          <w:rFonts w:ascii="Arial" w:cs="Arial" w:eastAsia="Arial" w:hAnsi="Arial"/>
          <w:sz w:val="21"/>
          <w:szCs w:val="21"/>
          <w:color w:val="auto"/>
        </w:rPr>
        <w:t>Any one person or more than one person acting as a group acquires, or has acquired during the twelve-month period ending on the date of the most recent acquisition by such person or group, beneficial ownership of thirty-five percent or more of the total voting power of the Company’s then outstanding voting securities;</w:t>
      </w:r>
    </w:p>
    <w:p>
      <w:pPr>
        <w:spacing w:after="0" w:line="208" w:lineRule="exact"/>
        <w:rPr>
          <w:rFonts w:ascii="Arial" w:cs="Arial" w:eastAsia="Arial" w:hAnsi="Arial"/>
          <w:sz w:val="21"/>
          <w:szCs w:val="21"/>
          <w:color w:val="auto"/>
        </w:rPr>
      </w:pPr>
    </w:p>
    <w:p>
      <w:pPr>
        <w:ind w:left="660" w:firstLine="645"/>
        <w:spacing w:after="0" w:line="263" w:lineRule="auto"/>
        <w:tabs>
          <w:tab w:leader="none" w:pos="1764" w:val="left"/>
        </w:tabs>
        <w:numPr>
          <w:ilvl w:val="1"/>
          <w:numId w:val="19"/>
        </w:numPr>
        <w:rPr>
          <w:rFonts w:ascii="Arial" w:cs="Arial" w:eastAsia="Arial" w:hAnsi="Arial"/>
          <w:sz w:val="22"/>
          <w:szCs w:val="22"/>
          <w:color w:val="auto"/>
        </w:rPr>
      </w:pPr>
      <w:r>
        <w:rPr>
          <w:rFonts w:ascii="Arial" w:cs="Arial" w:eastAsia="Arial" w:hAnsi="Arial"/>
          <w:sz w:val="22"/>
          <w:szCs w:val="22"/>
          <w:color w:val="auto"/>
        </w:rPr>
        <w:t>A majority of the members of the Company’s Board is replaced during any twelve-month period by directors whose appointment or election is not endorsed or approved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EAST\42329236.5 1/2/13</w:t>
      </w:r>
    </w:p>
    <w:p>
      <w:pPr>
        <w:sectPr>
          <w:pgSz w:w="11900" w:h="16838" w:orient="portrait"/>
          <w:cols w:equalWidth="0" w:num="1">
            <w:col w:w="11420"/>
          </w:cols>
          <w:pgMar w:left="240" w:top="585" w:right="239" w:bottom="1440" w:gutter="0" w:footer="0" w:header="0"/>
        </w:sectPr>
      </w:pPr>
    </w:p>
    <w:bookmarkStart w:id="59" w:name="page60"/>
    <w:bookmarkEnd w:id="59"/>
    <w:p>
      <w:pPr>
        <w:ind w:left="660"/>
        <w:spacing w:after="0" w:line="263" w:lineRule="auto"/>
        <w:rPr>
          <w:sz w:val="20"/>
          <w:szCs w:val="20"/>
          <w:color w:val="auto"/>
        </w:rPr>
      </w:pPr>
      <w:r>
        <w:rPr>
          <w:rFonts w:ascii="Arial" w:cs="Arial" w:eastAsia="Arial" w:hAnsi="Arial"/>
          <w:sz w:val="22"/>
          <w:szCs w:val="22"/>
          <w:color w:val="auto"/>
        </w:rPr>
        <w:t>by a majority of the members of the Board who were members of the Board of Directors prior to the initiation of the replacement; or</w:t>
      </w:r>
    </w:p>
    <w:p>
      <w:pPr>
        <w:spacing w:after="0" w:line="215" w:lineRule="exact"/>
        <w:rPr>
          <w:sz w:val="20"/>
          <w:szCs w:val="20"/>
          <w:color w:val="auto"/>
        </w:rPr>
      </w:pPr>
    </w:p>
    <w:p>
      <w:pPr>
        <w:jc w:val="both"/>
        <w:ind w:left="660" w:firstLine="645"/>
        <w:spacing w:after="0" w:line="250" w:lineRule="auto"/>
        <w:tabs>
          <w:tab w:leader="none" w:pos="1804" w:val="left"/>
        </w:tabs>
        <w:numPr>
          <w:ilvl w:val="1"/>
          <w:numId w:val="20"/>
        </w:numPr>
        <w:rPr>
          <w:rFonts w:ascii="Arial" w:cs="Arial" w:eastAsia="Arial" w:hAnsi="Arial"/>
          <w:sz w:val="22"/>
          <w:szCs w:val="22"/>
          <w:color w:val="auto"/>
        </w:rPr>
      </w:pPr>
      <w:r>
        <w:rPr>
          <w:rFonts w:ascii="Arial" w:cs="Arial" w:eastAsia="Arial" w:hAnsi="Arial"/>
          <w:sz w:val="22"/>
          <w:szCs w:val="22"/>
          <w:color w:val="auto"/>
        </w:rPr>
        <w:t>Any one person or more than one person acting as a group acquires, or has acquired during the twelve-month period ending on the date of the most recent acquisition by such person or group, assets of the Company that have a total gross fair market value of forty percent or more of the total gross fair market value of all of the assets of the Company immediately prior to the initiation of the acquisition.</w:t>
      </w:r>
    </w:p>
    <w:p>
      <w:pPr>
        <w:spacing w:after="0" w:line="228" w:lineRule="exact"/>
        <w:rPr>
          <w:rFonts w:ascii="Arial" w:cs="Arial" w:eastAsia="Arial" w:hAnsi="Arial"/>
          <w:sz w:val="22"/>
          <w:szCs w:val="22"/>
          <w:color w:val="auto"/>
        </w:rPr>
      </w:pPr>
    </w:p>
    <w:p>
      <w:pPr>
        <w:ind w:left="1440" w:hanging="797"/>
        <w:spacing w:after="0"/>
        <w:tabs>
          <w:tab w:leader="none" w:pos="14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and any regulations promulgated thereunder.</w:t>
      </w:r>
    </w:p>
    <w:p>
      <w:pPr>
        <w:spacing w:after="0" w:line="294" w:lineRule="exact"/>
        <w:rPr>
          <w:rFonts w:ascii="Arial" w:cs="Arial" w:eastAsia="Arial" w:hAnsi="Arial"/>
          <w:sz w:val="19"/>
          <w:szCs w:val="19"/>
          <w:color w:val="auto"/>
        </w:rPr>
      </w:pPr>
    </w:p>
    <w:p>
      <w:pPr>
        <w:ind w:left="1480" w:hanging="837"/>
        <w:spacing w:after="0"/>
        <w:tabs>
          <w:tab w:leader="none" w:pos="14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par value $.20 per share, of the Company.</w:t>
      </w:r>
    </w:p>
    <w:p>
      <w:pPr>
        <w:spacing w:after="0" w:line="260" w:lineRule="exact"/>
        <w:rPr>
          <w:rFonts w:ascii="Arial" w:cs="Arial" w:eastAsia="Arial" w:hAnsi="Arial"/>
          <w:sz w:val="22"/>
          <w:szCs w:val="22"/>
          <w:color w:val="auto"/>
        </w:rPr>
      </w:pPr>
    </w:p>
    <w:p>
      <w:pPr>
        <w:ind w:left="1480" w:hanging="837"/>
        <w:spacing w:after="0"/>
        <w:tabs>
          <w:tab w:leader="none" w:pos="14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T. Rowe Price Group, Inc., a Maryland corporation.</w:t>
      </w:r>
    </w:p>
    <w:p>
      <w:pPr>
        <w:spacing w:after="0" w:line="260" w:lineRule="exact"/>
        <w:rPr>
          <w:rFonts w:ascii="Arial" w:cs="Arial" w:eastAsia="Arial" w:hAnsi="Arial"/>
          <w:sz w:val="22"/>
          <w:szCs w:val="22"/>
          <w:color w:val="auto"/>
        </w:rPr>
      </w:pPr>
    </w:p>
    <w:p>
      <w:pPr>
        <w:ind w:left="1420" w:hanging="777"/>
        <w:spacing w:after="0"/>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April 12, 2007.</w:t>
      </w:r>
    </w:p>
    <w:p>
      <w:pPr>
        <w:spacing w:after="0" w:line="260" w:lineRule="exact"/>
        <w:rPr>
          <w:rFonts w:ascii="Arial" w:cs="Arial" w:eastAsia="Arial" w:hAnsi="Arial"/>
          <w:sz w:val="22"/>
          <w:szCs w:val="22"/>
          <w:color w:val="auto"/>
        </w:rPr>
      </w:pPr>
    </w:p>
    <w:p>
      <w:pPr>
        <w:ind w:left="80" w:right="20" w:firstLine="563"/>
        <w:spacing w:after="0" w:line="263" w:lineRule="auto"/>
        <w:tabs>
          <w:tab w:leader="none" w:pos="1427" w:val="left"/>
        </w:tabs>
        <w:numPr>
          <w:ilvl w:val="0"/>
          <w:numId w:val="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Election Form</w:t>
      </w:r>
      <w:r>
        <w:rPr>
          <w:rFonts w:ascii="Arial" w:cs="Arial" w:eastAsia="Arial" w:hAnsi="Arial"/>
          <w:sz w:val="22"/>
          <w:szCs w:val="22"/>
          <w:color w:val="auto"/>
        </w:rPr>
        <w:t>” means the form prescribed by the Plan Administrator on which a Non-Employee Director specifies the form in which his or her Initial Director Grant or Periodic Grants are to be granted.</w:t>
      </w:r>
    </w:p>
    <w:p>
      <w:pPr>
        <w:spacing w:after="0" w:line="215" w:lineRule="exact"/>
        <w:rPr>
          <w:rFonts w:ascii="Arial" w:cs="Arial" w:eastAsia="Arial" w:hAnsi="Arial"/>
          <w:sz w:val="22"/>
          <w:szCs w:val="22"/>
          <w:color w:val="auto"/>
        </w:rPr>
      </w:pPr>
    </w:p>
    <w:p>
      <w:pPr>
        <w:ind w:left="1480" w:hanging="837"/>
        <w:spacing w:after="0"/>
        <w:tabs>
          <w:tab w:leader="none" w:pos="1480"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with respect to the Common Stock, as of any date:</w:t>
      </w:r>
    </w:p>
    <w:p>
      <w:pPr>
        <w:spacing w:after="0" w:line="260" w:lineRule="exact"/>
        <w:rPr>
          <w:rFonts w:ascii="Arial" w:cs="Arial" w:eastAsia="Arial" w:hAnsi="Arial"/>
          <w:sz w:val="22"/>
          <w:szCs w:val="22"/>
          <w:color w:val="auto"/>
        </w:rPr>
      </w:pPr>
    </w:p>
    <w:p>
      <w:pPr>
        <w:jc w:val="both"/>
        <w:ind w:left="660" w:firstLine="645"/>
        <w:spacing w:after="0" w:line="263" w:lineRule="auto"/>
        <w:tabs>
          <w:tab w:leader="none" w:pos="1671" w:val="left"/>
        </w:tabs>
        <w:numPr>
          <w:ilvl w:val="1"/>
          <w:numId w:val="21"/>
        </w:numPr>
        <w:rPr>
          <w:rFonts w:ascii="Arial" w:cs="Arial" w:eastAsia="Arial" w:hAnsi="Arial"/>
          <w:sz w:val="21"/>
          <w:szCs w:val="21"/>
          <w:color w:val="auto"/>
        </w:rPr>
      </w:pPr>
      <w:r>
        <w:rPr>
          <w:rFonts w:ascii="Arial" w:cs="Arial" w:eastAsia="Arial" w:hAnsi="Arial"/>
          <w:sz w:val="21"/>
          <w:szCs w:val="21"/>
          <w:color w:val="auto"/>
        </w:rPr>
        <w:t>if the principal market for the Common Stock (as determined by the Plan Administrator if the Common Stock is listed or admitted to trading on more than one exchange or market) is a national securities exchange or an established securities market, the official closing price per share of Common Stock for the regular market session on that date on the principal exchange or market on which the Common Stock is then listed or admitted to trading or, if no sale is reported for that date, on the last preceding day on which a sale was reported;</w:t>
      </w:r>
    </w:p>
    <w:p>
      <w:pPr>
        <w:spacing w:after="0" w:line="216" w:lineRule="exact"/>
        <w:rPr>
          <w:sz w:val="20"/>
          <w:szCs w:val="20"/>
          <w:color w:val="auto"/>
        </w:rPr>
      </w:pPr>
    </w:p>
    <w:p>
      <w:pPr>
        <w:jc w:val="both"/>
        <w:ind w:left="660" w:firstLine="645"/>
        <w:spacing w:after="0" w:line="312" w:lineRule="auto"/>
        <w:tabs>
          <w:tab w:leader="none" w:pos="1755" w:val="left"/>
        </w:tabs>
        <w:numPr>
          <w:ilvl w:val="1"/>
          <w:numId w:val="22"/>
        </w:numPr>
        <w:rPr>
          <w:rFonts w:ascii="Arial" w:cs="Arial" w:eastAsia="Arial" w:hAnsi="Arial"/>
          <w:sz w:val="19"/>
          <w:szCs w:val="19"/>
          <w:color w:val="auto"/>
        </w:rPr>
      </w:pPr>
      <w:r>
        <w:rPr>
          <w:rFonts w:ascii="Arial" w:cs="Arial" w:eastAsia="Arial" w:hAnsi="Arial"/>
          <w:sz w:val="19"/>
          <w:szCs w:val="19"/>
          <w:color w:val="auto"/>
        </w:rPr>
        <w:t>if the principal market for the Common Stock is not a national securities exchange or an established securities market, the average of the highest bid and lowest asked prices for the Common Stock on that date as reported on a national quotation system or, if no prices are reported for that date, on the last preceding day on which prices were reported; or</w:t>
      </w:r>
    </w:p>
    <w:p>
      <w:pPr>
        <w:spacing w:after="0" w:line="174" w:lineRule="exact"/>
        <w:rPr>
          <w:rFonts w:ascii="Arial" w:cs="Arial" w:eastAsia="Arial" w:hAnsi="Arial"/>
          <w:sz w:val="19"/>
          <w:szCs w:val="19"/>
          <w:color w:val="auto"/>
        </w:rPr>
      </w:pPr>
    </w:p>
    <w:p>
      <w:pPr>
        <w:ind w:left="660" w:firstLine="645"/>
        <w:spacing w:after="0" w:line="343" w:lineRule="auto"/>
        <w:tabs>
          <w:tab w:leader="none" w:pos="1789" w:val="left"/>
        </w:tabs>
        <w:numPr>
          <w:ilvl w:val="1"/>
          <w:numId w:val="22"/>
        </w:numPr>
        <w:rPr>
          <w:rFonts w:ascii="Arial" w:cs="Arial" w:eastAsia="Arial" w:hAnsi="Arial"/>
          <w:sz w:val="19"/>
          <w:szCs w:val="19"/>
          <w:color w:val="auto"/>
        </w:rPr>
      </w:pPr>
      <w:r>
        <w:rPr>
          <w:rFonts w:ascii="Arial" w:cs="Arial" w:eastAsia="Arial" w:hAnsi="Arial"/>
          <w:sz w:val="19"/>
          <w:szCs w:val="19"/>
          <w:color w:val="auto"/>
        </w:rPr>
        <w:t>if the Common Stock is neither listed or admitted to trading on a national securities exchange or an established securities market, nor quoted by a national quotation system, the value determined by the Plan Administrator in good faith.</w:t>
      </w:r>
    </w:p>
    <w:p>
      <w:pPr>
        <w:spacing w:after="0" w:line="145" w:lineRule="exact"/>
        <w:rPr>
          <w:rFonts w:ascii="Arial" w:cs="Arial" w:eastAsia="Arial" w:hAnsi="Arial"/>
          <w:sz w:val="19"/>
          <w:szCs w:val="19"/>
          <w:color w:val="auto"/>
        </w:rPr>
      </w:pPr>
    </w:p>
    <w:p>
      <w:pPr>
        <w:ind w:left="1420" w:hanging="777"/>
        <w:spacing w:after="0"/>
        <w:tabs>
          <w:tab w:leader="none" w:pos="1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Incumbent Director</w:t>
      </w:r>
      <w:r>
        <w:rPr>
          <w:rFonts w:ascii="Arial" w:cs="Arial" w:eastAsia="Arial" w:hAnsi="Arial"/>
          <w:sz w:val="19"/>
          <w:szCs w:val="19"/>
          <w:color w:val="auto"/>
        </w:rPr>
        <w:t>” means a person who is a Non-Employee Director immediately before and on the Effective</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22"/>
          <w:szCs w:val="22"/>
          <w:color w:val="auto"/>
        </w:rPr>
        <w:t>Date.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EAST\42329236.5 1/2/13</w:t>
      </w:r>
    </w:p>
    <w:p>
      <w:pPr>
        <w:sectPr>
          <w:pgSz w:w="11900" w:h="16838" w:orient="portrait"/>
          <w:cols w:equalWidth="0" w:num="1">
            <w:col w:w="11420"/>
          </w:cols>
          <w:pgMar w:left="240" w:top="591" w:right="239" w:bottom="1440" w:gutter="0" w:footer="0" w:header="0"/>
        </w:sectPr>
      </w:pPr>
    </w:p>
    <w:bookmarkStart w:id="60" w:name="page61"/>
    <w:bookmarkEnd w:id="60"/>
    <w:p>
      <w:pPr>
        <w:ind w:left="80" w:firstLine="563"/>
        <w:spacing w:after="0" w:line="263" w:lineRule="auto"/>
        <w:tabs>
          <w:tab w:leader="none" w:pos="1535"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Director Grant</w:t>
      </w:r>
      <w:r>
        <w:rPr>
          <w:rFonts w:ascii="Arial" w:cs="Arial" w:eastAsia="Arial" w:hAnsi="Arial"/>
          <w:sz w:val="22"/>
          <w:szCs w:val="22"/>
          <w:color w:val="auto"/>
        </w:rPr>
        <w:t xml:space="preserve">” means the initial grant of Restricted Shares or Stock Units to a Non-Employee Director pursuant to </w:t>
      </w:r>
      <w:r>
        <w:rPr>
          <w:rFonts w:ascii="Arial" w:cs="Arial" w:eastAsia="Arial" w:hAnsi="Arial"/>
          <w:sz w:val="22"/>
          <w:szCs w:val="22"/>
          <w:color w:val="0000FF"/>
        </w:rPr>
        <w:t>Section 5(a)</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1480" w:hanging="837"/>
        <w:spacing w:after="0"/>
        <w:tabs>
          <w:tab w:leader="none" w:pos="1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Plan Year</w:t>
      </w:r>
      <w:r>
        <w:rPr>
          <w:rFonts w:ascii="Arial" w:cs="Arial" w:eastAsia="Arial" w:hAnsi="Arial"/>
          <w:sz w:val="22"/>
          <w:szCs w:val="22"/>
          <w:color w:val="auto"/>
        </w:rPr>
        <w:t>” means the first Plan Year commencing on the Effective Date.</w:t>
      </w:r>
    </w:p>
    <w:p>
      <w:pPr>
        <w:spacing w:after="0" w:line="260" w:lineRule="exact"/>
        <w:rPr>
          <w:rFonts w:ascii="Arial" w:cs="Arial" w:eastAsia="Arial" w:hAnsi="Arial"/>
          <w:sz w:val="22"/>
          <w:szCs w:val="22"/>
          <w:color w:val="auto"/>
        </w:rPr>
      </w:pPr>
    </w:p>
    <w:p>
      <w:pPr>
        <w:ind w:left="80" w:right="20" w:firstLine="563"/>
        <w:spacing w:after="0" w:line="265" w:lineRule="exact"/>
        <w:tabs>
          <w:tab w:leader="none" w:pos="1475"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Director</w:t>
      </w:r>
      <w:r>
        <w:rPr>
          <w:rFonts w:ascii="Arial" w:cs="Arial" w:eastAsia="Arial" w:hAnsi="Arial"/>
          <w:sz w:val="22"/>
          <w:szCs w:val="22"/>
          <w:color w:val="auto"/>
        </w:rPr>
        <w:t>” means a person who (i) is first elected or appointed as a Non</w:t>
      </w:r>
      <w:r>
        <w:rPr>
          <w:rFonts w:ascii="MS PGothic" w:cs="MS PGothic" w:eastAsia="MS PGothic" w:hAnsi="MS PGothic"/>
          <w:sz w:val="22"/>
          <w:szCs w:val="22"/>
          <w:color w:val="auto"/>
        </w:rPr>
        <w:t>‑</w:t>
      </w:r>
      <w:r>
        <w:rPr>
          <w:rFonts w:ascii="Arial" w:cs="Arial" w:eastAsia="Arial" w:hAnsi="Arial"/>
          <w:sz w:val="22"/>
          <w:szCs w:val="22"/>
          <w:color w:val="auto"/>
        </w:rPr>
        <w:t>Employee Director on or after the Effective Date, or (ii) first becomes a Non</w:t>
      </w:r>
      <w:r>
        <w:rPr>
          <w:rFonts w:ascii="MS PGothic" w:cs="MS PGothic" w:eastAsia="MS PGothic" w:hAnsi="MS PGothic"/>
          <w:sz w:val="22"/>
          <w:szCs w:val="22"/>
          <w:color w:val="auto"/>
        </w:rPr>
        <w:t>‑</w:t>
      </w:r>
      <w:r>
        <w:rPr>
          <w:rFonts w:ascii="Arial" w:cs="Arial" w:eastAsia="Arial" w:hAnsi="Arial"/>
          <w:sz w:val="22"/>
          <w:szCs w:val="22"/>
          <w:color w:val="auto"/>
        </w:rPr>
        <w:t>Employee Director on or after the Effective Date.</w:t>
      </w:r>
    </w:p>
    <w:p>
      <w:pPr>
        <w:spacing w:after="0" w:line="240" w:lineRule="exact"/>
        <w:rPr>
          <w:rFonts w:ascii="Arial" w:cs="Arial" w:eastAsia="Arial" w:hAnsi="Arial"/>
          <w:sz w:val="22"/>
          <w:szCs w:val="22"/>
          <w:color w:val="auto"/>
        </w:rPr>
      </w:pPr>
    </w:p>
    <w:p>
      <w:pPr>
        <w:ind w:left="80" w:firstLine="563"/>
        <w:spacing w:after="0" w:line="263" w:lineRule="auto"/>
        <w:tabs>
          <w:tab w:leader="none" w:pos="1475"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Non-Employee Director</w:t>
      </w:r>
      <w:r>
        <w:rPr>
          <w:rFonts w:ascii="Arial" w:cs="Arial" w:eastAsia="Arial" w:hAnsi="Arial"/>
          <w:sz w:val="22"/>
          <w:szCs w:val="22"/>
          <w:color w:val="auto"/>
        </w:rPr>
        <w:t>” means a member of the Board who, at the relevant time, is not an employee of the Company or of any direct or indirect subsidiary or affiliate of the Company.</w:t>
      </w:r>
    </w:p>
    <w:p>
      <w:pPr>
        <w:spacing w:after="0" w:line="215" w:lineRule="exact"/>
        <w:rPr>
          <w:rFonts w:ascii="Arial" w:cs="Arial" w:eastAsia="Arial" w:hAnsi="Arial"/>
          <w:sz w:val="22"/>
          <w:szCs w:val="22"/>
          <w:color w:val="auto"/>
        </w:rPr>
      </w:pPr>
    </w:p>
    <w:p>
      <w:pPr>
        <w:ind w:left="1480" w:hanging="837"/>
        <w:spacing w:after="0"/>
        <w:tabs>
          <w:tab w:leader="none" w:pos="14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a nonstatutory option to purchase shares of Common Stock.</w:t>
      </w:r>
    </w:p>
    <w:p>
      <w:pPr>
        <w:spacing w:after="0" w:line="260" w:lineRule="exact"/>
        <w:rPr>
          <w:rFonts w:ascii="Arial" w:cs="Arial" w:eastAsia="Arial" w:hAnsi="Arial"/>
          <w:sz w:val="22"/>
          <w:szCs w:val="22"/>
          <w:color w:val="auto"/>
        </w:rPr>
      </w:pPr>
    </w:p>
    <w:p>
      <w:pPr>
        <w:ind w:left="80" w:firstLine="563"/>
        <w:spacing w:after="0" w:line="265" w:lineRule="exact"/>
        <w:tabs>
          <w:tab w:leader="none" w:pos="1439"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Periodic Grant</w:t>
      </w:r>
      <w:r>
        <w:rPr>
          <w:rFonts w:ascii="Arial" w:cs="Arial" w:eastAsia="Arial" w:hAnsi="Arial"/>
          <w:sz w:val="22"/>
          <w:szCs w:val="22"/>
          <w:color w:val="auto"/>
        </w:rPr>
        <w:t>” means the grant of Options, Restricted Shares or Stock Units to a Non</w:t>
      </w:r>
      <w:r>
        <w:rPr>
          <w:rFonts w:ascii="MS PGothic" w:cs="MS PGothic" w:eastAsia="MS PGothic" w:hAnsi="MS PGothic"/>
          <w:sz w:val="22"/>
          <w:szCs w:val="22"/>
          <w:color w:val="auto"/>
        </w:rPr>
        <w:t>‑</w:t>
      </w:r>
      <w:r>
        <w:rPr>
          <w:rFonts w:ascii="Arial" w:cs="Arial" w:eastAsia="Arial" w:hAnsi="Arial"/>
          <w:sz w:val="22"/>
          <w:szCs w:val="22"/>
          <w:color w:val="auto"/>
        </w:rPr>
        <w:t xml:space="preserve">Employee Director pursuant to </w:t>
      </w:r>
      <w:r>
        <w:rPr>
          <w:rFonts w:ascii="Arial" w:cs="Arial" w:eastAsia="Arial" w:hAnsi="Arial"/>
          <w:sz w:val="22"/>
          <w:szCs w:val="22"/>
          <w:color w:val="0000FF"/>
        </w:rPr>
        <w:t>Section 5(b)</w:t>
      </w:r>
      <w:r>
        <w:rPr>
          <w:rFonts w:ascii="Arial" w:cs="Arial" w:eastAsia="Arial" w:hAnsi="Arial"/>
          <w:sz w:val="22"/>
          <w:szCs w:val="22"/>
          <w:color w:val="auto"/>
        </w:rPr>
        <w:t>.</w:t>
      </w:r>
    </w:p>
    <w:p>
      <w:pPr>
        <w:spacing w:after="0" w:line="240" w:lineRule="exact"/>
        <w:rPr>
          <w:rFonts w:ascii="Arial" w:cs="Arial" w:eastAsia="Arial" w:hAnsi="Arial"/>
          <w:sz w:val="22"/>
          <w:szCs w:val="22"/>
          <w:color w:val="auto"/>
        </w:rPr>
      </w:pPr>
    </w:p>
    <w:p>
      <w:pPr>
        <w:ind w:left="1440" w:hanging="797"/>
        <w:spacing w:after="0"/>
        <w:tabs>
          <w:tab w:leader="none" w:pos="14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this T. Rowe Price Group, Inc. 2007 Non-Employee Director Equity Plan, as amended from time to</w:t>
      </w:r>
    </w:p>
    <w:p>
      <w:pPr>
        <w:spacing w:after="0" w:line="56"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time.</w:t>
      </w:r>
    </w:p>
    <w:p>
      <w:pPr>
        <w:spacing w:after="0" w:line="242" w:lineRule="exact"/>
        <w:rPr>
          <w:rFonts w:ascii="Arial" w:cs="Arial" w:eastAsia="Arial" w:hAnsi="Arial"/>
          <w:sz w:val="19"/>
          <w:szCs w:val="19"/>
          <w:color w:val="auto"/>
        </w:rPr>
      </w:pPr>
    </w:p>
    <w:p>
      <w:pPr>
        <w:ind w:left="1420" w:hanging="777"/>
        <w:spacing w:after="0"/>
        <w:tabs>
          <w:tab w:leader="none" w:pos="1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Administrator</w:t>
      </w:r>
      <w:r>
        <w:rPr>
          <w:rFonts w:ascii="Arial" w:cs="Arial" w:eastAsia="Arial" w:hAnsi="Arial"/>
          <w:sz w:val="22"/>
          <w:szCs w:val="22"/>
          <w:color w:val="auto"/>
        </w:rPr>
        <w:t>” means the Nominating and Corporate Governance Committee of the Board.</w:t>
      </w:r>
    </w:p>
    <w:p>
      <w:pPr>
        <w:spacing w:after="0" w:line="260" w:lineRule="exact"/>
        <w:rPr>
          <w:rFonts w:ascii="Arial" w:cs="Arial" w:eastAsia="Arial" w:hAnsi="Arial"/>
          <w:sz w:val="22"/>
          <w:szCs w:val="22"/>
          <w:color w:val="auto"/>
        </w:rPr>
      </w:pPr>
    </w:p>
    <w:p>
      <w:pPr>
        <w:ind w:left="80" w:firstLine="563"/>
        <w:spacing w:after="0" w:line="263" w:lineRule="auto"/>
        <w:tabs>
          <w:tab w:leader="none" w:pos="1475"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Share Reserve</w:t>
      </w:r>
      <w:r>
        <w:rPr>
          <w:rFonts w:ascii="Arial" w:cs="Arial" w:eastAsia="Arial" w:hAnsi="Arial"/>
          <w:sz w:val="22"/>
          <w:szCs w:val="22"/>
          <w:color w:val="auto"/>
        </w:rPr>
        <w:t>” means the maximum number of shares of Common Stock that may be issued with respect to Awards granted under the Plan.</w:t>
      </w:r>
    </w:p>
    <w:p>
      <w:pPr>
        <w:spacing w:after="0" w:line="215" w:lineRule="exact"/>
        <w:rPr>
          <w:rFonts w:ascii="Arial" w:cs="Arial" w:eastAsia="Arial" w:hAnsi="Arial"/>
          <w:sz w:val="22"/>
          <w:szCs w:val="22"/>
          <w:color w:val="auto"/>
        </w:rPr>
      </w:pPr>
    </w:p>
    <w:p>
      <w:pPr>
        <w:ind w:left="80" w:firstLine="563"/>
        <w:spacing w:after="0" w:line="287" w:lineRule="auto"/>
        <w:tabs>
          <w:tab w:leader="none" w:pos="1475" w:val="left"/>
        </w:tabs>
        <w:numPr>
          <w:ilvl w:val="0"/>
          <w:numId w:val="2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 Year</w:t>
      </w:r>
      <w:r>
        <w:rPr>
          <w:rFonts w:ascii="Arial" w:cs="Arial" w:eastAsia="Arial" w:hAnsi="Arial"/>
          <w:sz w:val="21"/>
          <w:szCs w:val="21"/>
          <w:color w:val="auto"/>
        </w:rPr>
        <w:t>” shall be the twelve-month period coinciding with the calendar year; provided, however, that the first Plan Year shall be a shorter period commencing on the Effective Date and ending on December 31, 2007.</w:t>
      </w:r>
    </w:p>
    <w:p>
      <w:pPr>
        <w:spacing w:after="0" w:line="192" w:lineRule="exact"/>
        <w:rPr>
          <w:rFonts w:ascii="Arial" w:cs="Arial" w:eastAsia="Arial" w:hAnsi="Arial"/>
          <w:sz w:val="21"/>
          <w:szCs w:val="21"/>
          <w:color w:val="auto"/>
        </w:rPr>
      </w:pPr>
    </w:p>
    <w:p>
      <w:pPr>
        <w:ind w:left="80" w:firstLine="563"/>
        <w:spacing w:after="0" w:line="263" w:lineRule="auto"/>
        <w:tabs>
          <w:tab w:leader="none" w:pos="1523"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Shares</w:t>
      </w:r>
      <w:r>
        <w:rPr>
          <w:rFonts w:ascii="Arial" w:cs="Arial" w:eastAsia="Arial" w:hAnsi="Arial"/>
          <w:sz w:val="22"/>
          <w:szCs w:val="22"/>
          <w:color w:val="auto"/>
        </w:rPr>
        <w:t>” means shares of Common Stock that, upon issuance, are nontransferable and subject to forfeiture for a specified period.</w:t>
      </w:r>
    </w:p>
    <w:p>
      <w:pPr>
        <w:spacing w:after="0" w:line="215" w:lineRule="exact"/>
        <w:rPr>
          <w:rFonts w:ascii="Arial" w:cs="Arial" w:eastAsia="Arial" w:hAnsi="Arial"/>
          <w:sz w:val="22"/>
          <w:szCs w:val="22"/>
          <w:color w:val="auto"/>
        </w:rPr>
      </w:pPr>
    </w:p>
    <w:p>
      <w:pPr>
        <w:ind w:left="80" w:right="20" w:firstLine="563"/>
        <w:spacing w:after="0" w:line="265" w:lineRule="exact"/>
        <w:tabs>
          <w:tab w:leader="none" w:pos="1475"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Unit</w:t>
      </w:r>
      <w:r>
        <w:rPr>
          <w:rFonts w:ascii="Arial" w:cs="Arial" w:eastAsia="Arial" w:hAnsi="Arial"/>
          <w:sz w:val="22"/>
          <w:szCs w:val="22"/>
          <w:color w:val="auto"/>
        </w:rPr>
        <w:t>” means a share equivalent credited to a Non</w:t>
      </w:r>
      <w:r>
        <w:rPr>
          <w:rFonts w:ascii="MS PGothic" w:cs="MS PGothic" w:eastAsia="MS PGothic" w:hAnsi="MS PGothic"/>
          <w:sz w:val="22"/>
          <w:szCs w:val="22"/>
          <w:color w:val="auto"/>
        </w:rPr>
        <w:t>‑</w:t>
      </w:r>
      <w:r>
        <w:rPr>
          <w:rFonts w:ascii="Arial" w:cs="Arial" w:eastAsia="Arial" w:hAnsi="Arial"/>
          <w:sz w:val="22"/>
          <w:szCs w:val="22"/>
          <w:color w:val="auto"/>
        </w:rPr>
        <w:t>Employee’s Account and which represents the Company’s unfunded promise to deliver one share of Common Stock upon a specified future event or date.</w:t>
      </w:r>
    </w:p>
    <w:p>
      <w:pPr>
        <w:spacing w:after="0" w:line="240" w:lineRule="exact"/>
        <w:rPr>
          <w:rFonts w:ascii="Arial" w:cs="Arial" w:eastAsia="Arial" w:hAnsi="Arial"/>
          <w:sz w:val="22"/>
          <w:szCs w:val="22"/>
          <w:color w:val="auto"/>
        </w:rPr>
      </w:pPr>
    </w:p>
    <w:p>
      <w:pPr>
        <w:ind w:left="80" w:firstLine="563"/>
        <w:spacing w:after="0" w:line="263" w:lineRule="auto"/>
        <w:tabs>
          <w:tab w:leader="none" w:pos="1475"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means the date on which a Non-Employee Director ceases to serve as a member of the Board and has otherwise incurred a “separation from service” within the meaning of Code section 409A.</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EAST\42329236.5 1/2/13</w:t>
      </w:r>
    </w:p>
    <w:p>
      <w:pPr>
        <w:sectPr>
          <w:pgSz w:w="11900" w:h="16838" w:orient="portrait"/>
          <w:cols w:equalWidth="0" w:num="1">
            <w:col w:w="11420"/>
          </w:cols>
          <w:pgMar w:left="240" w:top="847" w:right="239" w:bottom="1440" w:gutter="0" w:footer="0" w:header="0"/>
        </w:sectPr>
      </w:pPr>
    </w:p>
    <w:bookmarkStart w:id="61" w:name="page62"/>
    <w:bookmarkEnd w:id="61"/>
    <w:p>
      <w:pPr>
        <w:spacing w:after="0"/>
        <w:tabs>
          <w:tab w:leader="none" w:pos="38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Administration</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The Plan Administrator shall have full authority to administer the Plan. This authority includes, without limitation, authority (i) to interpret and construe any provision of the Plan and the terms of any Award granted under it, (ii) to modify in its discretion the number, timing and/or terms of Awards to be granted pursuant to </w:t>
      </w:r>
      <w:r>
        <w:rPr>
          <w:rFonts w:ascii="Arial" w:cs="Arial" w:eastAsia="Arial" w:hAnsi="Arial"/>
          <w:sz w:val="19"/>
          <w:szCs w:val="19"/>
          <w:color w:val="0000FF"/>
        </w:rPr>
        <w:t>Section 5</w:t>
      </w:r>
      <w:r>
        <w:rPr>
          <w:rFonts w:ascii="Arial" w:cs="Arial" w:eastAsia="Arial" w:hAnsi="Arial"/>
          <w:sz w:val="19"/>
          <w:szCs w:val="19"/>
          <w:color w:val="auto"/>
        </w:rPr>
        <w:t xml:space="preserve"> of the Plan without requiring stockholder approval thereof, and (iii) in general, to make all other determinations advisable for the administration of the Plan to achieve its stated purpose. This authority also includes the authority, as the Plan Administrator may deem necessary or advisable, to adopt such rules, regulations, agreements, guidelines and instruments for administering the Plan and for conducting the Plan Administrator’s business. A majority of the members of the Plan Administrator shall constitute a quorum for the transaction of business and the vote of a majority of those members present at any meeting at which a quorum is present shall decide any question brought before that meeting. In lieu of a meeting, the Plan Administrator may take action by unanimous written consent. Decisions of the Plan Administrator shall be final and binding on all parties. The Plan Administrator shall have the power to delegate all or any of its non-discretionary duties to one or more designees. To the maximum extent permitted by law, no member of the Plan Administrator or its designees shall be liable for any action taken or decision made in good faith relating to the Plan or any Award. To the maximum extent permitted by law and by the Company’s charter and by-laws, the members of the Plan Administrator and its designees shall be indemnified by the Company in respect of all their activities under the Plan.</w:t>
      </w:r>
    </w:p>
    <w:p>
      <w:pPr>
        <w:spacing w:after="0" w:line="198"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Stock Reserved for the Plan</w:t>
      </w:r>
    </w:p>
    <w:p>
      <w:pPr>
        <w:spacing w:after="0" w:line="266" w:lineRule="exact"/>
        <w:rPr>
          <w:rFonts w:ascii="Arial" w:cs="Arial" w:eastAsia="Arial" w:hAnsi="Arial"/>
          <w:sz w:val="22"/>
          <w:szCs w:val="22"/>
          <w:b w:val="1"/>
          <w:bCs w:val="1"/>
          <w:color w:val="auto"/>
        </w:rPr>
      </w:pPr>
    </w:p>
    <w:p>
      <w:pPr>
        <w:ind w:firstLine="656"/>
        <w:spacing w:after="0" w:line="263" w:lineRule="auto"/>
        <w:tabs>
          <w:tab w:leader="none" w:pos="1073" w:val="left"/>
        </w:tabs>
        <w:numPr>
          <w:ilvl w:val="1"/>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Plan Share Reserve. </w:t>
      </w:r>
      <w:r>
        <w:rPr>
          <w:rFonts w:ascii="Arial" w:cs="Arial" w:eastAsia="Arial" w:hAnsi="Arial"/>
          <w:sz w:val="22"/>
          <w:szCs w:val="22"/>
          <w:color w:val="auto"/>
        </w:rPr>
        <w:t>Subject to the following provisions of this</w:t>
      </w:r>
      <w:r>
        <w:rPr>
          <w:rFonts w:ascii="Arial" w:cs="Arial" w:eastAsia="Arial" w:hAnsi="Arial"/>
          <w:sz w:val="22"/>
          <w:szCs w:val="22"/>
          <w:i w:val="1"/>
          <w:iCs w:val="1"/>
          <w:color w:val="auto"/>
        </w:rPr>
        <w:t xml:space="preserve"> </w:t>
      </w:r>
      <w:r>
        <w:rPr>
          <w:rFonts w:ascii="Arial" w:cs="Arial" w:eastAsia="Arial" w:hAnsi="Arial"/>
          <w:sz w:val="22"/>
          <w:szCs w:val="22"/>
          <w:color w:val="0000FF"/>
        </w:rPr>
        <w:t>Section 4</w:t>
      </w:r>
      <w:r>
        <w:rPr>
          <w:rFonts w:ascii="Arial" w:cs="Arial" w:eastAsia="Arial" w:hAnsi="Arial"/>
          <w:sz w:val="22"/>
          <w:szCs w:val="22"/>
          <w:i w:val="1"/>
          <w:iCs w:val="1"/>
          <w:color w:val="auto"/>
        </w:rPr>
        <w:t xml:space="preserve"> </w:t>
      </w:r>
      <w:r>
        <w:rPr>
          <w:rFonts w:ascii="Arial" w:cs="Arial" w:eastAsia="Arial" w:hAnsi="Arial"/>
          <w:sz w:val="22"/>
          <w:szCs w:val="22"/>
          <w:color w:val="auto"/>
        </w:rPr>
        <w:t>and adjustments as provided in</w:t>
      </w:r>
      <w:r>
        <w:rPr>
          <w:rFonts w:ascii="Arial" w:cs="Arial" w:eastAsia="Arial" w:hAnsi="Arial"/>
          <w:sz w:val="22"/>
          <w:szCs w:val="22"/>
          <w:i w:val="1"/>
          <w:iCs w:val="1"/>
          <w:color w:val="auto"/>
        </w:rPr>
        <w:t xml:space="preserve"> </w:t>
      </w:r>
      <w:r>
        <w:rPr>
          <w:rFonts w:ascii="Arial" w:cs="Arial" w:eastAsia="Arial" w:hAnsi="Arial"/>
          <w:sz w:val="22"/>
          <w:szCs w:val="22"/>
          <w:color w:val="0000FF"/>
        </w:rPr>
        <w:t>Section 8</w:t>
      </w:r>
      <w:r>
        <w:rPr>
          <w:rFonts w:ascii="Arial" w:cs="Arial" w:eastAsia="Arial" w:hAnsi="Arial"/>
          <w:sz w:val="22"/>
          <w:szCs w:val="22"/>
          <w:i w:val="1"/>
          <w:iCs w:val="1"/>
          <w:color w:val="auto"/>
        </w:rPr>
        <w:t xml:space="preserve"> </w:t>
      </w:r>
      <w:r>
        <w:rPr>
          <w:rFonts w:ascii="Arial" w:cs="Arial" w:eastAsia="Arial" w:hAnsi="Arial"/>
          <w:sz w:val="22"/>
          <w:szCs w:val="22"/>
          <w:color w:val="auto"/>
        </w:rPr>
        <w:t>of</w:t>
      </w:r>
      <w:r>
        <w:rPr>
          <w:rFonts w:ascii="Arial" w:cs="Arial" w:eastAsia="Arial" w:hAnsi="Arial"/>
          <w:sz w:val="22"/>
          <w:szCs w:val="22"/>
          <w:i w:val="1"/>
          <w:iCs w:val="1"/>
          <w:color w:val="auto"/>
        </w:rPr>
        <w:t xml:space="preserve"> </w:t>
      </w:r>
      <w:r>
        <w:rPr>
          <w:rFonts w:ascii="Arial" w:cs="Arial" w:eastAsia="Arial" w:hAnsi="Arial"/>
          <w:sz w:val="22"/>
          <w:szCs w:val="22"/>
          <w:color w:val="auto"/>
        </w:rPr>
        <w:t>the Plan, the Plan Share Reserve shall be equal to 750,000 shares of Common Stock.</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179" w:val="left"/>
        </w:tabs>
        <w:numPr>
          <w:ilvl w:val="1"/>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Adjustments to Plan Share Reserve. </w:t>
      </w:r>
      <w:r>
        <w:rPr>
          <w:rFonts w:ascii="Arial" w:cs="Arial" w:eastAsia="Arial" w:hAnsi="Arial"/>
          <w:sz w:val="22"/>
          <w:szCs w:val="22"/>
          <w:color w:val="auto"/>
        </w:rPr>
        <w:t>If any Award, or portion of an Award, under the Plan expires or terminates</w:t>
      </w:r>
      <w:r>
        <w:rPr>
          <w:rFonts w:ascii="Arial" w:cs="Arial" w:eastAsia="Arial" w:hAnsi="Arial"/>
          <w:sz w:val="22"/>
          <w:szCs w:val="22"/>
          <w:i w:val="1"/>
          <w:iCs w:val="1"/>
          <w:color w:val="auto"/>
        </w:rPr>
        <w:t xml:space="preserve"> </w:t>
      </w:r>
      <w:r>
        <w:rPr>
          <w:rFonts w:ascii="Arial" w:cs="Arial" w:eastAsia="Arial" w:hAnsi="Arial"/>
          <w:sz w:val="22"/>
          <w:szCs w:val="22"/>
          <w:color w:val="auto"/>
        </w:rPr>
        <w:t>unexercised, becomes unexercisable or is forfeited or otherwise terminated, surrendered or canceled as to any shares, the shares subject to such Award shall thereafter be available for further Awards under the Plan.</w:t>
      </w:r>
    </w:p>
    <w:p>
      <w:pPr>
        <w:spacing w:after="0" w:line="226" w:lineRule="exact"/>
        <w:rPr>
          <w:rFonts w:ascii="Arial" w:cs="Arial" w:eastAsia="Arial" w:hAnsi="Arial"/>
          <w:sz w:val="22"/>
          <w:szCs w:val="22"/>
          <w:color w:val="auto"/>
        </w:rPr>
      </w:pPr>
    </w:p>
    <w:p>
      <w:pPr>
        <w:jc w:val="both"/>
        <w:ind w:firstLine="656"/>
        <w:spacing w:after="0" w:line="302" w:lineRule="auto"/>
        <w:tabs>
          <w:tab w:leader="none" w:pos="1032" w:val="left"/>
        </w:tabs>
        <w:numPr>
          <w:ilvl w:val="1"/>
          <w:numId w:val="25"/>
        </w:numPr>
        <w:rPr>
          <w:rFonts w:ascii="Arial" w:cs="Arial" w:eastAsia="Arial" w:hAnsi="Arial"/>
          <w:sz w:val="19"/>
          <w:szCs w:val="19"/>
          <w:color w:val="auto"/>
        </w:rPr>
      </w:pPr>
      <w:r>
        <w:rPr>
          <w:rFonts w:ascii="Arial" w:cs="Arial" w:eastAsia="Arial" w:hAnsi="Arial"/>
          <w:sz w:val="19"/>
          <w:szCs w:val="19"/>
          <w:i w:val="1"/>
          <w:iCs w:val="1"/>
          <w:color w:val="auto"/>
        </w:rPr>
        <w:t xml:space="preserve">Share Accounting. </w:t>
      </w:r>
      <w:r>
        <w:rPr>
          <w:rFonts w:ascii="Arial" w:cs="Arial" w:eastAsia="Arial" w:hAnsi="Arial"/>
          <w:sz w:val="19"/>
          <w:szCs w:val="19"/>
          <w:color w:val="auto"/>
        </w:rPr>
        <w:t>Any shares of Common Stock subject to Options granted under the Plan shall be counted against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Plan Share Reserve set forth in </w:t>
      </w:r>
      <w:r>
        <w:rPr>
          <w:rFonts w:ascii="Arial" w:cs="Arial" w:eastAsia="Arial" w:hAnsi="Arial"/>
          <w:sz w:val="19"/>
          <w:szCs w:val="19"/>
          <w:color w:val="0000FF"/>
        </w:rPr>
        <w:t>Section 4(a)</w:t>
      </w:r>
      <w:r>
        <w:rPr>
          <w:rFonts w:ascii="Arial" w:cs="Arial" w:eastAsia="Arial" w:hAnsi="Arial"/>
          <w:sz w:val="19"/>
          <w:szCs w:val="19"/>
          <w:color w:val="auto"/>
        </w:rPr>
        <w:t xml:space="preserve"> as one share of Common Stock for every one share subject to such Award. Any shares of Common Stock subject to Awards other than Options shall be counted against the Plan Share Reserve set forth in </w:t>
      </w:r>
      <w:r>
        <w:rPr>
          <w:rFonts w:ascii="Arial" w:cs="Arial" w:eastAsia="Arial" w:hAnsi="Arial"/>
          <w:sz w:val="19"/>
          <w:szCs w:val="19"/>
          <w:color w:val="0000FF"/>
        </w:rPr>
        <w:t>Section 4(a)</w:t>
      </w:r>
      <w:r>
        <w:rPr>
          <w:rFonts w:ascii="Arial" w:cs="Arial" w:eastAsia="Arial" w:hAnsi="Arial"/>
          <w:sz w:val="19"/>
          <w:szCs w:val="19"/>
          <w:color w:val="auto"/>
        </w:rPr>
        <w:t xml:space="preserve"> as three and one-third shares of Common Stock for every one share subject to such Award.</w:t>
      </w:r>
    </w:p>
    <w:p>
      <w:pPr>
        <w:spacing w:after="0" w:line="183" w:lineRule="exact"/>
        <w:rPr>
          <w:rFonts w:ascii="Arial" w:cs="Arial" w:eastAsia="Arial" w:hAnsi="Arial"/>
          <w:sz w:val="19"/>
          <w:szCs w:val="19"/>
          <w:color w:val="auto"/>
        </w:rPr>
      </w:pPr>
    </w:p>
    <w:p>
      <w:pPr>
        <w:jc w:val="both"/>
        <w:ind w:firstLine="656"/>
        <w:spacing w:after="0" w:line="263" w:lineRule="auto"/>
        <w:tabs>
          <w:tab w:leader="none" w:pos="1112" w:val="left"/>
        </w:tabs>
        <w:numPr>
          <w:ilvl w:val="1"/>
          <w:numId w:val="25"/>
        </w:numPr>
        <w:rPr>
          <w:rFonts w:ascii="Arial" w:cs="Arial" w:eastAsia="Arial" w:hAnsi="Arial"/>
          <w:sz w:val="21"/>
          <w:szCs w:val="21"/>
          <w:color w:val="auto"/>
        </w:rPr>
      </w:pPr>
      <w:r>
        <w:rPr>
          <w:rFonts w:ascii="Arial" w:cs="Arial" w:eastAsia="Arial" w:hAnsi="Arial"/>
          <w:sz w:val="21"/>
          <w:szCs w:val="21"/>
          <w:i w:val="1"/>
          <w:iCs w:val="1"/>
          <w:color w:val="auto"/>
        </w:rPr>
        <w:t>Source of Shares</w:t>
      </w:r>
      <w:r>
        <w:rPr>
          <w:rFonts w:ascii="Arial" w:cs="Arial" w:eastAsia="Arial" w:hAnsi="Arial"/>
          <w:sz w:val="21"/>
          <w:szCs w:val="21"/>
          <w:color w:val="auto"/>
        </w:rPr>
        <w:t>. The Company shall reserve for issuance pursuant to this Plan such number of shares of Common</w:t>
      </w:r>
      <w:r>
        <w:rPr>
          <w:rFonts w:ascii="Arial" w:cs="Arial" w:eastAsia="Arial" w:hAnsi="Arial"/>
          <w:sz w:val="21"/>
          <w:szCs w:val="21"/>
          <w:i w:val="1"/>
          <w:iCs w:val="1"/>
          <w:color w:val="auto"/>
        </w:rPr>
        <w:t xml:space="preserve"> </w:t>
      </w:r>
      <w:r>
        <w:rPr>
          <w:rFonts w:ascii="Arial" w:cs="Arial" w:eastAsia="Arial" w:hAnsi="Arial"/>
          <w:sz w:val="21"/>
          <w:szCs w:val="21"/>
          <w:color w:val="auto"/>
        </w:rPr>
        <w:t>Stock as may from time to time be granted or subject to Awards hereunder. The source of the shares of Common Stock issued pursuant to this Plan may be, in the discretion of the Board or the Plan Administrator, authorized and unissued shares, shares purchased on the open market, or shares derived from any other proper source. In the absence of any specific determination by the Board or the Plan Administrator, the source shall be authorized and unissued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EAST\42329236.5 1/2/13</w:t>
      </w:r>
    </w:p>
    <w:p>
      <w:pPr>
        <w:sectPr>
          <w:pgSz w:w="11900" w:h="16838" w:orient="portrait"/>
          <w:cols w:equalWidth="0" w:num="1">
            <w:col w:w="11420"/>
          </w:cols>
          <w:pgMar w:left="240" w:top="585" w:right="239" w:bottom="1440" w:gutter="0" w:footer="0" w:header="0"/>
        </w:sectPr>
      </w:pPr>
    </w:p>
    <w:bookmarkStart w:id="62" w:name="page63"/>
    <w:bookmarkEnd w:id="62"/>
    <w:p>
      <w:pPr>
        <w:ind w:left="400" w:hanging="392"/>
        <w:spacing w:after="0"/>
        <w:tabs>
          <w:tab w:leader="none" w:pos="40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Grants of Equity Awards</w:t>
      </w:r>
    </w:p>
    <w:p>
      <w:pPr>
        <w:spacing w:after="0" w:line="266" w:lineRule="exact"/>
        <w:rPr>
          <w:rFonts w:ascii="Arial" w:cs="Arial" w:eastAsia="Arial" w:hAnsi="Arial"/>
          <w:sz w:val="22"/>
          <w:szCs w:val="22"/>
          <w:b w:val="1"/>
          <w:bCs w:val="1"/>
          <w:color w:val="auto"/>
        </w:rPr>
      </w:pPr>
    </w:p>
    <w:p>
      <w:pPr>
        <w:jc w:val="both"/>
        <w:ind w:firstLine="656"/>
        <w:spacing w:after="0" w:line="260" w:lineRule="exact"/>
        <w:tabs>
          <w:tab w:leader="none" w:pos="1113" w:val="left"/>
        </w:tabs>
        <w:numPr>
          <w:ilvl w:val="1"/>
          <w:numId w:val="26"/>
        </w:numPr>
        <w:rPr>
          <w:rFonts w:ascii="Arial" w:cs="Arial" w:eastAsia="Arial" w:hAnsi="Arial"/>
          <w:sz w:val="19"/>
          <w:szCs w:val="19"/>
          <w:color w:val="auto"/>
        </w:rPr>
      </w:pPr>
      <w:r>
        <w:rPr>
          <w:rFonts w:ascii="Arial" w:cs="Arial" w:eastAsia="Arial" w:hAnsi="Arial"/>
          <w:sz w:val="19"/>
          <w:szCs w:val="19"/>
          <w:i w:val="1"/>
          <w:iCs w:val="1"/>
          <w:color w:val="auto"/>
        </w:rPr>
        <w:t>Initial Director Grant</w:t>
      </w:r>
      <w:r>
        <w:rPr>
          <w:rFonts w:ascii="Arial" w:cs="Arial" w:eastAsia="Arial" w:hAnsi="Arial"/>
          <w:sz w:val="19"/>
          <w:szCs w:val="19"/>
          <w:color w:val="auto"/>
        </w:rPr>
        <w:t>. Each person first elected or appointed as a Non</w:t>
      </w:r>
      <w:r>
        <w:rPr>
          <w:rFonts w:ascii="MS PGothic" w:cs="MS PGothic" w:eastAsia="MS PGothic" w:hAnsi="MS PGothic"/>
          <w:sz w:val="19"/>
          <w:szCs w:val="19"/>
          <w:color w:val="auto"/>
        </w:rPr>
        <w:t>‑</w:t>
      </w:r>
      <w:r>
        <w:rPr>
          <w:rFonts w:ascii="Arial" w:cs="Arial" w:eastAsia="Arial" w:hAnsi="Arial"/>
          <w:sz w:val="19"/>
          <w:szCs w:val="19"/>
          <w:color w:val="auto"/>
        </w:rPr>
        <w:t>Employee Director on or after the Effective</w:t>
      </w:r>
      <w:r>
        <w:rPr>
          <w:rFonts w:ascii="Arial" w:cs="Arial" w:eastAsia="Arial" w:hAnsi="Arial"/>
          <w:sz w:val="19"/>
          <w:szCs w:val="19"/>
          <w:i w:val="1"/>
          <w:iCs w:val="1"/>
          <w:color w:val="auto"/>
        </w:rPr>
        <w:t xml:space="preserve"> </w:t>
      </w:r>
      <w:r>
        <w:rPr>
          <w:rFonts w:ascii="Arial" w:cs="Arial" w:eastAsia="Arial" w:hAnsi="Arial"/>
          <w:sz w:val="19"/>
          <w:szCs w:val="19"/>
          <w:color w:val="auto"/>
        </w:rPr>
        <w:t>Date, shall be granted, as of the close of business on the date of the first regular meeting of the Board held on or after the date of such Non-Employee Director’s election or appointment, an Initial Director Grant of 4,200 Restricted Shares or 4,200 Stock Units, in such form as the Non</w:t>
      </w:r>
      <w:r>
        <w:rPr>
          <w:rFonts w:ascii="MS PGothic" w:cs="MS PGothic" w:eastAsia="MS PGothic" w:hAnsi="MS PGothic"/>
          <w:sz w:val="19"/>
          <w:szCs w:val="19"/>
          <w:color w:val="auto"/>
        </w:rPr>
        <w:t>‑</w:t>
      </w:r>
      <w:r>
        <w:rPr>
          <w:rFonts w:ascii="Arial" w:cs="Arial" w:eastAsia="Arial" w:hAnsi="Arial"/>
          <w:sz w:val="19"/>
          <w:szCs w:val="19"/>
          <w:color w:val="auto"/>
        </w:rPr>
        <w:t xml:space="preserve">Employee Director shall have elected pursuant to </w:t>
      </w:r>
      <w:r>
        <w:rPr>
          <w:rFonts w:ascii="Arial" w:cs="Arial" w:eastAsia="Arial" w:hAnsi="Arial"/>
          <w:sz w:val="19"/>
          <w:szCs w:val="19"/>
          <w:color w:val="0000FF"/>
        </w:rPr>
        <w:t>Section 7</w:t>
      </w:r>
      <w:r>
        <w:rPr>
          <w:rFonts w:ascii="Arial" w:cs="Arial" w:eastAsia="Arial" w:hAnsi="Arial"/>
          <w:sz w:val="19"/>
          <w:szCs w:val="19"/>
          <w:color w:val="auto"/>
        </w:rPr>
        <w:t>. Notwithstanding the foregoing sentence, a person who was an employee of the Company or any of its subsidiaries or affiliates at any time within three years before becoming a Non-Employee Director shall not be entitled to receive an Initial Director Grant.</w:t>
      </w:r>
    </w:p>
    <w:p>
      <w:pPr>
        <w:spacing w:after="0" w:line="239" w:lineRule="exact"/>
        <w:rPr>
          <w:rFonts w:ascii="Arial" w:cs="Arial" w:eastAsia="Arial" w:hAnsi="Arial"/>
          <w:sz w:val="19"/>
          <w:szCs w:val="19"/>
          <w:color w:val="auto"/>
        </w:rPr>
      </w:pPr>
    </w:p>
    <w:p>
      <w:pPr>
        <w:jc w:val="both"/>
        <w:ind w:firstLine="656"/>
        <w:spacing w:after="0" w:line="263" w:lineRule="exact"/>
        <w:tabs>
          <w:tab w:leader="none" w:pos="1098" w:val="left"/>
        </w:tabs>
        <w:numPr>
          <w:ilvl w:val="1"/>
          <w:numId w:val="26"/>
        </w:numPr>
        <w:rPr>
          <w:rFonts w:ascii="Arial" w:cs="Arial" w:eastAsia="Arial" w:hAnsi="Arial"/>
          <w:sz w:val="19"/>
          <w:szCs w:val="19"/>
          <w:color w:val="auto"/>
        </w:rPr>
      </w:pPr>
      <w:r>
        <w:rPr>
          <w:rFonts w:ascii="Arial" w:cs="Arial" w:eastAsia="Arial" w:hAnsi="Arial"/>
          <w:sz w:val="19"/>
          <w:szCs w:val="19"/>
          <w:i w:val="1"/>
          <w:iCs w:val="1"/>
          <w:color w:val="auto"/>
        </w:rPr>
        <w:t>Periodic Grants</w:t>
      </w:r>
      <w:r>
        <w:rPr>
          <w:rFonts w:ascii="Arial" w:cs="Arial" w:eastAsia="Arial" w:hAnsi="Arial"/>
          <w:sz w:val="19"/>
          <w:szCs w:val="19"/>
          <w:color w:val="auto"/>
        </w:rPr>
        <w:t>. Each Non-Employee Director shall be granted, as of the close of business on the third business day</w:t>
      </w:r>
      <w:r>
        <w:rPr>
          <w:rFonts w:ascii="Arial" w:cs="Arial" w:eastAsia="Arial" w:hAnsi="Arial"/>
          <w:sz w:val="19"/>
          <w:szCs w:val="19"/>
          <w:i w:val="1"/>
          <w:iCs w:val="1"/>
          <w:color w:val="auto"/>
        </w:rPr>
        <w:t xml:space="preserve"> </w:t>
      </w:r>
      <w:r>
        <w:rPr>
          <w:rFonts w:ascii="Arial" w:cs="Arial" w:eastAsia="Arial" w:hAnsi="Arial"/>
          <w:sz w:val="19"/>
          <w:szCs w:val="19"/>
          <w:color w:val="auto"/>
        </w:rPr>
        <w:t>following the earnings release for the first and third fiscal quarter of each year, in such form as the Non</w:t>
      </w:r>
      <w:r>
        <w:rPr>
          <w:rFonts w:ascii="MS PGothic" w:cs="MS PGothic" w:eastAsia="MS PGothic" w:hAnsi="MS PGothic"/>
          <w:sz w:val="19"/>
          <w:szCs w:val="19"/>
          <w:color w:val="auto"/>
        </w:rPr>
        <w:t>‑</w:t>
      </w:r>
      <w:r>
        <w:rPr>
          <w:rFonts w:ascii="Arial" w:cs="Arial" w:eastAsia="Arial" w:hAnsi="Arial"/>
          <w:sz w:val="19"/>
          <w:szCs w:val="19"/>
          <w:color w:val="auto"/>
        </w:rPr>
        <w:t xml:space="preserve">Employee Director shall have elected pursuant to </w:t>
      </w:r>
      <w:r>
        <w:rPr>
          <w:rFonts w:ascii="Arial" w:cs="Arial" w:eastAsia="Arial" w:hAnsi="Arial"/>
          <w:sz w:val="19"/>
          <w:szCs w:val="19"/>
          <w:color w:val="0000FF"/>
        </w:rPr>
        <w:t>Section 7,</w:t>
      </w:r>
      <w:r>
        <w:rPr>
          <w:rFonts w:ascii="Arial" w:cs="Arial" w:eastAsia="Arial" w:hAnsi="Arial"/>
          <w:sz w:val="19"/>
          <w:szCs w:val="19"/>
          <w:color w:val="auto"/>
        </w:rPr>
        <w:t xml:space="preserve"> an Award of 4,200 Options, 1,250 Restricted Shares, or 1,250 Stock Units.</w:t>
      </w:r>
    </w:p>
    <w:p>
      <w:pPr>
        <w:spacing w:after="0" w:line="239" w:lineRule="exact"/>
        <w:rPr>
          <w:rFonts w:ascii="Arial" w:cs="Arial" w:eastAsia="Arial" w:hAnsi="Arial"/>
          <w:sz w:val="19"/>
          <w:szCs w:val="19"/>
          <w:color w:val="auto"/>
        </w:rPr>
      </w:pPr>
    </w:p>
    <w:p>
      <w:pPr>
        <w:jc w:val="both"/>
        <w:ind w:firstLine="656"/>
        <w:spacing w:after="0" w:line="263" w:lineRule="exact"/>
        <w:tabs>
          <w:tab w:leader="none" w:pos="1073" w:val="left"/>
        </w:tabs>
        <w:numPr>
          <w:ilvl w:val="1"/>
          <w:numId w:val="26"/>
        </w:numPr>
        <w:rPr>
          <w:rFonts w:ascii="Arial" w:cs="Arial" w:eastAsia="Arial" w:hAnsi="Arial"/>
          <w:sz w:val="22"/>
          <w:szCs w:val="22"/>
          <w:color w:val="auto"/>
        </w:rPr>
      </w:pPr>
      <w:r>
        <w:rPr>
          <w:rFonts w:ascii="Arial" w:cs="Arial" w:eastAsia="Arial" w:hAnsi="Arial"/>
          <w:sz w:val="22"/>
          <w:szCs w:val="22"/>
          <w:i w:val="1"/>
          <w:iCs w:val="1"/>
          <w:color w:val="auto"/>
        </w:rPr>
        <w:t>Non-duplication of Grants</w:t>
      </w:r>
      <w:r>
        <w:rPr>
          <w:rFonts w:ascii="Arial" w:cs="Arial" w:eastAsia="Arial" w:hAnsi="Arial"/>
          <w:sz w:val="22"/>
          <w:szCs w:val="22"/>
          <w:color w:val="auto"/>
        </w:rPr>
        <w:t>. Notwithstanding the provisions of</w:t>
      </w:r>
      <w:r>
        <w:rPr>
          <w:rFonts w:ascii="Arial" w:cs="Arial" w:eastAsia="Arial" w:hAnsi="Arial"/>
          <w:sz w:val="22"/>
          <w:szCs w:val="22"/>
          <w:i w:val="1"/>
          <w:iCs w:val="1"/>
          <w:color w:val="auto"/>
        </w:rPr>
        <w:t xml:space="preserve"> </w:t>
      </w:r>
      <w:r>
        <w:rPr>
          <w:rFonts w:ascii="Arial" w:cs="Arial" w:eastAsia="Arial" w:hAnsi="Arial"/>
          <w:sz w:val="22"/>
          <w:szCs w:val="22"/>
          <w:color w:val="0000FF"/>
        </w:rPr>
        <w:t>Section 5(b)</w:t>
      </w:r>
      <w:r>
        <w:rPr>
          <w:rFonts w:ascii="Arial" w:cs="Arial" w:eastAsia="Arial" w:hAnsi="Arial"/>
          <w:sz w:val="22"/>
          <w:szCs w:val="22"/>
          <w:i w:val="1"/>
          <w:iCs w:val="1"/>
          <w:color w:val="auto"/>
        </w:rPr>
        <w:t xml:space="preserve"> </w:t>
      </w:r>
      <w:r>
        <w:rPr>
          <w:rFonts w:ascii="Arial" w:cs="Arial" w:eastAsia="Arial" w:hAnsi="Arial"/>
          <w:sz w:val="22"/>
          <w:szCs w:val="22"/>
          <w:color w:val="auto"/>
        </w:rPr>
        <w:t>above, Periodic Grants will not be granted</w:t>
      </w:r>
      <w:r>
        <w:rPr>
          <w:rFonts w:ascii="Arial" w:cs="Arial" w:eastAsia="Arial" w:hAnsi="Arial"/>
          <w:sz w:val="22"/>
          <w:szCs w:val="22"/>
          <w:i w:val="1"/>
          <w:iCs w:val="1"/>
          <w:color w:val="auto"/>
        </w:rPr>
        <w:t xml:space="preserve"> </w:t>
      </w:r>
      <w:r>
        <w:rPr>
          <w:rFonts w:ascii="Arial" w:cs="Arial" w:eastAsia="Arial" w:hAnsi="Arial"/>
          <w:sz w:val="22"/>
          <w:szCs w:val="22"/>
          <w:color w:val="auto"/>
        </w:rPr>
        <w:t>to a Non-Employee Director during the calendar year in which the Non</w:t>
      </w:r>
      <w:r>
        <w:rPr>
          <w:rFonts w:ascii="MS PGothic" w:cs="MS PGothic" w:eastAsia="MS PGothic" w:hAnsi="MS PGothic"/>
          <w:sz w:val="22"/>
          <w:szCs w:val="22"/>
          <w:color w:val="auto"/>
        </w:rPr>
        <w:t>‑</w:t>
      </w:r>
      <w:r>
        <w:rPr>
          <w:rFonts w:ascii="Arial" w:cs="Arial" w:eastAsia="Arial" w:hAnsi="Arial"/>
          <w:sz w:val="22"/>
          <w:szCs w:val="22"/>
          <w:color w:val="auto"/>
        </w:rPr>
        <w:t>Employee Director receives his or her Initial Director Grant.</w:t>
      </w:r>
    </w:p>
    <w:p>
      <w:pPr>
        <w:spacing w:after="0" w:line="239" w:lineRule="exact"/>
        <w:rPr>
          <w:rFonts w:ascii="Arial" w:cs="Arial" w:eastAsia="Arial" w:hAnsi="Arial"/>
          <w:sz w:val="22"/>
          <w:szCs w:val="22"/>
          <w:color w:val="auto"/>
        </w:rPr>
      </w:pPr>
    </w:p>
    <w:p>
      <w:pPr>
        <w:ind w:right="20" w:firstLine="656"/>
        <w:spacing w:after="0" w:line="263" w:lineRule="auto"/>
        <w:tabs>
          <w:tab w:leader="none" w:pos="1085" w:val="left"/>
        </w:tabs>
        <w:numPr>
          <w:ilvl w:val="1"/>
          <w:numId w:val="26"/>
        </w:numPr>
        <w:rPr>
          <w:rFonts w:ascii="Arial" w:cs="Arial" w:eastAsia="Arial" w:hAnsi="Arial"/>
          <w:sz w:val="22"/>
          <w:szCs w:val="22"/>
          <w:color w:val="auto"/>
        </w:rPr>
      </w:pPr>
      <w:r>
        <w:rPr>
          <w:rFonts w:ascii="Arial" w:cs="Arial" w:eastAsia="Arial" w:hAnsi="Arial"/>
          <w:sz w:val="22"/>
          <w:szCs w:val="22"/>
          <w:i w:val="1"/>
          <w:iCs w:val="1"/>
          <w:color w:val="auto"/>
        </w:rPr>
        <w:t>Grant Eligibility</w:t>
      </w:r>
      <w:r>
        <w:rPr>
          <w:rFonts w:ascii="Arial" w:cs="Arial" w:eastAsia="Arial" w:hAnsi="Arial"/>
          <w:sz w:val="22"/>
          <w:szCs w:val="22"/>
          <w:color w:val="auto"/>
        </w:rPr>
        <w:t>. No individual shall be granted an Award under this Plan unless such individual is a Non-Employee</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 on the applicable grant date.</w:t>
      </w:r>
    </w:p>
    <w:p>
      <w:pPr>
        <w:spacing w:after="0" w:line="215" w:lineRule="exact"/>
        <w:rPr>
          <w:rFonts w:ascii="Arial" w:cs="Arial" w:eastAsia="Arial" w:hAnsi="Arial"/>
          <w:sz w:val="22"/>
          <w:szCs w:val="22"/>
          <w:color w:val="auto"/>
        </w:rPr>
      </w:pPr>
    </w:p>
    <w:p>
      <w:pPr>
        <w:ind w:firstLine="656"/>
        <w:spacing w:after="0" w:line="263" w:lineRule="auto"/>
        <w:tabs>
          <w:tab w:leader="none" w:pos="1059" w:val="left"/>
        </w:tabs>
        <w:numPr>
          <w:ilvl w:val="1"/>
          <w:numId w:val="26"/>
        </w:numPr>
        <w:rPr>
          <w:rFonts w:ascii="Arial" w:cs="Arial" w:eastAsia="Arial" w:hAnsi="Arial"/>
          <w:sz w:val="22"/>
          <w:szCs w:val="22"/>
          <w:color w:val="auto"/>
        </w:rPr>
      </w:pPr>
      <w:r>
        <w:rPr>
          <w:rFonts w:ascii="Arial" w:cs="Arial" w:eastAsia="Arial" w:hAnsi="Arial"/>
          <w:sz w:val="22"/>
          <w:szCs w:val="22"/>
          <w:i w:val="1"/>
          <w:iCs w:val="1"/>
          <w:color w:val="auto"/>
        </w:rPr>
        <w:t>Modification of Awards</w:t>
      </w:r>
      <w:r>
        <w:rPr>
          <w:rFonts w:ascii="Arial" w:cs="Arial" w:eastAsia="Arial" w:hAnsi="Arial"/>
          <w:sz w:val="22"/>
          <w:szCs w:val="22"/>
          <w:color w:val="auto"/>
        </w:rPr>
        <w:t>. The Plan Administrator in its discretion may modify the number and/or timing of the Awards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to be granted pursuant to the provisions of </w:t>
      </w:r>
      <w:r>
        <w:rPr>
          <w:rFonts w:ascii="Arial" w:cs="Arial" w:eastAsia="Arial" w:hAnsi="Arial"/>
          <w:sz w:val="22"/>
          <w:szCs w:val="22"/>
          <w:color w:val="0000FF"/>
        </w:rPr>
        <w:t>Sections 5(a)</w:t>
      </w:r>
      <w:r>
        <w:rPr>
          <w:rFonts w:ascii="Arial" w:cs="Arial" w:eastAsia="Arial" w:hAnsi="Arial"/>
          <w:sz w:val="22"/>
          <w:szCs w:val="22"/>
          <w:color w:val="auto"/>
        </w:rPr>
        <w:t xml:space="preserve"> and </w:t>
      </w:r>
      <w:r>
        <w:rPr>
          <w:rFonts w:ascii="Arial" w:cs="Arial" w:eastAsia="Arial" w:hAnsi="Arial"/>
          <w:sz w:val="22"/>
          <w:szCs w:val="22"/>
          <w:color w:val="0000FF"/>
        </w:rPr>
        <w:t>5(b)</w:t>
      </w:r>
      <w:r>
        <w:rPr>
          <w:rFonts w:ascii="Arial" w:cs="Arial" w:eastAsia="Arial" w:hAnsi="Arial"/>
          <w:sz w:val="22"/>
          <w:szCs w:val="22"/>
          <w:color w:val="auto"/>
        </w:rPr>
        <w:t xml:space="preserve"> above without stockholder approval.</w:t>
      </w:r>
    </w:p>
    <w:p>
      <w:pPr>
        <w:spacing w:after="0" w:line="209" w:lineRule="exact"/>
        <w:rPr>
          <w:rFonts w:ascii="Arial" w:cs="Arial" w:eastAsia="Arial" w:hAnsi="Arial"/>
          <w:sz w:val="22"/>
          <w:szCs w:val="22"/>
          <w:color w:val="auto"/>
        </w:rPr>
      </w:pPr>
    </w:p>
    <w:p>
      <w:pPr>
        <w:ind w:left="400" w:hanging="392"/>
        <w:spacing w:after="0"/>
        <w:tabs>
          <w:tab w:leader="none" w:pos="40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Terms of Awards</w:t>
      </w:r>
    </w:p>
    <w:p>
      <w:pPr>
        <w:spacing w:after="0" w:line="266" w:lineRule="exact"/>
        <w:rPr>
          <w:rFonts w:ascii="Arial" w:cs="Arial" w:eastAsia="Arial" w:hAnsi="Arial"/>
          <w:sz w:val="22"/>
          <w:szCs w:val="22"/>
          <w:b w:val="1"/>
          <w:bCs w:val="1"/>
          <w:color w:val="auto"/>
        </w:rPr>
      </w:pPr>
    </w:p>
    <w:p>
      <w:pPr>
        <w:ind w:left="1040" w:hanging="384"/>
        <w:spacing w:after="0"/>
        <w:tabs>
          <w:tab w:leader="none" w:pos="1040" w:val="left"/>
        </w:tabs>
        <w:numPr>
          <w:ilvl w:val="1"/>
          <w:numId w:val="26"/>
        </w:numPr>
        <w:rPr>
          <w:rFonts w:ascii="Arial" w:cs="Arial" w:eastAsia="Arial" w:hAnsi="Arial"/>
          <w:sz w:val="22"/>
          <w:szCs w:val="22"/>
          <w:color w:val="auto"/>
        </w:rPr>
      </w:pPr>
      <w:r>
        <w:rPr>
          <w:rFonts w:ascii="Arial" w:cs="Arial" w:eastAsia="Arial" w:hAnsi="Arial"/>
          <w:sz w:val="22"/>
          <w:szCs w:val="22"/>
          <w:i w:val="1"/>
          <w:iCs w:val="1"/>
          <w:color w:val="auto"/>
        </w:rPr>
        <w:t>Terms of Options</w:t>
      </w:r>
      <w:r>
        <w:rPr>
          <w:rFonts w:ascii="Arial" w:cs="Arial" w:eastAsia="Arial" w:hAnsi="Arial"/>
          <w:sz w:val="22"/>
          <w:szCs w:val="22"/>
          <w:color w:val="auto"/>
        </w:rPr>
        <w:t>. Each Option granted under this Plan on or after February 12, 2009, shall:</w:t>
      </w:r>
    </w:p>
    <w:p>
      <w:pPr>
        <w:spacing w:after="0" w:line="260" w:lineRule="exact"/>
        <w:rPr>
          <w:rFonts w:ascii="Arial" w:cs="Arial" w:eastAsia="Arial" w:hAnsi="Arial"/>
          <w:sz w:val="22"/>
          <w:szCs w:val="22"/>
          <w:color w:val="auto"/>
        </w:rPr>
      </w:pPr>
    </w:p>
    <w:p>
      <w:pPr>
        <w:ind w:left="1660" w:hanging="355"/>
        <w:spacing w:after="0"/>
        <w:tabs>
          <w:tab w:leader="none" w:pos="1660" w:val="left"/>
        </w:tabs>
        <w:numPr>
          <w:ilvl w:val="2"/>
          <w:numId w:val="26"/>
        </w:numPr>
        <w:rPr>
          <w:rFonts w:ascii="Arial" w:cs="Arial" w:eastAsia="Arial" w:hAnsi="Arial"/>
          <w:sz w:val="19"/>
          <w:szCs w:val="19"/>
          <w:color w:val="auto"/>
        </w:rPr>
      </w:pPr>
      <w:r>
        <w:rPr>
          <w:rFonts w:ascii="Arial" w:cs="Arial" w:eastAsia="Arial" w:hAnsi="Arial"/>
          <w:sz w:val="19"/>
          <w:szCs w:val="19"/>
          <w:color w:val="auto"/>
        </w:rPr>
        <w:t>have an exercise price for each share subject thereto equal to the Fair Market Value of the Common Stock on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grant date;</w:t>
      </w:r>
    </w:p>
    <w:p>
      <w:pPr>
        <w:spacing w:after="0" w:line="242" w:lineRule="exact"/>
        <w:rPr>
          <w:rFonts w:ascii="Arial" w:cs="Arial" w:eastAsia="Arial" w:hAnsi="Arial"/>
          <w:sz w:val="19"/>
          <w:szCs w:val="19"/>
          <w:color w:val="auto"/>
        </w:rPr>
      </w:pPr>
    </w:p>
    <w:p>
      <w:pPr>
        <w:jc w:val="both"/>
        <w:ind w:left="660" w:firstLine="645"/>
        <w:spacing w:after="0" w:line="292" w:lineRule="auto"/>
        <w:tabs>
          <w:tab w:leader="none" w:pos="1738" w:val="left"/>
        </w:tabs>
        <w:numPr>
          <w:ilvl w:val="2"/>
          <w:numId w:val="26"/>
        </w:numPr>
        <w:rPr>
          <w:rFonts w:ascii="Arial" w:cs="Arial" w:eastAsia="Arial" w:hAnsi="Arial"/>
          <w:sz w:val="19"/>
          <w:szCs w:val="19"/>
          <w:color w:val="auto"/>
        </w:rPr>
      </w:pPr>
      <w:r>
        <w:rPr>
          <w:rFonts w:ascii="Arial" w:cs="Arial" w:eastAsia="Arial" w:hAnsi="Arial"/>
          <w:sz w:val="19"/>
          <w:szCs w:val="19"/>
          <w:color w:val="auto"/>
        </w:rPr>
        <w:t>be unvested and not be exercisable as to any shares when granted and, subject to the provisions of Section 8(b) (ii), shall (A) if granted as an Initial Director Grant, become vested and exercisable in full as of the close of business on the earlier of the Non-Employee Director’s date of death or the first anniversary of the grant date, and (B) if granted as a Periodic Grant, become vested and exercisable in full as of the close of business on the earliest of the Non-Employee Director’s date of death, the first anniversary of the grant date, or the day immediately prior to the Annual Meeting that occurs in the next calendar year following the year in which the grant date occurs, provided that in the case of subclause (A) or (B) of this Section 6(a)(ii) the holder is a member of the Board on the applicable vesting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EAST\42329236.5 1/2/13</w:t>
      </w:r>
    </w:p>
    <w:p>
      <w:pPr>
        <w:sectPr>
          <w:pgSz w:w="11900" w:h="16838" w:orient="portrait"/>
          <w:cols w:equalWidth="0" w:num="1">
            <w:col w:w="11420"/>
          </w:cols>
          <w:pgMar w:left="240" w:top="585" w:right="239" w:bottom="1440" w:gutter="0" w:footer="0" w:header="0"/>
        </w:sectPr>
      </w:pPr>
    </w:p>
    <w:bookmarkStart w:id="63" w:name="page64"/>
    <w:bookmarkEnd w:id="63"/>
    <w:p>
      <w:pPr>
        <w:jc w:val="both"/>
        <w:ind w:left="660" w:firstLine="645"/>
        <w:spacing w:after="0" w:line="250" w:lineRule="auto"/>
        <w:tabs>
          <w:tab w:leader="none" w:pos="1782" w:val="left"/>
        </w:tabs>
        <w:numPr>
          <w:ilvl w:val="0"/>
          <w:numId w:val="27"/>
        </w:numPr>
        <w:rPr>
          <w:rFonts w:ascii="Arial" w:cs="Arial" w:eastAsia="Arial" w:hAnsi="Arial"/>
          <w:sz w:val="22"/>
          <w:szCs w:val="22"/>
          <w:color w:val="auto"/>
        </w:rPr>
      </w:pPr>
      <w:r>
        <w:rPr>
          <w:rFonts w:ascii="Arial" w:cs="Arial" w:eastAsia="Arial" w:hAnsi="Arial"/>
          <w:sz w:val="22"/>
          <w:szCs w:val="22"/>
          <w:color w:val="auto"/>
        </w:rPr>
        <w:t>terminate and no longer be exercisable, to the extent unvested, when the Non-Employee Director ceases to be a member of the Board for any reason other than death, and to the extent vested, on the earlier to occur of the expiration of ten years after the grant date of such Option or five years after the Non-Employee Director ceases to be a member of the Board for any reason; and</w:t>
      </w:r>
    </w:p>
    <w:p>
      <w:pPr>
        <w:spacing w:after="0" w:line="228" w:lineRule="exact"/>
        <w:rPr>
          <w:rFonts w:ascii="Arial" w:cs="Arial" w:eastAsia="Arial" w:hAnsi="Arial"/>
          <w:sz w:val="22"/>
          <w:szCs w:val="22"/>
          <w:color w:val="auto"/>
        </w:rPr>
      </w:pPr>
    </w:p>
    <w:p>
      <w:pPr>
        <w:jc w:val="both"/>
        <w:ind w:left="660" w:firstLine="645"/>
        <w:spacing w:after="0" w:line="253" w:lineRule="auto"/>
        <w:tabs>
          <w:tab w:leader="none" w:pos="1807" w:val="left"/>
        </w:tabs>
        <w:numPr>
          <w:ilvl w:val="0"/>
          <w:numId w:val="27"/>
        </w:numPr>
        <w:rPr>
          <w:rFonts w:ascii="Arial" w:cs="Arial" w:eastAsia="Arial" w:hAnsi="Arial"/>
          <w:sz w:val="22"/>
          <w:szCs w:val="22"/>
          <w:color w:val="auto"/>
        </w:rPr>
      </w:pPr>
      <w:r>
        <w:rPr>
          <w:rFonts w:ascii="Arial" w:cs="Arial" w:eastAsia="Arial" w:hAnsi="Arial"/>
          <w:sz w:val="22"/>
          <w:szCs w:val="22"/>
          <w:color w:val="auto"/>
        </w:rPr>
        <w:t>provide for payment of the exercise price via cash, check, or tender of shares of Common Stock, by way of a broker-assisted cashless exercise in accordance with procedures established by the Plan Administrator, or any combination thereof.</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Options granted under this Plan are not transferable by the Non-Employee Director otherwise than by will or the laws of descent and distribution and are exercisable during the Non-Employee Director’s lifetime only by the Non-Employee Director; except that with the consent of the Plan Administrator, Options may be transferred to a family member or a trust, partnership or the like for the benefit of the Non-Employee Director or such family members. No assignment or transfer of an Option, or of the rights represented thereby, whether voluntary or involuntary, by operation of law or otherwise, except by will, the laws of descent and distribution or by consent of the Plan Administrator, shall vest in the assignee or transferee any interest or right therein whatsoever, but immediately upon any attempt to assign or transfer the Option the same shall terminate and be of no force or effect. No Option holder shall have any rights as a stockholder with respect to any shares of Common Stock covered by an Option until the date a stock certificate or certificates representing such shares is issued or such other evidence of issuance of the shares to the person is entered on the records of the Company. Except as provided in </w:t>
      </w:r>
      <w:r>
        <w:rPr>
          <w:rFonts w:ascii="Arial" w:cs="Arial" w:eastAsia="Arial" w:hAnsi="Arial"/>
          <w:sz w:val="19"/>
          <w:szCs w:val="19"/>
          <w:color w:val="0000FF"/>
        </w:rPr>
        <w:t>Section 8</w:t>
      </w:r>
      <w:r>
        <w:rPr>
          <w:rFonts w:ascii="Arial" w:cs="Arial" w:eastAsia="Arial" w:hAnsi="Arial"/>
          <w:sz w:val="19"/>
          <w:szCs w:val="19"/>
          <w:color w:val="auto"/>
        </w:rPr>
        <w:t>, no adjustment for dividends or otherwise shall be made if the record date is prior to the date of issuance of the shares of Common Stock purchased pursuant to exercise of the Option.</w:t>
      </w:r>
    </w:p>
    <w:p>
      <w:pPr>
        <w:spacing w:after="0" w:line="195" w:lineRule="exact"/>
        <w:rPr>
          <w:sz w:val="20"/>
          <w:szCs w:val="20"/>
          <w:color w:val="auto"/>
        </w:rPr>
      </w:pPr>
    </w:p>
    <w:p>
      <w:pPr>
        <w:ind w:left="1060" w:hanging="404"/>
        <w:spacing w:after="0"/>
        <w:tabs>
          <w:tab w:leader="none" w:pos="1060" w:val="left"/>
        </w:tabs>
        <w:numPr>
          <w:ilvl w:val="0"/>
          <w:numId w:val="28"/>
        </w:numPr>
        <w:rPr>
          <w:rFonts w:ascii="Arial" w:cs="Arial" w:eastAsia="Arial" w:hAnsi="Arial"/>
          <w:sz w:val="21"/>
          <w:szCs w:val="21"/>
          <w:color w:val="auto"/>
        </w:rPr>
      </w:pPr>
      <w:r>
        <w:rPr>
          <w:rFonts w:ascii="Arial" w:cs="Arial" w:eastAsia="Arial" w:hAnsi="Arial"/>
          <w:sz w:val="21"/>
          <w:szCs w:val="21"/>
          <w:i w:val="1"/>
          <w:iCs w:val="1"/>
          <w:color w:val="auto"/>
        </w:rPr>
        <w:t>Terms of Restricted Shares</w:t>
      </w:r>
      <w:r>
        <w:rPr>
          <w:rFonts w:ascii="Arial" w:cs="Arial" w:eastAsia="Arial" w:hAnsi="Arial"/>
          <w:sz w:val="21"/>
          <w:szCs w:val="21"/>
          <w:color w:val="auto"/>
        </w:rPr>
        <w:t>. All Restricted Shares granted under this Plan on or after February 12, 2009, shall:</w:t>
      </w:r>
    </w:p>
    <w:p>
      <w:pPr>
        <w:spacing w:after="0" w:line="271" w:lineRule="exact"/>
        <w:rPr>
          <w:rFonts w:ascii="Arial" w:cs="Arial" w:eastAsia="Arial" w:hAnsi="Arial"/>
          <w:sz w:val="21"/>
          <w:szCs w:val="21"/>
          <w:color w:val="auto"/>
        </w:rPr>
      </w:pPr>
    </w:p>
    <w:p>
      <w:pPr>
        <w:jc w:val="both"/>
        <w:ind w:left="660" w:firstLine="645"/>
        <w:spacing w:after="0" w:line="253" w:lineRule="auto"/>
        <w:tabs>
          <w:tab w:leader="none" w:pos="1734" w:val="left"/>
        </w:tabs>
        <w:numPr>
          <w:ilvl w:val="1"/>
          <w:numId w:val="28"/>
        </w:numPr>
        <w:rPr>
          <w:rFonts w:ascii="Arial" w:cs="Arial" w:eastAsia="Arial" w:hAnsi="Arial"/>
          <w:sz w:val="22"/>
          <w:szCs w:val="22"/>
          <w:color w:val="auto"/>
        </w:rPr>
      </w:pPr>
      <w:r>
        <w:rPr>
          <w:rFonts w:ascii="Arial" w:cs="Arial" w:eastAsia="Arial" w:hAnsi="Arial"/>
          <w:sz w:val="22"/>
          <w:szCs w:val="22"/>
          <w:color w:val="auto"/>
        </w:rPr>
        <w:t>be unvested and forfeitable upon grant and shall not be transferable or subject in any manner to anticipation, alienation, sale, exchange, assignment, pledge, encumbrance, or garnishment, or in any other manner made subject to a hedge transaction or puts and calls prior to becoming vested in full;</w:t>
      </w:r>
    </w:p>
    <w:p>
      <w:pPr>
        <w:spacing w:after="0" w:line="226" w:lineRule="exact"/>
        <w:rPr>
          <w:rFonts w:ascii="Arial" w:cs="Arial" w:eastAsia="Arial" w:hAnsi="Arial"/>
          <w:sz w:val="22"/>
          <w:szCs w:val="22"/>
          <w:color w:val="auto"/>
        </w:rPr>
      </w:pPr>
    </w:p>
    <w:p>
      <w:pPr>
        <w:jc w:val="both"/>
        <w:ind w:left="660" w:firstLine="645"/>
        <w:spacing w:after="0" w:line="259" w:lineRule="exact"/>
        <w:tabs>
          <w:tab w:leader="none" w:pos="1719" w:val="left"/>
        </w:tabs>
        <w:numPr>
          <w:ilvl w:val="1"/>
          <w:numId w:val="28"/>
        </w:numPr>
        <w:rPr>
          <w:rFonts w:ascii="Arial" w:cs="Arial" w:eastAsia="Arial" w:hAnsi="Arial"/>
          <w:sz w:val="21"/>
          <w:szCs w:val="21"/>
          <w:color w:val="auto"/>
        </w:rPr>
      </w:pPr>
      <w:r>
        <w:rPr>
          <w:rFonts w:ascii="Arial" w:cs="Arial" w:eastAsia="Arial" w:hAnsi="Arial"/>
          <w:sz w:val="21"/>
          <w:szCs w:val="21"/>
          <w:color w:val="auto"/>
        </w:rPr>
        <w:t>subject to the provisions of Section 8(b)(ii), (A) if granted as an Initial Director Grant, become vested in full, no longer subject to risk of forfeiture and transferable (subject to any restrictions imposed by law and any then-applicable stock ownership and retention guidelines for directors of the Company) as of the close of business on the earlier of the Non-Employee Director’s date of death or the first anniversary of the grant date, and (B) if granted as a Periodic Grant, become vested in full, no longer subject to risk of forfeiture and transferable (subject to any restrictions imposed by law and any then-applicable stock ownership and retention guidelines for directors of the Company) as of the close of business on the earliest of the Non</w:t>
      </w:r>
      <w:r>
        <w:rPr>
          <w:rFonts w:ascii="MS PGothic" w:cs="MS PGothic" w:eastAsia="MS PGothic" w:hAnsi="MS PGothic"/>
          <w:sz w:val="21"/>
          <w:szCs w:val="21"/>
          <w:color w:val="auto"/>
        </w:rPr>
        <w:t>‑</w:t>
      </w:r>
      <w:r>
        <w:rPr>
          <w:rFonts w:ascii="Arial" w:cs="Arial" w:eastAsia="Arial" w:hAnsi="Arial"/>
          <w:sz w:val="21"/>
          <w:szCs w:val="21"/>
          <w:color w:val="auto"/>
        </w:rPr>
        <w:t>Employee Director’s date of death, the first anniversary of the grant date, or the day immediately prior to the Annual Meeting that occurs in the next calendar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4"/>
          <w:szCs w:val="14"/>
          <w:color w:val="auto"/>
        </w:rPr>
        <w:t>EAST\42329236.5 1/2/13</w:t>
      </w:r>
    </w:p>
    <w:p>
      <w:pPr>
        <w:sectPr>
          <w:pgSz w:w="11900" w:h="16838" w:orient="portrait"/>
          <w:cols w:equalWidth="0" w:num="1">
            <w:col w:w="11420"/>
          </w:cols>
          <w:pgMar w:left="240" w:top="847"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9"/>
          <w:szCs w:val="19"/>
          <w:color w:val="auto"/>
        </w:rPr>
        <w:t>year following the year in which the grant date occurs, provided that in the case of subclause (A) or (B) of this Section 6(b)</w:t>
      </w:r>
    </w:p>
    <w:p>
      <w:pPr>
        <w:spacing w:after="0" w:line="56"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holder is a member of the Board on the applicable vesting date; and</w:t>
      </w:r>
    </w:p>
    <w:p>
      <w:pPr>
        <w:spacing w:after="0" w:line="242" w:lineRule="exact"/>
        <w:rPr>
          <w:rFonts w:ascii="Arial" w:cs="Arial" w:eastAsia="Arial" w:hAnsi="Arial"/>
          <w:sz w:val="22"/>
          <w:szCs w:val="22"/>
          <w:color w:val="auto"/>
        </w:rPr>
      </w:pPr>
    </w:p>
    <w:p>
      <w:pPr>
        <w:ind w:left="660" w:firstLine="645"/>
        <w:spacing w:after="0" w:line="263" w:lineRule="auto"/>
        <w:tabs>
          <w:tab w:leader="none" w:pos="1926" w:val="left"/>
        </w:tabs>
        <w:numPr>
          <w:ilvl w:val="1"/>
          <w:numId w:val="29"/>
        </w:numPr>
        <w:rPr>
          <w:rFonts w:ascii="Arial" w:cs="Arial" w:eastAsia="Arial" w:hAnsi="Arial"/>
          <w:sz w:val="22"/>
          <w:szCs w:val="22"/>
          <w:color w:val="auto"/>
        </w:rPr>
      </w:pPr>
      <w:r>
        <w:rPr>
          <w:rFonts w:ascii="Arial" w:cs="Arial" w:eastAsia="Arial" w:hAnsi="Arial"/>
          <w:sz w:val="22"/>
          <w:szCs w:val="22"/>
          <w:color w:val="auto"/>
        </w:rPr>
        <w:t>entitle the holder to all the rights of a stockholder, including voting and rights to receive dividends and distributions with respect to such shares, but shall be subject to transfer restrictions until vested.</w:t>
      </w:r>
    </w:p>
    <w:p>
      <w:pPr>
        <w:spacing w:after="0" w:line="215" w:lineRule="exact"/>
        <w:rPr>
          <w:sz w:val="20"/>
          <w:szCs w:val="20"/>
          <w:color w:val="auto"/>
        </w:rPr>
      </w:pPr>
    </w:p>
    <w:p>
      <w:pPr>
        <w:jc w:val="both"/>
        <w:spacing w:after="0" w:line="258" w:lineRule="exact"/>
        <w:rPr>
          <w:sz w:val="20"/>
          <w:szCs w:val="20"/>
          <w:color w:val="auto"/>
        </w:rPr>
      </w:pPr>
      <w:r>
        <w:rPr>
          <w:rFonts w:ascii="Arial" w:cs="Arial" w:eastAsia="Arial" w:hAnsi="Arial"/>
          <w:sz w:val="19"/>
          <w:szCs w:val="19"/>
          <w:color w:val="auto"/>
        </w:rPr>
        <w:t>If the Non</w:t>
      </w:r>
      <w:r>
        <w:rPr>
          <w:rFonts w:ascii="MS PGothic" w:cs="MS PGothic" w:eastAsia="MS PGothic" w:hAnsi="MS PGothic"/>
          <w:sz w:val="19"/>
          <w:szCs w:val="19"/>
          <w:color w:val="auto"/>
        </w:rPr>
        <w:t>‑</w:t>
      </w:r>
      <w:r>
        <w:rPr>
          <w:rFonts w:ascii="Arial" w:cs="Arial" w:eastAsia="Arial" w:hAnsi="Arial"/>
          <w:sz w:val="19"/>
          <w:szCs w:val="19"/>
          <w:color w:val="auto"/>
        </w:rPr>
        <w:t>Employee Director ceases to be a member of the Board for any reason other than death, all unvested Restricted Shares will be forfeited to the Company upon such cessation without any consideration paid therefor. The Non-Employee Director will be reflected on the Company’s books as the owner of record of the shares of Common Stock represented by the Restricted Shares as of the grant date. The Company will retain the shares in uncertificated book entry form with a notation as to their nontransferability, until the Restricted Shares become vested and nonforfeitable. As soon as practicable after vesting of the Restricted Shares, the Company will remove any notation of nontransferability of the shares on its books and, unless requested to deliver a share certificate to the Non-Employee Director, or to deliver shares electronically or in certificate form to the Non-Employee Director’s designated broker on the director’s behalf, for such vested shares, the Company will retain the shares in uncertificated book entry form. All regular cash dividends payable with respect to the Restricted Shares will be paid directly to the Non-Employee Director on the applicable dividend payment dates, notwithstanding that the shares are then unvested.</w:t>
      </w:r>
    </w:p>
    <w:p>
      <w:pPr>
        <w:spacing w:after="0" w:line="246" w:lineRule="exact"/>
        <w:rPr>
          <w:sz w:val="20"/>
          <w:szCs w:val="20"/>
          <w:color w:val="auto"/>
        </w:rPr>
      </w:pPr>
    </w:p>
    <w:p>
      <w:pPr>
        <w:ind w:left="1040" w:hanging="384"/>
        <w:spacing w:after="0"/>
        <w:tabs>
          <w:tab w:leader="none" w:pos="1040" w:val="left"/>
        </w:tabs>
        <w:numPr>
          <w:ilvl w:val="0"/>
          <w:numId w:val="30"/>
        </w:numPr>
        <w:rPr>
          <w:rFonts w:ascii="Arial" w:cs="Arial" w:eastAsia="Arial" w:hAnsi="Arial"/>
          <w:sz w:val="22"/>
          <w:szCs w:val="22"/>
          <w:color w:val="auto"/>
        </w:rPr>
      </w:pPr>
      <w:r>
        <w:rPr>
          <w:rFonts w:ascii="Arial" w:cs="Arial" w:eastAsia="Arial" w:hAnsi="Arial"/>
          <w:sz w:val="22"/>
          <w:szCs w:val="22"/>
          <w:i w:val="1"/>
          <w:iCs w:val="1"/>
          <w:color w:val="auto"/>
        </w:rPr>
        <w:t xml:space="preserve">Terms of Stock Units. </w:t>
      </w:r>
      <w:r>
        <w:rPr>
          <w:rFonts w:ascii="Arial" w:cs="Arial" w:eastAsia="Arial" w:hAnsi="Arial"/>
          <w:sz w:val="22"/>
          <w:szCs w:val="22"/>
          <w:color w:val="auto"/>
        </w:rPr>
        <w:t>All Stock Units granted under this Plan on or after February 12, 2009, shall:</w:t>
      </w:r>
    </w:p>
    <w:p>
      <w:pPr>
        <w:spacing w:after="0" w:line="260" w:lineRule="exact"/>
        <w:rPr>
          <w:rFonts w:ascii="Arial" w:cs="Arial" w:eastAsia="Arial" w:hAnsi="Arial"/>
          <w:sz w:val="22"/>
          <w:szCs w:val="22"/>
          <w:color w:val="auto"/>
        </w:rPr>
      </w:pPr>
    </w:p>
    <w:p>
      <w:pPr>
        <w:ind w:left="1660" w:hanging="355"/>
        <w:spacing w:after="0"/>
        <w:tabs>
          <w:tab w:leader="none" w:pos="1660" w:val="left"/>
        </w:tabs>
        <w:numPr>
          <w:ilvl w:val="1"/>
          <w:numId w:val="30"/>
        </w:numPr>
        <w:rPr>
          <w:rFonts w:ascii="Arial" w:cs="Arial" w:eastAsia="Arial" w:hAnsi="Arial"/>
          <w:sz w:val="19"/>
          <w:szCs w:val="19"/>
          <w:color w:val="auto"/>
        </w:rPr>
      </w:pPr>
      <w:r>
        <w:rPr>
          <w:rFonts w:ascii="Arial" w:cs="Arial" w:eastAsia="Arial" w:hAnsi="Arial"/>
          <w:sz w:val="19"/>
          <w:szCs w:val="19"/>
          <w:color w:val="auto"/>
        </w:rPr>
        <w:t>be unvested and subject to risk of forfeiture when granted and, subject to the provisions of Section 8(b)(ii), shall</w:t>
      </w:r>
    </w:p>
    <w:p>
      <w:pPr>
        <w:spacing w:after="0" w:line="56" w:lineRule="exact"/>
        <w:rPr>
          <w:rFonts w:ascii="Arial" w:cs="Arial" w:eastAsia="Arial" w:hAnsi="Arial"/>
          <w:sz w:val="19"/>
          <w:szCs w:val="19"/>
          <w:color w:val="auto"/>
        </w:rPr>
      </w:pPr>
    </w:p>
    <w:p>
      <w:pPr>
        <w:jc w:val="both"/>
        <w:ind w:left="660"/>
        <w:spacing w:after="0" w:line="290" w:lineRule="auto"/>
        <w:rPr>
          <w:rFonts w:ascii="Arial" w:cs="Arial" w:eastAsia="Arial" w:hAnsi="Arial"/>
          <w:sz w:val="19"/>
          <w:szCs w:val="19"/>
          <w:color w:val="auto"/>
        </w:rPr>
      </w:pPr>
      <w:r>
        <w:rPr>
          <w:rFonts w:ascii="Arial" w:cs="Arial" w:eastAsia="Arial" w:hAnsi="Arial"/>
          <w:sz w:val="19"/>
          <w:szCs w:val="19"/>
          <w:color w:val="auto"/>
        </w:rPr>
        <w:t>(A) if granted as an Initial Director Grant, become vested in full and no longer subject to risk of forfeiture as of the close of business on the earlier of the Non-Employee Director’s date of death or the first anniversary of the grant date, and (B) if granted as a Periodic Grant, become vested in full as of the close of business on the earliest of the Non-Employee Director’s date of death, the first anniversary of the grant date, or the day immediately prior to the Annual Meeting that occurs in the next calendar year following the year in which the grant date occurs, provided that in the case of subclause (A) or (B) of this Section 6(c)(i) the holder is a member of the Board on the applicable vesting date;</w:t>
      </w:r>
    </w:p>
    <w:p>
      <w:pPr>
        <w:spacing w:after="0" w:line="194" w:lineRule="exact"/>
        <w:rPr>
          <w:rFonts w:ascii="Arial" w:cs="Arial" w:eastAsia="Arial" w:hAnsi="Arial"/>
          <w:sz w:val="19"/>
          <w:szCs w:val="19"/>
          <w:color w:val="auto"/>
        </w:rPr>
      </w:pPr>
    </w:p>
    <w:p>
      <w:pPr>
        <w:jc w:val="both"/>
        <w:ind w:left="660" w:firstLine="645"/>
        <w:spacing w:after="0" w:line="253" w:lineRule="auto"/>
        <w:tabs>
          <w:tab w:leader="none" w:pos="1719" w:val="left"/>
        </w:tabs>
        <w:numPr>
          <w:ilvl w:val="1"/>
          <w:numId w:val="30"/>
        </w:numPr>
        <w:rPr>
          <w:rFonts w:ascii="Arial" w:cs="Arial" w:eastAsia="Arial" w:hAnsi="Arial"/>
          <w:sz w:val="22"/>
          <w:szCs w:val="22"/>
          <w:color w:val="auto"/>
        </w:rPr>
      </w:pPr>
      <w:r>
        <w:rPr>
          <w:rFonts w:ascii="Arial" w:cs="Arial" w:eastAsia="Arial" w:hAnsi="Arial"/>
          <w:sz w:val="22"/>
          <w:szCs w:val="22"/>
          <w:color w:val="auto"/>
        </w:rPr>
        <w:t>at all times be nontransferable and not subject in any manner to anticipation, alienation, sale, exchange, transfer, assignment, pledge, encumbrance, or garnishment, or in any other manner made subject to a hedge transaction or puts and calls; and</w:t>
      </w:r>
    </w:p>
    <w:p>
      <w:pPr>
        <w:spacing w:after="0" w:line="226" w:lineRule="exact"/>
        <w:rPr>
          <w:rFonts w:ascii="Arial" w:cs="Arial" w:eastAsia="Arial" w:hAnsi="Arial"/>
          <w:sz w:val="22"/>
          <w:szCs w:val="22"/>
          <w:color w:val="auto"/>
        </w:rPr>
      </w:pPr>
    </w:p>
    <w:p>
      <w:pPr>
        <w:jc w:val="both"/>
        <w:ind w:left="660" w:firstLine="645"/>
        <w:spacing w:after="0" w:line="261" w:lineRule="exact"/>
        <w:tabs>
          <w:tab w:leader="none" w:pos="1842" w:val="left"/>
        </w:tabs>
        <w:numPr>
          <w:ilvl w:val="1"/>
          <w:numId w:val="30"/>
        </w:numPr>
        <w:rPr>
          <w:rFonts w:ascii="Arial" w:cs="Arial" w:eastAsia="Arial" w:hAnsi="Arial"/>
          <w:sz w:val="22"/>
          <w:szCs w:val="22"/>
          <w:color w:val="auto"/>
        </w:rPr>
      </w:pPr>
      <w:r>
        <w:rPr>
          <w:rFonts w:ascii="Arial" w:cs="Arial" w:eastAsia="Arial" w:hAnsi="Arial"/>
          <w:sz w:val="22"/>
          <w:szCs w:val="22"/>
          <w:color w:val="auto"/>
        </w:rPr>
        <w:t>be settled in shares of Common Stock, to the extent vested, upon the Non</w:t>
      </w:r>
      <w:r>
        <w:rPr>
          <w:rFonts w:ascii="MS PGothic" w:cs="MS PGothic" w:eastAsia="MS PGothic" w:hAnsi="MS PGothic"/>
          <w:sz w:val="22"/>
          <w:szCs w:val="22"/>
          <w:color w:val="auto"/>
        </w:rPr>
        <w:t>‑</w:t>
      </w:r>
      <w:r>
        <w:rPr>
          <w:rFonts w:ascii="Arial" w:cs="Arial" w:eastAsia="Arial" w:hAnsi="Arial"/>
          <w:sz w:val="22"/>
          <w:szCs w:val="22"/>
          <w:color w:val="auto"/>
        </w:rPr>
        <w:t>Employee Director’s Termination Date, unless the Non-Employee director is a “specified employee” (as defined under Code section 409A and determined in good faith by the Plan Administrator). If a Non-Employee Director is a “specified employee” on the Termination Date, the restricted stock units to be settled on account of the occurrence of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4"/>
          <w:szCs w:val="14"/>
          <w:color w:val="auto"/>
        </w:rPr>
        <w:t>EAST\42329236.5 1/2/13</w:t>
      </w:r>
    </w:p>
    <w:p>
      <w:pPr>
        <w:sectPr>
          <w:pgSz w:w="11900" w:h="16838" w:orient="portrait"/>
          <w:cols w:equalWidth="0" w:num="1">
            <w:col w:w="11420"/>
          </w:cols>
          <w:pgMar w:left="240" w:top="591" w:right="239" w:bottom="1440" w:gutter="0" w:footer="0" w:header="0"/>
        </w:sectPr>
      </w:pPr>
    </w:p>
    <w:bookmarkStart w:id="65" w:name="page66"/>
    <w:bookmarkEnd w:id="65"/>
    <w:p>
      <w:pPr>
        <w:jc w:val="both"/>
        <w:ind w:left="660"/>
        <w:spacing w:after="0" w:line="253" w:lineRule="auto"/>
        <w:rPr>
          <w:sz w:val="20"/>
          <w:szCs w:val="20"/>
          <w:color w:val="auto"/>
        </w:rPr>
      </w:pPr>
      <w:r>
        <w:rPr>
          <w:rFonts w:ascii="Arial" w:cs="Arial" w:eastAsia="Arial" w:hAnsi="Arial"/>
          <w:sz w:val="22"/>
          <w:szCs w:val="22"/>
          <w:color w:val="auto"/>
        </w:rPr>
        <w:t>that Termination Date will be settled within 15 days after the end of the six-month period beginning on that Termination Date or, if earlier, within 15 days after the appointment of the personal representative or executor of the estate after the Non-Employee Director’s death.</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If the Non-Employee Director ceases to be a member of the Board for any reason other than death, all unvested Stock Units will be forfeited upon such cessation without any consideration paid therefor. Upon settlement, the Company shall issue to the unit holder, or the unit holder’s estate as applicable, a number of shares of Common Stock equal to the number of whole, vested Stock Units then credited to the unit holder’s Account; any fractional Stock Units will be settled in cash. The grant of a Stock Unit shall not entitle the unit holder to voting or other rights as a stockholder until shares of Common Stock are issued to the unit holder upon settlement. If the Company declares a cash dividend payable to the holders of its Common Stock, then, on the dividend payment date, each unit holder who has Stock Units credited to an Account on the record date for such dividend will be credited with dividend equivalents in the form of additional, vested Stock Units. The number of Stock Units to be credited shall be equal to the quotient determined by dividing (a) by (b), where (a) is the product of (i) the cash dividend payable per share of Common Stock, multiplied by (ii) the number of whole Stock Units credited to the unit holder’s Account as of the record date, and (b) is the Fair Market Value of a share of Common Stock on the dividend payment date. The Plan Administrator shall determine, in its discretion, whether to credit fractional units to the Account, eliminate fractional units, or pay out fractional units in cash to the unit holder on the dividend payment date. If the unit holder’s Stock Units have been settled after the record date but prior to the dividend payment date, any Stock Units that would be credited pursuant to the preceding sentence shall be settled on or as soon as practicable after the dividend payment date.</w:t>
      </w:r>
    </w:p>
    <w:p>
      <w:pPr>
        <w:spacing w:after="0" w:line="200" w:lineRule="exact"/>
        <w:rPr>
          <w:sz w:val="20"/>
          <w:szCs w:val="20"/>
          <w:color w:val="auto"/>
        </w:rPr>
      </w:pPr>
    </w:p>
    <w:p>
      <w:pPr>
        <w:spacing w:after="0" w:line="260" w:lineRule="exact"/>
        <w:rPr>
          <w:sz w:val="20"/>
          <w:szCs w:val="20"/>
          <w:color w:val="auto"/>
        </w:rPr>
      </w:pPr>
    </w:p>
    <w:p>
      <w:pPr>
        <w:ind w:firstLine="656"/>
        <w:spacing w:after="0" w:line="263" w:lineRule="auto"/>
        <w:tabs>
          <w:tab w:leader="none" w:pos="1058" w:val="left"/>
        </w:tabs>
        <w:numPr>
          <w:ilvl w:val="1"/>
          <w:numId w:val="31"/>
        </w:numPr>
        <w:rPr>
          <w:rFonts w:ascii="Arial" w:cs="Arial" w:eastAsia="Arial" w:hAnsi="Arial"/>
          <w:sz w:val="22"/>
          <w:szCs w:val="22"/>
          <w:color w:val="auto"/>
        </w:rPr>
      </w:pPr>
      <w:r>
        <w:rPr>
          <w:rFonts w:ascii="Arial" w:cs="Arial" w:eastAsia="Arial" w:hAnsi="Arial"/>
          <w:sz w:val="22"/>
          <w:szCs w:val="22"/>
          <w:i w:val="1"/>
          <w:iCs w:val="1"/>
          <w:color w:val="auto"/>
        </w:rPr>
        <w:t>Award Agreement</w:t>
      </w:r>
      <w:r>
        <w:rPr>
          <w:rFonts w:ascii="Arial" w:cs="Arial" w:eastAsia="Arial" w:hAnsi="Arial"/>
          <w:sz w:val="22"/>
          <w:szCs w:val="22"/>
          <w:color w:val="auto"/>
        </w:rPr>
        <w:t>. Each Award granted under this Plan shall be evidenced by an agreement, in a form approved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Plan Administrator, which shall be subject to the terms and conditions of the Plan.</w:t>
      </w:r>
    </w:p>
    <w:p>
      <w:pPr>
        <w:spacing w:after="0" w:line="209" w:lineRule="exact"/>
        <w:rPr>
          <w:rFonts w:ascii="Arial" w:cs="Arial" w:eastAsia="Arial" w:hAnsi="Arial"/>
          <w:sz w:val="22"/>
          <w:szCs w:val="22"/>
          <w:color w:val="auto"/>
        </w:rPr>
      </w:pPr>
    </w:p>
    <w:p>
      <w:pPr>
        <w:ind w:left="400" w:hanging="392"/>
        <w:spacing w:after="0"/>
        <w:tabs>
          <w:tab w:leader="none" w:pos="40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Election Procedures</w:t>
      </w:r>
    </w:p>
    <w:p>
      <w:pPr>
        <w:spacing w:after="0" w:line="266" w:lineRule="exact"/>
        <w:rPr>
          <w:rFonts w:ascii="Arial" w:cs="Arial" w:eastAsia="Arial" w:hAnsi="Arial"/>
          <w:sz w:val="22"/>
          <w:szCs w:val="22"/>
          <w:b w:val="1"/>
          <w:bCs w:val="1"/>
          <w:color w:val="auto"/>
        </w:rPr>
      </w:pPr>
    </w:p>
    <w:p>
      <w:pPr>
        <w:ind w:firstLine="656"/>
        <w:spacing w:after="0" w:line="287" w:lineRule="auto"/>
        <w:tabs>
          <w:tab w:leader="none" w:pos="1100" w:val="left"/>
        </w:tabs>
        <w:numPr>
          <w:ilvl w:val="1"/>
          <w:numId w:val="32"/>
        </w:numPr>
        <w:rPr>
          <w:rFonts w:ascii="Arial" w:cs="Arial" w:eastAsia="Arial" w:hAnsi="Arial"/>
          <w:sz w:val="21"/>
          <w:szCs w:val="21"/>
          <w:color w:val="auto"/>
        </w:rPr>
      </w:pPr>
      <w:r>
        <w:rPr>
          <w:rFonts w:ascii="Arial" w:cs="Arial" w:eastAsia="Arial" w:hAnsi="Arial"/>
          <w:sz w:val="21"/>
          <w:szCs w:val="21"/>
          <w:i w:val="1"/>
          <w:iCs w:val="1"/>
          <w:color w:val="auto"/>
        </w:rPr>
        <w:t xml:space="preserve">Election Timing Rules. </w:t>
      </w:r>
      <w:r>
        <w:rPr>
          <w:rFonts w:ascii="Arial" w:cs="Arial" w:eastAsia="Arial" w:hAnsi="Arial"/>
          <w:sz w:val="21"/>
          <w:szCs w:val="21"/>
          <w:color w:val="auto"/>
        </w:rPr>
        <w:t>Each Non-Employee Director shall elect the form in which he or she will be granted Awards</w:t>
      </w:r>
      <w:r>
        <w:rPr>
          <w:rFonts w:ascii="Arial" w:cs="Arial" w:eastAsia="Arial" w:hAnsi="Arial"/>
          <w:sz w:val="21"/>
          <w:szCs w:val="21"/>
          <w:i w:val="1"/>
          <w:iCs w:val="1"/>
          <w:color w:val="auto"/>
        </w:rPr>
        <w:t xml:space="preserve"> </w:t>
      </w:r>
      <w:r>
        <w:rPr>
          <w:rFonts w:ascii="Arial" w:cs="Arial" w:eastAsia="Arial" w:hAnsi="Arial"/>
          <w:sz w:val="21"/>
          <w:szCs w:val="21"/>
          <w:color w:val="auto"/>
        </w:rPr>
        <w:t>under the Plan by filing with the treasurer of the Company an Election Form in accordance with the following rules:</w:t>
      </w:r>
    </w:p>
    <w:p>
      <w:pPr>
        <w:spacing w:after="0" w:line="192" w:lineRule="exact"/>
        <w:rPr>
          <w:rFonts w:ascii="Arial" w:cs="Arial" w:eastAsia="Arial" w:hAnsi="Arial"/>
          <w:sz w:val="21"/>
          <w:szCs w:val="21"/>
          <w:color w:val="auto"/>
        </w:rPr>
      </w:pPr>
    </w:p>
    <w:p>
      <w:pPr>
        <w:jc w:val="both"/>
        <w:ind w:left="660" w:firstLine="645"/>
        <w:spacing w:after="0" w:line="253" w:lineRule="auto"/>
        <w:tabs>
          <w:tab w:leader="none" w:pos="1751" w:val="left"/>
        </w:tabs>
        <w:numPr>
          <w:ilvl w:val="2"/>
          <w:numId w:val="32"/>
        </w:numPr>
        <w:rPr>
          <w:rFonts w:ascii="Arial" w:cs="Arial" w:eastAsia="Arial" w:hAnsi="Arial"/>
          <w:sz w:val="22"/>
          <w:szCs w:val="22"/>
          <w:color w:val="auto"/>
        </w:rPr>
      </w:pPr>
      <w:r>
        <w:rPr>
          <w:rFonts w:ascii="Arial" w:cs="Arial" w:eastAsia="Arial" w:hAnsi="Arial"/>
          <w:sz w:val="22"/>
          <w:szCs w:val="22"/>
          <w:i w:val="1"/>
          <w:iCs w:val="1"/>
          <w:color w:val="auto"/>
        </w:rPr>
        <w:t>Initial Plan Elections</w:t>
      </w:r>
      <w:r>
        <w:rPr>
          <w:rFonts w:ascii="Arial" w:cs="Arial" w:eastAsia="Arial" w:hAnsi="Arial"/>
          <w:sz w:val="22"/>
          <w:szCs w:val="22"/>
          <w:color w:val="auto"/>
        </w:rPr>
        <w:t>. For the Initial Plan Year, Incumbent Directors must file an Election Form prior to 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within 14 days after the Effective Date. Such elections shall apply to Awards that are scheduled to be granted, under the terms of </w:t>
      </w:r>
      <w:r>
        <w:rPr>
          <w:rFonts w:ascii="Arial" w:cs="Arial" w:eastAsia="Arial" w:hAnsi="Arial"/>
          <w:sz w:val="22"/>
          <w:szCs w:val="22"/>
          <w:color w:val="0000FF"/>
        </w:rPr>
        <w:t>Section 5,</w:t>
      </w:r>
      <w:r>
        <w:rPr>
          <w:rFonts w:ascii="Arial" w:cs="Arial" w:eastAsia="Arial" w:hAnsi="Arial"/>
          <w:sz w:val="22"/>
          <w:szCs w:val="22"/>
          <w:color w:val="auto"/>
        </w:rPr>
        <w:t xml:space="preserve"> after the written notice is received by the treasurer of the Company.</w:t>
      </w:r>
    </w:p>
    <w:p>
      <w:pPr>
        <w:spacing w:after="0" w:line="226" w:lineRule="exact"/>
        <w:rPr>
          <w:rFonts w:ascii="Arial" w:cs="Arial" w:eastAsia="Arial" w:hAnsi="Arial"/>
          <w:sz w:val="22"/>
          <w:szCs w:val="22"/>
          <w:color w:val="auto"/>
        </w:rPr>
      </w:pPr>
    </w:p>
    <w:p>
      <w:pPr>
        <w:jc w:val="both"/>
        <w:ind w:left="660" w:firstLine="645"/>
        <w:spacing w:after="0" w:line="253" w:lineRule="auto"/>
        <w:tabs>
          <w:tab w:leader="none" w:pos="1797" w:val="left"/>
        </w:tabs>
        <w:numPr>
          <w:ilvl w:val="2"/>
          <w:numId w:val="32"/>
        </w:numPr>
        <w:rPr>
          <w:rFonts w:ascii="Arial" w:cs="Arial" w:eastAsia="Arial" w:hAnsi="Arial"/>
          <w:sz w:val="22"/>
          <w:szCs w:val="22"/>
          <w:color w:val="auto"/>
        </w:rPr>
      </w:pPr>
      <w:r>
        <w:rPr>
          <w:rFonts w:ascii="Arial" w:cs="Arial" w:eastAsia="Arial" w:hAnsi="Arial"/>
          <w:sz w:val="22"/>
          <w:szCs w:val="22"/>
          <w:i w:val="1"/>
          <w:iCs w:val="1"/>
          <w:color w:val="auto"/>
        </w:rPr>
        <w:t>Elections by New Directors</w:t>
      </w:r>
      <w:r>
        <w:rPr>
          <w:rFonts w:ascii="Arial" w:cs="Arial" w:eastAsia="Arial" w:hAnsi="Arial"/>
          <w:sz w:val="22"/>
          <w:szCs w:val="22"/>
          <w:color w:val="auto"/>
        </w:rPr>
        <w:t>. Each New Director must file an Election Form prior to or within 14 days after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becoming a Non-Employee Director. Such election shall apply to Awards that are scheduled to be granted, under the terms of </w:t>
      </w:r>
      <w:r>
        <w:rPr>
          <w:rFonts w:ascii="Arial" w:cs="Arial" w:eastAsia="Arial" w:hAnsi="Arial"/>
          <w:sz w:val="22"/>
          <w:szCs w:val="22"/>
          <w:color w:val="0000FF"/>
        </w:rPr>
        <w:t>Section 5,</w:t>
      </w:r>
      <w:r>
        <w:rPr>
          <w:rFonts w:ascii="Arial" w:cs="Arial" w:eastAsia="Arial" w:hAnsi="Arial"/>
          <w:sz w:val="22"/>
          <w:szCs w:val="22"/>
          <w:color w:val="auto"/>
        </w:rPr>
        <w:t xml:space="preserve"> after the written notice is received by the treasurer of the Company.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4"/>
          <w:szCs w:val="14"/>
          <w:color w:val="auto"/>
        </w:rPr>
        <w:t>EAST\42329236.5 1/2/13</w:t>
      </w:r>
    </w:p>
    <w:p>
      <w:pPr>
        <w:sectPr>
          <w:pgSz w:w="11900" w:h="16838" w:orient="portrait"/>
          <w:cols w:equalWidth="0" w:num="1">
            <w:col w:w="11420"/>
          </w:cols>
          <w:pgMar w:left="240" w:top="591" w:right="239" w:bottom="1440" w:gutter="0" w:footer="0" w:header="0"/>
        </w:sectPr>
      </w:pPr>
    </w:p>
    <w:bookmarkStart w:id="66" w:name="page67"/>
    <w:bookmarkEnd w:id="66"/>
    <w:p>
      <w:pPr>
        <w:jc w:val="both"/>
        <w:ind w:left="660" w:firstLine="645"/>
        <w:spacing w:after="0" w:line="259" w:lineRule="auto"/>
        <w:tabs>
          <w:tab w:leader="none" w:pos="1776" w:val="left"/>
        </w:tabs>
        <w:numPr>
          <w:ilvl w:val="2"/>
          <w:numId w:val="33"/>
        </w:numPr>
        <w:rPr>
          <w:rFonts w:ascii="Arial" w:cs="Arial" w:eastAsia="Arial" w:hAnsi="Arial"/>
          <w:sz w:val="20"/>
          <w:szCs w:val="20"/>
          <w:color w:val="auto"/>
        </w:rPr>
      </w:pPr>
      <w:r>
        <w:rPr>
          <w:rFonts w:ascii="Arial" w:cs="Arial" w:eastAsia="Arial" w:hAnsi="Arial"/>
          <w:sz w:val="20"/>
          <w:szCs w:val="20"/>
          <w:i w:val="1"/>
          <w:iCs w:val="1"/>
          <w:color w:val="auto"/>
        </w:rPr>
        <w:t xml:space="preserve">Modification of Elections. </w:t>
      </w:r>
      <w:r>
        <w:rPr>
          <w:rFonts w:ascii="Arial" w:cs="Arial" w:eastAsia="Arial" w:hAnsi="Arial"/>
          <w:sz w:val="20"/>
          <w:szCs w:val="20"/>
          <w:color w:val="auto"/>
        </w:rPr>
        <w:t>Election Forms will remain in effect from year to year unless modified prospectively</w:t>
      </w:r>
      <w:r>
        <w:rPr>
          <w:rFonts w:ascii="Arial" w:cs="Arial" w:eastAsia="Arial" w:hAnsi="Arial"/>
          <w:sz w:val="20"/>
          <w:szCs w:val="20"/>
          <w:i w:val="1"/>
          <w:iCs w:val="1"/>
          <w:color w:val="auto"/>
        </w:rPr>
        <w:t xml:space="preserve"> </w:t>
      </w:r>
      <w:r>
        <w:rPr>
          <w:rFonts w:ascii="Arial" w:cs="Arial" w:eastAsia="Arial" w:hAnsi="Arial"/>
          <w:sz w:val="20"/>
          <w:szCs w:val="20"/>
          <w:color w:val="auto"/>
        </w:rPr>
        <w:t>by the Non-Employee Director for a subsequent Plan Year. A Non-Employee Director may modify an existing Election Form for any subsequent Plan Year by filing a new Election Form with the treasurer of the Company by 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year preceding the Plan Year for which the modification is to become effective. A Non-Employee Director may not modify an Election Form with respect to Awards to be granted during a Plan Year after the Plan Year has commenced.</w:t>
      </w:r>
    </w:p>
    <w:p>
      <w:pPr>
        <w:spacing w:after="0" w:line="224" w:lineRule="exact"/>
        <w:rPr>
          <w:rFonts w:ascii="Arial" w:cs="Arial" w:eastAsia="Arial" w:hAnsi="Arial"/>
          <w:sz w:val="20"/>
          <w:szCs w:val="20"/>
          <w:color w:val="auto"/>
        </w:rPr>
      </w:pPr>
    </w:p>
    <w:p>
      <w:pPr>
        <w:ind w:firstLine="656"/>
        <w:spacing w:after="0" w:line="263" w:lineRule="auto"/>
        <w:tabs>
          <w:tab w:leader="none" w:pos="1098" w:val="left"/>
        </w:tabs>
        <w:numPr>
          <w:ilvl w:val="1"/>
          <w:numId w:val="34"/>
        </w:numPr>
        <w:rPr>
          <w:rFonts w:ascii="Arial" w:cs="Arial" w:eastAsia="Arial" w:hAnsi="Arial"/>
          <w:sz w:val="22"/>
          <w:szCs w:val="22"/>
          <w:color w:val="auto"/>
        </w:rPr>
      </w:pPr>
      <w:r>
        <w:rPr>
          <w:rFonts w:ascii="Arial" w:cs="Arial" w:eastAsia="Arial" w:hAnsi="Arial"/>
          <w:sz w:val="22"/>
          <w:szCs w:val="22"/>
          <w:i w:val="1"/>
          <w:iCs w:val="1"/>
          <w:color w:val="auto"/>
        </w:rPr>
        <w:t>Default Election</w:t>
      </w:r>
      <w:r>
        <w:rPr>
          <w:rFonts w:ascii="Arial" w:cs="Arial" w:eastAsia="Arial" w:hAnsi="Arial"/>
          <w:sz w:val="22"/>
          <w:szCs w:val="22"/>
          <w:color w:val="auto"/>
        </w:rPr>
        <w:t>. If a Non-Employee Director does not have a valid Election Form in effect at the relevant time, the</w:t>
      </w:r>
      <w:r>
        <w:rPr>
          <w:rFonts w:ascii="Arial" w:cs="Arial" w:eastAsia="Arial" w:hAnsi="Arial"/>
          <w:sz w:val="22"/>
          <w:szCs w:val="22"/>
          <w:i w:val="1"/>
          <w:iCs w:val="1"/>
          <w:color w:val="auto"/>
        </w:rPr>
        <w:t xml:space="preserve"> </w:t>
      </w:r>
      <w:r>
        <w:rPr>
          <w:rFonts w:ascii="Arial" w:cs="Arial" w:eastAsia="Arial" w:hAnsi="Arial"/>
          <w:sz w:val="22"/>
          <w:szCs w:val="22"/>
          <w:color w:val="auto"/>
        </w:rPr>
        <w:t>Non-Employee Director’s Award shall be made in the form of Stock Units.</w:t>
      </w:r>
    </w:p>
    <w:p>
      <w:pPr>
        <w:spacing w:after="0" w:line="209" w:lineRule="exact"/>
        <w:rPr>
          <w:rFonts w:ascii="Arial" w:cs="Arial" w:eastAsia="Arial" w:hAnsi="Arial"/>
          <w:sz w:val="22"/>
          <w:szCs w:val="22"/>
          <w:color w:val="auto"/>
        </w:rPr>
      </w:pPr>
    </w:p>
    <w:p>
      <w:pPr>
        <w:ind w:left="400" w:hanging="392"/>
        <w:spacing w:after="0"/>
        <w:tabs>
          <w:tab w:leader="none" w:pos="40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 for Corporate Transactions and Other Events</w:t>
      </w:r>
    </w:p>
    <w:p>
      <w:pPr>
        <w:spacing w:after="0" w:line="225" w:lineRule="exact"/>
        <w:rPr>
          <w:rFonts w:ascii="Arial" w:cs="Arial" w:eastAsia="Arial" w:hAnsi="Arial"/>
          <w:sz w:val="22"/>
          <w:szCs w:val="22"/>
          <w:b w:val="1"/>
          <w:bCs w:val="1"/>
          <w:color w:val="auto"/>
        </w:rPr>
      </w:pPr>
    </w:p>
    <w:p>
      <w:pPr>
        <w:jc w:val="both"/>
        <w:ind w:firstLine="656"/>
        <w:spacing w:after="0" w:line="288" w:lineRule="auto"/>
        <w:tabs>
          <w:tab w:leader="none" w:pos="1046" w:val="left"/>
        </w:tabs>
        <w:numPr>
          <w:ilvl w:val="1"/>
          <w:numId w:val="35"/>
        </w:numPr>
        <w:rPr>
          <w:rFonts w:ascii="Arial" w:cs="Arial" w:eastAsia="Arial" w:hAnsi="Arial"/>
          <w:sz w:val="19"/>
          <w:szCs w:val="19"/>
          <w:color w:val="auto"/>
        </w:rPr>
      </w:pPr>
      <w:r>
        <w:rPr>
          <w:rFonts w:ascii="Arial" w:cs="Arial" w:eastAsia="Arial" w:hAnsi="Arial"/>
          <w:sz w:val="19"/>
          <w:szCs w:val="19"/>
          <w:i w:val="1"/>
          <w:iCs w:val="1"/>
          <w:color w:val="auto"/>
        </w:rPr>
        <w:t>Capital Adjustments</w:t>
      </w:r>
      <w:r>
        <w:rPr>
          <w:rFonts w:ascii="Arial" w:cs="Arial" w:eastAsia="Arial" w:hAnsi="Arial"/>
          <w:sz w:val="19"/>
          <w:szCs w:val="19"/>
          <w:color w:val="auto"/>
        </w:rPr>
        <w:t>. The Plan Share Reserve, the number of shares covered by each outstanding Award or reflected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Accounts, the exercise price per share of each outstanding Option, and the number of Awards to be granted pursuant to </w:t>
      </w:r>
      <w:r>
        <w:rPr>
          <w:rFonts w:ascii="Arial" w:cs="Arial" w:eastAsia="Arial" w:hAnsi="Arial"/>
          <w:sz w:val="19"/>
          <w:szCs w:val="19"/>
          <w:color w:val="0000FF"/>
        </w:rPr>
        <w:t>Section</w:t>
      </w:r>
      <w:r>
        <w:rPr>
          <w:rFonts w:ascii="Arial" w:cs="Arial" w:eastAsia="Arial" w:hAnsi="Arial"/>
          <w:sz w:val="19"/>
          <w:szCs w:val="19"/>
          <w:color w:val="auto"/>
        </w:rPr>
        <w:t xml:space="preserve"> </w:t>
      </w:r>
      <w:r>
        <w:rPr>
          <w:rFonts w:ascii="Arial" w:cs="Arial" w:eastAsia="Arial" w:hAnsi="Arial"/>
          <w:sz w:val="19"/>
          <w:szCs w:val="19"/>
          <w:color w:val="0000FF"/>
        </w:rPr>
        <w:t xml:space="preserve">5 </w:t>
      </w:r>
      <w:r>
        <w:rPr>
          <w:rFonts w:ascii="Arial" w:cs="Arial" w:eastAsia="Arial" w:hAnsi="Arial"/>
          <w:sz w:val="19"/>
          <w:szCs w:val="19"/>
          <w:color w:val="000000"/>
        </w:rPr>
        <w:t>shall all be proportionately adjusted automatically for any increase or decrease in the number of issued shares of Common Stock</w:t>
      </w:r>
      <w:r>
        <w:rPr>
          <w:rFonts w:ascii="Arial" w:cs="Arial" w:eastAsia="Arial" w:hAnsi="Arial"/>
          <w:sz w:val="19"/>
          <w:szCs w:val="19"/>
          <w:color w:val="0000FF"/>
        </w:rPr>
        <w:t xml:space="preserve"> </w:t>
      </w:r>
      <w:r>
        <w:rPr>
          <w:rFonts w:ascii="Arial" w:cs="Arial" w:eastAsia="Arial" w:hAnsi="Arial"/>
          <w:sz w:val="19"/>
          <w:szCs w:val="19"/>
          <w:color w:val="000000"/>
        </w:rPr>
        <w:t xml:space="preserve">of the Company resulting from a subdivision or consolidation of shares or other capital adjustment, or the payment of a stock dividend or other increase or decrease in such shares, effected without receipt of consideration by the Company. In the case of other changes in the Company’s capitalization, adjustments shall be made to reflect the transaction as determined by the Plan Administrator to be necessary or appropriate. The Plan Administrator shall determine the treatment of fractional shares and fractional cents that arise with respect to outstanding Awards as a result of the adjustments to be made under this </w:t>
      </w:r>
      <w:r>
        <w:rPr>
          <w:rFonts w:ascii="Arial" w:cs="Arial" w:eastAsia="Arial" w:hAnsi="Arial"/>
          <w:sz w:val="19"/>
          <w:szCs w:val="19"/>
          <w:color w:val="0000FF"/>
        </w:rPr>
        <w:t>Section 8(a)</w:t>
      </w:r>
      <w:r>
        <w:rPr>
          <w:rFonts w:ascii="Arial" w:cs="Arial" w:eastAsia="Arial" w:hAnsi="Arial"/>
          <w:sz w:val="19"/>
          <w:szCs w:val="19"/>
          <w:color w:val="000000"/>
        </w:rPr>
        <w:t xml:space="preserve">, which treatment may include the cancellation of fractional shares without payment therefor. The Plan Administrator will make the adjustments and determinations under this </w:t>
      </w:r>
      <w:r>
        <w:rPr>
          <w:rFonts w:ascii="Arial" w:cs="Arial" w:eastAsia="Arial" w:hAnsi="Arial"/>
          <w:sz w:val="19"/>
          <w:szCs w:val="19"/>
          <w:color w:val="0000FF"/>
        </w:rPr>
        <w:t>Section 8(a),</w:t>
      </w:r>
      <w:r>
        <w:rPr>
          <w:rFonts w:ascii="Arial" w:cs="Arial" w:eastAsia="Arial" w:hAnsi="Arial"/>
          <w:sz w:val="19"/>
          <w:szCs w:val="19"/>
          <w:color w:val="000000"/>
        </w:rPr>
        <w:t xml:space="preserve"> and its determination will be final, binding and conclusive.</w:t>
      </w:r>
    </w:p>
    <w:p>
      <w:pPr>
        <w:spacing w:after="0" w:line="160" w:lineRule="exact"/>
        <w:rPr>
          <w:rFonts w:ascii="Arial" w:cs="Arial" w:eastAsia="Arial" w:hAnsi="Arial"/>
          <w:sz w:val="19"/>
          <w:szCs w:val="19"/>
          <w:color w:val="auto"/>
        </w:rPr>
      </w:pPr>
    </w:p>
    <w:p>
      <w:pPr>
        <w:ind w:left="1060" w:hanging="404"/>
        <w:spacing w:after="0"/>
        <w:tabs>
          <w:tab w:leader="none" w:pos="1060" w:val="left"/>
        </w:tabs>
        <w:numPr>
          <w:ilvl w:val="1"/>
          <w:numId w:val="35"/>
        </w:numPr>
        <w:rPr>
          <w:rFonts w:ascii="Arial" w:cs="Arial" w:eastAsia="Arial" w:hAnsi="Arial"/>
          <w:sz w:val="22"/>
          <w:szCs w:val="22"/>
          <w:color w:val="auto"/>
        </w:rPr>
      </w:pPr>
      <w:r>
        <w:rPr>
          <w:rFonts w:ascii="Arial" w:cs="Arial" w:eastAsia="Arial" w:hAnsi="Arial"/>
          <w:sz w:val="22"/>
          <w:szCs w:val="22"/>
          <w:i w:val="1"/>
          <w:iCs w:val="1"/>
          <w:color w:val="auto"/>
        </w:rPr>
        <w:t>Merger, Consolidation, or Other Events.</w:t>
      </w:r>
    </w:p>
    <w:p>
      <w:pPr>
        <w:spacing w:after="0" w:line="260" w:lineRule="exact"/>
        <w:rPr>
          <w:rFonts w:ascii="Arial" w:cs="Arial" w:eastAsia="Arial" w:hAnsi="Arial"/>
          <w:sz w:val="22"/>
          <w:szCs w:val="22"/>
          <w:color w:val="auto"/>
        </w:rPr>
      </w:pPr>
    </w:p>
    <w:p>
      <w:pPr>
        <w:jc w:val="both"/>
        <w:ind w:left="660" w:firstLine="645"/>
        <w:spacing w:after="0" w:line="246" w:lineRule="auto"/>
        <w:tabs>
          <w:tab w:leader="none" w:pos="1737" w:val="left"/>
        </w:tabs>
        <w:numPr>
          <w:ilvl w:val="2"/>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Non-Change in Control Transactions. </w:t>
      </w:r>
      <w:r>
        <w:rPr>
          <w:rFonts w:ascii="Arial" w:cs="Arial" w:eastAsia="Arial" w:hAnsi="Arial"/>
          <w:sz w:val="22"/>
          <w:szCs w:val="22"/>
          <w:color w:val="auto"/>
        </w:rPr>
        <w:t>Except with respect to the transactions set forth in</w:t>
      </w:r>
      <w:r>
        <w:rPr>
          <w:rFonts w:ascii="Arial" w:cs="Arial" w:eastAsia="Arial" w:hAnsi="Arial"/>
          <w:sz w:val="22"/>
          <w:szCs w:val="22"/>
          <w:i w:val="1"/>
          <w:iCs w:val="1"/>
          <w:color w:val="auto"/>
        </w:rPr>
        <w:t xml:space="preserve"> </w:t>
      </w:r>
      <w:r>
        <w:rPr>
          <w:rFonts w:ascii="Arial" w:cs="Arial" w:eastAsia="Arial" w:hAnsi="Arial"/>
          <w:sz w:val="22"/>
          <w:szCs w:val="22"/>
          <w:color w:val="0000FF"/>
        </w:rPr>
        <w:t>Section 8(a)</w:t>
      </w:r>
      <w:r>
        <w:rPr>
          <w:rFonts w:ascii="Arial" w:cs="Arial" w:eastAsia="Arial" w:hAnsi="Arial"/>
          <w:sz w:val="22"/>
          <w:szCs w:val="22"/>
          <w:color w:val="auto"/>
        </w:rPr>
        <w:t>, in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event of any change affecting the Common Stock, the Company or its capitalization, by reason of a spin-off, split-up, dividend, recapitalization, merger, consolidation or share exchange, other than any such change that is part of a transaction resulting in a Change in Control of the Company, the Plan Administrator, in its discretion and without the consent of the holders of the Awards, may make (A) appropriate adjustments to the maximum number and kind of shares reserved for issuance or with respect to which Awards may be granted under the Plan, as provided in </w:t>
      </w:r>
      <w:r>
        <w:rPr>
          <w:rFonts w:ascii="Arial" w:cs="Arial" w:eastAsia="Arial" w:hAnsi="Arial"/>
          <w:sz w:val="22"/>
          <w:szCs w:val="22"/>
          <w:color w:val="0000FF"/>
        </w:rPr>
        <w:t>Section 4</w:t>
      </w:r>
      <w:r>
        <w:rPr>
          <w:rFonts w:ascii="Arial" w:cs="Arial" w:eastAsia="Arial" w:hAnsi="Arial"/>
          <w:sz w:val="22"/>
          <w:szCs w:val="22"/>
          <w:color w:val="auto"/>
        </w:rPr>
        <w:t xml:space="preserve"> of the Plan; and (B) any adjustments in outstanding Awards, including but not limited to modifying the number, kind and price of securities subject to the Awards.</w:t>
      </w:r>
    </w:p>
    <w:p>
      <w:pPr>
        <w:spacing w:after="0" w:line="235" w:lineRule="exact"/>
        <w:rPr>
          <w:sz w:val="20"/>
          <w:szCs w:val="20"/>
          <w:color w:val="auto"/>
        </w:rPr>
      </w:pPr>
    </w:p>
    <w:p>
      <w:pPr>
        <w:jc w:val="both"/>
        <w:ind w:left="660" w:firstLine="645"/>
        <w:spacing w:after="0" w:line="253" w:lineRule="auto"/>
        <w:tabs>
          <w:tab w:leader="none" w:pos="1865"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 xml:space="preserve">Change in Control Transactions. </w:t>
      </w:r>
      <w:r>
        <w:rPr>
          <w:rFonts w:ascii="Arial" w:cs="Arial" w:eastAsia="Arial" w:hAnsi="Arial"/>
          <w:sz w:val="22"/>
          <w:szCs w:val="22"/>
          <w:color w:val="auto"/>
        </w:rPr>
        <w:t>In the event of any transaction resulting in a Change in Control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(A) all outstanding Awards will become fully vested immediately before and contingent upon the Change in Control; (B) all outstanding Options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rPr>
          <w:sz w:val="20"/>
          <w:szCs w:val="20"/>
          <w:color w:val="auto"/>
        </w:rPr>
      </w:pPr>
      <w:r>
        <w:rPr>
          <w:rFonts w:ascii="Arial" w:cs="Arial" w:eastAsia="Arial" w:hAnsi="Arial"/>
          <w:sz w:val="14"/>
          <w:szCs w:val="14"/>
          <w:color w:val="auto"/>
        </w:rPr>
        <w:t>EAST\42329236.5 1/2/13</w:t>
      </w:r>
    </w:p>
    <w:p>
      <w:pPr>
        <w:sectPr>
          <w:pgSz w:w="11900" w:h="16838" w:orient="portrait"/>
          <w:cols w:equalWidth="0" w:num="1">
            <w:col w:w="11420"/>
          </w:cols>
          <w:pgMar w:left="240" w:top="591" w:right="239" w:bottom="1440" w:gutter="0" w:footer="0" w:header="0"/>
        </w:sectPr>
      </w:pPr>
    </w:p>
    <w:bookmarkStart w:id="67" w:name="page68"/>
    <w:bookmarkEnd w:id="67"/>
    <w:p>
      <w:pPr>
        <w:jc w:val="both"/>
        <w:ind w:left="660"/>
        <w:spacing w:after="0" w:line="247" w:lineRule="auto"/>
        <w:rPr>
          <w:sz w:val="20"/>
          <w:szCs w:val="20"/>
          <w:color w:val="auto"/>
        </w:rPr>
      </w:pPr>
      <w:r>
        <w:rPr>
          <w:rFonts w:ascii="Arial" w:cs="Arial" w:eastAsia="Arial" w:hAnsi="Arial"/>
          <w:sz w:val="22"/>
          <w:szCs w:val="22"/>
          <w:color w:val="auto"/>
        </w:rPr>
        <w:t>not exercised prior to or upon the Change in Control will terminate at the effective time of such Change in Control unless provision is made in connection with the transaction for the continuation, assumption or settlement of such Options by, or for the substitution of equivalent options of, the surviving or successor entity or a parent thereof; and (C) all Stock Units credited to Accounts as of the Change in Control will be settled in shares or in cash at the discretion of the Board upon the Change in Control or as soon as practicable thereafter but in no event later than the close of the calendar year in which the Change in Control occurs.</w:t>
      </w:r>
    </w:p>
    <w:p>
      <w:pPr>
        <w:spacing w:after="0" w:line="234" w:lineRule="exact"/>
        <w:rPr>
          <w:sz w:val="20"/>
          <w:szCs w:val="20"/>
          <w:color w:val="auto"/>
        </w:rPr>
      </w:pPr>
    </w:p>
    <w:p>
      <w:pPr>
        <w:jc w:val="both"/>
        <w:ind w:left="660" w:firstLine="645"/>
        <w:spacing w:after="0" w:line="250" w:lineRule="auto"/>
        <w:tabs>
          <w:tab w:leader="none" w:pos="1938" w:val="left"/>
        </w:tabs>
        <w:numPr>
          <w:ilvl w:val="1"/>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Other. </w:t>
      </w:r>
      <w:r>
        <w:rPr>
          <w:rFonts w:ascii="Arial" w:cs="Arial" w:eastAsia="Arial" w:hAnsi="Arial"/>
          <w:sz w:val="22"/>
          <w:szCs w:val="22"/>
          <w:color w:val="auto"/>
        </w:rPr>
        <w:t>In the event of a change in the Company’s Common Stock which is limited to a change in the</w:t>
      </w:r>
      <w:r>
        <w:rPr>
          <w:rFonts w:ascii="Arial" w:cs="Arial" w:eastAsia="Arial" w:hAnsi="Arial"/>
          <w:sz w:val="22"/>
          <w:szCs w:val="22"/>
          <w:i w:val="1"/>
          <w:iCs w:val="1"/>
          <w:color w:val="auto"/>
        </w:rPr>
        <w:t xml:space="preserve"> </w:t>
      </w:r>
      <w:r>
        <w:rPr>
          <w:rFonts w:ascii="Arial" w:cs="Arial" w:eastAsia="Arial" w:hAnsi="Arial"/>
          <w:sz w:val="22"/>
          <w:szCs w:val="22"/>
          <w:color w:val="auto"/>
        </w:rPr>
        <w:t>designation thereof to “Capital Stock” or other similar designation, or to a change in the par value thereof, or from par value to no par value, without increase in the number of issued shares, the shares resulting from any such change shall be deemed to be Common Stock within the meaning of the Plan.</w:t>
      </w:r>
    </w:p>
    <w:p>
      <w:pPr>
        <w:spacing w:after="0" w:line="222" w:lineRule="exact"/>
        <w:rPr>
          <w:rFonts w:ascii="Arial" w:cs="Arial" w:eastAsia="Arial" w:hAnsi="Arial"/>
          <w:sz w:val="22"/>
          <w:szCs w:val="22"/>
          <w:color w:val="auto"/>
        </w:rPr>
      </w:pPr>
    </w:p>
    <w:p>
      <w:pPr>
        <w:ind w:left="400" w:hanging="392"/>
        <w:spacing w:after="0"/>
        <w:tabs>
          <w:tab w:leader="none" w:pos="40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Modification and Termination of the Plan</w:t>
      </w:r>
    </w:p>
    <w:p>
      <w:pPr>
        <w:spacing w:after="0" w:line="26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Board may amend, modify, or terminate this Plan at any time and from time to time; provided, however, that without the degree of stockholder approval required by the Company’s charter or bylaws, applicable law, or the rules and regulations of any exchange or trading market on which the Company’s securities are then traded, the Board may not: (a) increase the number of shares of Common Stock that may be issued under this Plan, (b) modify the share accounting provisions set forth in Section 4(c) of the Plan, or (c) modify the requirements as to eligibility for participation in this Plan. No amendment, modification, or termination of the Plan shall adversely affect the rights of a holder of an Award without the written consent of the holder. In the event that the Plan is terminated, the Company will continue to maintain the Accounts and settle Stock Units credited thereto only in accordance with the provisions of Code section 409A. Notwithstanding anything herein to the contrary, the Plan Administrator is authorized to amend the Plan in such manner as it may determine to be necessary or desirable to ensure the Plan’s compliance with Section 409A of the Code or other applicable law or the rules and regulations of any exchange or trading market on which the Company’s securities are then traded.</w:t>
      </w:r>
    </w:p>
    <w:p>
      <w:pPr>
        <w:spacing w:after="0" w:line="218"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Claims Procedure</w:t>
      </w:r>
    </w:p>
    <w:p>
      <w:pPr>
        <w:spacing w:after="0" w:line="266" w:lineRule="exact"/>
        <w:rPr>
          <w:rFonts w:ascii="Arial" w:cs="Arial" w:eastAsia="Arial" w:hAnsi="Arial"/>
          <w:sz w:val="22"/>
          <w:szCs w:val="22"/>
          <w:b w:val="1"/>
          <w:bCs w:val="1"/>
          <w:color w:val="auto"/>
        </w:rPr>
      </w:pPr>
    </w:p>
    <w:p>
      <w:pPr>
        <w:ind w:left="1040" w:hanging="384"/>
        <w:spacing w:after="0"/>
        <w:tabs>
          <w:tab w:leader="none" w:pos="1040" w:val="left"/>
        </w:tabs>
        <w:numPr>
          <w:ilvl w:val="1"/>
          <w:numId w:val="39"/>
        </w:numPr>
        <w:rPr>
          <w:rFonts w:ascii="Arial" w:cs="Arial" w:eastAsia="Arial" w:hAnsi="Arial"/>
          <w:sz w:val="21"/>
          <w:szCs w:val="21"/>
          <w:color w:val="auto"/>
        </w:rPr>
      </w:pPr>
      <w:r>
        <w:rPr>
          <w:rFonts w:ascii="Arial" w:cs="Arial" w:eastAsia="Arial" w:hAnsi="Arial"/>
          <w:sz w:val="21"/>
          <w:szCs w:val="21"/>
          <w:i w:val="1"/>
          <w:iCs w:val="1"/>
          <w:color w:val="auto"/>
        </w:rPr>
        <w:t>Named Fiduciary</w:t>
      </w:r>
      <w:r>
        <w:rPr>
          <w:rFonts w:ascii="Arial" w:cs="Arial" w:eastAsia="Arial" w:hAnsi="Arial"/>
          <w:sz w:val="21"/>
          <w:szCs w:val="21"/>
          <w:color w:val="auto"/>
        </w:rPr>
        <w:t>. The Plan Administrator shall be the named fiduciary for purposes of this claims procedure.</w:t>
      </w:r>
    </w:p>
    <w:p>
      <w:pPr>
        <w:spacing w:after="0" w:line="271" w:lineRule="exact"/>
        <w:rPr>
          <w:rFonts w:ascii="Arial" w:cs="Arial" w:eastAsia="Arial" w:hAnsi="Arial"/>
          <w:sz w:val="21"/>
          <w:szCs w:val="21"/>
          <w:color w:val="auto"/>
        </w:rPr>
      </w:pPr>
    </w:p>
    <w:p>
      <w:pPr>
        <w:jc w:val="both"/>
        <w:ind w:firstLine="656"/>
        <w:spacing w:after="0" w:line="260" w:lineRule="exact"/>
        <w:tabs>
          <w:tab w:leader="none" w:pos="1071" w:val="left"/>
        </w:tabs>
        <w:numPr>
          <w:ilvl w:val="1"/>
          <w:numId w:val="39"/>
        </w:numPr>
        <w:rPr>
          <w:rFonts w:ascii="Arial" w:cs="Arial" w:eastAsia="Arial" w:hAnsi="Arial"/>
          <w:sz w:val="22"/>
          <w:szCs w:val="22"/>
          <w:color w:val="auto"/>
        </w:rPr>
      </w:pPr>
      <w:r>
        <w:rPr>
          <w:rFonts w:ascii="Arial" w:cs="Arial" w:eastAsia="Arial" w:hAnsi="Arial"/>
          <w:sz w:val="22"/>
          <w:szCs w:val="22"/>
          <w:i w:val="1"/>
          <w:iCs w:val="1"/>
          <w:color w:val="auto"/>
        </w:rPr>
        <w:t>Initial Claims</w:t>
      </w:r>
      <w:r>
        <w:rPr>
          <w:rFonts w:ascii="Arial" w:cs="Arial" w:eastAsia="Arial" w:hAnsi="Arial"/>
          <w:sz w:val="22"/>
          <w:szCs w:val="22"/>
          <w:color w:val="auto"/>
        </w:rPr>
        <w:t>. If a Non</w:t>
      </w:r>
      <w:r>
        <w:rPr>
          <w:rFonts w:ascii="MS PGothic" w:cs="MS PGothic" w:eastAsia="MS PGothic" w:hAnsi="MS PGothic"/>
          <w:sz w:val="22"/>
          <w:szCs w:val="22"/>
          <w:color w:val="auto"/>
        </w:rPr>
        <w:t>‑</w:t>
      </w:r>
      <w:r>
        <w:rPr>
          <w:rFonts w:ascii="Arial" w:cs="Arial" w:eastAsia="Arial" w:hAnsi="Arial"/>
          <w:sz w:val="22"/>
          <w:szCs w:val="22"/>
          <w:color w:val="auto"/>
        </w:rPr>
        <w:t>Employee Director or other person does not receive timely payment of any benefits which he</w:t>
      </w:r>
      <w:r>
        <w:rPr>
          <w:rFonts w:ascii="Arial" w:cs="Arial" w:eastAsia="Arial" w:hAnsi="Arial"/>
          <w:sz w:val="22"/>
          <w:szCs w:val="22"/>
          <w:i w:val="1"/>
          <w:iCs w:val="1"/>
          <w:color w:val="auto"/>
        </w:rPr>
        <w:t xml:space="preserve"> </w:t>
      </w:r>
      <w:r>
        <w:rPr>
          <w:rFonts w:ascii="Arial" w:cs="Arial" w:eastAsia="Arial" w:hAnsi="Arial"/>
          <w:sz w:val="22"/>
          <w:szCs w:val="22"/>
          <w:color w:val="auto"/>
        </w:rPr>
        <w:t>or she believes are due and payable under the Plan, the claimant of such benefit must file a written claim with the Plan Administrator within 60 days from the date payment or delivery is refused. The Plan Administrator shall review the written claim and, if the claim is denied in whole or in part, shall provide, in writing and within 90 days of receipt of such claim, the specific reasons for such denial and reference to the provisions of this Plan upon which the denial is based and any additional material or information necessary to perfect the claim. Such</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rPr>
          <w:sz w:val="20"/>
          <w:szCs w:val="20"/>
          <w:color w:val="auto"/>
        </w:rPr>
      </w:pPr>
      <w:r>
        <w:rPr>
          <w:rFonts w:ascii="Arial" w:cs="Arial" w:eastAsia="Arial" w:hAnsi="Arial"/>
          <w:sz w:val="14"/>
          <w:szCs w:val="14"/>
          <w:color w:val="auto"/>
        </w:rPr>
        <w:t>EAST\42329236.5 1/2/13</w:t>
      </w:r>
    </w:p>
    <w:p>
      <w:pPr>
        <w:sectPr>
          <w:pgSz w:w="11900" w:h="16838" w:orient="portrait"/>
          <w:cols w:equalWidth="0" w:num="1">
            <w:col w:w="11420"/>
          </w:cols>
          <w:pgMar w:left="240" w:top="591" w:right="239" w:bottom="1440" w:gutter="0" w:footer="0" w:header="0"/>
        </w:sectPr>
      </w:pPr>
    </w:p>
    <w:bookmarkStart w:id="68" w:name="page69"/>
    <w:bookmarkEnd w:id="68"/>
    <w:p>
      <w:pPr>
        <w:spacing w:after="0"/>
        <w:rPr>
          <w:sz w:val="20"/>
          <w:szCs w:val="20"/>
          <w:color w:val="auto"/>
        </w:rPr>
      </w:pPr>
      <w:r>
        <w:rPr>
          <w:rFonts w:ascii="Arial" w:cs="Arial" w:eastAsia="Arial" w:hAnsi="Arial"/>
          <w:sz w:val="21"/>
          <w:szCs w:val="21"/>
          <w:color w:val="auto"/>
        </w:rPr>
        <w:t>written notice shall further indicate the steps to be taken by the claimant if a further review of the claim denial is desired.</w:t>
      </w:r>
    </w:p>
    <w:p>
      <w:pPr>
        <w:spacing w:after="0" w:line="272" w:lineRule="exact"/>
        <w:rPr>
          <w:sz w:val="20"/>
          <w:szCs w:val="20"/>
          <w:color w:val="auto"/>
        </w:rPr>
      </w:pPr>
    </w:p>
    <w:p>
      <w:pPr>
        <w:jc w:val="both"/>
        <w:ind w:firstLine="656"/>
        <w:spacing w:after="0" w:line="297" w:lineRule="auto"/>
        <w:tabs>
          <w:tab w:leader="none" w:pos="1032" w:val="left"/>
        </w:tabs>
        <w:numPr>
          <w:ilvl w:val="1"/>
          <w:numId w:val="40"/>
        </w:numPr>
        <w:rPr>
          <w:rFonts w:ascii="Arial" w:cs="Arial" w:eastAsia="Arial" w:hAnsi="Arial"/>
          <w:sz w:val="19"/>
          <w:szCs w:val="19"/>
          <w:color w:val="auto"/>
        </w:rPr>
      </w:pPr>
      <w:r>
        <w:rPr>
          <w:rFonts w:ascii="Arial" w:cs="Arial" w:eastAsia="Arial" w:hAnsi="Arial"/>
          <w:sz w:val="19"/>
          <w:szCs w:val="19"/>
          <w:i w:val="1"/>
          <w:iCs w:val="1"/>
          <w:color w:val="auto"/>
        </w:rPr>
        <w:t>Appeals</w:t>
      </w:r>
      <w:r>
        <w:rPr>
          <w:rFonts w:ascii="Arial" w:cs="Arial" w:eastAsia="Arial" w:hAnsi="Arial"/>
          <w:sz w:val="19"/>
          <w:szCs w:val="19"/>
          <w:color w:val="auto"/>
        </w:rPr>
        <w:t>. If the claimant desires a second review, he or she shall notify the Plan Administrator in writing within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first claim denial. The claimant may review the Plan or any documents relating thereto and submit any written issues and comments he or she may feel appropriate. In its discretion, the Plan Administrator shall then review the second claim and provide a written decision within 60 days of receipt of such claim. This decision shall likewise state the specific reasons for the decision and shall include reference to specific provisions of the Plan upon which the decision is based.</w:t>
      </w:r>
    </w:p>
    <w:p>
      <w:pPr>
        <w:spacing w:after="0" w:line="181" w:lineRule="exact"/>
        <w:rPr>
          <w:rFonts w:ascii="Arial" w:cs="Arial" w:eastAsia="Arial" w:hAnsi="Arial"/>
          <w:sz w:val="19"/>
          <w:szCs w:val="19"/>
          <w:color w:val="auto"/>
        </w:rPr>
      </w:pPr>
    </w:p>
    <w:p>
      <w:pPr>
        <w:ind w:left="500" w:hanging="492"/>
        <w:spacing w:after="0"/>
        <w:tabs>
          <w:tab w:leader="none" w:pos="50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Laws And Regulations</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Plan, the grant of Awards, and the obligation of the Company to issue and deliver shares of Common Stock upon the exercise of Options, grant of Restricted Shares, or settlement of Stock Units shall be subject to all applicable foreign, federal and state laws, rules, and regulations and to such approvals by such governmental or regulatory agency or national securities exchange as may be required. The Company shall not be required to issue any shares of Common Stock upon the exercise of Options, grant of Restricted Shares, or settlement of Stock Units if the issuance of such shares shall constitute a violation by the Non-Employee Director or the Company of any provisions of any law or regulation of any governmental authority or national securities exchange. Each Award granted under this Plan shall be subject to the requirement that, if at any time the Plan Administrator shall determine that (a) the listing, registration or qualification of the shares subject thereto on any securities exchange or trading market or under any state or federal law of the United States or of any other country or governmental subdivision thereof, (b) the consent or approval of any governmental regulatory body, or (c) the making of investment or other representations are necessary or desirable in connection with the issue or purchase of shares subject thereto, no shares of Common Stock may be issued upon grant, settlement, or exercise of any Award unless such listing, registration, qualification, consent, approval or representation shall have been effected or obtained, free of any conditions not acceptable to the Plan Administrator. Any determination in this connection by the Plan Administrator shall be final, binding, and conclusive.</w:t>
      </w:r>
    </w:p>
    <w:p>
      <w:pPr>
        <w:spacing w:after="0" w:line="198"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66" w:lineRule="exact"/>
        <w:rPr>
          <w:rFonts w:ascii="Arial" w:cs="Arial" w:eastAsia="Arial" w:hAnsi="Arial"/>
          <w:sz w:val="22"/>
          <w:szCs w:val="22"/>
          <w:b w:val="1"/>
          <w:bCs w:val="1"/>
          <w:color w:val="auto"/>
        </w:rPr>
      </w:pPr>
    </w:p>
    <w:p>
      <w:pPr>
        <w:jc w:val="both"/>
        <w:ind w:firstLine="656"/>
        <w:spacing w:after="0" w:line="260" w:lineRule="exact"/>
        <w:tabs>
          <w:tab w:leader="none" w:pos="1181" w:val="left"/>
        </w:tabs>
        <w:numPr>
          <w:ilvl w:val="1"/>
          <w:numId w:val="42"/>
        </w:numPr>
        <w:rPr>
          <w:rFonts w:ascii="Arial" w:cs="Arial" w:eastAsia="Arial" w:hAnsi="Arial"/>
          <w:sz w:val="22"/>
          <w:szCs w:val="22"/>
          <w:color w:val="auto"/>
        </w:rPr>
      </w:pPr>
      <w:r>
        <w:rPr>
          <w:rFonts w:ascii="Arial" w:cs="Arial" w:eastAsia="Arial" w:hAnsi="Arial"/>
          <w:sz w:val="22"/>
          <w:szCs w:val="22"/>
          <w:i w:val="1"/>
          <w:iCs w:val="1"/>
          <w:color w:val="auto"/>
        </w:rPr>
        <w:t>Non-Guarantee of Service</w:t>
      </w:r>
      <w:r>
        <w:rPr>
          <w:rFonts w:ascii="Arial" w:cs="Arial" w:eastAsia="Arial" w:hAnsi="Arial"/>
          <w:sz w:val="22"/>
          <w:szCs w:val="22"/>
          <w:color w:val="auto"/>
        </w:rPr>
        <w:t>. Nothing in the Plan or in any agreement evidencing an Award, nor any action taken</w:t>
      </w:r>
      <w:r>
        <w:rPr>
          <w:rFonts w:ascii="Arial" w:cs="Arial" w:eastAsia="Arial" w:hAnsi="Arial"/>
          <w:sz w:val="22"/>
          <w:szCs w:val="22"/>
          <w:i w:val="1"/>
          <w:iCs w:val="1"/>
          <w:color w:val="auto"/>
        </w:rPr>
        <w:t xml:space="preserve"> </w:t>
      </w:r>
      <w:r>
        <w:rPr>
          <w:rFonts w:ascii="Arial" w:cs="Arial" w:eastAsia="Arial" w:hAnsi="Arial"/>
          <w:sz w:val="22"/>
          <w:szCs w:val="22"/>
          <w:color w:val="auto"/>
        </w:rPr>
        <w:t>pursuant to the Plan, shall confer any right on an individual to continue in the service of the Company as a Non</w:t>
      </w:r>
      <w:r>
        <w:rPr>
          <w:rFonts w:ascii="MS PGothic" w:cs="MS PGothic" w:eastAsia="MS PGothic" w:hAnsi="MS PGothic"/>
          <w:sz w:val="22"/>
          <w:szCs w:val="22"/>
          <w:color w:val="auto"/>
        </w:rPr>
        <w:t>‑</w:t>
      </w:r>
      <w:r>
        <w:rPr>
          <w:rFonts w:ascii="Arial" w:cs="Arial" w:eastAsia="Arial" w:hAnsi="Arial"/>
          <w:sz w:val="22"/>
          <w:szCs w:val="22"/>
          <w:color w:val="auto"/>
        </w:rPr>
        <w:t>Employee Director or in any other capacity for any period of time or at a particular retainer or other rate of compensation, or as limiting, interfering with or otherwise affecting the provisions of the Company’s charter, by-laws or the Maryland General Corporation Law relating to the removal of directors.</w:t>
      </w:r>
    </w:p>
    <w:p>
      <w:pPr>
        <w:spacing w:after="0" w:line="243" w:lineRule="exact"/>
        <w:rPr>
          <w:rFonts w:ascii="Arial" w:cs="Arial" w:eastAsia="Arial" w:hAnsi="Arial"/>
          <w:sz w:val="22"/>
          <w:szCs w:val="22"/>
          <w:color w:val="auto"/>
        </w:rPr>
      </w:pPr>
    </w:p>
    <w:p>
      <w:pPr>
        <w:jc w:val="both"/>
        <w:ind w:firstLine="656"/>
        <w:spacing w:after="0" w:line="250" w:lineRule="auto"/>
        <w:tabs>
          <w:tab w:leader="none" w:pos="1044" w:val="left"/>
        </w:tabs>
        <w:numPr>
          <w:ilvl w:val="1"/>
          <w:numId w:val="42"/>
        </w:numPr>
        <w:rPr>
          <w:rFonts w:ascii="Arial" w:cs="Arial" w:eastAsia="Arial" w:hAnsi="Arial"/>
          <w:sz w:val="22"/>
          <w:szCs w:val="22"/>
          <w:color w:val="auto"/>
        </w:rPr>
      </w:pPr>
      <w:r>
        <w:rPr>
          <w:rFonts w:ascii="Arial" w:cs="Arial" w:eastAsia="Arial" w:hAnsi="Arial"/>
          <w:sz w:val="22"/>
          <w:szCs w:val="22"/>
          <w:i w:val="1"/>
          <w:iCs w:val="1"/>
          <w:color w:val="auto"/>
        </w:rPr>
        <w:t>Unfunded Status of Plan</w:t>
      </w:r>
      <w:r>
        <w:rPr>
          <w:rFonts w:ascii="Arial" w:cs="Arial" w:eastAsia="Arial" w:hAnsi="Arial"/>
          <w:sz w:val="22"/>
          <w:szCs w:val="22"/>
          <w:color w:val="auto"/>
        </w:rPr>
        <w:t>. The Plan, with respect to Stock Units credited to Accounts, is intended to constitute and at all</w:t>
      </w:r>
      <w:r>
        <w:rPr>
          <w:rFonts w:ascii="Arial" w:cs="Arial" w:eastAsia="Arial" w:hAnsi="Arial"/>
          <w:sz w:val="22"/>
          <w:szCs w:val="22"/>
          <w:i w:val="1"/>
          <w:iCs w:val="1"/>
          <w:color w:val="auto"/>
        </w:rPr>
        <w:t xml:space="preserve"> </w:t>
      </w:r>
      <w:r>
        <w:rPr>
          <w:rFonts w:ascii="Arial" w:cs="Arial" w:eastAsia="Arial" w:hAnsi="Arial"/>
          <w:sz w:val="22"/>
          <w:szCs w:val="22"/>
          <w:color w:val="auto"/>
        </w:rPr>
        <w:t>times shall be interpreted and administered so as to qualify as an unfunded deferred compensation plan for a select group of directors under the Employee Retirement Income Security Act of 1974, as amended. Neither the Plan nor any Award shall create or be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4"/>
          <w:szCs w:val="14"/>
          <w:color w:val="auto"/>
        </w:rPr>
        <w:t>EAST\42329236.5 1/2/13</w:t>
      </w:r>
    </w:p>
    <w:p>
      <w:pPr>
        <w:sectPr>
          <w:pgSz w:w="11900" w:h="16838" w:orient="portrait"/>
          <w:cols w:equalWidth="0" w:num="1">
            <w:col w:w="11420"/>
          </w:cols>
          <w:pgMar w:left="240" w:top="591" w:right="239" w:bottom="1440" w:gutter="0" w:footer="0" w:header="0"/>
        </w:sectPr>
      </w:pPr>
    </w:p>
    <w:bookmarkStart w:id="69" w:name="page70"/>
    <w:bookmarkEnd w:id="69"/>
    <w:p>
      <w:pPr>
        <w:jc w:val="both"/>
        <w:spacing w:after="0" w:line="261" w:lineRule="exact"/>
        <w:rPr>
          <w:sz w:val="20"/>
          <w:szCs w:val="20"/>
          <w:color w:val="auto"/>
        </w:rPr>
      </w:pPr>
      <w:r>
        <w:rPr>
          <w:rFonts w:ascii="Arial" w:cs="Arial" w:eastAsia="Arial" w:hAnsi="Arial"/>
          <w:sz w:val="22"/>
          <w:szCs w:val="22"/>
          <w:color w:val="auto"/>
        </w:rPr>
        <w:t>construed to create a trust or separate fund of any kind or a fiduciary relationship between the Company and a Non</w:t>
      </w:r>
      <w:r>
        <w:rPr>
          <w:rFonts w:ascii="MS PGothic" w:cs="MS PGothic" w:eastAsia="MS PGothic" w:hAnsi="MS PGothic"/>
          <w:sz w:val="22"/>
          <w:szCs w:val="22"/>
          <w:color w:val="auto"/>
        </w:rPr>
        <w:t>‑</w:t>
      </w:r>
      <w:r>
        <w:rPr>
          <w:rFonts w:ascii="Arial" w:cs="Arial" w:eastAsia="Arial" w:hAnsi="Arial"/>
          <w:sz w:val="22"/>
          <w:szCs w:val="22"/>
          <w:color w:val="auto"/>
        </w:rPr>
        <w:t>Employee Director or any other person. To the extent that any Non-Employee Director or other person acquires a right to receive payments from the Company pursuant to the Plan or any Award made under the Plan, such right shall be no greater than the right of an unsecured general creditor of the Company.</w:t>
      </w:r>
    </w:p>
    <w:p>
      <w:pPr>
        <w:spacing w:after="0" w:line="242" w:lineRule="exact"/>
        <w:rPr>
          <w:sz w:val="20"/>
          <w:szCs w:val="20"/>
          <w:color w:val="auto"/>
        </w:rPr>
      </w:pPr>
    </w:p>
    <w:p>
      <w:pPr>
        <w:jc w:val="both"/>
        <w:ind w:firstLine="656"/>
        <w:spacing w:after="0" w:line="248" w:lineRule="auto"/>
        <w:tabs>
          <w:tab w:leader="none" w:pos="1113"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validity, construction and effect of the Plan, of Award agreements entered into pursuant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Plan, and of any rules, regulations, determinations or decisions made by the Plan Administrator relating to the Plan or such Award agreements, and the rights of any and all persons having or claiming to have any interest therein or thereunder, shall be determined exclusively in accordance with applicable federal laws and the laws of the State of Maryland, without regard to its conflict of laws principles.</w:t>
      </w:r>
    </w:p>
    <w:p>
      <w:pPr>
        <w:spacing w:after="0" w:line="232" w:lineRule="exact"/>
        <w:rPr>
          <w:rFonts w:ascii="Arial" w:cs="Arial" w:eastAsia="Arial" w:hAnsi="Arial"/>
          <w:sz w:val="22"/>
          <w:szCs w:val="22"/>
          <w:color w:val="auto"/>
        </w:rPr>
      </w:pPr>
    </w:p>
    <w:p>
      <w:pPr>
        <w:ind w:firstLine="656"/>
        <w:spacing w:after="0" w:line="263" w:lineRule="auto"/>
        <w:tabs>
          <w:tab w:leader="none" w:pos="1085"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Effect on Other Plans</w:t>
      </w:r>
      <w:r>
        <w:rPr>
          <w:rFonts w:ascii="Arial" w:cs="Arial" w:eastAsia="Arial" w:hAnsi="Arial"/>
          <w:sz w:val="22"/>
          <w:szCs w:val="22"/>
          <w:color w:val="auto"/>
        </w:rPr>
        <w:t>. On and after the Effective Date of this Plan, no further stock options shall be granted to Non-Employee Directors under the Company’s 1998 Director Stock Option Plan.</w:t>
      </w:r>
    </w:p>
    <w:p>
      <w:pPr>
        <w:spacing w:after="0" w:line="215" w:lineRule="exact"/>
        <w:rPr>
          <w:rFonts w:ascii="Arial" w:cs="Arial" w:eastAsia="Arial" w:hAnsi="Arial"/>
          <w:sz w:val="22"/>
          <w:szCs w:val="22"/>
          <w:color w:val="auto"/>
        </w:rPr>
      </w:pPr>
    </w:p>
    <w:p>
      <w:pPr>
        <w:jc w:val="both"/>
        <w:ind w:firstLine="656"/>
        <w:spacing w:after="0" w:line="248" w:lineRule="auto"/>
        <w:tabs>
          <w:tab w:leader="none" w:pos="1086"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Effective Date and Expiration Date</w:t>
      </w:r>
      <w:r>
        <w:rPr>
          <w:rFonts w:ascii="Arial" w:cs="Arial" w:eastAsia="Arial" w:hAnsi="Arial"/>
          <w:sz w:val="22"/>
          <w:szCs w:val="22"/>
          <w:color w:val="auto"/>
        </w:rPr>
        <w:t>. The Plan became effective on April 12, 2007, which is the date on which it was</w:t>
      </w:r>
      <w:r>
        <w:rPr>
          <w:rFonts w:ascii="Arial" w:cs="Arial" w:eastAsia="Arial" w:hAnsi="Arial"/>
          <w:sz w:val="22"/>
          <w:szCs w:val="22"/>
          <w:i w:val="1"/>
          <w:iCs w:val="1"/>
          <w:color w:val="auto"/>
        </w:rPr>
        <w:t xml:space="preserve"> </w:t>
      </w:r>
      <w:r>
        <w:rPr>
          <w:rFonts w:ascii="Arial" w:cs="Arial" w:eastAsia="Arial" w:hAnsi="Arial"/>
          <w:sz w:val="22"/>
          <w:szCs w:val="22"/>
          <w:color w:val="auto"/>
        </w:rPr>
        <w:t>approved by the stockholders of the Company. No Award shall be granted under the Plan on or after the tenth anniversary of the Effective Date of the Plan. Subject to other applicable provisions of the Plan, all Awards made under the Plan prior to such termination of the Plan shall remain in effect until such Awards have been satisfied or terminated in accordance with the Plan and the terms of such Awards.</w:t>
      </w:r>
    </w:p>
    <w:p>
      <w:pPr>
        <w:spacing w:after="0" w:line="232" w:lineRule="exact"/>
        <w:rPr>
          <w:rFonts w:ascii="Arial" w:cs="Arial" w:eastAsia="Arial" w:hAnsi="Arial"/>
          <w:sz w:val="22"/>
          <w:szCs w:val="22"/>
          <w:color w:val="auto"/>
        </w:rPr>
      </w:pPr>
    </w:p>
    <w:p>
      <w:pPr>
        <w:jc w:val="both"/>
        <w:ind w:firstLine="656"/>
        <w:spacing w:after="0" w:line="263" w:lineRule="auto"/>
        <w:tabs>
          <w:tab w:leader="none" w:pos="1197" w:val="left"/>
        </w:tabs>
        <w:numPr>
          <w:ilvl w:val="0"/>
          <w:numId w:val="43"/>
        </w:numPr>
        <w:rPr>
          <w:rFonts w:ascii="Arial" w:cs="Arial" w:eastAsia="Arial" w:hAnsi="Arial"/>
          <w:sz w:val="21"/>
          <w:szCs w:val="21"/>
          <w:color w:val="auto"/>
        </w:rPr>
      </w:pPr>
      <w:r>
        <w:rPr>
          <w:rFonts w:ascii="Arial" w:cs="Arial" w:eastAsia="Arial" w:hAnsi="Arial"/>
          <w:sz w:val="21"/>
          <w:szCs w:val="21"/>
          <w:i w:val="1"/>
          <w:iCs w:val="1"/>
          <w:color w:val="auto"/>
        </w:rPr>
        <w:t>409A Savings Clause</w:t>
      </w:r>
      <w:r>
        <w:rPr>
          <w:rFonts w:ascii="Arial" w:cs="Arial" w:eastAsia="Arial" w:hAnsi="Arial"/>
          <w:sz w:val="21"/>
          <w:szCs w:val="21"/>
          <w:color w:val="auto"/>
        </w:rPr>
        <w:t>. It is intended that the Plan comply with Section 409A of the Code. The Plan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administered, interpreted and construed in a manner consistent with such Code Section. Should any provision of this Plan be found not to comply with the provisions of Section 409A of the Code, it shall be modified and given effect, in the sole discretion of the Plan Administrator and without requiring consent of any Award holder, in such manner as the Plan Administrator determines to be necessary or appropriate to comply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4"/>
          <w:szCs w:val="14"/>
          <w:color w:val="auto"/>
        </w:rPr>
        <w:t>EAST\42329236.5 1/2/13</w:t>
      </w:r>
    </w:p>
    <w:p>
      <w:pPr>
        <w:sectPr>
          <w:pgSz w:w="11900" w:h="16838" w:orient="portrait"/>
          <w:cols w:equalWidth="0" w:num="1">
            <w:col w:w="11420"/>
          </w:cols>
          <w:pgMar w:left="240" w:top="59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b w:val="1"/>
          <w:bCs w:val="1"/>
          <w:color w:val="auto"/>
        </w:rPr>
        <w:t>Exhibit 10.18.1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 ROWE PRICE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1604010</wp:posOffset>
            </wp:positionV>
            <wp:extent cx="1311910" cy="325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1191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Pr>
          <w:p>
            <w:pPr>
              <w:jc w:val="right"/>
              <w:ind w:right="150"/>
              <w:spacing w:after="0"/>
              <w:rPr>
                <w:sz w:val="20"/>
                <w:szCs w:val="20"/>
                <w:color w:val="auto"/>
              </w:rPr>
            </w:pPr>
            <w:r>
              <w:rPr>
                <w:rFonts w:ascii="Arial" w:cs="Arial" w:eastAsia="Arial" w:hAnsi="Arial"/>
                <w:sz w:val="18"/>
                <w:szCs w:val="18"/>
                <w:color w:val="auto"/>
                <w:w w:val="92"/>
              </w:rPr>
              <w:t>1.</w:t>
            </w:r>
          </w:p>
        </w:tc>
        <w:tc>
          <w:tcPr>
            <w:tcW w:w="2080" w:type="dxa"/>
            <w:vAlign w:val="bottom"/>
          </w:tcPr>
          <w:p>
            <w:pPr>
              <w:ind w:left="260"/>
              <w:spacing w:after="0"/>
              <w:rPr>
                <w:sz w:val="20"/>
                <w:szCs w:val="20"/>
                <w:color w:val="auto"/>
              </w:rPr>
            </w:pPr>
            <w:r>
              <w:rPr>
                <w:rFonts w:ascii="Arial" w:cs="Arial" w:eastAsia="Arial" w:hAnsi="Arial"/>
                <w:sz w:val="18"/>
                <w:szCs w:val="18"/>
                <w:color w:val="auto"/>
              </w:rPr>
              <w:t>History; Effective Date</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00" w:type="dxa"/>
            <w:vAlign w:val="bottom"/>
          </w:tcPr>
          <w:p>
            <w:pPr>
              <w:jc w:val="right"/>
              <w:ind w:right="150"/>
              <w:spacing w:after="0"/>
              <w:rPr>
                <w:sz w:val="20"/>
                <w:szCs w:val="20"/>
                <w:color w:val="auto"/>
              </w:rPr>
            </w:pPr>
            <w:r>
              <w:rPr>
                <w:rFonts w:ascii="Arial" w:cs="Arial" w:eastAsia="Arial" w:hAnsi="Arial"/>
                <w:sz w:val="18"/>
                <w:szCs w:val="18"/>
                <w:color w:val="auto"/>
                <w:w w:val="92"/>
              </w:rPr>
              <w:t>2.</w:t>
            </w:r>
          </w:p>
        </w:tc>
        <w:tc>
          <w:tcPr>
            <w:tcW w:w="2080" w:type="dxa"/>
            <w:vAlign w:val="bottom"/>
          </w:tcPr>
          <w:p>
            <w:pPr>
              <w:ind w:left="260"/>
              <w:spacing w:after="0"/>
              <w:rPr>
                <w:sz w:val="20"/>
                <w:szCs w:val="20"/>
                <w:color w:val="auto"/>
              </w:rPr>
            </w:pPr>
            <w:r>
              <w:rPr>
                <w:rFonts w:ascii="Arial" w:cs="Arial" w:eastAsia="Arial" w:hAnsi="Arial"/>
                <w:sz w:val="18"/>
                <w:szCs w:val="18"/>
                <w:color w:val="auto"/>
              </w:rPr>
              <w:t>Purposes of the Plan</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1</w:t>
            </w:r>
          </w:p>
        </w:tc>
      </w:tr>
    </w:tbl>
    <w:p>
      <w:pPr>
        <w:spacing w:after="0" w:line="107"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Terminology  1</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Administration  1</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440" w:type="dxa"/>
            <w:vAlign w:val="bottom"/>
          </w:tcPr>
          <w:p>
            <w:pPr>
              <w:spacing w:after="0"/>
              <w:rPr>
                <w:sz w:val="20"/>
                <w:szCs w:val="20"/>
                <w:color w:val="auto"/>
              </w:rPr>
            </w:pPr>
            <w:r>
              <w:rPr>
                <w:rFonts w:ascii="Arial" w:cs="Arial" w:eastAsia="Arial" w:hAnsi="Arial"/>
                <w:sz w:val="18"/>
                <w:szCs w:val="18"/>
                <w:color w:val="auto"/>
              </w:rPr>
              <w:t>(a)</w:t>
            </w:r>
          </w:p>
        </w:tc>
        <w:tc>
          <w:tcPr>
            <w:tcW w:w="2440" w:type="dxa"/>
            <w:vAlign w:val="bottom"/>
          </w:tcPr>
          <w:p>
            <w:pPr>
              <w:ind w:left="200"/>
              <w:spacing w:after="0"/>
              <w:rPr>
                <w:sz w:val="20"/>
                <w:szCs w:val="20"/>
                <w:color w:val="auto"/>
              </w:rPr>
            </w:pPr>
            <w:r>
              <w:rPr>
                <w:rFonts w:ascii="Arial" w:cs="Arial" w:eastAsia="Arial" w:hAnsi="Arial"/>
                <w:sz w:val="18"/>
                <w:szCs w:val="18"/>
                <w:color w:val="auto"/>
              </w:rPr>
              <w:t>Administration of the Plan</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1</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2440" w:type="dxa"/>
            <w:vAlign w:val="bottom"/>
          </w:tcPr>
          <w:p>
            <w:pPr>
              <w:ind w:left="200"/>
              <w:spacing w:after="0"/>
              <w:rPr>
                <w:sz w:val="20"/>
                <w:szCs w:val="20"/>
                <w:color w:val="auto"/>
              </w:rPr>
            </w:pPr>
            <w:r>
              <w:rPr>
                <w:rFonts w:ascii="Arial" w:cs="Arial" w:eastAsia="Arial" w:hAnsi="Arial"/>
                <w:sz w:val="18"/>
                <w:szCs w:val="18"/>
                <w:color w:val="auto"/>
              </w:rPr>
              <w:t>Powers of the Administrator</w:t>
            </w:r>
          </w:p>
        </w:tc>
        <w:tc>
          <w:tcPr>
            <w:tcW w:w="1060" w:type="dxa"/>
            <w:vAlign w:val="bottom"/>
          </w:tcPr>
          <w:p>
            <w:pPr>
              <w:jc w:val="right"/>
              <w:ind w:right="690"/>
              <w:spacing w:after="0"/>
              <w:rPr>
                <w:sz w:val="20"/>
                <w:szCs w:val="20"/>
                <w:color w:val="auto"/>
              </w:rPr>
            </w:pPr>
            <w:r>
              <w:rPr>
                <w:rFonts w:ascii="Arial" w:cs="Arial" w:eastAsia="Arial" w:hAnsi="Arial"/>
                <w:sz w:val="18"/>
                <w:szCs w:val="18"/>
                <w:color w:val="auto"/>
              </w:rPr>
              <w:t>1</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(c)</w:t>
            </w: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Delegation of Administrative Authority  2</w:t>
            </w:r>
          </w:p>
        </w:tc>
      </w:tr>
    </w:tbl>
    <w:p>
      <w:pPr>
        <w:spacing w:after="0" w:line="107"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Non-Uniform Determinations  3</w:t>
      </w:r>
    </w:p>
    <w:p>
      <w:pPr>
        <w:spacing w:after="0" w:line="200" w:lineRule="exact"/>
        <w:rPr>
          <w:sz w:val="20"/>
          <w:szCs w:val="20"/>
          <w:color w:val="auto"/>
        </w:rPr>
      </w:pPr>
    </w:p>
    <w:p>
      <w:pPr>
        <w:spacing w:after="0" w:line="241"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Indemnification  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(g)</w:t>
            </w:r>
          </w:p>
        </w:tc>
        <w:tc>
          <w:tcPr>
            <w:tcW w:w="3540" w:type="dxa"/>
            <w:vAlign w:val="bottom"/>
            <w:gridSpan w:val="2"/>
          </w:tcPr>
          <w:p>
            <w:pPr>
              <w:ind w:left="200"/>
              <w:spacing w:after="0"/>
              <w:rPr>
                <w:sz w:val="20"/>
                <w:szCs w:val="20"/>
                <w:color w:val="auto"/>
              </w:rPr>
            </w:pPr>
            <w:r>
              <w:rPr>
                <w:rFonts w:ascii="Arial" w:cs="Arial" w:eastAsia="Arial" w:hAnsi="Arial"/>
                <w:sz w:val="18"/>
                <w:szCs w:val="18"/>
                <w:color w:val="auto"/>
              </w:rPr>
              <w:t>Effect of Administrator’s Decision  3</w:t>
            </w:r>
          </w:p>
        </w:tc>
      </w:tr>
      <w:tr>
        <w:trPr>
          <w:trHeight w:val="324"/>
        </w:trPr>
        <w:tc>
          <w:tcPr>
            <w:tcW w:w="400" w:type="dxa"/>
            <w:vAlign w:val="bottom"/>
          </w:tcPr>
          <w:p>
            <w:pPr>
              <w:jc w:val="right"/>
              <w:ind w:right="150"/>
              <w:spacing w:after="0"/>
              <w:rPr>
                <w:sz w:val="20"/>
                <w:szCs w:val="20"/>
                <w:color w:val="auto"/>
              </w:rPr>
            </w:pPr>
            <w:r>
              <w:rPr>
                <w:rFonts w:ascii="Arial" w:cs="Arial" w:eastAsia="Arial" w:hAnsi="Arial"/>
                <w:sz w:val="18"/>
                <w:szCs w:val="18"/>
                <w:color w:val="auto"/>
                <w:w w:val="92"/>
              </w:rPr>
              <w:t>5.</w:t>
            </w:r>
          </w:p>
        </w:tc>
        <w:tc>
          <w:tcPr>
            <w:tcW w:w="3200" w:type="dxa"/>
            <w:vAlign w:val="bottom"/>
            <w:gridSpan w:val="2"/>
          </w:tcPr>
          <w:p>
            <w:pPr>
              <w:ind w:left="260"/>
              <w:spacing w:after="0"/>
              <w:rPr>
                <w:sz w:val="20"/>
                <w:szCs w:val="20"/>
                <w:color w:val="auto"/>
              </w:rPr>
            </w:pPr>
            <w:r>
              <w:rPr>
                <w:rFonts w:ascii="Arial" w:cs="Arial" w:eastAsia="Arial" w:hAnsi="Arial"/>
                <w:sz w:val="18"/>
                <w:szCs w:val="18"/>
                <w:color w:val="auto"/>
              </w:rPr>
              <w:t>Shares Issuable Pursuant to Awards</w:t>
            </w:r>
          </w:p>
        </w:tc>
        <w:tc>
          <w:tcPr>
            <w:tcW w:w="1040" w:type="dxa"/>
            <w:vAlign w:val="bottom"/>
          </w:tcPr>
          <w:p>
            <w:pPr>
              <w:jc w:val="right"/>
              <w:ind w:right="690"/>
              <w:spacing w:after="0"/>
              <w:rPr>
                <w:sz w:val="20"/>
                <w:szCs w:val="20"/>
                <w:color w:val="auto"/>
              </w:rPr>
            </w:pPr>
            <w:r>
              <w:rPr>
                <w:rFonts w:ascii="Arial" w:cs="Arial" w:eastAsia="Arial" w:hAnsi="Arial"/>
                <w:sz w:val="18"/>
                <w:szCs w:val="18"/>
                <w:color w:val="auto"/>
              </w:rPr>
              <w:t>3</w:t>
            </w:r>
          </w:p>
        </w:tc>
      </w:tr>
      <w:tr>
        <w:trPr>
          <w:trHeight w:val="324"/>
        </w:trPr>
        <w:tc>
          <w:tcPr>
            <w:tcW w:w="4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(a)</w:t>
            </w:r>
          </w:p>
        </w:tc>
        <w:tc>
          <w:tcPr>
            <w:tcW w:w="2500" w:type="dxa"/>
            <w:vAlign w:val="bottom"/>
          </w:tcPr>
          <w:p>
            <w:pPr>
              <w:ind w:left="200"/>
              <w:spacing w:after="0"/>
              <w:rPr>
                <w:sz w:val="20"/>
                <w:szCs w:val="20"/>
                <w:color w:val="auto"/>
              </w:rPr>
            </w:pPr>
            <w:r>
              <w:rPr>
                <w:rFonts w:ascii="Arial" w:cs="Arial" w:eastAsia="Arial" w:hAnsi="Arial"/>
                <w:sz w:val="18"/>
                <w:szCs w:val="18"/>
                <w:color w:val="auto"/>
              </w:rPr>
              <w:t>Initial Share Pool  3</w:t>
            </w:r>
          </w:p>
        </w:tc>
        <w:tc>
          <w:tcPr>
            <w:tcW w:w="1040" w:type="dxa"/>
            <w:vAlign w:val="bottom"/>
          </w:tcPr>
          <w:p>
            <w:pPr>
              <w:spacing w:after="0"/>
              <w:rPr>
                <w:sz w:val="24"/>
                <w:szCs w:val="24"/>
                <w:color w:val="auto"/>
              </w:rPr>
            </w:pPr>
          </w:p>
        </w:tc>
      </w:tr>
      <w:tr>
        <w:trPr>
          <w:trHeight w:val="324"/>
        </w:trPr>
        <w:tc>
          <w:tcPr>
            <w:tcW w:w="4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(b)</w:t>
            </w:r>
          </w:p>
        </w:tc>
        <w:tc>
          <w:tcPr>
            <w:tcW w:w="2500" w:type="dxa"/>
            <w:vAlign w:val="bottom"/>
          </w:tcPr>
          <w:p>
            <w:pPr>
              <w:ind w:left="200"/>
              <w:spacing w:after="0"/>
              <w:rPr>
                <w:sz w:val="20"/>
                <w:szCs w:val="20"/>
                <w:color w:val="auto"/>
              </w:rPr>
            </w:pPr>
            <w:r>
              <w:rPr>
                <w:rFonts w:ascii="Arial" w:cs="Arial" w:eastAsia="Arial" w:hAnsi="Arial"/>
                <w:sz w:val="18"/>
                <w:szCs w:val="18"/>
                <w:color w:val="auto"/>
              </w:rPr>
              <w:t>Adjustments to Share Pool</w:t>
            </w:r>
          </w:p>
        </w:tc>
        <w:tc>
          <w:tcPr>
            <w:tcW w:w="1040" w:type="dxa"/>
            <w:vAlign w:val="bottom"/>
          </w:tcPr>
          <w:p>
            <w:pPr>
              <w:jc w:val="right"/>
              <w:ind w:right="810"/>
              <w:spacing w:after="0"/>
              <w:rPr>
                <w:sz w:val="20"/>
                <w:szCs w:val="20"/>
                <w:color w:val="auto"/>
              </w:rPr>
            </w:pPr>
            <w:r>
              <w:rPr>
                <w:rFonts w:ascii="Arial" w:cs="Arial" w:eastAsia="Arial" w:hAnsi="Arial"/>
                <w:sz w:val="18"/>
                <w:szCs w:val="18"/>
                <w:color w:val="auto"/>
              </w:rPr>
              <w:t>3</w:t>
            </w:r>
          </w:p>
        </w:tc>
      </w:tr>
      <w:tr>
        <w:trPr>
          <w:trHeight w:val="324"/>
        </w:trPr>
        <w:tc>
          <w:tcPr>
            <w:tcW w:w="4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(c)</w:t>
            </w:r>
          </w:p>
        </w:tc>
        <w:tc>
          <w:tcPr>
            <w:tcW w:w="3540" w:type="dxa"/>
            <w:vAlign w:val="bottom"/>
            <w:gridSpan w:val="2"/>
          </w:tcPr>
          <w:p>
            <w:pPr>
              <w:ind w:left="200"/>
              <w:spacing w:after="0"/>
              <w:rPr>
                <w:sz w:val="20"/>
                <w:szCs w:val="20"/>
                <w:color w:val="auto"/>
              </w:rPr>
            </w:pPr>
            <w:r>
              <w:rPr>
                <w:rFonts w:ascii="Arial" w:cs="Arial" w:eastAsia="Arial" w:hAnsi="Arial"/>
                <w:sz w:val="18"/>
                <w:szCs w:val="18"/>
                <w:color w:val="auto"/>
              </w:rPr>
              <w:t>Code Section 162(m) Individual Limits  4</w:t>
            </w:r>
          </w:p>
        </w:tc>
      </w:tr>
    </w:tbl>
    <w:p>
      <w:pPr>
        <w:spacing w:after="0" w:line="107"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ISO Limit  4</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Participation  5</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Awards  5</w:t>
      </w:r>
    </w:p>
    <w:p>
      <w:pPr>
        <w:spacing w:after="0" w:line="117" w:lineRule="exact"/>
        <w:rPr>
          <w:sz w:val="20"/>
          <w:szCs w:val="20"/>
          <w:color w:val="auto"/>
        </w:rPr>
      </w:pPr>
    </w:p>
    <w:p>
      <w:pPr>
        <w:ind w:left="660"/>
        <w:spacing w:after="0"/>
        <w:tabs>
          <w:tab w:leader="none" w:pos="1280" w:val="left"/>
          <w:tab w:leader="none" w:pos="30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Awards, In General</w:t>
      </w:r>
      <w:r>
        <w:rPr>
          <w:sz w:val="20"/>
          <w:szCs w:val="20"/>
          <w:color w:val="auto"/>
        </w:rPr>
        <w:tab/>
      </w:r>
      <w:r>
        <w:rPr>
          <w:rFonts w:ascii="Arial" w:cs="Arial" w:eastAsia="Arial" w:hAnsi="Arial"/>
          <w:sz w:val="17"/>
          <w:szCs w:val="17"/>
          <w:color w:val="auto"/>
        </w:rPr>
        <w:t>5</w:t>
      </w:r>
    </w:p>
    <w:p>
      <w:pPr>
        <w:spacing w:after="0" w:line="117" w:lineRule="exact"/>
        <w:rPr>
          <w:sz w:val="20"/>
          <w:szCs w:val="20"/>
          <w:color w:val="auto"/>
        </w:rPr>
      </w:pPr>
    </w:p>
    <w:p>
      <w:pPr>
        <w:ind w:left="660"/>
        <w:spacing w:after="0"/>
        <w:tabs>
          <w:tab w:leader="none" w:pos="1280" w:val="left"/>
          <w:tab w:leader="none" w:pos="54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Minimum Restriction Period for Full Value Awards</w:t>
      </w:r>
      <w:r>
        <w:rPr>
          <w:sz w:val="20"/>
          <w:szCs w:val="20"/>
          <w:color w:val="auto"/>
        </w:rPr>
        <w:tab/>
      </w:r>
      <w:r>
        <w:rPr>
          <w:rFonts w:ascii="Arial" w:cs="Arial" w:eastAsia="Arial" w:hAnsi="Arial"/>
          <w:sz w:val="17"/>
          <w:szCs w:val="17"/>
          <w:color w:val="auto"/>
        </w:rPr>
        <w:t>5</w:t>
      </w:r>
    </w:p>
    <w:p>
      <w:pPr>
        <w:spacing w:after="0" w:line="117"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 Options  5</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440" w:type="dxa"/>
            <w:vAlign w:val="bottom"/>
          </w:tcPr>
          <w:p>
            <w:pPr>
              <w:spacing w:after="0"/>
              <w:rPr>
                <w:sz w:val="20"/>
                <w:szCs w:val="20"/>
                <w:color w:val="auto"/>
              </w:rPr>
            </w:pPr>
            <w:r>
              <w:rPr>
                <w:rFonts w:ascii="Arial" w:cs="Arial" w:eastAsia="Arial" w:hAnsi="Arial"/>
                <w:sz w:val="18"/>
                <w:szCs w:val="18"/>
                <w:color w:val="auto"/>
              </w:rPr>
              <w:t>(d)</w:t>
            </w: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Limitation on Reload Options  6</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(e)</w:t>
            </w:r>
          </w:p>
        </w:tc>
        <w:tc>
          <w:tcPr>
            <w:tcW w:w="2300" w:type="dxa"/>
            <w:vAlign w:val="bottom"/>
          </w:tcPr>
          <w:p>
            <w:pPr>
              <w:ind w:left="200"/>
              <w:spacing w:after="0"/>
              <w:rPr>
                <w:sz w:val="20"/>
                <w:szCs w:val="20"/>
                <w:color w:val="auto"/>
              </w:rPr>
            </w:pPr>
            <w:r>
              <w:rPr>
                <w:rFonts w:ascii="Arial" w:cs="Arial" w:eastAsia="Arial" w:hAnsi="Arial"/>
                <w:sz w:val="18"/>
                <w:szCs w:val="18"/>
                <w:color w:val="auto"/>
              </w:rPr>
              <w:t>Stock Appreciation Rights</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6</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(f)</w:t>
            </w:r>
          </w:p>
        </w:tc>
        <w:tc>
          <w:tcPr>
            <w:tcW w:w="2300" w:type="dxa"/>
            <w:vAlign w:val="bottom"/>
          </w:tcPr>
          <w:p>
            <w:pPr>
              <w:ind w:left="200"/>
              <w:spacing w:after="0"/>
              <w:rPr>
                <w:sz w:val="20"/>
                <w:szCs w:val="20"/>
                <w:color w:val="auto"/>
              </w:rPr>
            </w:pPr>
            <w:r>
              <w:rPr>
                <w:rFonts w:ascii="Arial" w:cs="Arial" w:eastAsia="Arial" w:hAnsi="Arial"/>
                <w:sz w:val="18"/>
                <w:szCs w:val="18"/>
                <w:color w:val="auto"/>
              </w:rPr>
              <w:t>Prohibition on Repricing</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7</w:t>
            </w:r>
          </w:p>
        </w:tc>
      </w:tr>
    </w:tbl>
    <w:p>
      <w:pPr>
        <w:spacing w:after="0" w:line="107"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 Awards  7</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 Units  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 w:type="dxa"/>
            <w:vAlign w:val="bottom"/>
          </w:tcPr>
          <w:p>
            <w:pPr>
              <w:spacing w:after="0"/>
              <w:rPr>
                <w:sz w:val="18"/>
                <w:szCs w:val="18"/>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(i)</w:t>
            </w:r>
          </w:p>
        </w:tc>
        <w:tc>
          <w:tcPr>
            <w:tcW w:w="4220" w:type="dxa"/>
            <w:vAlign w:val="bottom"/>
          </w:tcPr>
          <w:p>
            <w:pPr>
              <w:ind w:left="180"/>
              <w:spacing w:after="0"/>
              <w:rPr>
                <w:sz w:val="20"/>
                <w:szCs w:val="20"/>
                <w:color w:val="auto"/>
              </w:rPr>
            </w:pPr>
            <w:r>
              <w:rPr>
                <w:rFonts w:ascii="Arial" w:cs="Arial" w:eastAsia="Arial" w:hAnsi="Arial"/>
                <w:sz w:val="18"/>
                <w:szCs w:val="18"/>
                <w:color w:val="auto"/>
              </w:rPr>
              <w:t>Performance Shares and Performance Units  9</w:t>
            </w:r>
          </w:p>
        </w:tc>
        <w:tc>
          <w:tcPr>
            <w:tcW w:w="1360" w:type="dxa"/>
            <w:vAlign w:val="bottom"/>
          </w:tcPr>
          <w:p>
            <w:pPr>
              <w:spacing w:after="0"/>
              <w:rPr>
                <w:sz w:val="18"/>
                <w:szCs w:val="18"/>
                <w:color w:val="auto"/>
              </w:rPr>
            </w:pPr>
          </w:p>
        </w:tc>
      </w:tr>
      <w:tr>
        <w:trPr>
          <w:trHeight w:val="324"/>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(j)</w:t>
            </w:r>
          </w:p>
        </w:tc>
        <w:tc>
          <w:tcPr>
            <w:tcW w:w="4220" w:type="dxa"/>
            <w:vAlign w:val="bottom"/>
          </w:tcPr>
          <w:p>
            <w:pPr>
              <w:ind w:left="180"/>
              <w:spacing w:after="0"/>
              <w:rPr>
                <w:sz w:val="20"/>
                <w:szCs w:val="20"/>
                <w:color w:val="auto"/>
              </w:rPr>
            </w:pPr>
            <w:r>
              <w:rPr>
                <w:rFonts w:ascii="Arial" w:cs="Arial" w:eastAsia="Arial" w:hAnsi="Arial"/>
                <w:sz w:val="18"/>
                <w:szCs w:val="18"/>
                <w:color w:val="auto"/>
              </w:rPr>
              <w:t>Other Stock-Based Awards  9</w:t>
            </w:r>
          </w:p>
        </w:tc>
        <w:tc>
          <w:tcPr>
            <w:tcW w:w="13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(k)</w:t>
            </w:r>
          </w:p>
        </w:tc>
        <w:tc>
          <w:tcPr>
            <w:tcW w:w="4220" w:type="dxa"/>
            <w:vAlign w:val="bottom"/>
          </w:tcPr>
          <w:p>
            <w:pPr>
              <w:ind w:left="180"/>
              <w:spacing w:after="0"/>
              <w:rPr>
                <w:sz w:val="20"/>
                <w:szCs w:val="20"/>
                <w:color w:val="auto"/>
              </w:rPr>
            </w:pPr>
            <w:r>
              <w:rPr>
                <w:rFonts w:ascii="Arial" w:cs="Arial" w:eastAsia="Arial" w:hAnsi="Arial"/>
                <w:sz w:val="18"/>
                <w:szCs w:val="18"/>
                <w:color w:val="auto"/>
              </w:rPr>
              <w:t>Qualified Performance-Based Awards  9</w:t>
            </w:r>
          </w:p>
        </w:tc>
        <w:tc>
          <w:tcPr>
            <w:tcW w:w="13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(l)</w:t>
            </w:r>
          </w:p>
        </w:tc>
        <w:tc>
          <w:tcPr>
            <w:tcW w:w="4220" w:type="dxa"/>
            <w:vAlign w:val="bottom"/>
          </w:tcPr>
          <w:p>
            <w:pPr>
              <w:ind w:left="180"/>
              <w:spacing w:after="0"/>
              <w:rPr>
                <w:sz w:val="20"/>
                <w:szCs w:val="20"/>
                <w:color w:val="auto"/>
              </w:rPr>
            </w:pPr>
            <w:r>
              <w:rPr>
                <w:rFonts w:ascii="Arial" w:cs="Arial" w:eastAsia="Arial" w:hAnsi="Arial"/>
                <w:sz w:val="18"/>
                <w:szCs w:val="18"/>
                <w:color w:val="auto"/>
              </w:rPr>
              <w:t>Awards to Participants Outside the United States</w:t>
            </w:r>
          </w:p>
        </w:tc>
        <w:tc>
          <w:tcPr>
            <w:tcW w:w="1360" w:type="dxa"/>
            <w:vAlign w:val="bottom"/>
          </w:tcPr>
          <w:p>
            <w:pPr>
              <w:jc w:val="right"/>
              <w:ind w:right="1010"/>
              <w:spacing w:after="0"/>
              <w:rPr>
                <w:sz w:val="20"/>
                <w:szCs w:val="20"/>
                <w:color w:val="auto"/>
              </w:rPr>
            </w:pPr>
            <w:r>
              <w:rPr>
                <w:rFonts w:ascii="Arial" w:cs="Arial" w:eastAsia="Arial" w:hAnsi="Arial"/>
                <w:sz w:val="18"/>
                <w:szCs w:val="18"/>
                <w:color w:val="auto"/>
              </w:rPr>
              <w:t>11</w:t>
            </w:r>
          </w:p>
        </w:tc>
      </w:tr>
      <w:tr>
        <w:trPr>
          <w:trHeight w:val="324"/>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(m)</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Limitation on Dividend Reinvestment and Dividend Equivalents  11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Withholding of Taxes  11</w:t>
            </w:r>
          </w:p>
        </w:tc>
        <w:tc>
          <w:tcPr>
            <w:tcW w:w="136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Transferability of Awards  11</w:t>
            </w:r>
          </w:p>
        </w:tc>
        <w:tc>
          <w:tcPr>
            <w:tcW w:w="136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Adjustments for Corporate Transactions and Other Events</w:t>
            </w:r>
          </w:p>
        </w:tc>
        <w:tc>
          <w:tcPr>
            <w:tcW w:w="1360" w:type="dxa"/>
            <w:vAlign w:val="bottom"/>
          </w:tcPr>
          <w:p>
            <w:pPr>
              <w:jc w:val="right"/>
              <w:ind w:right="930"/>
              <w:spacing w:after="0"/>
              <w:rPr>
                <w:sz w:val="20"/>
                <w:szCs w:val="20"/>
                <w:color w:val="auto"/>
              </w:rPr>
            </w:pPr>
            <w:r>
              <w:rPr>
                <w:rFonts w:ascii="Arial" w:cs="Arial" w:eastAsia="Arial" w:hAnsi="Arial"/>
                <w:sz w:val="18"/>
                <w:szCs w:val="18"/>
                <w:color w:val="auto"/>
              </w:rPr>
              <w:t>12</w:t>
            </w:r>
          </w:p>
        </w:tc>
      </w:tr>
      <w:tr>
        <w:trPr>
          <w:trHeight w:val="324"/>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(a)</w:t>
            </w:r>
          </w:p>
        </w:tc>
        <w:tc>
          <w:tcPr>
            <w:tcW w:w="4220" w:type="dxa"/>
            <w:vAlign w:val="bottom"/>
          </w:tcPr>
          <w:p>
            <w:pPr>
              <w:ind w:left="180"/>
              <w:spacing w:after="0"/>
              <w:rPr>
                <w:sz w:val="20"/>
                <w:szCs w:val="20"/>
                <w:color w:val="auto"/>
              </w:rPr>
            </w:pPr>
            <w:r>
              <w:rPr>
                <w:rFonts w:ascii="Arial" w:cs="Arial" w:eastAsia="Arial" w:hAnsi="Arial"/>
                <w:sz w:val="18"/>
                <w:szCs w:val="18"/>
                <w:color w:val="auto"/>
              </w:rPr>
              <w:t>Mandatory Adjustments  12</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616" w:right="239" w:bottom="0" w:gutter="0" w:footer="0" w:header="0"/>
        </w:sectPr>
      </w:pPr>
    </w:p>
    <w:bookmarkStart w:id="71" w:name="page72"/>
    <w:bookmarkEnd w:id="71"/>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Discretionary Adjustments  12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(c)</w:t>
            </w: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Adjustments to Performance Goals  12</w:t>
            </w:r>
          </w:p>
        </w:tc>
        <w:tc>
          <w:tcPr>
            <w:tcW w:w="360" w:type="dxa"/>
            <w:vAlign w:val="bottom"/>
          </w:tcPr>
          <w:p>
            <w:pPr>
              <w:spacing w:after="0"/>
              <w:rPr>
                <w:sz w:val="18"/>
                <w:szCs w:val="18"/>
                <w:color w:val="auto"/>
              </w:rPr>
            </w:pP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(d)</w:t>
            </w: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Statutory Requirements Affecting Adjustments  13</w:t>
            </w:r>
          </w:p>
        </w:tc>
        <w:tc>
          <w:tcPr>
            <w:tcW w:w="3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(e)</w:t>
            </w: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Dissolution or Liquidation  13</w:t>
            </w:r>
          </w:p>
        </w:tc>
        <w:tc>
          <w:tcPr>
            <w:tcW w:w="360" w:type="dxa"/>
            <w:vAlign w:val="bottom"/>
          </w:tcPr>
          <w:p>
            <w:pPr>
              <w:spacing w:after="0"/>
              <w:rPr>
                <w:sz w:val="24"/>
                <w:szCs w:val="24"/>
                <w:color w:val="auto"/>
              </w:rPr>
            </w:pPr>
          </w:p>
        </w:tc>
      </w:tr>
      <w:tr>
        <w:trPr>
          <w:trHeight w:val="324"/>
        </w:trPr>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11.</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Change in Control Provisions</w:t>
            </w:r>
          </w:p>
        </w:tc>
        <w:tc>
          <w:tcPr>
            <w:tcW w:w="2280" w:type="dxa"/>
            <w:vAlign w:val="bottom"/>
          </w:tcPr>
          <w:p>
            <w:pPr>
              <w:jc w:val="right"/>
              <w:ind w:right="1970"/>
              <w:spacing w:after="0"/>
              <w:rPr>
                <w:sz w:val="20"/>
                <w:szCs w:val="20"/>
                <w:color w:val="auto"/>
              </w:rPr>
            </w:pPr>
            <w:r>
              <w:rPr>
                <w:rFonts w:ascii="Arial" w:cs="Arial" w:eastAsia="Arial" w:hAnsi="Arial"/>
                <w:sz w:val="18"/>
                <w:szCs w:val="18"/>
                <w:color w:val="auto"/>
                <w:w w:val="99"/>
              </w:rPr>
              <w:t>13</w:t>
            </w:r>
          </w:p>
        </w:tc>
        <w:tc>
          <w:tcPr>
            <w:tcW w:w="3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(a)</w:t>
            </w:r>
          </w:p>
        </w:tc>
        <w:tc>
          <w:tcPr>
            <w:tcW w:w="2060" w:type="dxa"/>
            <w:vAlign w:val="bottom"/>
          </w:tcPr>
          <w:p>
            <w:pPr>
              <w:ind w:left="200"/>
              <w:spacing w:after="0"/>
              <w:rPr>
                <w:sz w:val="20"/>
                <w:szCs w:val="20"/>
                <w:color w:val="auto"/>
              </w:rPr>
            </w:pPr>
            <w:r>
              <w:rPr>
                <w:rFonts w:ascii="Arial" w:cs="Arial" w:eastAsia="Arial" w:hAnsi="Arial"/>
                <w:sz w:val="18"/>
                <w:szCs w:val="18"/>
                <w:color w:val="auto"/>
              </w:rPr>
              <w:t>Termination of Awards</w:t>
            </w:r>
          </w:p>
        </w:tc>
        <w:tc>
          <w:tcPr>
            <w:tcW w:w="2280" w:type="dxa"/>
            <w:vAlign w:val="bottom"/>
          </w:tcPr>
          <w:p>
            <w:pPr>
              <w:jc w:val="right"/>
              <w:ind w:right="187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(b)</w:t>
            </w: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Continuation, Assumption or Substitution of Awards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6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(c)</w:t>
            </w: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Section 409A Savings Clause  14</w:t>
            </w:r>
          </w:p>
        </w:tc>
        <w:tc>
          <w:tcPr>
            <w:tcW w:w="360" w:type="dxa"/>
            <w:vAlign w:val="bottom"/>
          </w:tcPr>
          <w:p>
            <w:pPr>
              <w:spacing w:after="0"/>
              <w:rPr>
                <w:sz w:val="24"/>
                <w:szCs w:val="24"/>
                <w:color w:val="auto"/>
              </w:rPr>
            </w:pPr>
          </w:p>
        </w:tc>
      </w:tr>
      <w:tr>
        <w:trPr>
          <w:trHeight w:val="324"/>
        </w:trPr>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12.</w:t>
            </w:r>
          </w:p>
        </w:tc>
        <w:tc>
          <w:tcPr>
            <w:tcW w:w="4980" w:type="dxa"/>
            <w:vAlign w:val="bottom"/>
            <w:gridSpan w:val="3"/>
          </w:tcPr>
          <w:p>
            <w:pPr>
              <w:ind w:left="200"/>
              <w:spacing w:after="0"/>
              <w:rPr>
                <w:sz w:val="20"/>
                <w:szCs w:val="20"/>
                <w:color w:val="auto"/>
              </w:rPr>
            </w:pPr>
            <w:r>
              <w:rPr>
                <w:rFonts w:ascii="Arial" w:cs="Arial" w:eastAsia="Arial" w:hAnsi="Arial"/>
                <w:sz w:val="18"/>
                <w:szCs w:val="18"/>
                <w:color w:val="auto"/>
              </w:rPr>
              <w:t>Substitution of Awards in Mergers and Acquisitions  14</w:t>
            </w:r>
          </w:p>
        </w:tc>
        <w:tc>
          <w:tcPr>
            <w:tcW w:w="360" w:type="dxa"/>
            <w:vAlign w:val="bottom"/>
          </w:tcPr>
          <w:p>
            <w:pPr>
              <w:spacing w:after="0"/>
              <w:rPr>
                <w:sz w:val="24"/>
                <w:szCs w:val="24"/>
                <w:color w:val="auto"/>
              </w:rPr>
            </w:pPr>
          </w:p>
        </w:tc>
      </w:tr>
      <w:tr>
        <w:trPr>
          <w:trHeight w:val="324"/>
        </w:trPr>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13.</w:t>
            </w:r>
          </w:p>
        </w:tc>
        <w:tc>
          <w:tcPr>
            <w:tcW w:w="4980" w:type="dxa"/>
            <w:vAlign w:val="bottom"/>
            <w:gridSpan w:val="3"/>
          </w:tcPr>
          <w:p>
            <w:pPr>
              <w:ind w:left="200"/>
              <w:spacing w:after="0"/>
              <w:rPr>
                <w:sz w:val="20"/>
                <w:szCs w:val="20"/>
                <w:color w:val="auto"/>
              </w:rPr>
            </w:pPr>
            <w:r>
              <w:rPr>
                <w:rFonts w:ascii="Arial" w:cs="Arial" w:eastAsia="Arial" w:hAnsi="Arial"/>
                <w:sz w:val="18"/>
                <w:szCs w:val="18"/>
                <w:color w:val="auto"/>
              </w:rPr>
              <w:t>Compliance with Securities Laws; Listing and Registration</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14</w:t>
            </w:r>
          </w:p>
        </w:tc>
      </w:tr>
      <w:tr>
        <w:trPr>
          <w:trHeight w:val="324"/>
        </w:trPr>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14.</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Section 409A Compliance  15</w:t>
            </w: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4"/>
        </w:trPr>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15.</w:t>
            </w:r>
          </w:p>
        </w:tc>
        <w:tc>
          <w:tcPr>
            <w:tcW w:w="4980" w:type="dxa"/>
            <w:vAlign w:val="bottom"/>
            <w:gridSpan w:val="3"/>
          </w:tcPr>
          <w:p>
            <w:pPr>
              <w:ind w:left="200"/>
              <w:spacing w:after="0"/>
              <w:rPr>
                <w:sz w:val="20"/>
                <w:szCs w:val="20"/>
                <w:color w:val="auto"/>
              </w:rPr>
            </w:pPr>
            <w:r>
              <w:rPr>
                <w:rFonts w:ascii="Arial" w:cs="Arial" w:eastAsia="Arial" w:hAnsi="Arial"/>
                <w:sz w:val="18"/>
                <w:szCs w:val="18"/>
                <w:color w:val="auto"/>
              </w:rPr>
              <w:t>Plan Duration; Amendment and Discontinuance  15</w:t>
            </w:r>
          </w:p>
        </w:tc>
        <w:tc>
          <w:tcPr>
            <w:tcW w:w="360" w:type="dxa"/>
            <w:vAlign w:val="bottom"/>
          </w:tcPr>
          <w:p>
            <w:pPr>
              <w:spacing w:after="0"/>
              <w:rPr>
                <w:sz w:val="24"/>
                <w:szCs w:val="24"/>
                <w:color w:val="auto"/>
              </w:rPr>
            </w:pPr>
          </w:p>
        </w:tc>
      </w:tr>
    </w:tbl>
    <w:p>
      <w:pPr>
        <w:spacing w:after="0" w:line="107"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Plan Duration  15</w:t>
      </w:r>
    </w:p>
    <w:p>
      <w:pPr>
        <w:sectPr>
          <w:pgSz w:w="11900" w:h="16838" w:orient="portrait"/>
          <w:cols w:equalWidth="0" w:num="1">
            <w:col w:w="11420"/>
          </w:cols>
          <w:pgMar w:left="240" w:top="166" w:right="239" w:bottom="0" w:gutter="0" w:footer="0" w:header="0"/>
        </w:sectPr>
      </w:pP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Amendment and Discontinuance of the Plan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16</w:t>
      </w:r>
    </w:p>
    <w:p>
      <w:pPr>
        <w:spacing w:after="0" w:line="128" w:lineRule="exact"/>
        <w:rPr>
          <w:sz w:val="20"/>
          <w:szCs w:val="20"/>
          <w:color w:val="auto"/>
        </w:rPr>
      </w:pPr>
    </w:p>
    <w:p>
      <w:pPr>
        <w:sectPr>
          <w:pgSz w:w="11900" w:h="16838" w:orient="portrait"/>
          <w:cols w:equalWidth="0" w:num="2">
            <w:col w:w="4820" w:space="200"/>
            <w:col w:w="6400"/>
          </w:cols>
          <w:pgMar w:left="240" w:top="166" w:right="239" w:bottom="0" w:gutter="0" w:footer="0" w:header="0"/>
          <w:type w:val="continuous"/>
        </w:sectPr>
      </w:pPr>
    </w:p>
    <w:p>
      <w:pPr>
        <w:ind w:left="660"/>
        <w:spacing w:after="0"/>
        <w:tabs>
          <w:tab w:leader="none" w:pos="1280" w:val="left"/>
        </w:tabs>
        <w:rPr>
          <w:sz w:val="20"/>
          <w:szCs w:val="20"/>
          <w:color w:val="auto"/>
        </w:rPr>
      </w:pPr>
      <w:r>
        <w:rPr>
          <w:rFonts w:ascii="Arial" w:cs="Arial" w:eastAsia="Arial" w:hAnsi="Arial"/>
          <w:sz w:val="17"/>
          <w:szCs w:val="17"/>
          <w:color w:val="auto"/>
        </w:rPr>
        <w:t>(c)</w:t>
      </w:r>
      <w:r>
        <w:rPr>
          <w:sz w:val="20"/>
          <w:szCs w:val="20"/>
          <w:color w:val="auto"/>
        </w:rPr>
        <w:tab/>
      </w:r>
      <w:r>
        <w:rPr>
          <w:rFonts w:ascii="Arial" w:cs="Arial" w:eastAsia="Arial" w:hAnsi="Arial"/>
          <w:sz w:val="17"/>
          <w:szCs w:val="17"/>
          <w:color w:val="auto"/>
        </w:rPr>
        <w:t>Amendment of Awards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16</w:t>
      </w:r>
    </w:p>
    <w:p>
      <w:pPr>
        <w:spacing w:after="0" w:line="129" w:lineRule="exact"/>
        <w:rPr>
          <w:sz w:val="20"/>
          <w:szCs w:val="20"/>
          <w:color w:val="auto"/>
        </w:rPr>
      </w:pPr>
    </w:p>
    <w:p>
      <w:pPr>
        <w:sectPr>
          <w:pgSz w:w="11900" w:h="16838" w:orient="portrait"/>
          <w:cols w:equalWidth="0" w:num="2">
            <w:col w:w="3120" w:space="200"/>
            <w:col w:w="8100"/>
          </w:cols>
          <w:pgMar w:left="240" w:top="166" w:right="239" w:bottom="0" w:gutter="0" w:footer="0" w:header="0"/>
          <w:type w:val="continuous"/>
        </w:sect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Provisions  16</w:t>
      </w:r>
    </w:p>
    <w:p>
      <w:pPr>
        <w:sectPr>
          <w:pgSz w:w="11900" w:h="16838" w:orient="portrait"/>
          <w:cols w:equalWidth="0" w:num="1">
            <w:col w:w="11420"/>
          </w:cols>
          <w:pgMar w:left="240" w:top="166" w:right="239" w:bottom="0" w:gutter="0" w:footer="0" w:header="0"/>
          <w:type w:val="continuous"/>
        </w:sectPr>
      </w:pP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Non-Guarantee of Employment or Service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16</w:t>
      </w:r>
    </w:p>
    <w:p>
      <w:pPr>
        <w:spacing w:after="0" w:line="128" w:lineRule="exact"/>
        <w:rPr>
          <w:sz w:val="20"/>
          <w:szCs w:val="20"/>
          <w:color w:val="auto"/>
        </w:rPr>
      </w:pPr>
    </w:p>
    <w:p>
      <w:pPr>
        <w:sectPr>
          <w:pgSz w:w="11900" w:h="16838" w:orient="portrait"/>
          <w:cols w:equalWidth="0" w:num="2">
            <w:col w:w="4660" w:space="200"/>
            <w:col w:w="6560"/>
          </w:cols>
          <w:pgMar w:left="240" w:top="166" w:right="239" w:bottom="0" w:gutter="0" w:footer="0" w:header="0"/>
          <w:type w:val="continuous"/>
        </w:sectPr>
      </w:pPr>
    </w:p>
    <w:p>
      <w:pPr>
        <w:ind w:left="660"/>
        <w:spacing w:after="0"/>
        <w:tabs>
          <w:tab w:leader="none" w:pos="128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7"/>
          <w:szCs w:val="17"/>
          <w:color w:val="auto"/>
        </w:rPr>
        <w:t>No Trust or Fund Created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16</w:t>
      </w:r>
    </w:p>
    <w:p>
      <w:pPr>
        <w:spacing w:after="0" w:line="129" w:lineRule="exact"/>
        <w:rPr>
          <w:sz w:val="20"/>
          <w:szCs w:val="20"/>
          <w:color w:val="auto"/>
        </w:rPr>
      </w:pPr>
    </w:p>
    <w:p>
      <w:pPr>
        <w:sectPr>
          <w:pgSz w:w="11900" w:h="16838" w:orient="portrait"/>
          <w:cols w:equalWidth="0" w:num="2">
            <w:col w:w="3340" w:space="200"/>
            <w:col w:w="7880"/>
          </w:cols>
          <w:pgMar w:left="240" w:top="166" w:right="239" w:bottom="0" w:gutter="0" w:footer="0" w:header="0"/>
          <w:type w:val="continuous"/>
        </w:sectPr>
      </w:pPr>
    </w:p>
    <w:p>
      <w:pPr>
        <w:ind w:left="660"/>
        <w:spacing w:after="0"/>
        <w:tabs>
          <w:tab w:leader="none" w:pos="1280" w:val="left"/>
        </w:tabs>
        <w:rPr>
          <w:sz w:val="20"/>
          <w:szCs w:val="20"/>
          <w:color w:val="auto"/>
        </w:rPr>
      </w:pPr>
      <w:r>
        <w:rPr>
          <w:rFonts w:ascii="Arial" w:cs="Arial" w:eastAsia="Arial" w:hAnsi="Arial"/>
          <w:sz w:val="17"/>
          <w:szCs w:val="17"/>
          <w:color w:val="auto"/>
        </w:rPr>
        <w:t>(c)</w:t>
      </w:r>
      <w:r>
        <w:rPr>
          <w:sz w:val="20"/>
          <w:szCs w:val="20"/>
          <w:color w:val="auto"/>
        </w:rPr>
        <w:tab/>
      </w:r>
      <w:r>
        <w:rPr>
          <w:rFonts w:ascii="Arial" w:cs="Arial" w:eastAsia="Arial" w:hAnsi="Arial"/>
          <w:sz w:val="17"/>
          <w:szCs w:val="17"/>
          <w:color w:val="auto"/>
        </w:rPr>
        <w:t>Status of Awards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16</w:t>
      </w:r>
    </w:p>
    <w:p>
      <w:pPr>
        <w:spacing w:after="0" w:line="129" w:lineRule="exact"/>
        <w:rPr>
          <w:sz w:val="20"/>
          <w:szCs w:val="20"/>
          <w:color w:val="auto"/>
        </w:rPr>
      </w:pPr>
    </w:p>
    <w:p>
      <w:pPr>
        <w:sectPr>
          <w:pgSz w:w="11900" w:h="16838" w:orient="portrait"/>
          <w:cols w:equalWidth="0" w:num="2">
            <w:col w:w="2660" w:space="200"/>
            <w:col w:w="8560"/>
          </w:cols>
          <w:pgMar w:left="240" w:top="166" w:right="239" w:bottom="0" w:gutter="0" w:footer="0" w:header="0"/>
          <w:type w:val="continuous"/>
        </w:sect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Affiliate Employees  17</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440" w:type="dxa"/>
            <w:vAlign w:val="bottom"/>
          </w:tcPr>
          <w:p>
            <w:pPr>
              <w:spacing w:after="0"/>
              <w:rPr>
                <w:sz w:val="20"/>
                <w:szCs w:val="20"/>
                <w:color w:val="auto"/>
              </w:rPr>
            </w:pPr>
            <w:r>
              <w:rPr>
                <w:rFonts w:ascii="Arial" w:cs="Arial" w:eastAsia="Arial" w:hAnsi="Arial"/>
                <w:sz w:val="18"/>
                <w:szCs w:val="18"/>
                <w:color w:val="auto"/>
              </w:rPr>
              <w:t>(e)</w:t>
            </w:r>
          </w:p>
        </w:tc>
        <w:tc>
          <w:tcPr>
            <w:tcW w:w="3280" w:type="dxa"/>
            <w:vAlign w:val="bottom"/>
            <w:gridSpan w:val="2"/>
          </w:tcPr>
          <w:p>
            <w:pPr>
              <w:ind w:left="200"/>
              <w:spacing w:after="0"/>
              <w:rPr>
                <w:sz w:val="20"/>
                <w:szCs w:val="20"/>
                <w:color w:val="auto"/>
              </w:rPr>
            </w:pPr>
            <w:r>
              <w:rPr>
                <w:rFonts w:ascii="Arial" w:cs="Arial" w:eastAsia="Arial" w:hAnsi="Arial"/>
                <w:sz w:val="18"/>
                <w:szCs w:val="18"/>
                <w:color w:val="auto"/>
              </w:rPr>
              <w:t>Governing Law and Interpretation  17</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(f)</w:t>
            </w:r>
          </w:p>
        </w:tc>
        <w:tc>
          <w:tcPr>
            <w:tcW w:w="2380" w:type="dxa"/>
            <w:vAlign w:val="bottom"/>
          </w:tcPr>
          <w:p>
            <w:pPr>
              <w:ind w:left="200"/>
              <w:spacing w:after="0"/>
              <w:rPr>
                <w:sz w:val="20"/>
                <w:szCs w:val="20"/>
                <w:color w:val="auto"/>
              </w:rPr>
            </w:pPr>
            <w:r>
              <w:rPr>
                <w:rFonts w:ascii="Arial" w:cs="Arial" w:eastAsia="Arial" w:hAnsi="Arial"/>
                <w:sz w:val="18"/>
                <w:szCs w:val="18"/>
                <w:color w:val="auto"/>
              </w:rPr>
              <w:t>Use of English Language</w:t>
            </w:r>
          </w:p>
        </w:tc>
        <w:tc>
          <w:tcPr>
            <w:tcW w:w="900" w:type="dxa"/>
            <w:vAlign w:val="bottom"/>
          </w:tcPr>
          <w:p>
            <w:pPr>
              <w:jc w:val="right"/>
              <w:ind w:right="570"/>
              <w:spacing w:after="0"/>
              <w:rPr>
                <w:sz w:val="20"/>
                <w:szCs w:val="20"/>
                <w:color w:val="auto"/>
              </w:rPr>
            </w:pPr>
            <w:r>
              <w:rPr>
                <w:rFonts w:ascii="Arial" w:cs="Arial" w:eastAsia="Arial" w:hAnsi="Arial"/>
                <w:sz w:val="18"/>
                <w:szCs w:val="18"/>
                <w:color w:val="auto"/>
              </w:rPr>
              <w:t>17</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(g)</w:t>
            </w:r>
          </w:p>
        </w:tc>
        <w:tc>
          <w:tcPr>
            <w:tcW w:w="2380" w:type="dxa"/>
            <w:vAlign w:val="bottom"/>
          </w:tcPr>
          <w:p>
            <w:pPr>
              <w:ind w:left="200"/>
              <w:spacing w:after="0"/>
              <w:rPr>
                <w:sz w:val="20"/>
                <w:szCs w:val="20"/>
                <w:color w:val="auto"/>
              </w:rPr>
            </w:pPr>
            <w:r>
              <w:rPr>
                <w:rFonts w:ascii="Arial" w:cs="Arial" w:eastAsia="Arial" w:hAnsi="Arial"/>
                <w:sz w:val="18"/>
                <w:szCs w:val="18"/>
                <w:color w:val="auto"/>
              </w:rPr>
              <w:t>Recovery of Amounts Paid</w:t>
            </w:r>
          </w:p>
        </w:tc>
        <w:tc>
          <w:tcPr>
            <w:tcW w:w="900" w:type="dxa"/>
            <w:vAlign w:val="bottom"/>
          </w:tcPr>
          <w:p>
            <w:pPr>
              <w:jc w:val="right"/>
              <w:ind w:right="450"/>
              <w:spacing w:after="0"/>
              <w:rPr>
                <w:sz w:val="20"/>
                <w:szCs w:val="20"/>
                <w:color w:val="auto"/>
              </w:rPr>
            </w:pPr>
            <w:r>
              <w:rPr>
                <w:rFonts w:ascii="Arial" w:cs="Arial" w:eastAsia="Arial" w:hAnsi="Arial"/>
                <w:sz w:val="18"/>
                <w:szCs w:val="18"/>
                <w:color w:val="auto"/>
              </w:rPr>
              <w:t>17</w:t>
            </w:r>
          </w:p>
        </w:tc>
      </w:tr>
    </w:tbl>
    <w:p>
      <w:pPr>
        <w:spacing w:after="0" w:line="107"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Glossary  17</w:t>
      </w: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w:t>
      </w:r>
      <w:r>
        <w:rPr>
          <w:rFonts w:ascii="Arial" w:cs="Arial" w:eastAsia="Arial" w:hAnsi="Arial"/>
          <w:sz w:val="18"/>
          <w:szCs w:val="18"/>
          <w:b w:val="1"/>
          <w:bCs w:val="1"/>
          <w:color w:val="auto"/>
        </w:rPr>
        <w:t>History; Effective Date.</w:t>
      </w:r>
    </w:p>
    <w:p>
      <w:pPr>
        <w:spacing w:after="0" w:line="233"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T. ROWE PRICE GROUP, INC., a Maryland corporation (“</w:t>
      </w:r>
      <w:r>
        <w:rPr>
          <w:rFonts w:ascii="Arial" w:cs="Arial" w:eastAsia="Arial" w:hAnsi="Arial"/>
          <w:sz w:val="18"/>
          <w:szCs w:val="18"/>
          <w:i w:val="1"/>
          <w:iCs w:val="1"/>
          <w:color w:val="auto"/>
        </w:rPr>
        <w:t>Price Group</w:t>
      </w:r>
      <w:r>
        <w:rPr>
          <w:rFonts w:ascii="Arial" w:cs="Arial" w:eastAsia="Arial" w:hAnsi="Arial"/>
          <w:sz w:val="18"/>
          <w:szCs w:val="18"/>
          <w:color w:val="auto"/>
        </w:rPr>
        <w:t>”), has established the T. ROWE PRICE GROUP, INC. 2012 LONG-TERM INCENTIVE PLAN, as set forth herein, and as the same may be amended from time to time (the “</w:t>
      </w:r>
      <w:r>
        <w:rPr>
          <w:rFonts w:ascii="Arial" w:cs="Arial" w:eastAsia="Arial" w:hAnsi="Arial"/>
          <w:sz w:val="18"/>
          <w:szCs w:val="18"/>
          <w:i w:val="1"/>
          <w:iCs w:val="1"/>
          <w:color w:val="auto"/>
        </w:rPr>
        <w:t>Plan</w:t>
      </w:r>
      <w:r>
        <w:rPr>
          <w:rFonts w:ascii="Arial" w:cs="Arial" w:eastAsia="Arial" w:hAnsi="Arial"/>
          <w:sz w:val="18"/>
          <w:szCs w:val="18"/>
          <w:color w:val="auto"/>
        </w:rPr>
        <w:t>”). The Plan was adopted by the Board of Directors of Price Group (the “</w:t>
      </w:r>
      <w:r>
        <w:rPr>
          <w:rFonts w:ascii="Arial" w:cs="Arial" w:eastAsia="Arial" w:hAnsi="Arial"/>
          <w:sz w:val="18"/>
          <w:szCs w:val="18"/>
          <w:i w:val="1"/>
          <w:iCs w:val="1"/>
          <w:color w:val="auto"/>
        </w:rPr>
        <w:t>Board</w:t>
      </w:r>
      <w:r>
        <w:rPr>
          <w:rFonts w:ascii="Arial" w:cs="Arial" w:eastAsia="Arial" w:hAnsi="Arial"/>
          <w:sz w:val="18"/>
          <w:szCs w:val="18"/>
          <w:color w:val="auto"/>
        </w:rPr>
        <w:t>”) on February 23, 2012 as a successor plan to Price Group’s 2004 Stock Incentive Plan, and is effective as of the date that it is approved by the stockholders of Price Group (the “</w:t>
      </w:r>
      <w:r>
        <w:rPr>
          <w:rFonts w:ascii="Arial" w:cs="Arial" w:eastAsia="Arial" w:hAnsi="Arial"/>
          <w:sz w:val="18"/>
          <w:szCs w:val="18"/>
          <w:i w:val="1"/>
          <w:iCs w:val="1"/>
          <w:color w:val="auto"/>
        </w:rPr>
        <w:t>Effective Date</w:t>
      </w:r>
      <w:r>
        <w:rPr>
          <w:rFonts w:ascii="Arial" w:cs="Arial" w:eastAsia="Arial" w:hAnsi="Arial"/>
          <w:sz w:val="18"/>
          <w:szCs w:val="18"/>
          <w:color w:val="auto"/>
        </w:rPr>
        <w:t>”). No awards will be made under Price Group’s 2004 Stock Incentive Plan after the Effective Date of this Plan.</w:t>
      </w:r>
    </w:p>
    <w:p>
      <w:pPr>
        <w:spacing w:after="0" w:line="206"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22"/>
          <w:szCs w:val="22"/>
          <w:b w:val="1"/>
          <w:bCs w:val="1"/>
          <w:color w:val="auto"/>
        </w:rPr>
      </w:pPr>
      <w:r>
        <w:rPr>
          <w:rFonts w:ascii="Arial" w:cs="Arial" w:eastAsia="Arial" w:hAnsi="Arial"/>
          <w:sz w:val="18"/>
          <w:szCs w:val="18"/>
          <w:b w:val="1"/>
          <w:bCs w:val="1"/>
          <w:color w:val="auto"/>
        </w:rPr>
        <w:t>Purposes of the Plan.</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Plan enables Price Group to continue to grant stock-based and cash-based incentive awards which the Board believes provide Price Group with a competitive advantage in recruiting, retaining and motivating key individuals whose efforts contribute to the growth, profitability and long-term success of Price Group. Incentive awards enable such individuals to acquire or increase, and benefit from, equity ownership in Price Group or receive compensation upon achievement of specified performance objectives, thereby strengthening their commitment to the success of Price Group and stimulating their efforts on behalf of Price Group. Toward this objective, the Administrator may grant stock options, stock appreciation rights, stock awards, stock units, performance shares, performance units, and other stock-based awards to eligible individuals on the terms and subject to the conditions set forth in the Plan.</w:t>
      </w:r>
    </w:p>
    <w:p>
      <w:pPr>
        <w:spacing w:after="0" w:line="212"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22"/>
          <w:szCs w:val="22"/>
          <w:b w:val="1"/>
          <w:bCs w:val="1"/>
          <w:color w:val="auto"/>
        </w:rPr>
      </w:pPr>
      <w:r>
        <w:rPr>
          <w:rFonts w:ascii="Arial" w:cs="Arial" w:eastAsia="Arial" w:hAnsi="Arial"/>
          <w:sz w:val="18"/>
          <w:szCs w:val="18"/>
          <w:b w:val="1"/>
          <w:bCs w:val="1"/>
          <w:color w:val="auto"/>
        </w:rPr>
        <w:t>Terminology.</w:t>
      </w:r>
    </w:p>
    <w:p>
      <w:pPr>
        <w:spacing w:after="0" w:line="229"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Except as otherwise specifically provided in an Award Agreement, capitalized words and phrases used in the Plan or an Award Agreement shall have the meaning set forth in the glossary at Section 17 of the Plan or as defined the first place such word or phrase appears in the Plan.</w:t>
      </w:r>
    </w:p>
    <w:p>
      <w:pPr>
        <w:spacing w:after="0" w:line="206"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22"/>
          <w:szCs w:val="22"/>
          <w:b w:val="1"/>
          <w:bCs w:val="1"/>
          <w:color w:val="auto"/>
        </w:rPr>
      </w:pPr>
      <w:r>
        <w:rPr>
          <w:rFonts w:ascii="Arial" w:cs="Arial" w:eastAsia="Arial" w:hAnsi="Arial"/>
          <w:sz w:val="18"/>
          <w:szCs w:val="18"/>
          <w:b w:val="1"/>
          <w:bCs w:val="1"/>
          <w:color w:val="auto"/>
        </w:rPr>
        <w:t>Administration.</w:t>
      </w:r>
    </w:p>
    <w:p>
      <w:pPr>
        <w:spacing w:after="0" w:line="233" w:lineRule="exact"/>
        <w:rPr>
          <w:rFonts w:ascii="Arial" w:cs="Arial" w:eastAsia="Arial" w:hAnsi="Arial"/>
          <w:sz w:val="22"/>
          <w:szCs w:val="22"/>
          <w:b w:val="1"/>
          <w:bCs w:val="1"/>
          <w:color w:val="auto"/>
        </w:rPr>
      </w:pPr>
    </w:p>
    <w:p>
      <w:pPr>
        <w:ind w:left="1100" w:hanging="444"/>
        <w:spacing w:after="0"/>
        <w:tabs>
          <w:tab w:leader="none" w:pos="1100" w:val="left"/>
        </w:tabs>
        <w:numPr>
          <w:ilvl w:val="1"/>
          <w:numId w:val="58"/>
        </w:numPr>
        <w:rPr>
          <w:rFonts w:ascii="Arial" w:cs="Arial" w:eastAsia="Arial" w:hAnsi="Arial"/>
          <w:sz w:val="22"/>
          <w:szCs w:val="22"/>
          <w:color w:val="auto"/>
        </w:rPr>
      </w:pPr>
      <w:r>
        <w:rPr>
          <w:rFonts w:ascii="Arial" w:cs="Arial" w:eastAsia="Arial" w:hAnsi="Arial"/>
          <w:sz w:val="18"/>
          <w:szCs w:val="18"/>
          <w:i w:val="1"/>
          <w:iCs w:val="1"/>
          <w:color w:val="auto"/>
        </w:rPr>
        <w:t xml:space="preserve">Administration of the Plan. </w:t>
      </w:r>
      <w:r>
        <w:rPr>
          <w:rFonts w:ascii="Arial" w:cs="Arial" w:eastAsia="Arial" w:hAnsi="Arial"/>
          <w:sz w:val="18"/>
          <w:szCs w:val="18"/>
          <w:color w:val="auto"/>
        </w:rPr>
        <w:t>The Plan shall be administered by the Administrator.</w:t>
      </w:r>
    </w:p>
    <w:p>
      <w:pPr>
        <w:spacing w:after="0" w:line="233" w:lineRule="exact"/>
        <w:rPr>
          <w:rFonts w:ascii="Arial" w:cs="Arial" w:eastAsia="Arial" w:hAnsi="Arial"/>
          <w:sz w:val="22"/>
          <w:szCs w:val="22"/>
          <w:color w:val="auto"/>
        </w:rPr>
      </w:pPr>
    </w:p>
    <w:p>
      <w:pPr>
        <w:ind w:left="1100" w:hanging="444"/>
        <w:spacing w:after="0"/>
        <w:tabs>
          <w:tab w:leader="none" w:pos="1100" w:val="left"/>
        </w:tabs>
        <w:numPr>
          <w:ilvl w:val="1"/>
          <w:numId w:val="58"/>
        </w:numPr>
        <w:rPr>
          <w:rFonts w:ascii="Arial" w:cs="Arial" w:eastAsia="Arial" w:hAnsi="Arial"/>
          <w:sz w:val="22"/>
          <w:szCs w:val="22"/>
          <w:color w:val="auto"/>
        </w:rPr>
      </w:pPr>
      <w:r>
        <w:rPr>
          <w:rFonts w:ascii="Arial" w:cs="Arial" w:eastAsia="Arial" w:hAnsi="Arial"/>
          <w:sz w:val="18"/>
          <w:szCs w:val="18"/>
          <w:i w:val="1"/>
          <w:iCs w:val="1"/>
          <w:color w:val="auto"/>
        </w:rPr>
        <w:t>Powers of the Administrator</w:t>
      </w:r>
      <w:r>
        <w:rPr>
          <w:rFonts w:ascii="Arial" w:cs="Arial" w:eastAsia="Arial" w:hAnsi="Arial"/>
          <w:sz w:val="18"/>
          <w:szCs w:val="18"/>
          <w:color w:val="auto"/>
        </w:rPr>
        <w:t>.</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Administrator shall, except as otherwise provided under the Plan, have plenary authority, in its sole and absolute discretion, to grant Awards pursuant to the terms of the Plan to Eligible Individuals and to take all other actions necessary or desirable to carry out the purpose and intent of the Plan. Among other things, the Administrator shall have the authority, in its sole and absolute discretion, subject to the terms and conditions of the Plan to:</w:t>
      </w:r>
    </w:p>
    <w:p>
      <w:pPr>
        <w:spacing w:after="0" w:line="204" w:lineRule="exact"/>
        <w:rPr>
          <w:sz w:val="20"/>
          <w:szCs w:val="20"/>
          <w:color w:val="auto"/>
        </w:rPr>
      </w:pPr>
    </w:p>
    <w:p>
      <w:pPr>
        <w:ind w:left="1660" w:hanging="355"/>
        <w:spacing w:after="0"/>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the Eligible Individuals to whom, and the time or times at which, Awards shall be granted;</w:t>
      </w:r>
    </w:p>
    <w:p>
      <w:pPr>
        <w:sectPr>
          <w:pgSz w:w="11900" w:h="16838" w:orient="portrait"/>
          <w:cols w:equalWidth="0" w:num="1">
            <w:col w:w="11420"/>
          </w:cols>
          <w:pgMar w:left="240" w:top="166" w:right="239" w:bottom="0" w:gutter="0" w:footer="0" w:header="0"/>
          <w:type w:val="continuous"/>
        </w:sectPr>
      </w:pPr>
    </w:p>
    <w:bookmarkStart w:id="72" w:name="page73"/>
    <w:bookmarkEnd w:id="72"/>
    <w:p>
      <w:pPr>
        <w:ind w:left="1700" w:hanging="395"/>
        <w:spacing w:after="0"/>
        <w:tabs>
          <w:tab w:leader="none" w:pos="17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determine the types of Awards to be granted any Eligible Individual;</w:t>
      </w:r>
    </w:p>
    <w:p>
      <w:pPr>
        <w:spacing w:after="0" w:line="224" w:lineRule="exact"/>
        <w:rPr>
          <w:rFonts w:ascii="Arial" w:cs="Arial" w:eastAsia="Arial" w:hAnsi="Arial"/>
          <w:sz w:val="18"/>
          <w:szCs w:val="18"/>
          <w:color w:val="auto"/>
        </w:rPr>
      </w:pPr>
    </w:p>
    <w:p>
      <w:pPr>
        <w:ind w:right="260" w:firstLine="1305"/>
        <w:spacing w:after="0" w:line="262" w:lineRule="auto"/>
        <w:tabs>
          <w:tab w:leader="none" w:pos="1736"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determine the number of shares of Common Stock to be covered by or used for reference purposes for each Award or the value to be transferred pursuant to any Award;</w:t>
      </w:r>
    </w:p>
    <w:p>
      <w:pPr>
        <w:spacing w:after="0" w:line="196" w:lineRule="exact"/>
        <w:rPr>
          <w:rFonts w:ascii="Arial" w:cs="Arial" w:eastAsia="Arial" w:hAnsi="Arial"/>
          <w:sz w:val="18"/>
          <w:szCs w:val="18"/>
          <w:color w:val="auto"/>
        </w:rPr>
      </w:pPr>
    </w:p>
    <w:p>
      <w:pPr>
        <w:ind w:firstLine="1305"/>
        <w:spacing w:after="0" w:line="252" w:lineRule="auto"/>
        <w:tabs>
          <w:tab w:leader="none" w:pos="1746"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determine the terms, conditions and restrictions applicable to each Award (which need not be identical) and any shares acquired pursuant thereto, including, without limitation, (A) the purchase price of any shares of Common Stock, (B) the method of payment for shares purchased pursuant to any Award, (C) the method for satisfaction of any tax withholding obligation arising in connection with any Award, including by the withholding or delivery of shares of Common Stock, (D) subject to Section 7(b), the timing, terms and conditions of the exercisability, vesting or payout of any Award or any shares acquired pursuant thereto, (E) the Performance Goals applicable to any Award and the extent to which such Performance Goals have been attained, (F) the time of the expiration of any Award, (G) the effect of the Participant’s Termination of Service on any of the foregoing, and (H) all other terms, conditions and restrictions applicable to any Award or shares acquired pursuant thereto as the Administrator shall consider to be appropriate and not inconsistent with the terms of the Plan;</w:t>
      </w:r>
    </w:p>
    <w:p>
      <w:pPr>
        <w:spacing w:after="0" w:line="206" w:lineRule="exact"/>
        <w:rPr>
          <w:rFonts w:ascii="Arial" w:cs="Arial" w:eastAsia="Arial" w:hAnsi="Arial"/>
          <w:sz w:val="18"/>
          <w:szCs w:val="18"/>
          <w:color w:val="auto"/>
        </w:rPr>
      </w:pPr>
    </w:p>
    <w:p>
      <w:pPr>
        <w:ind w:left="1720" w:hanging="415"/>
        <w:spacing w:after="0"/>
        <w:tabs>
          <w:tab w:leader="none" w:pos="17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subject to Sections 7(f), 7(k), 10(c) and 15, modify, amend or adjust the terms and conditions of any Award;</w:t>
      </w:r>
    </w:p>
    <w:p>
      <w:pPr>
        <w:spacing w:after="0" w:line="225" w:lineRule="exact"/>
        <w:rPr>
          <w:rFonts w:ascii="Arial" w:cs="Arial" w:eastAsia="Arial" w:hAnsi="Arial"/>
          <w:sz w:val="18"/>
          <w:szCs w:val="18"/>
          <w:color w:val="auto"/>
        </w:rPr>
      </w:pPr>
    </w:p>
    <w:p>
      <w:pPr>
        <w:ind w:firstLine="1305"/>
        <w:spacing w:after="0" w:line="252" w:lineRule="auto"/>
        <w:tabs>
          <w:tab w:leader="none" w:pos="1746"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subject to Section 7(b), accelerate or otherwise change the time at or during which an Award may be exercised or becomes payable and waive or accelerate the lapse, in whole or in part, of any restriction, condition or risk of forfeiture with respect to such Award;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connection with death, disability or a Change in Control, no such change, waiver or acceleration shall be made with respect to a Qualified Performance-Based Award if the effect of such action would cause the Award to fail to qualify for the Section 162(m) Exemption or shall be made to any Award that is considered “deferred compensation” within the meaning of Section 409A of the Code if the effect of such action is inconsistent with Section 409A of the Code;</w:t>
      </w:r>
    </w:p>
    <w:p>
      <w:pPr>
        <w:spacing w:after="0" w:line="208" w:lineRule="exact"/>
        <w:rPr>
          <w:rFonts w:ascii="Arial" w:cs="Arial" w:eastAsia="Arial" w:hAnsi="Arial"/>
          <w:sz w:val="18"/>
          <w:szCs w:val="18"/>
          <w:color w:val="auto"/>
        </w:rPr>
      </w:pPr>
    </w:p>
    <w:p>
      <w:pPr>
        <w:ind w:right="60" w:firstLine="1305"/>
        <w:spacing w:after="0" w:line="256" w:lineRule="auto"/>
        <w:tabs>
          <w:tab w:leader="none" w:pos="1786"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determine whether an Award will be paid or settled in cash, shares of Common Stock, or in any combination thereof and whether, to what extent and under what circumstances cash or shares of Common Stock payable with respect to an Award shall be deferred either automatically or at the election of the Participant;</w:t>
      </w:r>
    </w:p>
    <w:p>
      <w:pPr>
        <w:spacing w:after="0" w:line="201" w:lineRule="exact"/>
        <w:rPr>
          <w:rFonts w:ascii="Arial" w:cs="Arial" w:eastAsia="Arial" w:hAnsi="Arial"/>
          <w:sz w:val="18"/>
          <w:szCs w:val="18"/>
          <w:color w:val="auto"/>
        </w:rPr>
      </w:pPr>
    </w:p>
    <w:p>
      <w:pPr>
        <w:ind w:right="60" w:firstLine="1305"/>
        <w:spacing w:after="0" w:line="216" w:lineRule="exact"/>
        <w:tabs>
          <w:tab w:leader="none" w:pos="1826"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 any purpose, including but not limited to, qualifying for preferred tax treatment, accommodating the customs or otherwise complying with the regulatory requirements of local or foreign (non-United States) jurisdictions, adopt, amend, modify, administer or terminate sub</w:t>
      </w:r>
      <w:r>
        <w:rPr>
          <w:rFonts w:ascii="MS PGothic" w:cs="MS PGothic" w:eastAsia="MS PGothic" w:hAnsi="MS PGothic"/>
          <w:sz w:val="18"/>
          <w:szCs w:val="18"/>
          <w:color w:val="auto"/>
        </w:rPr>
        <w:t>‑</w:t>
      </w:r>
      <w:r>
        <w:rPr>
          <w:rFonts w:ascii="Arial" w:cs="Arial" w:eastAsia="Arial" w:hAnsi="Arial"/>
          <w:sz w:val="18"/>
          <w:szCs w:val="18"/>
          <w:color w:val="auto"/>
        </w:rPr>
        <w:t>plans and special provisions applicable to Awards regulated by the laws of a jurisdiction outside of the United States, which sub-plans and special provisions may take precedence over other provisions of the Plan, and prescribe, amend and rescind rules and regulations relating to such sub</w:t>
      </w:r>
      <w:r>
        <w:rPr>
          <w:rFonts w:ascii="MS PGothic" w:cs="MS PGothic" w:eastAsia="MS PGothic" w:hAnsi="MS PGothic"/>
          <w:sz w:val="18"/>
          <w:szCs w:val="18"/>
          <w:color w:val="auto"/>
        </w:rPr>
        <w:t>‑</w:t>
      </w:r>
      <w:r>
        <w:rPr>
          <w:rFonts w:ascii="Arial" w:cs="Arial" w:eastAsia="Arial" w:hAnsi="Arial"/>
          <w:sz w:val="18"/>
          <w:szCs w:val="18"/>
          <w:color w:val="auto"/>
        </w:rPr>
        <w:t>plans and special provisions.</w:t>
      </w:r>
    </w:p>
    <w:p>
      <w:pPr>
        <w:spacing w:after="0" w:line="218" w:lineRule="exact"/>
        <w:rPr>
          <w:rFonts w:ascii="Arial" w:cs="Arial" w:eastAsia="Arial" w:hAnsi="Arial"/>
          <w:sz w:val="18"/>
          <w:szCs w:val="18"/>
          <w:color w:val="auto"/>
        </w:rPr>
      </w:pPr>
    </w:p>
    <w:p>
      <w:pPr>
        <w:ind w:right="20" w:firstLine="1305"/>
        <w:spacing w:after="0" w:line="262" w:lineRule="auto"/>
        <w:tabs>
          <w:tab w:leader="none" w:pos="1746" w:val="left"/>
        </w:tabs>
        <w:numPr>
          <w:ilvl w:val="1"/>
          <w:numId w:val="60"/>
        </w:numPr>
        <w:rPr>
          <w:rFonts w:ascii="Arial" w:cs="Arial" w:eastAsia="Arial" w:hAnsi="Arial"/>
          <w:sz w:val="18"/>
          <w:szCs w:val="18"/>
          <w:color w:val="auto"/>
        </w:rPr>
      </w:pPr>
      <w:r>
        <w:rPr>
          <w:rFonts w:ascii="Arial" w:cs="Arial" w:eastAsia="Arial" w:hAnsi="Arial"/>
          <w:sz w:val="18"/>
          <w:szCs w:val="18"/>
          <w:color w:val="auto"/>
        </w:rPr>
        <w:t>establish any “blackout” period, during which transactions affecting Awards may not be effectuated, that the Administrator in its sole discretion deems necessary or advisable;</w:t>
      </w:r>
    </w:p>
    <w:p>
      <w:pPr>
        <w:spacing w:after="0" w:line="196" w:lineRule="exact"/>
        <w:rPr>
          <w:rFonts w:ascii="Arial" w:cs="Arial" w:eastAsia="Arial" w:hAnsi="Arial"/>
          <w:sz w:val="18"/>
          <w:szCs w:val="18"/>
          <w:color w:val="auto"/>
        </w:rPr>
      </w:pPr>
    </w:p>
    <w:p>
      <w:pPr>
        <w:ind w:left="1720" w:hanging="415"/>
        <w:spacing w:after="0"/>
        <w:tabs>
          <w:tab w:leader="none" w:pos="17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determine the Fair Market Value of shares of Common Stock or other property for any purpose under the Plan or any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Award;</w:t>
      </w:r>
    </w:p>
    <w:p>
      <w:pPr>
        <w:spacing w:after="0" w:line="225" w:lineRule="exact"/>
        <w:rPr>
          <w:rFonts w:ascii="Arial" w:cs="Arial" w:eastAsia="Arial" w:hAnsi="Arial"/>
          <w:sz w:val="18"/>
          <w:szCs w:val="18"/>
          <w:color w:val="auto"/>
        </w:rPr>
      </w:pPr>
    </w:p>
    <w:p>
      <w:pPr>
        <w:ind w:right="60" w:firstLine="1305"/>
        <w:spacing w:after="0" w:line="262" w:lineRule="auto"/>
        <w:tabs>
          <w:tab w:leader="none" w:pos="174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administer, construe and interpret the Plan, Award Agreements and all other documents relevant to the Plan and Awards issued thereunder, and decide all other matters to be determined in connection with an Award;</w:t>
      </w:r>
    </w:p>
    <w:p>
      <w:pPr>
        <w:spacing w:after="0" w:line="196" w:lineRule="exact"/>
        <w:rPr>
          <w:rFonts w:ascii="Arial" w:cs="Arial" w:eastAsia="Arial" w:hAnsi="Arial"/>
          <w:sz w:val="18"/>
          <w:szCs w:val="18"/>
          <w:color w:val="auto"/>
        </w:rPr>
      </w:pPr>
    </w:p>
    <w:p>
      <w:pPr>
        <w:ind w:right="160" w:firstLine="1305"/>
        <w:spacing w:after="0" w:line="262" w:lineRule="auto"/>
        <w:tabs>
          <w:tab w:leader="none" w:pos="1786" w:val="left"/>
        </w:tabs>
        <w:numPr>
          <w:ilvl w:val="1"/>
          <w:numId w:val="60"/>
        </w:numPr>
        <w:rPr>
          <w:rFonts w:ascii="Arial" w:cs="Arial" w:eastAsia="Arial" w:hAnsi="Arial"/>
          <w:sz w:val="18"/>
          <w:szCs w:val="18"/>
          <w:color w:val="auto"/>
        </w:rPr>
      </w:pPr>
      <w:r>
        <w:rPr>
          <w:rFonts w:ascii="Arial" w:cs="Arial" w:eastAsia="Arial" w:hAnsi="Arial"/>
          <w:sz w:val="18"/>
          <w:szCs w:val="18"/>
          <w:color w:val="auto"/>
        </w:rPr>
        <w:t>establish, amend, rescind and interpret such administrative rules, regulations, agreements, guidelines, instruments and practices for the administration of the Plan and for the conduct of its business as the Administrator deems necessary or advisable;</w:t>
      </w:r>
    </w:p>
    <w:p>
      <w:pPr>
        <w:spacing w:after="0" w:line="196" w:lineRule="exact"/>
        <w:rPr>
          <w:rFonts w:ascii="Arial" w:cs="Arial" w:eastAsia="Arial" w:hAnsi="Arial"/>
          <w:sz w:val="18"/>
          <w:szCs w:val="18"/>
          <w:color w:val="auto"/>
        </w:rPr>
      </w:pPr>
    </w:p>
    <w:p>
      <w:pPr>
        <w:ind w:right="60" w:firstLine="1305"/>
        <w:spacing w:after="0" w:line="262" w:lineRule="auto"/>
        <w:tabs>
          <w:tab w:leader="none" w:pos="1826"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or in any Award or Award Agreement in the manner and to the extent the Administrator shall deem it desirable to carry it into effect; and</w:t>
      </w:r>
    </w:p>
    <w:p>
      <w:pPr>
        <w:spacing w:after="0" w:line="196" w:lineRule="exact"/>
        <w:rPr>
          <w:rFonts w:ascii="Arial" w:cs="Arial" w:eastAsia="Arial" w:hAnsi="Arial"/>
          <w:sz w:val="18"/>
          <w:szCs w:val="18"/>
          <w:color w:val="auto"/>
        </w:rPr>
      </w:pPr>
    </w:p>
    <w:p>
      <w:pPr>
        <w:ind w:left="1840" w:hanging="535"/>
        <w:spacing w:after="0"/>
        <w:tabs>
          <w:tab w:leader="none" w:pos="18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otherwise administer the Plan and all Awards granted under the Plan.</w:t>
      </w:r>
    </w:p>
    <w:p>
      <w:pPr>
        <w:spacing w:after="0" w:line="247" w:lineRule="exact"/>
        <w:rPr>
          <w:rFonts w:ascii="Arial" w:cs="Arial" w:eastAsia="Arial" w:hAnsi="Arial"/>
          <w:sz w:val="18"/>
          <w:szCs w:val="18"/>
          <w:color w:val="auto"/>
        </w:rPr>
      </w:pPr>
    </w:p>
    <w:p>
      <w:pPr>
        <w:ind w:right="60" w:firstLine="656"/>
        <w:spacing w:after="0" w:line="276" w:lineRule="auto"/>
        <w:tabs>
          <w:tab w:leader="none" w:pos="1080" w:val="left"/>
        </w:tabs>
        <w:numPr>
          <w:ilvl w:val="0"/>
          <w:numId w:val="61"/>
        </w:numPr>
        <w:rPr>
          <w:rFonts w:ascii="Arial" w:cs="Arial" w:eastAsia="Arial" w:hAnsi="Arial"/>
          <w:sz w:val="22"/>
          <w:szCs w:val="22"/>
          <w:color w:val="auto"/>
        </w:rPr>
      </w:pPr>
      <w:r>
        <w:rPr>
          <w:rFonts w:ascii="Arial" w:cs="Arial" w:eastAsia="Arial" w:hAnsi="Arial"/>
          <w:sz w:val="18"/>
          <w:szCs w:val="18"/>
          <w:i w:val="1"/>
          <w:iCs w:val="1"/>
          <w:color w:val="auto"/>
        </w:rPr>
        <w:t xml:space="preserve">Delegation of Administrative Authority. </w:t>
      </w:r>
      <w:r>
        <w:rPr>
          <w:rFonts w:ascii="Arial" w:cs="Arial" w:eastAsia="Arial" w:hAnsi="Arial"/>
          <w:sz w:val="18"/>
          <w:szCs w:val="18"/>
          <w:color w:val="auto"/>
        </w:rPr>
        <w:t>The Administrator may designate employees of Price Group or any Affiliate,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limitation the management compensation committee of Price Group, to assist the Administrator in the administration of the Plan and, to</w:t>
      </w:r>
    </w:p>
    <w:p>
      <w:pPr>
        <w:spacing w:after="0" w:line="2" w:lineRule="exact"/>
        <w:rPr>
          <w:rFonts w:ascii="Arial" w:cs="Arial" w:eastAsia="Arial" w:hAnsi="Arial"/>
          <w:sz w:val="22"/>
          <w:szCs w:val="22"/>
          <w:color w:val="auto"/>
        </w:rPr>
      </w:pPr>
    </w:p>
    <w:p>
      <w:pPr>
        <w:ind w:right="80"/>
        <w:spacing w:after="0" w:line="301" w:lineRule="auto"/>
        <w:rPr>
          <w:rFonts w:ascii="Arial" w:cs="Arial" w:eastAsia="Arial" w:hAnsi="Arial"/>
          <w:sz w:val="22"/>
          <w:szCs w:val="22"/>
          <w:color w:val="auto"/>
        </w:rPr>
      </w:pPr>
      <w:r>
        <w:rPr>
          <w:rFonts w:ascii="Arial" w:cs="Arial" w:eastAsia="Arial" w:hAnsi="Arial"/>
          <w:sz w:val="18"/>
          <w:szCs w:val="18"/>
          <w:color w:val="auto"/>
        </w:rPr>
        <w:t xml:space="preserve">the extent permitted by applicable law and exchange rules, may grant authority to officers or other employees to execute agreements or other documents on behalf of the Administrator;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delegation of authority shall not extend to the exercise of discretion with respect to Awards to Eligible Individuals who are “covered employees” within the meaning of Section 162(m) of the Code or officers under Section 16 of the Exchange Act.</w:t>
      </w:r>
    </w:p>
    <w:p>
      <w:pPr>
        <w:spacing w:after="0" w:line="199" w:lineRule="exact"/>
        <w:rPr>
          <w:rFonts w:ascii="Arial" w:cs="Arial" w:eastAsia="Arial" w:hAnsi="Arial"/>
          <w:sz w:val="22"/>
          <w:szCs w:val="22"/>
          <w:color w:val="auto"/>
        </w:rPr>
      </w:pPr>
    </w:p>
    <w:p>
      <w:pPr>
        <w:ind w:right="40" w:firstLine="656"/>
        <w:spacing w:after="0" w:line="289" w:lineRule="auto"/>
        <w:tabs>
          <w:tab w:leader="none" w:pos="1092" w:val="left"/>
        </w:tabs>
        <w:numPr>
          <w:ilvl w:val="0"/>
          <w:numId w:val="61"/>
        </w:numPr>
        <w:rPr>
          <w:rFonts w:ascii="Arial" w:cs="Arial" w:eastAsia="Arial" w:hAnsi="Arial"/>
          <w:sz w:val="22"/>
          <w:szCs w:val="22"/>
          <w:color w:val="auto"/>
        </w:rPr>
      </w:pPr>
      <w:r>
        <w:rPr>
          <w:rFonts w:ascii="Arial" w:cs="Arial" w:eastAsia="Arial" w:hAnsi="Arial"/>
          <w:sz w:val="18"/>
          <w:szCs w:val="18"/>
          <w:i w:val="1"/>
          <w:iCs w:val="1"/>
          <w:color w:val="auto"/>
        </w:rPr>
        <w:t>Non-Uniform Determinations</w:t>
      </w:r>
      <w:r>
        <w:rPr>
          <w:rFonts w:ascii="Arial" w:cs="Arial" w:eastAsia="Arial" w:hAnsi="Arial"/>
          <w:sz w:val="18"/>
          <w:szCs w:val="18"/>
          <w:color w:val="auto"/>
        </w:rPr>
        <w:t>. The Administrator’s determinations under the Plan (including without limitation, determinations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persons to receive Awards, the form, amount and timing of such Awards, the terms and provisions of such Awards and the Award Agreements evidencing such Awards, and the ramifications of a Change in Control upon outstanding Awards) need not be uniform and may be made by the Administrator selectively among Awards or persons who receive, or are eligible to receive, Awards under the Plan, whether or not such persons are similarly situated.</w:t>
      </w:r>
    </w:p>
    <w:p>
      <w:pPr>
        <w:spacing w:after="0" w:line="210" w:lineRule="exact"/>
        <w:rPr>
          <w:rFonts w:ascii="Arial" w:cs="Arial" w:eastAsia="Arial" w:hAnsi="Arial"/>
          <w:sz w:val="22"/>
          <w:szCs w:val="22"/>
          <w:color w:val="auto"/>
        </w:rPr>
      </w:pPr>
    </w:p>
    <w:p>
      <w:pPr>
        <w:ind w:right="180" w:firstLine="656"/>
        <w:spacing w:after="0" w:line="276" w:lineRule="auto"/>
        <w:tabs>
          <w:tab w:leader="none" w:pos="1092" w:val="left"/>
        </w:tabs>
        <w:numPr>
          <w:ilvl w:val="0"/>
          <w:numId w:val="61"/>
        </w:numPr>
        <w:rPr>
          <w:rFonts w:ascii="Arial" w:cs="Arial" w:eastAsia="Arial" w:hAnsi="Arial"/>
          <w:sz w:val="22"/>
          <w:szCs w:val="22"/>
          <w:color w:val="auto"/>
        </w:rPr>
      </w:pPr>
      <w:r>
        <w:rPr>
          <w:rFonts w:ascii="Arial" w:cs="Arial" w:eastAsia="Arial" w:hAnsi="Arial"/>
          <w:sz w:val="18"/>
          <w:szCs w:val="18"/>
          <w:i w:val="1"/>
          <w:iCs w:val="1"/>
          <w:color w:val="auto"/>
        </w:rPr>
        <w:t xml:space="preserve">Limited Liability. </w:t>
      </w:r>
      <w:r>
        <w:rPr>
          <w:rFonts w:ascii="Arial" w:cs="Arial" w:eastAsia="Arial" w:hAnsi="Arial"/>
          <w:sz w:val="18"/>
          <w:szCs w:val="18"/>
          <w:color w:val="auto"/>
        </w:rPr>
        <w:t>To the maximum extent permitted by law, no member of the Administrator shall be liable for any action taken or</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made in good faith relating to the Plan or any Award thereunder.</w:t>
      </w:r>
    </w:p>
    <w:p>
      <w:pPr>
        <w:spacing w:after="0" w:line="213" w:lineRule="exact"/>
        <w:rPr>
          <w:rFonts w:ascii="Arial" w:cs="Arial" w:eastAsia="Arial" w:hAnsi="Arial"/>
          <w:sz w:val="22"/>
          <w:szCs w:val="22"/>
          <w:color w:val="auto"/>
        </w:rPr>
      </w:pPr>
    </w:p>
    <w:p>
      <w:pPr>
        <w:ind w:right="20" w:firstLine="656"/>
        <w:spacing w:after="0" w:line="251" w:lineRule="exact"/>
        <w:tabs>
          <w:tab w:leader="none" w:pos="1032" w:val="left"/>
        </w:tabs>
        <w:numPr>
          <w:ilvl w:val="0"/>
          <w:numId w:val="61"/>
        </w:numPr>
        <w:rPr>
          <w:rFonts w:ascii="Arial" w:cs="Arial" w:eastAsia="Arial" w:hAnsi="Arial"/>
          <w:sz w:val="22"/>
          <w:szCs w:val="22"/>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To the maximum extent permitted by law, by Price Group’s charter and by</w:t>
      </w:r>
      <w:r>
        <w:rPr>
          <w:rFonts w:ascii="MS PGothic" w:cs="MS PGothic" w:eastAsia="MS PGothic" w:hAnsi="MS PGothic"/>
          <w:sz w:val="18"/>
          <w:szCs w:val="18"/>
          <w:color w:val="auto"/>
        </w:rPr>
        <w:t>‑</w:t>
      </w:r>
      <w:r>
        <w:rPr>
          <w:rFonts w:ascii="Arial" w:cs="Arial" w:eastAsia="Arial" w:hAnsi="Arial"/>
          <w:sz w:val="18"/>
          <w:szCs w:val="18"/>
          <w:color w:val="auto"/>
        </w:rPr>
        <w:t>laws, and by any directors’ and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insurance coverage which may be in effect from time to time, the members of the Administrator and any agent or delegate of the Administrator who is an employee of Price Group or an Affiliate shall be indemnified by Price Group against any and all liabilities and expenses to which they may be subjected by reason of any act or failure to act with respect to their duties on behalf of the Plan.</w:t>
      </w:r>
    </w:p>
    <w:p>
      <w:pPr>
        <w:sectPr>
          <w:pgSz w:w="11900" w:h="16838" w:orient="portrait"/>
          <w:cols w:equalWidth="0" w:num="1">
            <w:col w:w="11400"/>
          </w:cols>
          <w:pgMar w:left="240" w:top="140" w:right="259" w:bottom="282" w:gutter="0" w:footer="0" w:header="0"/>
        </w:sectPr>
      </w:pPr>
    </w:p>
    <w:bookmarkStart w:id="73" w:name="page74"/>
    <w:bookmarkEnd w:id="73"/>
    <w:p>
      <w:pPr>
        <w:ind w:right="40" w:firstLine="656"/>
        <w:spacing w:after="0" w:line="288" w:lineRule="auto"/>
        <w:tabs>
          <w:tab w:leader="none" w:pos="1092" w:val="left"/>
        </w:tabs>
        <w:numPr>
          <w:ilvl w:val="1"/>
          <w:numId w:val="62"/>
        </w:numPr>
        <w:rPr>
          <w:rFonts w:ascii="Arial" w:cs="Arial" w:eastAsia="Arial" w:hAnsi="Arial"/>
          <w:sz w:val="22"/>
          <w:szCs w:val="22"/>
          <w:color w:val="auto"/>
        </w:rPr>
      </w:pPr>
      <w:r>
        <w:rPr>
          <w:rFonts w:ascii="Arial" w:cs="Arial" w:eastAsia="Arial" w:hAnsi="Arial"/>
          <w:sz w:val="18"/>
          <w:szCs w:val="18"/>
          <w:i w:val="1"/>
          <w:iCs w:val="1"/>
          <w:color w:val="auto"/>
        </w:rPr>
        <w:t>Effect of Administrator’s Decision</w:t>
      </w:r>
      <w:r>
        <w:rPr>
          <w:rFonts w:ascii="Arial" w:cs="Arial" w:eastAsia="Arial" w:hAnsi="Arial"/>
          <w:sz w:val="18"/>
          <w:szCs w:val="18"/>
          <w:color w:val="auto"/>
        </w:rPr>
        <w:t>. All actions taken and determinations made by the Administrator on all matters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or any Award pursuant to the powers vested in it hereunder shall be in the Administrator’s sole and absolute discretion, unless in contravention of any express term of the Plan, including, without limitation, any determination involving the appropriateness or equitableness of any action. All determinations made by the Administrator shall be conclusive, final and binding on all parties concerned, including Price Group, its stockholders, any Participants and any other employee, consultant, or director of Price Group and its Affiliates, and their respective</w:t>
      </w:r>
    </w:p>
    <w:p>
      <w:pPr>
        <w:spacing w:after="0" w:line="3" w:lineRule="exact"/>
        <w:rPr>
          <w:rFonts w:ascii="Arial" w:cs="Arial" w:eastAsia="Arial" w:hAnsi="Arial"/>
          <w:sz w:val="22"/>
          <w:szCs w:val="22"/>
          <w:color w:val="auto"/>
        </w:rPr>
      </w:pPr>
    </w:p>
    <w:p>
      <w:pPr>
        <w:ind w:right="420"/>
        <w:spacing w:after="0" w:line="309" w:lineRule="auto"/>
        <w:rPr>
          <w:rFonts w:ascii="Arial" w:cs="Arial" w:eastAsia="Arial" w:hAnsi="Arial"/>
          <w:sz w:val="22"/>
          <w:szCs w:val="22"/>
          <w:color w:val="auto"/>
        </w:rPr>
      </w:pPr>
      <w:r>
        <w:rPr>
          <w:rFonts w:ascii="Arial" w:cs="Arial" w:eastAsia="Arial" w:hAnsi="Arial"/>
          <w:sz w:val="18"/>
          <w:szCs w:val="18"/>
          <w:color w:val="auto"/>
        </w:rPr>
        <w:t xml:space="preserve">successors in interest. Notwithstanding the foregoing, following a Change in Control, any determination by the Administrator as to whether “Cause” or “Good Reason” exists shall be subject to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review by a court of competent jurisdiction.</w:t>
      </w:r>
    </w:p>
    <w:p>
      <w:pPr>
        <w:spacing w:after="0" w:line="173" w:lineRule="exact"/>
        <w:rPr>
          <w:rFonts w:ascii="Arial" w:cs="Arial" w:eastAsia="Arial" w:hAnsi="Arial"/>
          <w:sz w:val="22"/>
          <w:szCs w:val="22"/>
          <w:color w:val="auto"/>
        </w:rPr>
      </w:pPr>
    </w:p>
    <w:p>
      <w:pPr>
        <w:ind w:left="360" w:hanging="352"/>
        <w:spacing w:after="0"/>
        <w:tabs>
          <w:tab w:leader="none" w:pos="360" w:val="left"/>
        </w:tabs>
        <w:numPr>
          <w:ilvl w:val="0"/>
          <w:numId w:val="63"/>
        </w:numPr>
        <w:rPr>
          <w:rFonts w:ascii="Arial" w:cs="Arial" w:eastAsia="Arial" w:hAnsi="Arial"/>
          <w:sz w:val="22"/>
          <w:szCs w:val="22"/>
          <w:b w:val="1"/>
          <w:bCs w:val="1"/>
          <w:color w:val="auto"/>
        </w:rPr>
      </w:pPr>
      <w:r>
        <w:rPr>
          <w:rFonts w:ascii="Arial" w:cs="Arial" w:eastAsia="Arial" w:hAnsi="Arial"/>
          <w:sz w:val="18"/>
          <w:szCs w:val="18"/>
          <w:b w:val="1"/>
          <w:bCs w:val="1"/>
          <w:color w:val="auto"/>
        </w:rPr>
        <w:t>Shares Issuable Pursuant to Awards.</w:t>
      </w:r>
    </w:p>
    <w:p>
      <w:pPr>
        <w:spacing w:after="0" w:line="251" w:lineRule="exact"/>
        <w:rPr>
          <w:rFonts w:ascii="Arial" w:cs="Arial" w:eastAsia="Arial" w:hAnsi="Arial"/>
          <w:sz w:val="22"/>
          <w:szCs w:val="22"/>
          <w:b w:val="1"/>
          <w:bCs w:val="1"/>
          <w:color w:val="auto"/>
        </w:rPr>
      </w:pPr>
    </w:p>
    <w:p>
      <w:pPr>
        <w:ind w:right="200" w:firstLine="656"/>
        <w:spacing w:after="0" w:line="282" w:lineRule="auto"/>
        <w:tabs>
          <w:tab w:leader="none" w:pos="1092" w:val="left"/>
        </w:tabs>
        <w:numPr>
          <w:ilvl w:val="1"/>
          <w:numId w:val="63"/>
        </w:numPr>
        <w:rPr>
          <w:rFonts w:ascii="Arial" w:cs="Arial" w:eastAsia="Arial" w:hAnsi="Arial"/>
          <w:sz w:val="22"/>
          <w:szCs w:val="22"/>
          <w:color w:val="auto"/>
        </w:rPr>
      </w:pPr>
      <w:r>
        <w:rPr>
          <w:rFonts w:ascii="Arial" w:cs="Arial" w:eastAsia="Arial" w:hAnsi="Arial"/>
          <w:sz w:val="18"/>
          <w:szCs w:val="18"/>
          <w:i w:val="1"/>
          <w:iCs w:val="1"/>
          <w:color w:val="auto"/>
        </w:rPr>
        <w:t>Initial Share Pool</w:t>
      </w:r>
      <w:r>
        <w:rPr>
          <w:rFonts w:ascii="Arial" w:cs="Arial" w:eastAsia="Arial" w:hAnsi="Arial"/>
          <w:sz w:val="18"/>
          <w:szCs w:val="18"/>
          <w:color w:val="auto"/>
        </w:rPr>
        <w:t>. As of the Effective Date, the number of shares of Common Stock issuable pursuant to Awards granted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(the “</w:t>
      </w:r>
      <w:r>
        <w:rPr>
          <w:rFonts w:ascii="Arial" w:cs="Arial" w:eastAsia="Arial" w:hAnsi="Arial"/>
          <w:sz w:val="18"/>
          <w:szCs w:val="18"/>
          <w:i w:val="1"/>
          <w:iCs w:val="1"/>
          <w:color w:val="auto"/>
        </w:rPr>
        <w:t>Share Pool</w:t>
      </w:r>
      <w:r>
        <w:rPr>
          <w:rFonts w:ascii="Arial" w:cs="Arial" w:eastAsia="Arial" w:hAnsi="Arial"/>
          <w:sz w:val="18"/>
          <w:szCs w:val="18"/>
          <w:color w:val="auto"/>
        </w:rPr>
        <w:t>”) shall be equal to the sum of (i) 5,000,000 shares plus (ii) the number of shares available for issuance as of the Effective Date under Price Group’s 2004 Stock Incentive Plan (the “</w:t>
      </w:r>
      <w:r>
        <w:rPr>
          <w:rFonts w:ascii="Arial" w:cs="Arial" w:eastAsia="Arial" w:hAnsi="Arial"/>
          <w:sz w:val="18"/>
          <w:szCs w:val="18"/>
          <w:i w:val="1"/>
          <w:iCs w:val="1"/>
          <w:color w:val="auto"/>
        </w:rPr>
        <w:t>2004 Plan</w:t>
      </w:r>
      <w:r>
        <w:rPr>
          <w:rFonts w:ascii="Arial" w:cs="Arial" w:eastAsia="Arial" w:hAnsi="Arial"/>
          <w:sz w:val="18"/>
          <w:szCs w:val="18"/>
          <w:color w:val="auto"/>
        </w:rPr>
        <w:t>”) that are not then subject to outstanding Awards.</w:t>
      </w:r>
    </w:p>
    <w:p>
      <w:pPr>
        <w:spacing w:after="0" w:line="215" w:lineRule="exact"/>
        <w:rPr>
          <w:rFonts w:ascii="Arial" w:cs="Arial" w:eastAsia="Arial" w:hAnsi="Arial"/>
          <w:sz w:val="22"/>
          <w:szCs w:val="22"/>
          <w:color w:val="auto"/>
        </w:rPr>
      </w:pPr>
    </w:p>
    <w:p>
      <w:pPr>
        <w:ind w:right="220" w:firstLine="656"/>
        <w:spacing w:after="0" w:line="276" w:lineRule="auto"/>
        <w:tabs>
          <w:tab w:leader="none" w:pos="1092" w:val="left"/>
        </w:tabs>
        <w:numPr>
          <w:ilvl w:val="1"/>
          <w:numId w:val="63"/>
        </w:numPr>
        <w:rPr>
          <w:rFonts w:ascii="Arial" w:cs="Arial" w:eastAsia="Arial" w:hAnsi="Arial"/>
          <w:sz w:val="22"/>
          <w:szCs w:val="22"/>
          <w:color w:val="auto"/>
        </w:rPr>
      </w:pPr>
      <w:r>
        <w:rPr>
          <w:rFonts w:ascii="Arial" w:cs="Arial" w:eastAsia="Arial" w:hAnsi="Arial"/>
          <w:sz w:val="18"/>
          <w:szCs w:val="18"/>
          <w:i w:val="1"/>
          <w:iCs w:val="1"/>
          <w:color w:val="auto"/>
        </w:rPr>
        <w:t>Adjustments to Share Pool</w:t>
      </w:r>
      <w:r>
        <w:rPr>
          <w:rFonts w:ascii="Arial" w:cs="Arial" w:eastAsia="Arial" w:hAnsi="Arial"/>
          <w:sz w:val="18"/>
          <w:szCs w:val="18"/>
          <w:color w:val="auto"/>
        </w:rPr>
        <w:t>. On and after the Effective Date, the Share Pool shall be adjusted, in addition to any adjustments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made pursuant to Section 10 of the Plan, as follows:</w:t>
      </w:r>
    </w:p>
    <w:p>
      <w:pPr>
        <w:spacing w:after="0" w:line="191" w:lineRule="exact"/>
        <w:rPr>
          <w:sz w:val="20"/>
          <w:szCs w:val="20"/>
          <w:color w:val="auto"/>
        </w:rPr>
      </w:pPr>
    </w:p>
    <w:p>
      <w:pPr>
        <w:ind w:left="1020" w:hanging="364"/>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Share Pool shall be reduced by one share for each share of Common Stock made subject to an Award granted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25" w:lineRule="exact"/>
        <w:rPr>
          <w:sz w:val="20"/>
          <w:szCs w:val="20"/>
          <w:color w:val="auto"/>
        </w:rPr>
      </w:pPr>
    </w:p>
    <w:p>
      <w:pPr>
        <w:ind w:right="20" w:firstLine="656"/>
        <w:spacing w:after="0" w:line="254" w:lineRule="auto"/>
        <w:tabs>
          <w:tab w:leader="none" w:pos="104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Share Pool shall be increased by the number of unissued shares of Common Stock underlying or used as a reference measure for any Award or portion of an Award that is cancelled, forfeited, expired, terminated unearned or settled in cash, in any such case without the issuance of shares, and by the number of shares of Common Stock used as a reference measure for any Award that are not issued upon settlement of such Award;</w:t>
      </w:r>
    </w:p>
    <w:p>
      <w:pPr>
        <w:spacing w:after="0" w:line="204" w:lineRule="exact"/>
        <w:rPr>
          <w:rFonts w:ascii="Arial" w:cs="Arial" w:eastAsia="Arial" w:hAnsi="Arial"/>
          <w:sz w:val="18"/>
          <w:szCs w:val="18"/>
          <w:color w:val="auto"/>
        </w:rPr>
      </w:pPr>
    </w:p>
    <w:p>
      <w:pPr>
        <w:ind w:right="680" w:firstLine="656"/>
        <w:spacing w:after="0" w:line="262" w:lineRule="auto"/>
        <w:tabs>
          <w:tab w:leader="none" w:pos="10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Share Pool shall be increased by the number of shares of Common Stock that are forfeited back to Price Group after issuance due to a failure to meet an Award contingency or condition with respect to any Award or portion of an Award;</w:t>
      </w:r>
    </w:p>
    <w:p>
      <w:pPr>
        <w:spacing w:after="0" w:line="196" w:lineRule="exact"/>
        <w:rPr>
          <w:rFonts w:ascii="Arial" w:cs="Arial" w:eastAsia="Arial" w:hAnsi="Arial"/>
          <w:sz w:val="18"/>
          <w:szCs w:val="18"/>
          <w:color w:val="auto"/>
        </w:rPr>
      </w:pPr>
    </w:p>
    <w:p>
      <w:pPr>
        <w:ind w:right="460" w:firstLine="656"/>
        <w:spacing w:after="0" w:line="262" w:lineRule="auto"/>
        <w:tabs>
          <w:tab w:leader="none" w:pos="10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Share Pool shall be increased by the number of shares of Common Stock withheld by or surrendered (either actually or through attestation) to Price Group in payment of the exercise price of any Award;</w:t>
      </w:r>
    </w:p>
    <w:p>
      <w:pPr>
        <w:spacing w:after="0" w:line="196" w:lineRule="exact"/>
        <w:rPr>
          <w:rFonts w:ascii="Arial" w:cs="Arial" w:eastAsia="Arial" w:hAnsi="Arial"/>
          <w:sz w:val="18"/>
          <w:szCs w:val="18"/>
          <w:color w:val="auto"/>
        </w:rPr>
      </w:pPr>
    </w:p>
    <w:p>
      <w:pPr>
        <w:ind w:right="180" w:firstLine="656"/>
        <w:spacing w:after="0" w:line="256" w:lineRule="auto"/>
        <w:tabs>
          <w:tab w:leader="none" w:pos="10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Share Pool shall be increased by the number of shares of Common Stock withheld by or surrendered (either actually or through attestation) to Price Group in payment of the statutory minimum Tax Withholding Obligation that arises in connection with any Award; and</w:t>
      </w:r>
    </w:p>
    <w:p>
      <w:pPr>
        <w:spacing w:after="0" w:line="201" w:lineRule="exact"/>
        <w:rPr>
          <w:rFonts w:ascii="Arial" w:cs="Arial" w:eastAsia="Arial" w:hAnsi="Arial"/>
          <w:sz w:val="18"/>
          <w:szCs w:val="18"/>
          <w:color w:val="auto"/>
        </w:rPr>
      </w:pPr>
    </w:p>
    <w:p>
      <w:pPr>
        <w:ind w:firstLine="656"/>
        <w:spacing w:after="0" w:line="253" w:lineRule="auto"/>
        <w:tabs>
          <w:tab w:leader="none" w:pos="10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Share Pool shall be increased by the amount of any shares of Common Stock reacquired by Price Group on the open market or otherwise using the cash proceeds received by Price Group in payment of the exercise price and/or the statutory minimum Tax Withholding Obligation that arises in connection with the exercise of stock options,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maximum number of shares that may be so added to the Share Pool, irrespective of the date of purchase, shall be equal to (A) the amount of the cash proceeds received by Price Group, divided by (B) the Fair Market Value of the Common Stock on the date of the exercise that generated such proceeds.</w:t>
      </w:r>
    </w:p>
    <w:p>
      <w:pPr>
        <w:spacing w:after="0" w:line="210"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22"/>
          <w:szCs w:val="22"/>
          <w:color w:val="auto"/>
        </w:rPr>
      </w:pPr>
      <w:r>
        <w:rPr>
          <w:rFonts w:ascii="Arial" w:cs="Arial" w:eastAsia="Arial" w:hAnsi="Arial"/>
          <w:sz w:val="18"/>
          <w:szCs w:val="18"/>
          <w:i w:val="1"/>
          <w:iCs w:val="1"/>
          <w:color w:val="auto"/>
        </w:rPr>
        <w:t>Code Section 162(m) Individual Limits</w:t>
      </w:r>
      <w:r>
        <w:rPr>
          <w:rFonts w:ascii="Arial" w:cs="Arial" w:eastAsia="Arial" w:hAnsi="Arial"/>
          <w:sz w:val="18"/>
          <w:szCs w:val="18"/>
          <w:color w:val="auto"/>
        </w:rPr>
        <w:t>. Subject to adjustment as provided in Section 10 of the Plan:</w:t>
      </w:r>
    </w:p>
    <w:p>
      <w:pPr>
        <w:spacing w:after="0" w:line="200" w:lineRule="exact"/>
        <w:rPr>
          <w:sz w:val="20"/>
          <w:szCs w:val="20"/>
          <w:color w:val="auto"/>
        </w:rPr>
      </w:pPr>
    </w:p>
    <w:p>
      <w:pPr>
        <w:spacing w:after="0" w:line="245" w:lineRule="exact"/>
        <w:rPr>
          <w:sz w:val="20"/>
          <w:szCs w:val="20"/>
          <w:color w:val="auto"/>
        </w:rPr>
      </w:pPr>
    </w:p>
    <w:p>
      <w:pPr>
        <w:ind w:right="100" w:firstLine="656"/>
        <w:spacing w:after="0" w:line="262" w:lineRule="auto"/>
        <w:tabs>
          <w:tab w:leader="none" w:pos="10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maximum number of shares of Common Stock that may be made subject to Awards granted under the Plan during a calendar year to any one person in the form of stock options or stock appreciation rights is, in the aggregate, 1,015,600 shares;</w:t>
      </w:r>
    </w:p>
    <w:p>
      <w:pPr>
        <w:spacing w:after="0" w:line="196" w:lineRule="exact"/>
        <w:rPr>
          <w:rFonts w:ascii="Arial" w:cs="Arial" w:eastAsia="Arial" w:hAnsi="Arial"/>
          <w:sz w:val="18"/>
          <w:szCs w:val="18"/>
          <w:color w:val="auto"/>
        </w:rPr>
      </w:pPr>
    </w:p>
    <w:p>
      <w:pPr>
        <w:ind w:right="60" w:firstLine="656"/>
        <w:spacing w:after="0" w:line="262" w:lineRule="auto"/>
        <w:tabs>
          <w:tab w:leader="none" w:pos="10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maximum number of shares of Common Stock that may be made subject to Awards granted under the Plan during a calendar year to any one person in the form of Performance Awards is, in the aggregate, 1,015,600 shares, and</w:t>
      </w:r>
    </w:p>
    <w:p>
      <w:pPr>
        <w:spacing w:after="0" w:line="196" w:lineRule="exact"/>
        <w:rPr>
          <w:rFonts w:ascii="Arial" w:cs="Arial" w:eastAsia="Arial" w:hAnsi="Arial"/>
          <w:sz w:val="18"/>
          <w:szCs w:val="18"/>
          <w:color w:val="auto"/>
        </w:rPr>
      </w:pPr>
    </w:p>
    <w:p>
      <w:pPr>
        <w:ind w:right="160" w:firstLine="656"/>
        <w:spacing w:after="0" w:line="256" w:lineRule="auto"/>
        <w:tabs>
          <w:tab w:leader="none" w:pos="108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connection with Awards granted under the Plan during a calendar year to any one person in the form of Performance Shares, the maximum cash amount payable thereunder is the amount equal to the number of shares made subject to the Award, as limited by Section 5(c)(ii), multiplied by the Fair Market Value as determined as of the payment date; and</w:t>
      </w:r>
    </w:p>
    <w:p>
      <w:pPr>
        <w:spacing w:after="0" w:line="201" w:lineRule="exact"/>
        <w:rPr>
          <w:rFonts w:ascii="Arial" w:cs="Arial" w:eastAsia="Arial" w:hAnsi="Arial"/>
          <w:sz w:val="18"/>
          <w:szCs w:val="18"/>
          <w:color w:val="auto"/>
        </w:rPr>
      </w:pPr>
    </w:p>
    <w:p>
      <w:pPr>
        <w:ind w:right="20" w:firstLine="656"/>
        <w:spacing w:after="0" w:line="262" w:lineRule="auto"/>
        <w:tabs>
          <w:tab w:leader="none" w:pos="109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connection with Awards granted under the Plan during a calendar year to any one person in the form of Performance Units, the maximum cash amount payable under such Performance Units is $15,000,000;</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each of the limitations set forth above in clauses (i), (ii) and (iii) of this Section 5(c) shall be multiplied by two when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applied to Awards granted to any individual during the calendar year in which such individual first commences service with Price Group or an Affiliate;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limitations set forth above in clauses (ii) and (iii) of this Section 5(c) shall be multiplied by the number of calendar years over which the applicable Performance Period spans (in whole or in part), if the Performance Period is longer than 12 months’ duration, when applied to Performance Awards. If an Award is terminated, surrendered or canceled in the same year in which it was granted, such Award nevertheless will continue to be counted against the limitations set forth above in this Section 5(c) for the calendar year in which it was granted.</w:t>
      </w:r>
    </w:p>
    <w:p>
      <w:pPr>
        <w:spacing w:after="0" w:line="230" w:lineRule="exact"/>
        <w:rPr>
          <w:sz w:val="20"/>
          <w:szCs w:val="20"/>
          <w:color w:val="auto"/>
        </w:rPr>
      </w:pPr>
    </w:p>
    <w:p>
      <w:pPr>
        <w:ind w:right="40" w:firstLine="656"/>
        <w:spacing w:after="0" w:line="282" w:lineRule="auto"/>
        <w:tabs>
          <w:tab w:leader="none" w:pos="1092" w:val="left"/>
        </w:tabs>
        <w:numPr>
          <w:ilvl w:val="0"/>
          <w:numId w:val="68"/>
        </w:numPr>
        <w:rPr>
          <w:rFonts w:ascii="Arial" w:cs="Arial" w:eastAsia="Arial" w:hAnsi="Arial"/>
          <w:sz w:val="22"/>
          <w:szCs w:val="22"/>
          <w:color w:val="auto"/>
        </w:rPr>
      </w:pPr>
      <w:r>
        <w:rPr>
          <w:rFonts w:ascii="Arial" w:cs="Arial" w:eastAsia="Arial" w:hAnsi="Arial"/>
          <w:sz w:val="18"/>
          <w:szCs w:val="18"/>
          <w:i w:val="1"/>
          <w:iCs w:val="1"/>
          <w:color w:val="auto"/>
        </w:rPr>
        <w:t>ISO Limit</w:t>
      </w:r>
      <w:r>
        <w:rPr>
          <w:rFonts w:ascii="Arial" w:cs="Arial" w:eastAsia="Arial" w:hAnsi="Arial"/>
          <w:sz w:val="18"/>
          <w:szCs w:val="18"/>
          <w:color w:val="auto"/>
        </w:rPr>
        <w:t>.* Subject to adjustment pursuant to Section 10 of the Plan, the maximum number of shares of Common Stock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issued pursuant to stock options granted under the Plan that are intended to qualify as Incentive Stock Options within the meaning of Section 422 of the Code shall be 12,187,200 shares.</w:t>
      </w:r>
    </w:p>
    <w:p>
      <w:pPr>
        <w:spacing w:after="0" w:line="215" w:lineRule="exact"/>
        <w:rPr>
          <w:rFonts w:ascii="Arial" w:cs="Arial" w:eastAsia="Arial" w:hAnsi="Arial"/>
          <w:sz w:val="22"/>
          <w:szCs w:val="22"/>
          <w:color w:val="auto"/>
        </w:rPr>
      </w:pPr>
    </w:p>
    <w:p>
      <w:pPr>
        <w:ind w:firstLine="656"/>
        <w:spacing w:after="0" w:line="282" w:lineRule="auto"/>
        <w:tabs>
          <w:tab w:leader="none" w:pos="1092" w:val="left"/>
        </w:tabs>
        <w:numPr>
          <w:ilvl w:val="0"/>
          <w:numId w:val="68"/>
        </w:numPr>
        <w:rPr>
          <w:rFonts w:ascii="Arial" w:cs="Arial" w:eastAsia="Arial" w:hAnsi="Arial"/>
          <w:sz w:val="22"/>
          <w:szCs w:val="22"/>
          <w:color w:val="auto"/>
        </w:rPr>
      </w:pPr>
      <w:r>
        <w:rPr>
          <w:rFonts w:ascii="Arial" w:cs="Arial" w:eastAsia="Arial" w:hAnsi="Arial"/>
          <w:sz w:val="18"/>
          <w:szCs w:val="18"/>
          <w:i w:val="1"/>
          <w:iCs w:val="1"/>
          <w:color w:val="auto"/>
        </w:rPr>
        <w:t>Source of Shares</w:t>
      </w:r>
      <w:r>
        <w:rPr>
          <w:rFonts w:ascii="Arial" w:cs="Arial" w:eastAsia="Arial" w:hAnsi="Arial"/>
          <w:sz w:val="18"/>
          <w:szCs w:val="18"/>
          <w:color w:val="auto"/>
        </w:rPr>
        <w:t>. The shares of Common Stock with respect to which Awards may be made under the Plan shall be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for issuance under Price Group’s charter but unissued, including without limitation shares purchased in the open market or in private transactions.</w:t>
      </w:r>
    </w:p>
    <w:p>
      <w:pPr>
        <w:sectPr>
          <w:pgSz w:w="11900" w:h="16838" w:orient="portrait"/>
          <w:cols w:equalWidth="0" w:num="1">
            <w:col w:w="11400"/>
          </w:cols>
          <w:pgMar w:left="240" w:top="161" w:right="259" w:bottom="0" w:gutter="0" w:footer="0" w:header="0"/>
        </w:sectPr>
      </w:pPr>
    </w:p>
    <w:bookmarkStart w:id="74" w:name="page75"/>
    <w:bookmarkEnd w:id="74"/>
    <w:p>
      <w:pPr>
        <w:ind w:left="360" w:hanging="352"/>
        <w:spacing w:after="0"/>
        <w:tabs>
          <w:tab w:leader="none" w:pos="360" w:val="left"/>
        </w:tabs>
        <w:numPr>
          <w:ilvl w:val="0"/>
          <w:numId w:val="69"/>
        </w:numPr>
        <w:rPr>
          <w:rFonts w:ascii="Arial" w:cs="Arial" w:eastAsia="Arial" w:hAnsi="Arial"/>
          <w:sz w:val="22"/>
          <w:szCs w:val="22"/>
          <w:b w:val="1"/>
          <w:bCs w:val="1"/>
          <w:color w:val="auto"/>
        </w:rPr>
      </w:pPr>
      <w:r>
        <w:rPr>
          <w:rFonts w:ascii="Arial" w:cs="Arial" w:eastAsia="Arial" w:hAnsi="Arial"/>
          <w:sz w:val="18"/>
          <w:szCs w:val="18"/>
          <w:b w:val="1"/>
          <w:bCs w:val="1"/>
          <w:color w:val="auto"/>
        </w:rPr>
        <w:t>Participation.</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Participation in the Plan shall be open to all Eligible Individuals, as may be selected by the Administrator from time to time. The Administrator may also grant Awards to Eligible Individuals in connection with hiring, recruiting or otherwise, prior to the date the individual first performs services for Price Group or an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Awards shall not become vested or exercisable, and no shares shall be issued to such individual, prior to the date the individual first commences performance of such services.</w:t>
      </w:r>
    </w:p>
    <w:p>
      <w:pPr>
        <w:spacing w:after="0" w:line="209" w:lineRule="exact"/>
        <w:rPr>
          <w:sz w:val="20"/>
          <w:szCs w:val="20"/>
          <w:color w:val="auto"/>
        </w:rPr>
      </w:pPr>
    </w:p>
    <w:p>
      <w:pPr>
        <w:ind w:left="360" w:hanging="352"/>
        <w:spacing w:after="0"/>
        <w:tabs>
          <w:tab w:leader="none" w:pos="360" w:val="left"/>
        </w:tabs>
        <w:numPr>
          <w:ilvl w:val="0"/>
          <w:numId w:val="70"/>
        </w:numPr>
        <w:rPr>
          <w:rFonts w:ascii="Arial" w:cs="Arial" w:eastAsia="Arial" w:hAnsi="Arial"/>
          <w:sz w:val="22"/>
          <w:szCs w:val="22"/>
          <w:b w:val="1"/>
          <w:bCs w:val="1"/>
          <w:color w:val="auto"/>
        </w:rPr>
      </w:pPr>
      <w:r>
        <w:rPr>
          <w:rFonts w:ascii="Arial" w:cs="Arial" w:eastAsia="Arial" w:hAnsi="Arial"/>
          <w:sz w:val="18"/>
          <w:szCs w:val="18"/>
          <w:b w:val="1"/>
          <w:bCs w:val="1"/>
          <w:color w:val="auto"/>
        </w:rPr>
        <w:t>Awards.</w:t>
      </w:r>
    </w:p>
    <w:p>
      <w:pPr>
        <w:spacing w:after="0" w:line="251" w:lineRule="exact"/>
        <w:rPr>
          <w:rFonts w:ascii="Arial" w:cs="Arial" w:eastAsia="Arial" w:hAnsi="Arial"/>
          <w:sz w:val="22"/>
          <w:szCs w:val="22"/>
          <w:b w:val="1"/>
          <w:bCs w:val="1"/>
          <w:color w:val="auto"/>
        </w:rPr>
      </w:pPr>
    </w:p>
    <w:p>
      <w:pPr>
        <w:ind w:right="100" w:firstLine="656"/>
        <w:spacing w:after="0" w:line="292" w:lineRule="auto"/>
        <w:tabs>
          <w:tab w:leader="none" w:pos="1092" w:val="left"/>
        </w:tabs>
        <w:numPr>
          <w:ilvl w:val="1"/>
          <w:numId w:val="70"/>
        </w:numPr>
        <w:rPr>
          <w:rFonts w:ascii="Arial" w:cs="Arial" w:eastAsia="Arial" w:hAnsi="Arial"/>
          <w:sz w:val="22"/>
          <w:szCs w:val="22"/>
          <w:color w:val="auto"/>
        </w:rPr>
      </w:pPr>
      <w:r>
        <w:rPr>
          <w:rFonts w:ascii="Arial" w:cs="Arial" w:eastAsia="Arial" w:hAnsi="Arial"/>
          <w:sz w:val="18"/>
          <w:szCs w:val="18"/>
          <w:i w:val="1"/>
          <w:iCs w:val="1"/>
          <w:color w:val="auto"/>
        </w:rPr>
        <w:t xml:space="preserve">Awards, In General. </w:t>
      </w:r>
      <w:r>
        <w:rPr>
          <w:rFonts w:ascii="Arial" w:cs="Arial" w:eastAsia="Arial" w:hAnsi="Arial"/>
          <w:sz w:val="18"/>
          <w:szCs w:val="18"/>
          <w:color w:val="auto"/>
        </w:rPr>
        <w:t>The Administrator, in its sole discretion, shall establish the terms of all Awards granted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terms of the Plan. Awards may be granted individually or in tandem with other types of Awards, concurrently with or with respect to outstanding Awards. All Awards are subject to the terms and conditions provided in the Award Agreement, which shall be delivered to the Participant receiving such Award upon, or as promptly as is reasonably practicable following, the grant of such Award. Unless otherwise specified by the Administrator, in its sole discretion, or otherwise provided in the Award Agreement, an Award shall not be effective unless the Award Agreement is signed or otherwise accepted by Price Group and the Participant receiving the Award (including by electronic delivery and/or electronic signature).</w:t>
      </w:r>
    </w:p>
    <w:p>
      <w:pPr>
        <w:spacing w:after="0" w:line="207" w:lineRule="exact"/>
        <w:rPr>
          <w:rFonts w:ascii="Arial" w:cs="Arial" w:eastAsia="Arial" w:hAnsi="Arial"/>
          <w:sz w:val="22"/>
          <w:szCs w:val="22"/>
          <w:color w:val="auto"/>
        </w:rPr>
      </w:pPr>
    </w:p>
    <w:p>
      <w:pPr>
        <w:ind w:right="20" w:firstLine="656"/>
        <w:spacing w:after="0" w:line="294" w:lineRule="auto"/>
        <w:tabs>
          <w:tab w:leader="none" w:pos="1104" w:val="left"/>
        </w:tabs>
        <w:numPr>
          <w:ilvl w:val="1"/>
          <w:numId w:val="70"/>
        </w:numPr>
        <w:rPr>
          <w:rFonts w:ascii="Arial" w:cs="Arial" w:eastAsia="Arial" w:hAnsi="Arial"/>
          <w:sz w:val="22"/>
          <w:szCs w:val="22"/>
          <w:b w:val="1"/>
          <w:bCs w:val="1"/>
          <w:i w:val="1"/>
          <w:iCs w:val="1"/>
          <w:color w:val="auto"/>
        </w:rPr>
      </w:pPr>
      <w:r>
        <w:rPr>
          <w:rFonts w:ascii="Arial" w:cs="Arial" w:eastAsia="Arial" w:hAnsi="Arial"/>
          <w:sz w:val="18"/>
          <w:szCs w:val="18"/>
          <w:i w:val="1"/>
          <w:iCs w:val="1"/>
          <w:color w:val="auto"/>
        </w:rPr>
        <w:t xml:space="preserve">Minimum Restriction Period for Full Value Awards. </w:t>
      </w:r>
      <w:r>
        <w:rPr>
          <w:rFonts w:ascii="Arial" w:cs="Arial" w:eastAsia="Arial" w:hAnsi="Arial"/>
          <w:sz w:val="18"/>
          <w:szCs w:val="18"/>
          <w:color w:val="auto"/>
        </w:rPr>
        <w:t>Except as provided below and notwithstanding any provision of the Plan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each Full Value Award granted under the Plan shall be subject to a minimum Restriction Period of 12 months from the date of grant if vesting of or lapse of restrictions on such Award is based on the satisfaction of Performance Goals and a minimum Restriction Period of 36 months from the date of grant, applied in either pro rata installments or a single installment, if vesting of or lapse of restrictions on such Award is based solely on the Participant’s satisfaction of specified service requirements with Price Group and its Affiliates. If the grant of a Performance Award is conditioned on satisfaction of Performance Goals, the Performance Period shall not be less than 12 months’ duration, but no additional minimum Restriction Period need apply to such Award. Except as provided below and notwithstanding any provision of the Plan to the contrary, the Administrator shall not have discretionary authority to waive the minimum Restriction Period applicable to a Full Value Award, except in the case of death, disability, retirement, or a Change in Control. The provisions of this Section 7(b) shall not apply and/or may be waived, in the Administrator’s discretion, with respect to up to the number of Full Value Awards that is equal to five percent (5%) of the aggregate Share Pool as of the Effective Date.</w:t>
      </w:r>
    </w:p>
    <w:p>
      <w:pPr>
        <w:spacing w:after="0" w:line="188" w:lineRule="exact"/>
        <w:rPr>
          <w:rFonts w:ascii="Arial" w:cs="Arial" w:eastAsia="Arial" w:hAnsi="Arial"/>
          <w:sz w:val="22"/>
          <w:szCs w:val="22"/>
          <w:b w:val="1"/>
          <w:bCs w:val="1"/>
          <w:i w:val="1"/>
          <w:iCs w:val="1"/>
          <w:color w:val="auto"/>
        </w:rPr>
      </w:pPr>
    </w:p>
    <w:p>
      <w:pPr>
        <w:ind w:left="1080" w:hanging="424"/>
        <w:spacing w:after="0"/>
        <w:tabs>
          <w:tab w:leader="none" w:pos="1080" w:val="left"/>
        </w:tabs>
        <w:numPr>
          <w:ilvl w:val="1"/>
          <w:numId w:val="70"/>
        </w:numPr>
        <w:rPr>
          <w:rFonts w:ascii="Arial" w:cs="Arial" w:eastAsia="Arial" w:hAnsi="Arial"/>
          <w:sz w:val="22"/>
          <w:szCs w:val="22"/>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w:t>
      </w:r>
    </w:p>
    <w:p>
      <w:pPr>
        <w:spacing w:after="0" w:line="210" w:lineRule="exact"/>
        <w:rPr>
          <w:rFonts w:ascii="Arial" w:cs="Arial" w:eastAsia="Arial" w:hAnsi="Arial"/>
          <w:sz w:val="22"/>
          <w:szCs w:val="22"/>
          <w:color w:val="auto"/>
        </w:rPr>
      </w:pPr>
    </w:p>
    <w:p>
      <w:pPr>
        <w:ind w:firstLine="1305"/>
        <w:spacing w:after="0" w:line="255" w:lineRule="auto"/>
        <w:tabs>
          <w:tab w:leader="none" w:pos="1656" w:val="left"/>
        </w:tabs>
        <w:numPr>
          <w:ilvl w:val="2"/>
          <w:numId w:val="70"/>
        </w:numPr>
        <w:rPr>
          <w:rFonts w:ascii="Arial" w:cs="Arial" w:eastAsia="Arial" w:hAnsi="Arial"/>
          <w:sz w:val="18"/>
          <w:szCs w:val="18"/>
          <w:color w:val="auto"/>
        </w:rPr>
      </w:pPr>
      <w:r>
        <w:rPr>
          <w:rFonts w:ascii="Arial" w:cs="Arial" w:eastAsia="Arial" w:hAnsi="Arial"/>
          <w:sz w:val="18"/>
          <w:szCs w:val="18"/>
          <w:i w:val="1"/>
          <w:iCs w:val="1"/>
          <w:color w:val="auto"/>
        </w:rPr>
        <w:t>Grants</w:t>
      </w:r>
      <w:r>
        <w:rPr>
          <w:rFonts w:ascii="Arial" w:cs="Arial" w:eastAsia="Arial" w:hAnsi="Arial"/>
          <w:sz w:val="18"/>
          <w:szCs w:val="18"/>
          <w:color w:val="auto"/>
        </w:rPr>
        <w:t>. A stock option means a right to purchase a specified number of shares of Common Stock from Price Group at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specified price during a specified period of time. The Administrator may from time to time grant to Eligible Individuals Awards of Incentive Stock Options or Nonqualified Options;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Awards of Incentive Stock Options shall be limited to employees of Price Group or of any current or hereafter existing “parent corporation” or “subsidiary corporation,” as defined in Sections 424(e) and 424(f) of the Code, respectively, of Price Group, and any other Eligible Individuals who are eligible to receive Incentive Stock Options under the provisions of Section 422 of the Code. No stock option shall be an Incentive Stock Option unless so designated by the Administrator at the time of grant or in the applicable Award Agreement.</w:t>
      </w:r>
    </w:p>
    <w:p>
      <w:pPr>
        <w:spacing w:after="0" w:line="189" w:lineRule="exact"/>
        <w:rPr>
          <w:rFonts w:ascii="Arial" w:cs="Arial" w:eastAsia="Arial" w:hAnsi="Arial"/>
          <w:sz w:val="18"/>
          <w:szCs w:val="18"/>
          <w:color w:val="auto"/>
        </w:rPr>
      </w:pPr>
    </w:p>
    <w:p>
      <w:pPr>
        <w:ind w:right="140" w:firstLine="1305"/>
        <w:spacing w:after="0" w:line="255" w:lineRule="auto"/>
        <w:tabs>
          <w:tab w:leader="none" w:pos="1696" w:val="left"/>
        </w:tabs>
        <w:numPr>
          <w:ilvl w:val="2"/>
          <w:numId w:val="70"/>
        </w:numPr>
        <w:rPr>
          <w:rFonts w:ascii="Arial" w:cs="Arial" w:eastAsia="Arial" w:hAnsi="Arial"/>
          <w:sz w:val="18"/>
          <w:szCs w:val="18"/>
          <w:color w:val="auto"/>
        </w:rPr>
      </w:pPr>
      <w:r>
        <w:rPr>
          <w:rFonts w:ascii="Arial" w:cs="Arial" w:eastAsia="Arial" w:hAnsi="Arial"/>
          <w:sz w:val="18"/>
          <w:szCs w:val="18"/>
          <w:i w:val="1"/>
          <w:iCs w:val="1"/>
          <w:color w:val="auto"/>
        </w:rPr>
        <w:t>Exercise</w:t>
      </w:r>
      <w:r>
        <w:rPr>
          <w:rFonts w:ascii="Arial" w:cs="Arial" w:eastAsia="Arial" w:hAnsi="Arial"/>
          <w:sz w:val="18"/>
          <w:szCs w:val="18"/>
          <w:color w:val="auto"/>
        </w:rPr>
        <w:t>. Stock options shall be exercisable at such time or times and subject to such terms and conditions as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determined by the Administrator;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Awards of stock options may not have a term in excess of ten years’ duration unless required otherwise by applicable law. The exercise price per share subject to a stock option granted under the Plan shall not be less than the Fair Market Value of one share of Common Stock on the date of grant of the stock option, except as provided under applicable law or with respect to stock options that are granted in substitution of similar types of awards of a company acquired by Price Group or an Affiliate or with which Price Group or an Affiliate combines (whether in connection with a corporate transaction, such as a merger, combination, consolidation or acquisition of property or stock, or otherwise) to preserve the intrinsic value of such awards.</w:t>
      </w:r>
    </w:p>
    <w:p>
      <w:pPr>
        <w:spacing w:after="0" w:line="189" w:lineRule="exact"/>
        <w:rPr>
          <w:rFonts w:ascii="Arial" w:cs="Arial" w:eastAsia="Arial" w:hAnsi="Arial"/>
          <w:sz w:val="18"/>
          <w:szCs w:val="18"/>
          <w:color w:val="auto"/>
        </w:rPr>
      </w:pPr>
    </w:p>
    <w:p>
      <w:pPr>
        <w:ind w:right="700" w:firstLine="1305"/>
        <w:spacing w:after="0" w:line="266" w:lineRule="auto"/>
        <w:tabs>
          <w:tab w:leader="none" w:pos="1736" w:val="left"/>
        </w:tabs>
        <w:numPr>
          <w:ilvl w:val="2"/>
          <w:numId w:val="70"/>
        </w:numPr>
        <w:rPr>
          <w:rFonts w:ascii="Arial" w:cs="Arial" w:eastAsia="Arial" w:hAnsi="Arial"/>
          <w:sz w:val="18"/>
          <w:szCs w:val="18"/>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Except as provided in the applicable Award Agreement or otherwise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to the extent stock options are not vested and exercisable, a Participant’s stock options shall be forfeited upon his or her Termination of Service.</w:t>
      </w:r>
    </w:p>
    <w:p>
      <w:pPr>
        <w:spacing w:after="0" w:line="176" w:lineRule="exact"/>
        <w:rPr>
          <w:rFonts w:ascii="Arial" w:cs="Arial" w:eastAsia="Arial" w:hAnsi="Arial"/>
          <w:sz w:val="18"/>
          <w:szCs w:val="18"/>
          <w:color w:val="auto"/>
        </w:rPr>
      </w:pPr>
    </w:p>
    <w:p>
      <w:pPr>
        <w:ind w:right="160" w:firstLine="1305"/>
        <w:spacing w:after="0" w:line="313" w:lineRule="auto"/>
        <w:tabs>
          <w:tab w:leader="none" w:pos="1746" w:val="left"/>
        </w:tabs>
        <w:numPr>
          <w:ilvl w:val="2"/>
          <w:numId w:val="70"/>
        </w:numPr>
        <w:rPr>
          <w:rFonts w:ascii="Arial" w:cs="Arial" w:eastAsia="Arial" w:hAnsi="Arial"/>
          <w:sz w:val="17"/>
          <w:szCs w:val="17"/>
          <w:color w:val="auto"/>
        </w:rPr>
      </w:pPr>
      <w:r>
        <w:rPr>
          <w:rFonts w:ascii="Arial" w:cs="Arial" w:eastAsia="Arial" w:hAnsi="Arial"/>
          <w:sz w:val="17"/>
          <w:szCs w:val="17"/>
          <w:i w:val="1"/>
          <w:iCs w:val="1"/>
          <w:color w:val="auto"/>
        </w:rPr>
        <w:t>Additional Terms and Conditions</w:t>
      </w:r>
      <w:r>
        <w:rPr>
          <w:rFonts w:ascii="Arial" w:cs="Arial" w:eastAsia="Arial" w:hAnsi="Arial"/>
          <w:sz w:val="17"/>
          <w:szCs w:val="17"/>
          <w:color w:val="auto"/>
        </w:rPr>
        <w:t>. The Administrator may, by way of the Award Agreement or otherwise, determine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terms, conditions, restrictions, and/or limitations, if any, of any Award of stock options,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they are not inconsistent with the Plan.</w:t>
      </w:r>
    </w:p>
    <w:p>
      <w:pPr>
        <w:spacing w:after="0" w:line="178" w:lineRule="exact"/>
        <w:rPr>
          <w:rFonts w:ascii="Arial" w:cs="Arial" w:eastAsia="Arial" w:hAnsi="Arial"/>
          <w:sz w:val="17"/>
          <w:szCs w:val="17"/>
          <w:color w:val="auto"/>
        </w:rPr>
      </w:pPr>
    </w:p>
    <w:p>
      <w:pPr>
        <w:jc w:val="both"/>
        <w:ind w:right="20" w:firstLine="656"/>
        <w:spacing w:after="0" w:line="287" w:lineRule="auto"/>
        <w:tabs>
          <w:tab w:leader="none" w:pos="1092" w:val="left"/>
        </w:tabs>
        <w:numPr>
          <w:ilvl w:val="1"/>
          <w:numId w:val="70"/>
        </w:numPr>
        <w:rPr>
          <w:rFonts w:ascii="Arial" w:cs="Arial" w:eastAsia="Arial" w:hAnsi="Arial"/>
          <w:sz w:val="22"/>
          <w:szCs w:val="22"/>
          <w:color w:val="auto"/>
        </w:rPr>
      </w:pPr>
      <w:r>
        <w:rPr>
          <w:rFonts w:ascii="Arial" w:cs="Arial" w:eastAsia="Arial" w:hAnsi="Arial"/>
          <w:sz w:val="18"/>
          <w:szCs w:val="18"/>
          <w:i w:val="1"/>
          <w:iCs w:val="1"/>
          <w:color w:val="auto"/>
        </w:rPr>
        <w:t>Limitation on Reload Options</w:t>
      </w:r>
      <w:r>
        <w:rPr>
          <w:rFonts w:ascii="Arial" w:cs="Arial" w:eastAsia="Arial" w:hAnsi="Arial"/>
          <w:sz w:val="18"/>
          <w:szCs w:val="18"/>
          <w:color w:val="auto"/>
        </w:rPr>
        <w:t>. Other than to fulfill Price Group’s obligation under any outstanding Award granted under a Prior</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Administrator shall not grant stock options under this Plan that contain a reload or replenishment feature pursuant to which a new stock option would be granted upon receipt of delivery of Common Stock to Price Group in payment of the exercise price or any tax withholding obligation under any other stock option.</w:t>
      </w:r>
    </w:p>
    <w:p>
      <w:pPr>
        <w:spacing w:after="0" w:line="192" w:lineRule="exact"/>
        <w:rPr>
          <w:rFonts w:ascii="Arial" w:cs="Arial" w:eastAsia="Arial" w:hAnsi="Arial"/>
          <w:sz w:val="22"/>
          <w:szCs w:val="22"/>
          <w:color w:val="auto"/>
        </w:rPr>
      </w:pPr>
    </w:p>
    <w:p>
      <w:pPr>
        <w:ind w:left="1100" w:hanging="444"/>
        <w:spacing w:after="0"/>
        <w:tabs>
          <w:tab w:leader="none" w:pos="1100" w:val="left"/>
        </w:tabs>
        <w:numPr>
          <w:ilvl w:val="1"/>
          <w:numId w:val="70"/>
        </w:numPr>
        <w:rPr>
          <w:rFonts w:ascii="Arial" w:cs="Arial" w:eastAsia="Arial" w:hAnsi="Arial"/>
          <w:sz w:val="22"/>
          <w:szCs w:val="22"/>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w:t>
      </w:r>
    </w:p>
    <w:p>
      <w:pPr>
        <w:spacing w:after="0" w:line="210" w:lineRule="exact"/>
        <w:rPr>
          <w:rFonts w:ascii="Arial" w:cs="Arial" w:eastAsia="Arial" w:hAnsi="Arial"/>
          <w:sz w:val="22"/>
          <w:szCs w:val="22"/>
          <w:color w:val="auto"/>
        </w:rPr>
      </w:pPr>
    </w:p>
    <w:p>
      <w:pPr>
        <w:ind w:right="180" w:firstLine="1305"/>
        <w:spacing w:after="0" w:line="272" w:lineRule="auto"/>
        <w:tabs>
          <w:tab w:leader="none" w:pos="1656" w:val="left"/>
        </w:tabs>
        <w:numPr>
          <w:ilvl w:val="2"/>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Grants. </w:t>
      </w:r>
      <w:r>
        <w:rPr>
          <w:rFonts w:ascii="Arial" w:cs="Arial" w:eastAsia="Arial" w:hAnsi="Arial"/>
          <w:sz w:val="17"/>
          <w:szCs w:val="17"/>
          <w:color w:val="auto"/>
        </w:rPr>
        <w:t>The Administrator may from time to time grant to Eligible Individuals Awards of stock appreciation rights.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 entitles the Participant to receive, subject to the provisions of the Plan and the Award Agreement, a payment having an aggregate value equal to the product of (i) the excess of (A) the Fair Market Value on the exercise date of one share of Common Stock over</w:t>
      </w:r>
    </w:p>
    <w:p>
      <w:pPr>
        <w:spacing w:after="0" w:line="1" w:lineRule="exact"/>
        <w:rPr>
          <w:rFonts w:ascii="Arial" w:cs="Arial" w:eastAsia="Arial" w:hAnsi="Arial"/>
          <w:sz w:val="17"/>
          <w:szCs w:val="17"/>
          <w:color w:val="auto"/>
        </w:rPr>
      </w:pPr>
    </w:p>
    <w:p>
      <w:pPr>
        <w:ind w:right="60"/>
        <w:spacing w:after="0" w:line="270" w:lineRule="auto"/>
        <w:rPr>
          <w:rFonts w:ascii="Arial" w:cs="Arial" w:eastAsia="Arial" w:hAnsi="Arial"/>
          <w:sz w:val="17"/>
          <w:szCs w:val="17"/>
          <w:color w:val="auto"/>
        </w:rPr>
      </w:pPr>
      <w:r>
        <w:rPr>
          <w:rFonts w:ascii="Arial" w:cs="Arial" w:eastAsia="Arial" w:hAnsi="Arial"/>
          <w:sz w:val="17"/>
          <w:szCs w:val="17"/>
          <w:color w:val="auto"/>
        </w:rPr>
        <w:t>(B) the base price per share specified in the Award Agreement, times (ii) the number of shares specified by the stock appreciation right, or portion thereof, which is exercised. The base price per share specified in the Award Agreement shall not be less than the lower of the Fair Market Value on the date of grant or the exercise price of any tandem stock option to which the stock appreciation right is related, or with respect to stock appreciation rights that are granted in substitution of similar types of awards of a company acquired by Price Group or an Affiliate or with which Price Group or an Affiliate combines (whether in connection with a corporate transaction, such as a merger, combination, consolidation or acquisition of property or stock, or otherwise) such base price as is necessary to preserve the intrinsic value of such awards.</w:t>
      </w:r>
    </w:p>
    <w:p>
      <w:pPr>
        <w:sectPr>
          <w:pgSz w:w="11900" w:h="16838" w:orient="portrait"/>
          <w:cols w:equalWidth="0" w:num="1">
            <w:col w:w="11400"/>
          </w:cols>
          <w:pgMar w:left="240" w:top="251" w:right="259" w:bottom="0" w:gutter="0" w:footer="0" w:header="0"/>
        </w:sectPr>
      </w:pPr>
    </w:p>
    <w:bookmarkStart w:id="75" w:name="page76"/>
    <w:bookmarkEnd w:id="75"/>
    <w:p>
      <w:pPr>
        <w:ind w:right="60" w:firstLine="1305"/>
        <w:spacing w:after="0" w:line="254" w:lineRule="auto"/>
        <w:tabs>
          <w:tab w:leader="none" w:pos="1696"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Exercise</w:t>
      </w:r>
      <w:r>
        <w:rPr>
          <w:rFonts w:ascii="Arial" w:cs="Arial" w:eastAsia="Arial" w:hAnsi="Arial"/>
          <w:sz w:val="18"/>
          <w:szCs w:val="18"/>
          <w:color w:val="auto"/>
        </w:rPr>
        <w:t>. Stock appreciation rights shall be exercisable at such time or times and subject to such terms and conditions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be determined by the Administrator;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stock appreciation rights granted under the Plan may not have a term in excess of ten years’ duration unless required otherwise by applicable law. The applicable Award Agreement shall specify whether payment by Price Group of the amount receivable upon any exercise of a stock appreciation right is to be made in cash or shares of Common Stock or a combination of both, or shall reserve to the Administrator or the Participant the right to make that determination prior to or upon the exercise of the stock appreciation right. If upon the exercise of a stock appreciation right a Participant is to receive a portion of such payment in shares of Common Stock, the number of shares shall be determined by dividing such portion by the Fair Market Value of a share of Common Stock on the exercise date. No fractional shares shall be used for such payment and the Administrator shall determine whether cash shall be given in lieu of such fractional shares or whether such fractional shares shall be eliminated.</w:t>
      </w:r>
    </w:p>
    <w:p>
      <w:pPr>
        <w:spacing w:after="0" w:line="189" w:lineRule="exact"/>
        <w:rPr>
          <w:rFonts w:ascii="Arial" w:cs="Arial" w:eastAsia="Arial" w:hAnsi="Arial"/>
          <w:sz w:val="18"/>
          <w:szCs w:val="18"/>
          <w:color w:val="auto"/>
        </w:rPr>
      </w:pPr>
    </w:p>
    <w:p>
      <w:pPr>
        <w:ind w:right="180" w:firstLine="1305"/>
        <w:spacing w:after="0" w:line="266" w:lineRule="auto"/>
        <w:tabs>
          <w:tab w:leader="none" w:pos="1736"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Except as provided in the applicable Award Agreement or otherwise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to the extent stock appreciation rights are not vested and exercisable, a Participant’s stock appreciation rights shall be forfeited upon his or her Termination of Service.</w:t>
      </w:r>
    </w:p>
    <w:p>
      <w:pPr>
        <w:spacing w:after="0" w:line="176" w:lineRule="exact"/>
        <w:rPr>
          <w:rFonts w:ascii="Arial" w:cs="Arial" w:eastAsia="Arial" w:hAnsi="Arial"/>
          <w:sz w:val="18"/>
          <w:szCs w:val="18"/>
          <w:color w:val="auto"/>
        </w:rPr>
      </w:pPr>
    </w:p>
    <w:p>
      <w:pPr>
        <w:jc w:val="both"/>
        <w:ind w:right="140" w:firstLine="1305"/>
        <w:spacing w:after="0" w:line="266" w:lineRule="auto"/>
        <w:tabs>
          <w:tab w:leader="none" w:pos="1746"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Additional Terms and Conditions</w:t>
      </w:r>
      <w:r>
        <w:rPr>
          <w:rFonts w:ascii="Arial" w:cs="Arial" w:eastAsia="Arial" w:hAnsi="Arial"/>
          <w:sz w:val="18"/>
          <w:szCs w:val="18"/>
          <w:color w:val="auto"/>
        </w:rPr>
        <w:t>. The Administrator may, by way of the Award Agreement or otherwise, determine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terms, conditions, restrictions, and/or limitations, if any, of any Award of stock appreciation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they are not inconsistent with the Plan.</w:t>
      </w:r>
    </w:p>
    <w:p>
      <w:pPr>
        <w:spacing w:after="0" w:line="216" w:lineRule="exact"/>
        <w:rPr>
          <w:rFonts w:ascii="Arial" w:cs="Arial" w:eastAsia="Arial" w:hAnsi="Arial"/>
          <w:sz w:val="18"/>
          <w:szCs w:val="18"/>
          <w:color w:val="auto"/>
        </w:rPr>
      </w:pPr>
    </w:p>
    <w:p>
      <w:pPr>
        <w:ind w:right="80" w:firstLine="656"/>
        <w:spacing w:after="0" w:line="292" w:lineRule="auto"/>
        <w:tabs>
          <w:tab w:leader="none" w:pos="1032" w:val="left"/>
        </w:tabs>
        <w:numPr>
          <w:ilvl w:val="0"/>
          <w:numId w:val="72"/>
        </w:numPr>
        <w:rPr>
          <w:rFonts w:ascii="Arial" w:cs="Arial" w:eastAsia="Arial" w:hAnsi="Arial"/>
          <w:sz w:val="22"/>
          <w:szCs w:val="22"/>
          <w:color w:val="auto"/>
        </w:rPr>
      </w:pPr>
      <w:r>
        <w:rPr>
          <w:rFonts w:ascii="Arial" w:cs="Arial" w:eastAsia="Arial" w:hAnsi="Arial"/>
          <w:sz w:val="18"/>
          <w:szCs w:val="18"/>
          <w:i w:val="1"/>
          <w:iCs w:val="1"/>
          <w:color w:val="auto"/>
        </w:rPr>
        <w:t xml:space="preserve">Prohibition on Repricing. </w:t>
      </w:r>
      <w:r>
        <w:rPr>
          <w:rFonts w:ascii="Arial" w:cs="Arial" w:eastAsia="Arial" w:hAnsi="Arial"/>
          <w:sz w:val="18"/>
          <w:szCs w:val="18"/>
          <w:color w:val="auto"/>
        </w:rPr>
        <w:t>Notwithstanding anything herein to the contrary, except in connection with a corporate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Price Group (including, without limitation, any stock dividend, stock split, extraordinary cash dividend, recapitalization, reorganization, merger, consolidation, split-up, spin-off, combination, or exchange of shares), the terms of options and stock appreciation rights granted under the Plan may not be amended, after the date of grant, to reduce the exercise price of such options or stock appreciation rights, nor may outstanding options or stock appreciation rights be canceled in exchange for (i) cash, (ii) options or stock appreciation rights with an exercise price or base price that is less than the exercise price or base price of the original outstanding options or stock appreciation rights, or (iii) other Awards, unless such action is approved by Price Group’s stockholders.</w:t>
      </w:r>
    </w:p>
    <w:p>
      <w:pPr>
        <w:spacing w:after="0" w:line="188" w:lineRule="exact"/>
        <w:rPr>
          <w:rFonts w:ascii="Arial" w:cs="Arial" w:eastAsia="Arial" w:hAnsi="Arial"/>
          <w:sz w:val="22"/>
          <w:szCs w:val="22"/>
          <w:color w:val="auto"/>
        </w:rPr>
      </w:pPr>
    </w:p>
    <w:p>
      <w:pPr>
        <w:ind w:left="1100" w:hanging="444"/>
        <w:spacing w:after="0"/>
        <w:tabs>
          <w:tab w:leader="none" w:pos="1100" w:val="left"/>
        </w:tabs>
        <w:numPr>
          <w:ilvl w:val="0"/>
          <w:numId w:val="72"/>
        </w:numPr>
        <w:rPr>
          <w:rFonts w:ascii="Arial" w:cs="Arial" w:eastAsia="Arial" w:hAnsi="Arial"/>
          <w:sz w:val="22"/>
          <w:szCs w:val="22"/>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w:t>
      </w:r>
    </w:p>
    <w:p>
      <w:pPr>
        <w:spacing w:after="0" w:line="210" w:lineRule="exact"/>
        <w:rPr>
          <w:rFonts w:ascii="Arial" w:cs="Arial" w:eastAsia="Arial" w:hAnsi="Arial"/>
          <w:sz w:val="22"/>
          <w:szCs w:val="22"/>
          <w:color w:val="auto"/>
        </w:rPr>
      </w:pPr>
    </w:p>
    <w:p>
      <w:pPr>
        <w:jc w:val="both"/>
        <w:ind w:right="340" w:firstLine="1305"/>
        <w:spacing w:after="0" w:line="272" w:lineRule="auto"/>
        <w:tabs>
          <w:tab w:leader="none" w:pos="1656" w:val="left"/>
        </w:tabs>
        <w:numPr>
          <w:ilvl w:val="1"/>
          <w:numId w:val="72"/>
        </w:numPr>
        <w:rPr>
          <w:rFonts w:ascii="Arial" w:cs="Arial" w:eastAsia="Arial" w:hAnsi="Arial"/>
          <w:sz w:val="17"/>
          <w:szCs w:val="17"/>
          <w:color w:val="auto"/>
        </w:rPr>
      </w:pPr>
      <w:r>
        <w:rPr>
          <w:rFonts w:ascii="Arial" w:cs="Arial" w:eastAsia="Arial" w:hAnsi="Arial"/>
          <w:sz w:val="17"/>
          <w:szCs w:val="17"/>
          <w:i w:val="1"/>
          <w:iCs w:val="1"/>
          <w:color w:val="auto"/>
        </w:rPr>
        <w:t>Grants</w:t>
      </w:r>
      <w:r>
        <w:rPr>
          <w:rFonts w:ascii="Arial" w:cs="Arial" w:eastAsia="Arial" w:hAnsi="Arial"/>
          <w:sz w:val="17"/>
          <w:szCs w:val="17"/>
          <w:color w:val="auto"/>
        </w:rPr>
        <w:t>. The Administrator may from time to time grant to Eligible Individuals Awards of unrestricted Common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(collectively, “</w:t>
      </w:r>
      <w:r>
        <w:rPr>
          <w:rFonts w:ascii="Arial" w:cs="Arial" w:eastAsia="Arial" w:hAnsi="Arial"/>
          <w:sz w:val="17"/>
          <w:szCs w:val="17"/>
          <w:i w:val="1"/>
          <w:iCs w:val="1"/>
          <w:color w:val="auto"/>
        </w:rPr>
        <w:t>Stock Awards</w:t>
      </w:r>
      <w:r>
        <w:rPr>
          <w:rFonts w:ascii="Arial" w:cs="Arial" w:eastAsia="Arial" w:hAnsi="Arial"/>
          <w:sz w:val="17"/>
          <w:szCs w:val="17"/>
          <w:color w:val="auto"/>
        </w:rPr>
        <w:t>”) on such terms and conditions, and for such consideration, including no consideration or such minimum consideration as may be required by law, as the Administrator shall determine, subject to the limitations set forth in Section 7(b).</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Stock Awards shall be evidenced in such manner as the Administrator may deem appropriate, including via book-entry registration.</w:t>
      </w:r>
    </w:p>
    <w:p>
      <w:pPr>
        <w:spacing w:after="0" w:line="207" w:lineRule="exact"/>
        <w:rPr>
          <w:rFonts w:ascii="Arial" w:cs="Arial" w:eastAsia="Arial" w:hAnsi="Arial"/>
          <w:sz w:val="17"/>
          <w:szCs w:val="17"/>
          <w:color w:val="auto"/>
        </w:rPr>
      </w:pPr>
    </w:p>
    <w:p>
      <w:pPr>
        <w:ind w:firstLine="1305"/>
        <w:spacing w:after="0" w:line="255" w:lineRule="auto"/>
        <w:tabs>
          <w:tab w:leader="none" w:pos="1696"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Restricted Stock shall be subject to such vesting, restrictions on transferability and other restrictions,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and/or risk of forfeiture as the Administrator may impose at the date of grant or thereafter. The Restriction Period to which such vesting, restrictions and/or risk of forfeiture apply may lapse under such circumstances, including without limitation upon the attainment of Performance Goals, in such installments, or otherwise, as the Administrator may determine. In the event that the Administrator conditions the grant or vesting of a Stock Award upon the attainment of Performance Goals or the attainment of Performance Goals and the continued service of the Participant, the Administrator may, prior to or at the time of grant, designate the Stock Award as a Qualified Performance-Based Award. Subject to the provisions of the Plan and the applicable Award Agreement, during the Restriction Period, the Participant shall not be permitted to sell, assign, transfer, pledge or otherwise encumber shares of Restricted Stock.</w:t>
      </w:r>
    </w:p>
    <w:p>
      <w:pPr>
        <w:spacing w:after="0" w:line="185" w:lineRule="exact"/>
        <w:rPr>
          <w:rFonts w:ascii="Arial" w:cs="Arial" w:eastAsia="Arial" w:hAnsi="Arial"/>
          <w:sz w:val="18"/>
          <w:szCs w:val="18"/>
          <w:color w:val="auto"/>
        </w:rPr>
      </w:pPr>
    </w:p>
    <w:p>
      <w:pPr>
        <w:ind w:firstLine="1305"/>
        <w:spacing w:after="0" w:line="253" w:lineRule="auto"/>
        <w:tabs>
          <w:tab w:leader="none" w:pos="1736"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Rights of a Stockholder; Dividends</w:t>
      </w:r>
      <w:r>
        <w:rPr>
          <w:rFonts w:ascii="Arial" w:cs="Arial" w:eastAsia="Arial" w:hAnsi="Arial"/>
          <w:sz w:val="18"/>
          <w:szCs w:val="18"/>
          <w:color w:val="auto"/>
        </w:rPr>
        <w:t>. Except to the extent restricted under the Award Agreement relating to the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 a Participant granted Restricted Stock shall have all of the rights of a stockholder of Common Stock including, without limitation, the right to vote Restricted Stock. Dividends declared payable on Restricted Stock shall be paid either at the dividend payment date or deferred for payment to such later date as determined by the Administrator, and shall be paid in cash or as unrestricted shares of Common Stock having a Fair Market Value equal to the amount of such dividends or may be reinvested in additional shares of Restricted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dividends declared payable on Restricted Stock that is granted as a Performance Award shall be held by Price Group and made subject to forfeiture at least until achievement of the applicable Performance Goal related to such shares of Restricted Stock. Stock distributed in connection with a stock split or stock dividend, and other property distributed as a dividend, shall be subject to restrictions and a risk of forfeiture to the same extent as the Restricted Stock with respect to which such Common Stock or other property has been distributed. As soon as is practicable following the date on which restrictions on any shares of Restricted Stock lapse, Price Group shall deliver to the Participant the certificates for such shares or shall cause the shares to be registered in the Participant’s name in book-entry form, in either case with the restrictions removed, provided that the Participant shall have complied with all conditions for delivery of such shares contained in the Award Agreement or otherwise reasonably required by Price Group.</w:t>
      </w:r>
    </w:p>
    <w:p>
      <w:pPr>
        <w:spacing w:after="0" w:line="188" w:lineRule="exact"/>
        <w:rPr>
          <w:rFonts w:ascii="Arial" w:cs="Arial" w:eastAsia="Arial" w:hAnsi="Arial"/>
          <w:sz w:val="18"/>
          <w:szCs w:val="18"/>
          <w:color w:val="auto"/>
        </w:rPr>
      </w:pPr>
    </w:p>
    <w:p>
      <w:pPr>
        <w:ind w:right="40" w:firstLine="1305"/>
        <w:spacing w:after="0" w:line="257" w:lineRule="auto"/>
        <w:tabs>
          <w:tab w:leader="none" w:pos="1746"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Except as provided in the applicable Award Agreement, upon Termination of Service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applicable Restriction Period, Restricted Stock and any accrued but unpaid dividends that are at that time subject to restrictions shall be forfeited;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the limitations set forth in Section 7(b), the Administrator may provide, by rule or regulation or in any Award Agreement, or may determine in any individual case, that restrictions or forfeiture conditions relating to Restricted Stock will be waived in whole or in part in the event of terminations resulting from specified causes, and the Administrator may in other cases waive in whole or in part the forfeiture of Restricted Stock.</w:t>
      </w:r>
    </w:p>
    <w:p>
      <w:pPr>
        <w:spacing w:after="0" w:line="182" w:lineRule="exact"/>
        <w:rPr>
          <w:rFonts w:ascii="Arial" w:cs="Arial" w:eastAsia="Arial" w:hAnsi="Arial"/>
          <w:sz w:val="18"/>
          <w:szCs w:val="18"/>
          <w:color w:val="auto"/>
        </w:rPr>
      </w:pPr>
    </w:p>
    <w:p>
      <w:pPr>
        <w:ind w:right="20" w:firstLine="1305"/>
        <w:spacing w:after="0" w:line="313" w:lineRule="auto"/>
        <w:tabs>
          <w:tab w:leader="none" w:pos="1706" w:val="left"/>
        </w:tabs>
        <w:numPr>
          <w:ilvl w:val="1"/>
          <w:numId w:val="72"/>
        </w:numPr>
        <w:rPr>
          <w:rFonts w:ascii="Arial" w:cs="Arial" w:eastAsia="Arial" w:hAnsi="Arial"/>
          <w:sz w:val="17"/>
          <w:szCs w:val="17"/>
          <w:color w:val="auto"/>
        </w:rPr>
      </w:pPr>
      <w:r>
        <w:rPr>
          <w:rFonts w:ascii="Arial" w:cs="Arial" w:eastAsia="Arial" w:hAnsi="Arial"/>
          <w:sz w:val="17"/>
          <w:szCs w:val="17"/>
          <w:i w:val="1"/>
          <w:iCs w:val="1"/>
          <w:color w:val="auto"/>
        </w:rPr>
        <w:t>Additional Terms and Conditions</w:t>
      </w:r>
      <w:r>
        <w:rPr>
          <w:rFonts w:ascii="Arial" w:cs="Arial" w:eastAsia="Arial" w:hAnsi="Arial"/>
          <w:sz w:val="17"/>
          <w:szCs w:val="17"/>
          <w:color w:val="auto"/>
        </w:rPr>
        <w:t>. The Administrator may, by way of the Award Agreement or otherwise, determine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terms, conditions, restrictions, and/or limitations, if any, of any Award of Restricted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they are not inconsistent with the Plan.</w:t>
      </w:r>
    </w:p>
    <w:p>
      <w:pPr>
        <w:spacing w:after="0" w:line="160" w:lineRule="exact"/>
        <w:rPr>
          <w:rFonts w:ascii="Arial" w:cs="Arial" w:eastAsia="Arial" w:hAnsi="Arial"/>
          <w:sz w:val="17"/>
          <w:szCs w:val="17"/>
          <w:color w:val="auto"/>
        </w:rPr>
      </w:pPr>
    </w:p>
    <w:p>
      <w:pPr>
        <w:ind w:left="1100" w:hanging="444"/>
        <w:spacing w:after="0"/>
        <w:tabs>
          <w:tab w:leader="none" w:pos="1100" w:val="left"/>
        </w:tabs>
        <w:numPr>
          <w:ilvl w:val="0"/>
          <w:numId w:val="72"/>
        </w:numPr>
        <w:rPr>
          <w:rFonts w:ascii="Arial" w:cs="Arial" w:eastAsia="Arial" w:hAnsi="Arial"/>
          <w:sz w:val="22"/>
          <w:szCs w:val="22"/>
          <w:color w:val="auto"/>
        </w:rPr>
      </w:pPr>
      <w:r>
        <w:rPr>
          <w:rFonts w:ascii="Arial" w:cs="Arial" w:eastAsia="Arial" w:hAnsi="Arial"/>
          <w:sz w:val="18"/>
          <w:szCs w:val="18"/>
          <w:i w:val="1"/>
          <w:iCs w:val="1"/>
          <w:color w:val="auto"/>
        </w:rPr>
        <w:t>Stock Units</w:t>
      </w:r>
      <w:r>
        <w:rPr>
          <w:rFonts w:ascii="Arial" w:cs="Arial" w:eastAsia="Arial" w:hAnsi="Arial"/>
          <w:sz w:val="18"/>
          <w:szCs w:val="18"/>
          <w:color w:val="auto"/>
        </w:rPr>
        <w:t>.</w:t>
      </w:r>
    </w:p>
    <w:p>
      <w:pPr>
        <w:spacing w:after="0" w:line="210" w:lineRule="exact"/>
        <w:rPr>
          <w:rFonts w:ascii="Arial" w:cs="Arial" w:eastAsia="Arial" w:hAnsi="Arial"/>
          <w:sz w:val="22"/>
          <w:szCs w:val="22"/>
          <w:color w:val="auto"/>
        </w:rPr>
      </w:pPr>
    </w:p>
    <w:p>
      <w:pPr>
        <w:ind w:right="80" w:firstLine="1305"/>
        <w:spacing w:after="0" w:line="257" w:lineRule="auto"/>
        <w:tabs>
          <w:tab w:leader="none" w:pos="1656"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Grants</w:t>
      </w:r>
      <w:r>
        <w:rPr>
          <w:rFonts w:ascii="Arial" w:cs="Arial" w:eastAsia="Arial" w:hAnsi="Arial"/>
          <w:sz w:val="18"/>
          <w:szCs w:val="18"/>
          <w:color w:val="auto"/>
        </w:rPr>
        <w:t>. The Administrator may from time to time grant to Eligible Individuals Awards of unrestricted stock Units or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on such terms and conditions, and for such consideration, including no consideration or such minimum consideration as may be required by law, as the Administrator shall determine, subject to the limitations set forth in Section 7(b). Restricted Stock Units represent a contractual obligation by Price Group to deliver a number of shares of Common Stock, an amount in cash equal to the Fair Market Value of the specified number of shares subject to the Award, or a combination of shares of Common Stock and cash, in accordance with the terms and conditions set forth in the Plan and any applicable Award Agreement.</w:t>
      </w:r>
    </w:p>
    <w:p>
      <w:pPr>
        <w:sectPr>
          <w:pgSz w:w="11900" w:h="16838" w:orient="portrait"/>
          <w:cols w:equalWidth="0" w:num="1">
            <w:col w:w="11420"/>
          </w:cols>
          <w:pgMar w:left="240" w:top="148" w:right="239" w:bottom="0" w:gutter="0" w:footer="0" w:header="0"/>
        </w:sectPr>
      </w:pPr>
    </w:p>
    <w:bookmarkStart w:id="76" w:name="page77"/>
    <w:bookmarkEnd w:id="76"/>
    <w:p>
      <w:pPr>
        <w:ind w:firstLine="1305"/>
        <w:spacing w:after="0" w:line="253" w:lineRule="auto"/>
        <w:tabs>
          <w:tab w:leader="none" w:pos="1696"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Vesting and Payment</w:t>
      </w:r>
      <w:r>
        <w:rPr>
          <w:rFonts w:ascii="Arial" w:cs="Arial" w:eastAsia="Arial" w:hAnsi="Arial"/>
          <w:sz w:val="18"/>
          <w:szCs w:val="18"/>
          <w:color w:val="auto"/>
        </w:rPr>
        <w:t>. Restricted Stock Units shall be subject to such vesting, risk of forfeiture and/or payment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the Administrator may impose at the date of grant. The Restriction Period to which such vesting and/or risk of forfeiture apply may lapse under such circumstances, including without limitation upon the attainment of Performance Goals, in such installments, or otherwise, as the Administrator may determine. In the event that the Administrator conditions the vesting and/or lapse of risk of forfeiture of Restricted Stock Units upon the attainment of Performance Goals or the attainment of Performance Goals and the continued service of the Participant, the Administrator may, prior to or at the time of grant, designate the Award of Restricted Stock Units as a Qualified Performance-Based Award. Shares of Common Stock, cash or a combination of shares of Common Stock and cash, as applicable, payable in settlement of Restricted Stock Units shall be delivered to the Participant as soon as administratively practicable, but no later than 30 days, after the date on which payment is due under the terms of the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shall have complied with all conditions for delivery of such shares or payment contained in the Award Agreement or otherwise reasonably required by Price Group, or in accordance with an election of the Participant, if the Administrator so permits, that meets the requirements of Section 409A of the Code.</w:t>
      </w:r>
    </w:p>
    <w:p>
      <w:pPr>
        <w:spacing w:after="0" w:line="192" w:lineRule="exact"/>
        <w:rPr>
          <w:rFonts w:ascii="Arial" w:cs="Arial" w:eastAsia="Arial" w:hAnsi="Arial"/>
          <w:sz w:val="18"/>
          <w:szCs w:val="18"/>
          <w:color w:val="auto"/>
        </w:rPr>
      </w:pPr>
    </w:p>
    <w:p>
      <w:pPr>
        <w:ind w:right="40" w:firstLine="1305"/>
        <w:spacing w:after="0" w:line="257" w:lineRule="auto"/>
        <w:tabs>
          <w:tab w:leader="none" w:pos="1736"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No Rights of a Stockholder; Dividend Equivalents</w:t>
      </w:r>
      <w:r>
        <w:rPr>
          <w:rFonts w:ascii="Arial" w:cs="Arial" w:eastAsia="Arial" w:hAnsi="Arial"/>
          <w:sz w:val="18"/>
          <w:szCs w:val="18"/>
          <w:color w:val="auto"/>
        </w:rPr>
        <w:t>. Until shares of Common Stock are issued to the Participant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settlement of stock Units, the Participant shall not have any rights of a stockholder of Price Group with respect to the stock Units or the shares issuable thereunder. The Administrator may grant to the Participant the right to receive Dividend Equivalents on stock Units, on a current, reinvested and/or restricted basis, subject to such terms as the Administrator may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Dividend Equivalents payable on stock Units that are granted as a Performance Award shall, rather than be paid on a current basis, be accrued and made subject to forfeiture at least until achievement of the applicable Performance Goal related to such stock Units.</w:t>
      </w:r>
    </w:p>
    <w:p>
      <w:pPr>
        <w:spacing w:after="0" w:line="182" w:lineRule="exact"/>
        <w:rPr>
          <w:rFonts w:ascii="Arial" w:cs="Arial" w:eastAsia="Arial" w:hAnsi="Arial"/>
          <w:sz w:val="18"/>
          <w:szCs w:val="18"/>
          <w:color w:val="auto"/>
        </w:rPr>
      </w:pPr>
    </w:p>
    <w:p>
      <w:pPr>
        <w:ind w:right="20" w:firstLine="1305"/>
        <w:spacing w:after="0" w:line="255" w:lineRule="auto"/>
        <w:tabs>
          <w:tab w:leader="none" w:pos="1746"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Termination of Service</w:t>
      </w:r>
      <w:r>
        <w:rPr>
          <w:rFonts w:ascii="Arial" w:cs="Arial" w:eastAsia="Arial" w:hAnsi="Arial"/>
          <w:sz w:val="18"/>
          <w:szCs w:val="18"/>
          <w:color w:val="auto"/>
        </w:rPr>
        <w:t>. Upon Termination of Service during the applicable deferral period or portion thereof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forfeiture conditions apply, or upon failure to satisfy any other conditions precedent to the delivery of shares of Common Stock or cash to which such Restricted Stock Units relate, all Restricted Stock Units and any accrued but unpaid Dividend Equivalents with respect to such Restricted Stock Units that are then subject to deferral or restriction shall be forfeited;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the limitations set forth in Section 7(b), the Administrator may provide, by rule or regulation or in any Award Agreement, or may determine in any individual case, that restrictions or forfeiture conditions relating to Restricted Stock Units will be waived in whole or in part in the event of termination resulting from specified causes, and the Administrator may in other cases waive in whole or in part the forfeiture of Restricted Stock Units.</w:t>
      </w:r>
    </w:p>
    <w:p>
      <w:pPr>
        <w:spacing w:after="0" w:line="189" w:lineRule="exact"/>
        <w:rPr>
          <w:rFonts w:ascii="Arial" w:cs="Arial" w:eastAsia="Arial" w:hAnsi="Arial"/>
          <w:sz w:val="18"/>
          <w:szCs w:val="18"/>
          <w:color w:val="auto"/>
        </w:rPr>
      </w:pPr>
    </w:p>
    <w:p>
      <w:pPr>
        <w:ind w:right="180" w:firstLine="1305"/>
        <w:spacing w:after="0" w:line="313" w:lineRule="auto"/>
        <w:tabs>
          <w:tab w:leader="none" w:pos="1706" w:val="left"/>
        </w:tabs>
        <w:numPr>
          <w:ilvl w:val="1"/>
          <w:numId w:val="73"/>
        </w:numPr>
        <w:rPr>
          <w:rFonts w:ascii="Arial" w:cs="Arial" w:eastAsia="Arial" w:hAnsi="Arial"/>
          <w:sz w:val="17"/>
          <w:szCs w:val="17"/>
          <w:color w:val="auto"/>
        </w:rPr>
      </w:pPr>
      <w:r>
        <w:rPr>
          <w:rFonts w:ascii="Arial" w:cs="Arial" w:eastAsia="Arial" w:hAnsi="Arial"/>
          <w:sz w:val="17"/>
          <w:szCs w:val="17"/>
          <w:i w:val="1"/>
          <w:iCs w:val="1"/>
          <w:color w:val="auto"/>
        </w:rPr>
        <w:t>Additional Terms and Conditions</w:t>
      </w:r>
      <w:r>
        <w:rPr>
          <w:rFonts w:ascii="Arial" w:cs="Arial" w:eastAsia="Arial" w:hAnsi="Arial"/>
          <w:sz w:val="17"/>
          <w:szCs w:val="17"/>
          <w:color w:val="auto"/>
        </w:rPr>
        <w:t>. The Administrator may, by way of the Award Agreement or otherwise, determine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terms, conditions, restrictions, and/or limitations, if any, of any Award of stock Units,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they are not inconsistent with the Plan.</w:t>
      </w:r>
    </w:p>
    <w:p>
      <w:pPr>
        <w:spacing w:after="0" w:line="160" w:lineRule="exact"/>
        <w:rPr>
          <w:rFonts w:ascii="Arial" w:cs="Arial" w:eastAsia="Arial" w:hAnsi="Arial"/>
          <w:sz w:val="17"/>
          <w:szCs w:val="17"/>
          <w:color w:val="auto"/>
        </w:rPr>
      </w:pPr>
    </w:p>
    <w:p>
      <w:pPr>
        <w:ind w:left="1020" w:hanging="364"/>
        <w:spacing w:after="0"/>
        <w:tabs>
          <w:tab w:leader="none" w:pos="1020" w:val="left"/>
        </w:tabs>
        <w:numPr>
          <w:ilvl w:val="0"/>
          <w:numId w:val="74"/>
        </w:numPr>
        <w:rPr>
          <w:rFonts w:ascii="Arial" w:cs="Arial" w:eastAsia="Arial" w:hAnsi="Arial"/>
          <w:sz w:val="22"/>
          <w:szCs w:val="22"/>
          <w:color w:val="auto"/>
        </w:rPr>
      </w:pPr>
      <w:r>
        <w:rPr>
          <w:rFonts w:ascii="Arial" w:cs="Arial" w:eastAsia="Arial" w:hAnsi="Arial"/>
          <w:sz w:val="18"/>
          <w:szCs w:val="18"/>
          <w:i w:val="1"/>
          <w:iCs w:val="1"/>
          <w:color w:val="auto"/>
        </w:rPr>
        <w:t>Performance Shares and Performance Units</w:t>
      </w:r>
      <w:r>
        <w:rPr>
          <w:rFonts w:ascii="Arial" w:cs="Arial" w:eastAsia="Arial" w:hAnsi="Arial"/>
          <w:sz w:val="18"/>
          <w:szCs w:val="18"/>
          <w:color w:val="auto"/>
        </w:rPr>
        <w:t>.</w:t>
      </w:r>
    </w:p>
    <w:p>
      <w:pPr>
        <w:spacing w:after="0" w:line="210" w:lineRule="exact"/>
        <w:rPr>
          <w:rFonts w:ascii="Arial" w:cs="Arial" w:eastAsia="Arial" w:hAnsi="Arial"/>
          <w:sz w:val="22"/>
          <w:szCs w:val="22"/>
          <w:color w:val="auto"/>
        </w:rPr>
      </w:pPr>
    </w:p>
    <w:p>
      <w:pPr>
        <w:ind w:right="60" w:firstLine="1305"/>
        <w:spacing w:after="0" w:line="254" w:lineRule="auto"/>
        <w:tabs>
          <w:tab w:leader="none" w:pos="1656"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Grants</w:t>
      </w:r>
      <w:r>
        <w:rPr>
          <w:rFonts w:ascii="Arial" w:cs="Arial" w:eastAsia="Arial" w:hAnsi="Arial"/>
          <w:sz w:val="18"/>
          <w:szCs w:val="18"/>
          <w:color w:val="auto"/>
        </w:rPr>
        <w:t>. The Administrator may from time to time grant to Eligible Individuals Awards in the form of Performance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 Units. Performance Shares, as that term is used in this Plan, shall refer to shares of Common Stock or Units that are expressed in terms of Common Stock, the issuance, vesting, lapse of restrictions on or payment of which is contingent on performance as measured against predetermined objectives over a specified Performance Period. Performance Units, as that term is used in this Plan, shall refer to dollar-denominated Units valued by reference to designated criteria established by the Administrator, other than Common Stock, the issuance, vesting, lapse of restrictions on or payment of which is contingent on performance as measured against predetermined objectives over a specified Performance Period. The applicable Award Agreement shall specify whether Performance Shares and Performance Units will be settled or paid in cash or shares of Common Stock or a combination of both, or shall reserve to the Administrator or the Participant the right to make that determination prior to or at the payment or settlement date.</w:t>
      </w:r>
    </w:p>
    <w:p>
      <w:pPr>
        <w:spacing w:after="0" w:line="189" w:lineRule="exact"/>
        <w:rPr>
          <w:rFonts w:ascii="Arial" w:cs="Arial" w:eastAsia="Arial" w:hAnsi="Arial"/>
          <w:sz w:val="18"/>
          <w:szCs w:val="18"/>
          <w:color w:val="auto"/>
        </w:rPr>
      </w:pPr>
    </w:p>
    <w:p>
      <w:pPr>
        <w:ind w:firstLine="1305"/>
        <w:spacing w:after="0" w:line="254" w:lineRule="auto"/>
        <w:tabs>
          <w:tab w:leader="none" w:pos="1696"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Performance Criteria</w:t>
      </w:r>
      <w:r>
        <w:rPr>
          <w:rFonts w:ascii="Arial" w:cs="Arial" w:eastAsia="Arial" w:hAnsi="Arial"/>
          <w:sz w:val="18"/>
          <w:szCs w:val="18"/>
          <w:color w:val="auto"/>
        </w:rPr>
        <w:t>. The Administrator shall, prior to or at the time of grant, condition the grant, vesting or payment of, or</w:t>
      </w:r>
      <w:r>
        <w:rPr>
          <w:rFonts w:ascii="Arial" w:cs="Arial" w:eastAsia="Arial" w:hAnsi="Arial"/>
          <w:sz w:val="18"/>
          <w:szCs w:val="18"/>
          <w:i w:val="1"/>
          <w:iCs w:val="1"/>
          <w:color w:val="auto"/>
        </w:rPr>
        <w:t xml:space="preserve"> </w:t>
      </w:r>
      <w:r>
        <w:rPr>
          <w:rFonts w:ascii="Arial" w:cs="Arial" w:eastAsia="Arial" w:hAnsi="Arial"/>
          <w:sz w:val="18"/>
          <w:szCs w:val="18"/>
          <w:color w:val="auto"/>
        </w:rPr>
        <w:t>lapse of restrictions on, an Award of Performance Shares or Performance Units upon (A) the attainment of Performance Goals during a Performance Period or (B) the attainment of Performance Goals and the continued service of the Participant. The Administrator may, prior to or at the time of grant, designate an Award of Performance Shares or Performance Units as a Qualified Performance-Based Award. The length of the Performance Period, the Performance Goals to be achieved during the Performance Period, and the measure of whether and to what degree such Performance Goals have been attained shall be conclusively determined by the Administrator in the exercise of its absolute discretion. Performance Goals may include minimum, maximum and target levels of performance, with the size of the Award or payout of Performance Shares or Performance Units or the vesting or lapse of restrictions with respect thereto based on the level attained. An Award of Performance Shares or Performance Units shall be settled as and when the Award vests or at a later time specified in the Award Agreement or in accordance with an election of the Participant, if the Administrator so permits, that meets the requirements of Section 409A of the Code.</w:t>
      </w:r>
    </w:p>
    <w:p>
      <w:pPr>
        <w:spacing w:after="0" w:line="186" w:lineRule="exact"/>
        <w:rPr>
          <w:rFonts w:ascii="Arial" w:cs="Arial" w:eastAsia="Arial" w:hAnsi="Arial"/>
          <w:sz w:val="18"/>
          <w:szCs w:val="18"/>
          <w:color w:val="auto"/>
        </w:rPr>
      </w:pPr>
    </w:p>
    <w:p>
      <w:pPr>
        <w:ind w:right="20" w:firstLine="1305"/>
        <w:spacing w:after="0" w:line="266" w:lineRule="auto"/>
        <w:tabs>
          <w:tab w:leader="none" w:pos="1736"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Additional Terms and Conditions</w:t>
      </w:r>
      <w:r>
        <w:rPr>
          <w:rFonts w:ascii="Arial" w:cs="Arial" w:eastAsia="Arial" w:hAnsi="Arial"/>
          <w:sz w:val="18"/>
          <w:szCs w:val="18"/>
          <w:color w:val="auto"/>
        </w:rPr>
        <w:t>. The Administrator may, by way of the Award Agreement or otherwise, determine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terms, conditions, restrictions, and/or limitations, if any, of any Award of Performance Shares or Performance Units,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they are not inconsistent with the Plan.</w:t>
      </w:r>
    </w:p>
    <w:p>
      <w:pPr>
        <w:spacing w:after="0" w:line="217" w:lineRule="exact"/>
        <w:rPr>
          <w:sz w:val="20"/>
          <w:szCs w:val="20"/>
          <w:color w:val="auto"/>
        </w:rPr>
      </w:pPr>
    </w:p>
    <w:p>
      <w:pPr>
        <w:ind w:right="440" w:firstLine="656"/>
        <w:spacing w:after="0" w:line="282" w:lineRule="auto"/>
        <w:tabs>
          <w:tab w:leader="none" w:pos="1020" w:val="left"/>
        </w:tabs>
        <w:numPr>
          <w:ilvl w:val="1"/>
          <w:numId w:val="75"/>
        </w:numPr>
        <w:rPr>
          <w:rFonts w:ascii="Arial" w:cs="Arial" w:eastAsia="Arial" w:hAnsi="Arial"/>
          <w:sz w:val="22"/>
          <w:szCs w:val="22"/>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Administrator may from time to time grant to Eligible Individuals Awards in the form of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Awards. Other Stock-Based Awards in the form of Dividend Equivalents may be (A) awarded on a free-standing basis or in connection with another Award other than a stock option or stock appreciation right, (B) paid currently or credited to an account for the</w:t>
      </w:r>
    </w:p>
    <w:p>
      <w:pPr>
        <w:spacing w:after="0" w:line="4" w:lineRule="exact"/>
        <w:rPr>
          <w:rFonts w:ascii="Arial" w:cs="Arial" w:eastAsia="Arial" w:hAnsi="Arial"/>
          <w:sz w:val="22"/>
          <w:szCs w:val="22"/>
          <w:color w:val="auto"/>
        </w:rPr>
      </w:pPr>
    </w:p>
    <w:p>
      <w:pPr>
        <w:ind w:right="80"/>
        <w:spacing w:after="0" w:line="300" w:lineRule="auto"/>
        <w:rPr>
          <w:rFonts w:ascii="Arial" w:cs="Arial" w:eastAsia="Arial" w:hAnsi="Arial"/>
          <w:sz w:val="22"/>
          <w:szCs w:val="22"/>
          <w:color w:val="auto"/>
        </w:rPr>
      </w:pPr>
      <w:r>
        <w:rPr>
          <w:rFonts w:ascii="Arial" w:cs="Arial" w:eastAsia="Arial" w:hAnsi="Arial"/>
          <w:sz w:val="18"/>
          <w:szCs w:val="18"/>
          <w:color w:val="auto"/>
        </w:rPr>
        <w:t xml:space="preserve">Participant, including the reinvestment of such credited amounts in Common Stock equivalents, to be paid on a deferred basis, and (C) settled in cash or Common Stock as determined by the Administrator;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Dividend Equivalents payable on Other Stock-Based Awards that are granted as a Performance Award shall, rather than be paid on a current basis, be accrued and made subject to forfeiture at least until achievement of the applicable Performance Goal related to such Other Stock-Based Awards. Any such settlements, and any such crediting of Dividend Equivalents, may be subject to such conditions, restrictions and contingencies as the Administrator shall establish.</w:t>
      </w:r>
    </w:p>
    <w:p>
      <w:pPr>
        <w:spacing w:after="0" w:line="182" w:lineRule="exact"/>
        <w:rPr>
          <w:rFonts w:ascii="Arial" w:cs="Arial" w:eastAsia="Arial" w:hAnsi="Arial"/>
          <w:sz w:val="22"/>
          <w:szCs w:val="22"/>
          <w:color w:val="auto"/>
        </w:rPr>
      </w:pPr>
    </w:p>
    <w:p>
      <w:pPr>
        <w:ind w:left="1080" w:hanging="424"/>
        <w:spacing w:after="0"/>
        <w:tabs>
          <w:tab w:leader="none" w:pos="1080" w:val="left"/>
        </w:tabs>
        <w:numPr>
          <w:ilvl w:val="1"/>
          <w:numId w:val="75"/>
        </w:numPr>
        <w:rPr>
          <w:rFonts w:ascii="Arial" w:cs="Arial" w:eastAsia="Arial" w:hAnsi="Arial"/>
          <w:sz w:val="22"/>
          <w:szCs w:val="22"/>
          <w:color w:val="auto"/>
        </w:rPr>
      </w:pPr>
      <w:r>
        <w:rPr>
          <w:rFonts w:ascii="Arial" w:cs="Arial" w:eastAsia="Arial" w:hAnsi="Arial"/>
          <w:sz w:val="18"/>
          <w:szCs w:val="18"/>
          <w:i w:val="1"/>
          <w:iCs w:val="1"/>
          <w:color w:val="auto"/>
        </w:rPr>
        <w:t>Qualified Performance-Based Awards</w:t>
      </w:r>
      <w:r>
        <w:rPr>
          <w:rFonts w:ascii="Arial" w:cs="Arial" w:eastAsia="Arial" w:hAnsi="Arial"/>
          <w:sz w:val="18"/>
          <w:szCs w:val="18"/>
          <w:color w:val="auto"/>
        </w:rPr>
        <w:t>.</w:t>
      </w:r>
    </w:p>
    <w:p>
      <w:pPr>
        <w:spacing w:after="0" w:line="210" w:lineRule="exact"/>
        <w:rPr>
          <w:rFonts w:ascii="Arial" w:cs="Arial" w:eastAsia="Arial" w:hAnsi="Arial"/>
          <w:sz w:val="22"/>
          <w:szCs w:val="22"/>
          <w:color w:val="auto"/>
        </w:rPr>
      </w:pPr>
    </w:p>
    <w:p>
      <w:pPr>
        <w:ind w:right="80" w:firstLine="1305"/>
        <w:spacing w:after="0" w:line="276" w:lineRule="auto"/>
        <w:tabs>
          <w:tab w:leader="none" w:pos="1656" w:val="left"/>
        </w:tabs>
        <w:numPr>
          <w:ilvl w:val="2"/>
          <w:numId w:val="75"/>
        </w:numPr>
        <w:rPr>
          <w:rFonts w:ascii="Arial" w:cs="Arial" w:eastAsia="Arial" w:hAnsi="Arial"/>
          <w:sz w:val="17"/>
          <w:szCs w:val="17"/>
          <w:color w:val="auto"/>
        </w:rPr>
      </w:pPr>
      <w:r>
        <w:rPr>
          <w:rFonts w:ascii="Arial" w:cs="Arial" w:eastAsia="Arial" w:hAnsi="Arial"/>
          <w:sz w:val="17"/>
          <w:szCs w:val="17"/>
          <w:i w:val="1"/>
          <w:iCs w:val="1"/>
          <w:color w:val="auto"/>
        </w:rPr>
        <w:t>Stock Options and Stock Appreciation Rights</w:t>
      </w:r>
      <w:r>
        <w:rPr>
          <w:rFonts w:ascii="Arial" w:cs="Arial" w:eastAsia="Arial" w:hAnsi="Arial"/>
          <w:sz w:val="17"/>
          <w:szCs w:val="17"/>
          <w:color w:val="auto"/>
        </w:rPr>
        <w:t>. The provisions of the Plan are intended to ensure that all stock options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stock appreciation rights granted hereunder to any Participant who is or may be a “covered employee” (within the meaning of Section 162(m)</w:t>
      </w:r>
    </w:p>
    <w:p>
      <w:pPr>
        <w:ind w:right="80" w:firstLine="8"/>
        <w:spacing w:after="0" w:line="256" w:lineRule="auto"/>
        <w:tabs>
          <w:tab w:leader="none" w:pos="2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of the Code) in the tax year in which such stock option or stock appreciation right is expected to be deductible to Price Group or an Affiliate qualify for the Section 162(m) Exemption, and all such Awards shall therefore be considered Qualified Performance-Based Awards, and the Plan shall be interpreted and operated consistent with that intention.</w:t>
      </w:r>
    </w:p>
    <w:p>
      <w:pPr>
        <w:sectPr>
          <w:pgSz w:w="11900" w:h="16838" w:orient="portrait"/>
          <w:cols w:equalWidth="0" w:num="1">
            <w:col w:w="11380"/>
          </w:cols>
          <w:pgMar w:left="240" w:top="188" w:right="279" w:bottom="0" w:gutter="0" w:footer="0" w:header="0"/>
        </w:sectPr>
      </w:pPr>
    </w:p>
    <w:bookmarkStart w:id="77" w:name="page78"/>
    <w:bookmarkEnd w:id="77"/>
    <w:p>
      <w:pPr>
        <w:ind w:right="100" w:firstLine="1305"/>
        <w:spacing w:after="0" w:line="253" w:lineRule="auto"/>
        <w:tabs>
          <w:tab w:leader="none" w:pos="1696"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Grant Process for Performance Awards</w:t>
      </w:r>
      <w:r>
        <w:rPr>
          <w:rFonts w:ascii="Arial" w:cs="Arial" w:eastAsia="Arial" w:hAnsi="Arial"/>
          <w:sz w:val="18"/>
          <w:szCs w:val="18"/>
          <w:color w:val="auto"/>
        </w:rPr>
        <w:t>. When granting any Award other than a stock option or stock appreciation right,</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Administrator may designate such Award as a Qualified Performance-Based Award, based upon a determination that (A) the recipient is or may be a “covered employee” (within the meaning of Section 162(m)(3) of the Code) with respect to such Award and (B) the Administrator wishes such Award to qualify for the Section 162(m) Exemption. For any Award so designated as a Qualified Performance-Based Award, the Administrator shall take steps to ensure that the terms of any such Award (and of the grant thereof) shall be consistent with such designation (including, without limitation, that all such Awards be granted by a committee composed solely of “outside directors” (within the meaning of Section 162(m) of the Code) and that the Performance Goals be established, in writing, by the Administrator within the time period prescribed by Section 162(m) of the Code). The Performance Goals established by the Administrator for each Qualified Performance-Based Award shall be objective such that a third party having knowledge of the relevant facts could determine whether or not any Performance Goal has been achieved, or the extent of such achievement, and the amount, if any, which has been earned by the Participant based on such performance. The Administrator may retain in an Award Agreement the discretion to reduce (but not to increase) the amount or number of Qualified Performance-Based Awards which will be earned based on the achievement of Performance Goals. When the Performance Goals are established, the Administrator shall also specify the manner in which the level of achievement of such Performance Goals shall be calculated and the weighting assigned to such Performance Goals.</w:t>
      </w:r>
    </w:p>
    <w:p>
      <w:pPr>
        <w:spacing w:after="0" w:line="187" w:lineRule="exact"/>
        <w:rPr>
          <w:rFonts w:ascii="Arial" w:cs="Arial" w:eastAsia="Arial" w:hAnsi="Arial"/>
          <w:sz w:val="18"/>
          <w:szCs w:val="18"/>
          <w:color w:val="auto"/>
        </w:rPr>
      </w:pPr>
    </w:p>
    <w:p>
      <w:pPr>
        <w:ind w:right="160" w:firstLine="1305"/>
        <w:spacing w:after="0" w:line="254" w:lineRule="auto"/>
        <w:tabs>
          <w:tab w:leader="none" w:pos="1736"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Certification and Payment. </w:t>
      </w:r>
      <w:r>
        <w:rPr>
          <w:rFonts w:ascii="Arial" w:cs="Arial" w:eastAsia="Arial" w:hAnsi="Arial"/>
          <w:sz w:val="18"/>
          <w:szCs w:val="18"/>
          <w:color w:val="auto"/>
        </w:rPr>
        <w:t>Following completion of the applicable Performance Period, and prior to any, as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grant, vesting, lapse of restrictions on or payment of a Qualified Performance-Based Award, the Administrator shall determine in accordance with the terms of the Award and shall certify in writing whether the applicable Performance Goal(s) were achieved, or the level of such achievement, and the amount, if any, earned by the Participant based upon such performance. For this purpose, approved minutes of the meeting of the Administrator at which certification is made shall be sufficient to satisfy the requirement of a written certification. No Qualified Performance-Based Awards will be granted, become vested, have restrictions lapse or be paid, as applicable, for a Performance Period until such certification is made by the Administrator. The amount of a Qualified Performance-Based Award actually granted, vested, or paid to a Participant, or on which restrictions shall lapse, may be less than the amount determined by the applicable Performance Goal formula, at the discretion of the Administrator to take into account additional factors that the Administrator may deem relevant to the assessment of individual or corporate performance for the Performance Period or otherwise, subject to the terms and conditions of the applicable Award Agreement.</w:t>
      </w:r>
    </w:p>
    <w:p>
      <w:pPr>
        <w:spacing w:after="0" w:line="186" w:lineRule="exact"/>
        <w:rPr>
          <w:rFonts w:ascii="Arial" w:cs="Arial" w:eastAsia="Arial" w:hAnsi="Arial"/>
          <w:sz w:val="18"/>
          <w:szCs w:val="18"/>
          <w:color w:val="auto"/>
        </w:rPr>
      </w:pPr>
    </w:p>
    <w:p>
      <w:pPr>
        <w:ind w:right="40" w:firstLine="1305"/>
        <w:spacing w:after="0" w:line="218" w:lineRule="exact"/>
        <w:tabs>
          <w:tab w:leader="none" w:pos="1746"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Performance Goals. </w:t>
      </w:r>
      <w:r>
        <w:rPr>
          <w:rFonts w:ascii="Arial" w:cs="Arial" w:eastAsia="Arial" w:hAnsi="Arial"/>
          <w:sz w:val="18"/>
          <w:szCs w:val="18"/>
          <w:color w:val="auto"/>
        </w:rPr>
        <w:t>Performance Goals may be applied on a per share or absolute basis and relative to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Metrics, or any combination thereof, and may be measured pursuant to U.S. GAAP, non</w:t>
      </w:r>
      <w:r>
        <w:rPr>
          <w:rFonts w:ascii="MS PGothic" w:cs="MS PGothic" w:eastAsia="MS PGothic" w:hAnsi="MS PGothic"/>
          <w:sz w:val="18"/>
          <w:szCs w:val="18"/>
          <w:color w:val="auto"/>
        </w:rPr>
        <w:t>‑</w:t>
      </w:r>
      <w:r>
        <w:rPr>
          <w:rFonts w:ascii="Arial" w:cs="Arial" w:eastAsia="Arial" w:hAnsi="Arial"/>
          <w:sz w:val="18"/>
          <w:szCs w:val="18"/>
          <w:color w:val="auto"/>
        </w:rPr>
        <w:t>GAAP or other objective standards in a manner consistent with Price Group’s or its Affiliate’s established accounting policies, all as the Administrator shall determine at the time the Performance Goals for a Performance Period are established. In addition, to the extent consistent with the requirements of the Section 162(m) Exemption, the Administrator may provide at the time Performance Goals are established for Qualified Performance-Based Awards that the manner in which such Performance Goals are to be calculated or measured may take into account, or ignore, capital costs, interest, taxes, depreciation and amortization and other factors over which the Participant has no (or limited) control including, but not limited to, restructurings, discontinued operations, impairments, changes in foreign currency exchange rates, extraordinary items, certain identified expenses (including, but not limited to, cash bonus expenses, incentive expenses and acquisition-related transaction and integration expenses), the consolidation of investment products, other unusual non-recurring items, industry margins, general economic conditions, interest rate movements and the cumulative effects of tax or accounting changes.</w:t>
      </w:r>
    </w:p>
    <w:p>
      <w:pPr>
        <w:spacing w:after="0" w:line="202" w:lineRule="exact"/>
        <w:rPr>
          <w:rFonts w:ascii="Arial" w:cs="Arial" w:eastAsia="Arial" w:hAnsi="Arial"/>
          <w:sz w:val="18"/>
          <w:szCs w:val="18"/>
          <w:color w:val="auto"/>
        </w:rPr>
      </w:pPr>
    </w:p>
    <w:p>
      <w:pPr>
        <w:ind w:firstLine="1305"/>
        <w:spacing w:after="0" w:line="266" w:lineRule="auto"/>
        <w:tabs>
          <w:tab w:leader="none" w:pos="1706"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Non-delegation</w:t>
      </w:r>
      <w:r>
        <w:rPr>
          <w:rFonts w:ascii="Arial" w:cs="Arial" w:eastAsia="Arial" w:hAnsi="Arial"/>
          <w:sz w:val="18"/>
          <w:szCs w:val="18"/>
          <w:color w:val="auto"/>
        </w:rPr>
        <w:t>. No delegate of the Administrator is permitted to exercise authority granted to the Administrator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 to the extent that the exercise of such authority by the delegate would cause an Award designated as a Qualified Performance-Based Award not to qualify for, or to cease to qualify for, the Section 162(m) Exemption.</w:t>
      </w:r>
    </w:p>
    <w:p>
      <w:pPr>
        <w:spacing w:after="0" w:line="216" w:lineRule="exact"/>
        <w:rPr>
          <w:rFonts w:ascii="Arial" w:cs="Arial" w:eastAsia="Arial" w:hAnsi="Arial"/>
          <w:sz w:val="18"/>
          <w:szCs w:val="18"/>
          <w:color w:val="auto"/>
        </w:rPr>
      </w:pPr>
    </w:p>
    <w:p>
      <w:pPr>
        <w:ind w:right="100" w:firstLine="656"/>
        <w:spacing w:after="0" w:line="291" w:lineRule="auto"/>
        <w:tabs>
          <w:tab w:leader="none" w:pos="1020" w:val="left"/>
        </w:tabs>
        <w:numPr>
          <w:ilvl w:val="0"/>
          <w:numId w:val="78"/>
        </w:numPr>
        <w:rPr>
          <w:rFonts w:ascii="Arial" w:cs="Arial" w:eastAsia="Arial" w:hAnsi="Arial"/>
          <w:sz w:val="22"/>
          <w:szCs w:val="22"/>
          <w:color w:val="auto"/>
        </w:rPr>
      </w:pPr>
      <w:r>
        <w:rPr>
          <w:rFonts w:ascii="Arial" w:cs="Arial" w:eastAsia="Arial" w:hAnsi="Arial"/>
          <w:sz w:val="18"/>
          <w:szCs w:val="18"/>
          <w:i w:val="1"/>
          <w:iCs w:val="1"/>
          <w:color w:val="auto"/>
        </w:rPr>
        <w:t xml:space="preserve">Awards to Participants Outside the United States. </w:t>
      </w:r>
      <w:r>
        <w:rPr>
          <w:rFonts w:ascii="Arial" w:cs="Arial" w:eastAsia="Arial" w:hAnsi="Arial"/>
          <w:sz w:val="18"/>
          <w:szCs w:val="18"/>
          <w:color w:val="auto"/>
        </w:rPr>
        <w:t>The Administrator may grant Awards to Eligible Individuals who are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nationals, who are located outside the United States or who are not compensated from a payroll maintained in the United States, or who are otherwise subject to (or could cause Price Group or an Affiliate to be subject to) tax, legal or regulatory provisions of countries or jurisdictions outside the United States, on such terms and conditions different from those specified in the Plan as may, in the judgment of the Administrator, be necessary or desirable in order that any such Award shall conform to laws, regulations, and customs of the country or jurisdiction in which the Participant is then resident or primarily employed or to foster and promote achievement of the purposes of the Plan.</w:t>
      </w:r>
    </w:p>
    <w:p>
      <w:pPr>
        <w:spacing w:after="0" w:line="207" w:lineRule="exact"/>
        <w:rPr>
          <w:rFonts w:ascii="Arial" w:cs="Arial" w:eastAsia="Arial" w:hAnsi="Arial"/>
          <w:sz w:val="22"/>
          <w:szCs w:val="22"/>
          <w:color w:val="auto"/>
        </w:rPr>
      </w:pPr>
    </w:p>
    <w:p>
      <w:pPr>
        <w:ind w:firstLine="656"/>
        <w:spacing w:after="0" w:line="292" w:lineRule="auto"/>
        <w:tabs>
          <w:tab w:leader="none" w:pos="1152" w:val="left"/>
        </w:tabs>
        <w:numPr>
          <w:ilvl w:val="0"/>
          <w:numId w:val="78"/>
        </w:numPr>
        <w:rPr>
          <w:rFonts w:ascii="Arial" w:cs="Arial" w:eastAsia="Arial" w:hAnsi="Arial"/>
          <w:sz w:val="22"/>
          <w:szCs w:val="22"/>
          <w:color w:val="auto"/>
        </w:rPr>
      </w:pPr>
      <w:r>
        <w:rPr>
          <w:rFonts w:ascii="Arial" w:cs="Arial" w:eastAsia="Arial" w:hAnsi="Arial"/>
          <w:sz w:val="18"/>
          <w:szCs w:val="18"/>
          <w:i w:val="1"/>
          <w:iCs w:val="1"/>
          <w:color w:val="auto"/>
        </w:rPr>
        <w:t>Limitation on Dividend Reinvestment and Dividend Equivalents</w:t>
      </w:r>
      <w:r>
        <w:rPr>
          <w:rFonts w:ascii="Arial" w:cs="Arial" w:eastAsia="Arial" w:hAnsi="Arial"/>
          <w:sz w:val="18"/>
          <w:szCs w:val="18"/>
          <w:color w:val="auto"/>
        </w:rPr>
        <w:t>. Reinvestment of dividends in additional Restricted Stock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any dividend payment, and the payment of shares of Common Stock with respect to dividends to Participants holding Awards of stock Units, shall only be permissible if sufficient shares are available under the Share Pool for such reinvestment or payment (taking into account then outstanding Awards). In the event that sufficient shares are not available under the Share Pool for such reinvestment or payment, such reinvestment or payment shall be made in the form of a grant of stock Units equal in number to the shares of Common Stock that would have been obtained by such payment or reinvestment, the terms of which stock Units shall provide for settlement in cash and for Dividend Equivalent reinvestment in further stock Units on the terms contemplated by this Section 7(m).</w:t>
      </w:r>
    </w:p>
    <w:p>
      <w:pPr>
        <w:spacing w:after="0" w:line="189" w:lineRule="exact"/>
        <w:rPr>
          <w:sz w:val="20"/>
          <w:szCs w:val="20"/>
          <w:color w:val="auto"/>
        </w:rPr>
      </w:pPr>
    </w:p>
    <w:p>
      <w:pPr>
        <w:ind w:left="360" w:hanging="352"/>
        <w:spacing w:after="0"/>
        <w:tabs>
          <w:tab w:leader="none" w:pos="360" w:val="left"/>
        </w:tabs>
        <w:numPr>
          <w:ilvl w:val="0"/>
          <w:numId w:val="79"/>
        </w:numPr>
        <w:rPr>
          <w:rFonts w:ascii="Arial" w:cs="Arial" w:eastAsia="Arial" w:hAnsi="Arial"/>
          <w:sz w:val="22"/>
          <w:szCs w:val="22"/>
          <w:b w:val="1"/>
          <w:bCs w:val="1"/>
          <w:color w:val="auto"/>
        </w:rPr>
      </w:pPr>
      <w:r>
        <w:rPr>
          <w:rFonts w:ascii="Arial" w:cs="Arial" w:eastAsia="Arial" w:hAnsi="Arial"/>
          <w:sz w:val="18"/>
          <w:szCs w:val="18"/>
          <w:b w:val="1"/>
          <w:bCs w:val="1"/>
          <w:color w:val="auto"/>
        </w:rPr>
        <w:t>Withholding of Taxes.</w:t>
      </w:r>
    </w:p>
    <w:p>
      <w:pPr>
        <w:spacing w:after="0" w:line="229" w:lineRule="exact"/>
        <w:rPr>
          <w:sz w:val="20"/>
          <w:szCs w:val="20"/>
          <w:color w:val="auto"/>
        </w:rPr>
      </w:pPr>
    </w:p>
    <w:p>
      <w:pPr>
        <w:jc w:val="both"/>
        <w:ind w:right="160" w:firstLine="648"/>
        <w:spacing w:after="0" w:line="250" w:lineRule="auto"/>
        <w:rPr>
          <w:sz w:val="20"/>
          <w:szCs w:val="20"/>
          <w:color w:val="auto"/>
        </w:rPr>
      </w:pPr>
      <w:r>
        <w:rPr>
          <w:rFonts w:ascii="Arial" w:cs="Arial" w:eastAsia="Arial" w:hAnsi="Arial"/>
          <w:sz w:val="18"/>
          <w:szCs w:val="18"/>
          <w:color w:val="auto"/>
        </w:rPr>
        <w:t>Participants and holders of Awards shall pay to Price Group or its Affiliate, or make arrangements satisfactory to the Administrator for payment of, any Tax Withholding Obligation in respect of Awards granted under the Plan no later than the date of the event creating the tax or social insurance contribution liability. The obligations of Price Group under the Plan shall be conditional on such payment or arrangements.</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Unless otherwise determined by the Administrator, Tax Withholding Obligations may be settled in whole or in part with shares of Common Stock, including unrestricted outstanding shares surrendered to Price Group and unrestricted shares that are part of the Award that gives rise to the Tax Withholding Obligation, having a Fair Market Value on the date of surrender or withholding equal to the statutory minimum amount (and not any greater amount) required to be withheld for tax or social insurance contribution purposes, all in accordance with such procedures as the Administrator establishes. Price Group or its Affiliate may deduct, to the extent permitted by law, any such Tax Withholding Obligations from any payment of any kind otherwise due to the Participant or holder of an Award.</w:t>
      </w:r>
    </w:p>
    <w:p>
      <w:pPr>
        <w:spacing w:after="0" w:line="213" w:lineRule="exact"/>
        <w:rPr>
          <w:sz w:val="20"/>
          <w:szCs w:val="20"/>
          <w:color w:val="auto"/>
        </w:rPr>
      </w:pPr>
    </w:p>
    <w:p>
      <w:pPr>
        <w:ind w:left="360" w:hanging="352"/>
        <w:spacing w:after="0"/>
        <w:tabs>
          <w:tab w:leader="none" w:pos="360" w:val="left"/>
        </w:tabs>
        <w:numPr>
          <w:ilvl w:val="0"/>
          <w:numId w:val="80"/>
        </w:numPr>
        <w:rPr>
          <w:rFonts w:ascii="Arial" w:cs="Arial" w:eastAsia="Arial" w:hAnsi="Arial"/>
          <w:sz w:val="22"/>
          <w:szCs w:val="22"/>
          <w:b w:val="1"/>
          <w:bCs w:val="1"/>
          <w:color w:val="auto"/>
        </w:rPr>
      </w:pPr>
      <w:r>
        <w:rPr>
          <w:rFonts w:ascii="Arial" w:cs="Arial" w:eastAsia="Arial" w:hAnsi="Arial"/>
          <w:sz w:val="18"/>
          <w:szCs w:val="18"/>
          <w:b w:val="1"/>
          <w:bCs w:val="1"/>
          <w:color w:val="auto"/>
        </w:rPr>
        <w:t>Transferability of Awards.</w:t>
      </w:r>
    </w:p>
    <w:p>
      <w:pPr>
        <w:spacing w:after="0" w:line="229" w:lineRule="exact"/>
        <w:rPr>
          <w:sz w:val="20"/>
          <w:szCs w:val="20"/>
          <w:color w:val="auto"/>
        </w:rPr>
      </w:pPr>
    </w:p>
    <w:p>
      <w:pPr>
        <w:ind w:right="360" w:firstLine="648"/>
        <w:spacing w:after="0" w:line="262" w:lineRule="auto"/>
        <w:rPr>
          <w:sz w:val="20"/>
          <w:szCs w:val="20"/>
          <w:color w:val="auto"/>
        </w:rPr>
      </w:pPr>
      <w:r>
        <w:rPr>
          <w:rFonts w:ascii="Arial" w:cs="Arial" w:eastAsia="Arial" w:hAnsi="Arial"/>
          <w:sz w:val="18"/>
          <w:szCs w:val="18"/>
          <w:color w:val="auto"/>
        </w:rPr>
        <w:t>Except as otherwise determined by the Administrator, and in any event in the case of an Incentive Stock Option or a tandem stock appreciation right granted with respect to an Incentive Stock Option, no Award granted under the Plan shall be transferable by a Participant</w:t>
      </w:r>
    </w:p>
    <w:p>
      <w:pPr>
        <w:sectPr>
          <w:pgSz w:w="11900" w:h="16838" w:orient="portrait"/>
          <w:cols w:equalWidth="0" w:num="1">
            <w:col w:w="11420"/>
          </w:cols>
          <w:pgMar w:left="240" w:top="120" w:right="239" w:bottom="0" w:gutter="0" w:footer="0" w:header="0"/>
        </w:sectPr>
      </w:pPr>
    </w:p>
    <w:bookmarkStart w:id="78" w:name="page79"/>
    <w:bookmarkEnd w:id="78"/>
    <w:p>
      <w:pPr>
        <w:ind w:right="100"/>
        <w:spacing w:after="0" w:line="252" w:lineRule="auto"/>
        <w:rPr>
          <w:sz w:val="20"/>
          <w:szCs w:val="20"/>
          <w:color w:val="auto"/>
        </w:rPr>
      </w:pPr>
      <w:r>
        <w:rPr>
          <w:rFonts w:ascii="Arial" w:cs="Arial" w:eastAsia="Arial" w:hAnsi="Arial"/>
          <w:sz w:val="18"/>
          <w:szCs w:val="18"/>
          <w:color w:val="auto"/>
        </w:rPr>
        <w:t xml:space="preserve">otherwise than by will or the laws of descent and distribution. The Administrator shall not permit any transfer of an Award for value. An Award may be exercised during the lifetime of the Participant, only by the Participant or, during the period the Participant is under a legal disability, by the Participant’s guardian or legal representative, unless otherwise determined by the Administrator. Awards granted under the Plan shall not be subject in any manner to alienation, anticipation, sale, transfer, assignment, pledge, or encumbrance, except as otherwise determined by the Administrator;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restrictions in this sentence shall not apply to the shares of Common Stock received in connection with an Award after the date that the restrictions on transferability of such shares set forth in the applicable Award Agreement have lapsed.</w:t>
      </w:r>
    </w:p>
    <w:p>
      <w:pPr>
        <w:spacing w:after="0" w:line="211" w:lineRule="exact"/>
        <w:rPr>
          <w:sz w:val="20"/>
          <w:szCs w:val="20"/>
          <w:color w:val="auto"/>
        </w:rPr>
      </w:pPr>
    </w:p>
    <w:p>
      <w:pPr>
        <w:ind w:left="480" w:hanging="472"/>
        <w:spacing w:after="0"/>
        <w:tabs>
          <w:tab w:leader="none" w:pos="480" w:val="left"/>
        </w:tabs>
        <w:numPr>
          <w:ilvl w:val="0"/>
          <w:numId w:val="81"/>
        </w:numPr>
        <w:rPr>
          <w:rFonts w:ascii="Arial" w:cs="Arial" w:eastAsia="Arial" w:hAnsi="Arial"/>
          <w:sz w:val="22"/>
          <w:szCs w:val="22"/>
          <w:b w:val="1"/>
          <w:bCs w:val="1"/>
          <w:color w:val="auto"/>
        </w:rPr>
      </w:pPr>
      <w:r>
        <w:rPr>
          <w:rFonts w:ascii="Arial" w:cs="Arial" w:eastAsia="Arial" w:hAnsi="Arial"/>
          <w:sz w:val="18"/>
          <w:szCs w:val="18"/>
          <w:b w:val="1"/>
          <w:bCs w:val="1"/>
          <w:color w:val="auto"/>
        </w:rPr>
        <w:t>Adjustments for Corporate Transactions and Other Events.</w:t>
      </w:r>
    </w:p>
    <w:p>
      <w:pPr>
        <w:spacing w:after="0" w:line="251" w:lineRule="exact"/>
        <w:rPr>
          <w:rFonts w:ascii="Arial" w:cs="Arial" w:eastAsia="Arial" w:hAnsi="Arial"/>
          <w:sz w:val="22"/>
          <w:szCs w:val="22"/>
          <w:b w:val="1"/>
          <w:bCs w:val="1"/>
          <w:color w:val="auto"/>
        </w:rPr>
      </w:pPr>
    </w:p>
    <w:p>
      <w:pPr>
        <w:ind w:right="360" w:firstLine="656"/>
        <w:spacing w:after="0" w:line="276" w:lineRule="auto"/>
        <w:tabs>
          <w:tab w:leader="none" w:pos="1092" w:val="left"/>
        </w:tabs>
        <w:numPr>
          <w:ilvl w:val="1"/>
          <w:numId w:val="81"/>
        </w:numPr>
        <w:rPr>
          <w:rFonts w:ascii="Arial" w:cs="Arial" w:eastAsia="Arial" w:hAnsi="Arial"/>
          <w:sz w:val="22"/>
          <w:szCs w:val="22"/>
          <w:color w:val="auto"/>
        </w:rPr>
      </w:pPr>
      <w:r>
        <w:rPr>
          <w:rFonts w:ascii="Arial" w:cs="Arial" w:eastAsia="Arial" w:hAnsi="Arial"/>
          <w:sz w:val="18"/>
          <w:szCs w:val="18"/>
          <w:i w:val="1"/>
          <w:iCs w:val="1"/>
          <w:color w:val="auto"/>
        </w:rPr>
        <w:t>Mandatory Adjustments</w:t>
      </w:r>
      <w:r>
        <w:rPr>
          <w:rFonts w:ascii="Arial" w:cs="Arial" w:eastAsia="Arial" w:hAnsi="Arial"/>
          <w:sz w:val="18"/>
          <w:szCs w:val="18"/>
          <w:color w:val="auto"/>
        </w:rPr>
        <w:t>. In the event of a merger, consolidation, stock rights offering, liquidation, statutory share exchange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event affecting Price Group (each, a “</w:t>
      </w:r>
      <w:r>
        <w:rPr>
          <w:rFonts w:ascii="Arial" w:cs="Arial" w:eastAsia="Arial" w:hAnsi="Arial"/>
          <w:sz w:val="18"/>
          <w:szCs w:val="18"/>
          <w:i w:val="1"/>
          <w:iCs w:val="1"/>
          <w:color w:val="auto"/>
        </w:rPr>
        <w:t>Corporate Event</w:t>
      </w:r>
      <w:r>
        <w:rPr>
          <w:rFonts w:ascii="Arial" w:cs="Arial" w:eastAsia="Arial" w:hAnsi="Arial"/>
          <w:sz w:val="18"/>
          <w:szCs w:val="18"/>
          <w:color w:val="auto"/>
        </w:rPr>
        <w:t>”) or a stock dividend, stock split, reverse stock split, separation, spinoff,</w:t>
      </w:r>
    </w:p>
    <w:p>
      <w:pPr>
        <w:spacing w:after="0" w:line="2" w:lineRule="exact"/>
        <w:rPr>
          <w:rFonts w:ascii="Arial" w:cs="Arial" w:eastAsia="Arial" w:hAnsi="Arial"/>
          <w:sz w:val="22"/>
          <w:szCs w:val="22"/>
          <w:color w:val="auto"/>
        </w:rPr>
      </w:pPr>
    </w:p>
    <w:p>
      <w:pPr>
        <w:ind w:right="40"/>
        <w:spacing w:after="0" w:line="315" w:lineRule="auto"/>
        <w:rPr>
          <w:rFonts w:ascii="Arial" w:cs="Arial" w:eastAsia="Arial" w:hAnsi="Arial"/>
          <w:sz w:val="22"/>
          <w:szCs w:val="22"/>
          <w:color w:val="auto"/>
        </w:rPr>
      </w:pPr>
      <w:r>
        <w:rPr>
          <w:rFonts w:ascii="Arial" w:cs="Arial" w:eastAsia="Arial" w:hAnsi="Arial"/>
          <w:sz w:val="17"/>
          <w:szCs w:val="17"/>
          <w:color w:val="auto"/>
        </w:rPr>
        <w:t>reorganization, extraordinary dividend of cash or other property, share combination or subdivision, or recapitalization or similar event affecting the capital structure of Price Group (each, a “</w:t>
      </w:r>
      <w:r>
        <w:rPr>
          <w:rFonts w:ascii="Arial" w:cs="Arial" w:eastAsia="Arial" w:hAnsi="Arial"/>
          <w:sz w:val="17"/>
          <w:szCs w:val="17"/>
          <w:i w:val="1"/>
          <w:iCs w:val="1"/>
          <w:color w:val="auto"/>
        </w:rPr>
        <w:t>Share Change</w:t>
      </w:r>
      <w:r>
        <w:rPr>
          <w:rFonts w:ascii="Arial" w:cs="Arial" w:eastAsia="Arial" w:hAnsi="Arial"/>
          <w:sz w:val="17"/>
          <w:szCs w:val="17"/>
          <w:color w:val="auto"/>
        </w:rPr>
        <w:t>”), the Administrator shall make equitable and appropriate substitutions or proportionate adjustments to (i) the aggregate number and kind of shares of Common Stock or other securities on which Awards under the Plan may be granted to Eligible Individuals, (ii) the maximum number of shares of Common Stock or other securities with respect to which Awards may be granted during any one calendar year to any individual, (iii) the maximum number of shares of Common Stock or other securities that may be issued with respect to Incentive Stock Options granted under the Plan, (iv) the number of shares of Common Stock or other securities covered by each outstanding Award and the exercise price, base price or other price per share, if any, and other relevant terms</w:t>
      </w:r>
    </w:p>
    <w:p>
      <w:pPr>
        <w:ind w:right="220"/>
        <w:spacing w:after="0" w:line="309" w:lineRule="auto"/>
        <w:rPr>
          <w:rFonts w:ascii="Arial" w:cs="Arial" w:eastAsia="Arial" w:hAnsi="Arial"/>
          <w:sz w:val="22"/>
          <w:szCs w:val="22"/>
          <w:color w:val="auto"/>
        </w:rPr>
      </w:pPr>
      <w:r>
        <w:rPr>
          <w:rFonts w:ascii="Arial" w:cs="Arial" w:eastAsia="Arial" w:hAnsi="Arial"/>
          <w:sz w:val="18"/>
          <w:szCs w:val="18"/>
          <w:color w:val="auto"/>
        </w:rPr>
        <w:t xml:space="preserve">of each outstanding Award, and (v) all other numerical limitations relating to Awards, whether contained in this Plan or in Award Agreements;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any fractional shares resulting from any such adjustment shall be eliminated.</w:t>
      </w:r>
    </w:p>
    <w:p>
      <w:pPr>
        <w:spacing w:after="0" w:line="191" w:lineRule="exact"/>
        <w:rPr>
          <w:rFonts w:ascii="Arial" w:cs="Arial" w:eastAsia="Arial" w:hAnsi="Arial"/>
          <w:sz w:val="22"/>
          <w:szCs w:val="22"/>
          <w:color w:val="auto"/>
        </w:rPr>
      </w:pPr>
    </w:p>
    <w:p>
      <w:pPr>
        <w:ind w:right="20" w:firstLine="656"/>
        <w:spacing w:after="0" w:line="293" w:lineRule="auto"/>
        <w:tabs>
          <w:tab w:leader="none" w:pos="1092" w:val="left"/>
        </w:tabs>
        <w:numPr>
          <w:ilvl w:val="1"/>
          <w:numId w:val="81"/>
        </w:numPr>
        <w:rPr>
          <w:rFonts w:ascii="Arial" w:cs="Arial" w:eastAsia="Arial" w:hAnsi="Arial"/>
          <w:sz w:val="22"/>
          <w:szCs w:val="22"/>
          <w:color w:val="auto"/>
        </w:rPr>
      </w:pPr>
      <w:r>
        <w:rPr>
          <w:rFonts w:ascii="Arial" w:cs="Arial" w:eastAsia="Arial" w:hAnsi="Arial"/>
          <w:sz w:val="18"/>
          <w:szCs w:val="18"/>
          <w:i w:val="1"/>
          <w:iCs w:val="1"/>
          <w:color w:val="auto"/>
        </w:rPr>
        <w:t>Discretionary Adjustments</w:t>
      </w:r>
      <w:r>
        <w:rPr>
          <w:rFonts w:ascii="Arial" w:cs="Arial" w:eastAsia="Arial" w:hAnsi="Arial"/>
          <w:sz w:val="18"/>
          <w:szCs w:val="18"/>
          <w:color w:val="auto"/>
        </w:rPr>
        <w:t>. In the case of Corporate Events, the Administrator may make such other adjustments to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as it determines to be appropriate and desirable, which adjustments may include, without limitation, (i) the cancellation of outstanding Awards in exchange for payments of cash, securities or other property or a combination thereof having an aggregate value equal to the value of such Awards, as determined by the Administrator in its sole discretion (it being understood that in the case of a Corporate Event with respect to which stockholders of Price Group receive consideration other than publicly traded equity securities of the ultimate surviving entity, any such determination by the Administrator that the value of a stock option or stock appreciation right shall for this purpose be deemed to equal the excess, if any, of the value of the consideration being paid for each share of Common Stock pursuant to such Corporate Event over the exercise price or base price of such stock option or stock appreciation right shall conclusively be deemed valid and that any stock option or stock appreciation right may be cancelled for no consideration upon a Corporate Event if its exercise price or base price does not exceed the value of the consideration being paid for each share of Common Stock pursuant to such Corporate Event), (ii) the substitution of securities or other property (including, without limitation, cash or other securities of Price Group and securities of entities other than Price Group) for the</w:t>
      </w:r>
    </w:p>
    <w:p>
      <w:pPr>
        <w:spacing w:after="0" w:line="4" w:lineRule="exact"/>
        <w:rPr>
          <w:rFonts w:ascii="Arial" w:cs="Arial" w:eastAsia="Arial" w:hAnsi="Arial"/>
          <w:sz w:val="22"/>
          <w:szCs w:val="22"/>
          <w:color w:val="auto"/>
        </w:rPr>
      </w:pPr>
    </w:p>
    <w:p>
      <w:pPr>
        <w:ind w:right="140"/>
        <w:spacing w:after="0" w:line="309" w:lineRule="auto"/>
        <w:rPr>
          <w:rFonts w:ascii="Arial" w:cs="Arial" w:eastAsia="Arial" w:hAnsi="Arial"/>
          <w:sz w:val="22"/>
          <w:szCs w:val="22"/>
          <w:color w:val="auto"/>
        </w:rPr>
      </w:pPr>
      <w:r>
        <w:rPr>
          <w:rFonts w:ascii="Arial" w:cs="Arial" w:eastAsia="Arial" w:hAnsi="Arial"/>
          <w:sz w:val="18"/>
          <w:szCs w:val="18"/>
          <w:color w:val="auto"/>
        </w:rPr>
        <w:t>shares of Common Stock subject to outstanding Awards, and (iii) the substitution of equivalent awards, as determined in the sole discretion of the Administrator, of the surviving or successor entity or a parent thereof (“</w:t>
      </w:r>
      <w:r>
        <w:rPr>
          <w:rFonts w:ascii="Arial" w:cs="Arial" w:eastAsia="Arial" w:hAnsi="Arial"/>
          <w:sz w:val="18"/>
          <w:szCs w:val="18"/>
          <w:i w:val="1"/>
          <w:iCs w:val="1"/>
          <w:color w:val="auto"/>
        </w:rPr>
        <w:t>Substitute Awards</w:t>
      </w:r>
      <w:r>
        <w:rPr>
          <w:rFonts w:ascii="Arial" w:cs="Arial" w:eastAsia="Arial" w:hAnsi="Arial"/>
          <w:sz w:val="18"/>
          <w:szCs w:val="18"/>
          <w:color w:val="auto"/>
        </w:rPr>
        <w:t>”).</w:t>
      </w:r>
    </w:p>
    <w:p>
      <w:pPr>
        <w:spacing w:after="0" w:line="191" w:lineRule="exact"/>
        <w:rPr>
          <w:rFonts w:ascii="Arial" w:cs="Arial" w:eastAsia="Arial" w:hAnsi="Arial"/>
          <w:sz w:val="22"/>
          <w:szCs w:val="22"/>
          <w:color w:val="auto"/>
        </w:rPr>
      </w:pPr>
    </w:p>
    <w:p>
      <w:pPr>
        <w:ind w:right="460" w:firstLine="656"/>
        <w:spacing w:after="0" w:line="298" w:lineRule="auto"/>
        <w:tabs>
          <w:tab w:leader="none" w:pos="1080" w:val="left"/>
        </w:tabs>
        <w:numPr>
          <w:ilvl w:val="1"/>
          <w:numId w:val="81"/>
        </w:numPr>
        <w:rPr>
          <w:rFonts w:ascii="Arial" w:cs="Arial" w:eastAsia="Arial" w:hAnsi="Arial"/>
          <w:sz w:val="21"/>
          <w:szCs w:val="21"/>
          <w:color w:val="auto"/>
        </w:rPr>
      </w:pPr>
      <w:r>
        <w:rPr>
          <w:rFonts w:ascii="Arial" w:cs="Arial" w:eastAsia="Arial" w:hAnsi="Arial"/>
          <w:sz w:val="17"/>
          <w:szCs w:val="17"/>
          <w:i w:val="1"/>
          <w:iCs w:val="1"/>
          <w:color w:val="auto"/>
        </w:rPr>
        <w:t>Adjustments to Performance Goals</w:t>
      </w:r>
      <w:r>
        <w:rPr>
          <w:rFonts w:ascii="Arial" w:cs="Arial" w:eastAsia="Arial" w:hAnsi="Arial"/>
          <w:sz w:val="17"/>
          <w:szCs w:val="17"/>
          <w:color w:val="auto"/>
        </w:rPr>
        <w:t>. The Administrator may, in its discretion, adjust the Performance Goals applicable to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Awards to reflect any unusual or non-recurring events and other extraordinary items, impact of charges for restructurings, discontinued operations and the cumulative effects of accounting or tax changes, each as defined by generally accepted accounting principles or as</w:t>
      </w:r>
    </w:p>
    <w:p>
      <w:pPr>
        <w:spacing w:after="0" w:line="2" w:lineRule="exact"/>
        <w:rPr>
          <w:rFonts w:ascii="Arial" w:cs="Arial" w:eastAsia="Arial" w:hAnsi="Arial"/>
          <w:sz w:val="21"/>
          <w:szCs w:val="21"/>
          <w:color w:val="auto"/>
        </w:rPr>
      </w:pPr>
    </w:p>
    <w:p>
      <w:pPr>
        <w:spacing w:after="0" w:line="297" w:lineRule="auto"/>
        <w:rPr>
          <w:rFonts w:ascii="Arial" w:cs="Arial" w:eastAsia="Arial" w:hAnsi="Arial"/>
          <w:sz w:val="21"/>
          <w:szCs w:val="21"/>
          <w:color w:val="auto"/>
        </w:rPr>
      </w:pPr>
      <w:r>
        <w:rPr>
          <w:rFonts w:ascii="Arial" w:cs="Arial" w:eastAsia="Arial" w:hAnsi="Arial"/>
          <w:sz w:val="18"/>
          <w:szCs w:val="18"/>
          <w:color w:val="auto"/>
        </w:rPr>
        <w:t xml:space="preserve">identified in Price Group’s financial statements, notes to the financial statements, management’s discussion and analysis or other Price Group filings with the Securities and Exchange Commission;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except in connection with death, disability or a Change in Control, no such adjustment shall be made if the effect would be to cause an Award that is intended to be a Qualified Performance-Based Award to no longer constitute a Qualified Performance-Based Award. If the Administrator determines that a change in the business, operations, corporate structure or capital structure of Price Group or the applicable subsidiary, business segment or other operational unit of Price Group or any such entity or segment, or the manner in which any of the foregoing conducts its business, or other events or circumstances, render the</w:t>
      </w:r>
    </w:p>
    <w:p>
      <w:pPr>
        <w:spacing w:after="0" w:line="2" w:lineRule="exact"/>
        <w:rPr>
          <w:rFonts w:ascii="Arial" w:cs="Arial" w:eastAsia="Arial" w:hAnsi="Arial"/>
          <w:sz w:val="21"/>
          <w:szCs w:val="21"/>
          <w:color w:val="auto"/>
        </w:rPr>
      </w:pPr>
    </w:p>
    <w:p>
      <w:pPr>
        <w:ind w:right="280"/>
        <w:spacing w:after="0" w:line="301" w:lineRule="auto"/>
        <w:rPr>
          <w:rFonts w:ascii="Arial" w:cs="Arial" w:eastAsia="Arial" w:hAnsi="Arial"/>
          <w:sz w:val="21"/>
          <w:szCs w:val="21"/>
          <w:color w:val="auto"/>
        </w:rPr>
      </w:pPr>
      <w:r>
        <w:rPr>
          <w:rFonts w:ascii="Arial" w:cs="Arial" w:eastAsia="Arial" w:hAnsi="Arial"/>
          <w:sz w:val="18"/>
          <w:szCs w:val="18"/>
          <w:color w:val="auto"/>
        </w:rPr>
        <w:t xml:space="preserve">Performance Goals to be unsuitable, the Administrator may modify such Performance Goals or the related minimum acceptable level of achievement, in whole or in part, as the Administrator deems appropriate and equitable;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in connection with death, disability or a Change in Control, no such modification shall be made if the effect would be to cause an Award that is intended to be a Qualified Performance-Based Award to no longer constitute a Qualified Performance-Based Award.</w:t>
      </w:r>
    </w:p>
    <w:p>
      <w:pPr>
        <w:spacing w:after="0" w:line="199" w:lineRule="exact"/>
        <w:rPr>
          <w:rFonts w:ascii="Arial" w:cs="Arial" w:eastAsia="Arial" w:hAnsi="Arial"/>
          <w:sz w:val="21"/>
          <w:szCs w:val="21"/>
          <w:color w:val="auto"/>
        </w:rPr>
      </w:pPr>
    </w:p>
    <w:p>
      <w:pPr>
        <w:ind w:right="20" w:firstLine="656"/>
        <w:spacing w:after="0" w:line="286" w:lineRule="auto"/>
        <w:tabs>
          <w:tab w:leader="none" w:pos="1092" w:val="left"/>
        </w:tabs>
        <w:numPr>
          <w:ilvl w:val="1"/>
          <w:numId w:val="81"/>
        </w:numPr>
        <w:rPr>
          <w:rFonts w:ascii="Arial" w:cs="Arial" w:eastAsia="Arial" w:hAnsi="Arial"/>
          <w:sz w:val="22"/>
          <w:szCs w:val="22"/>
          <w:color w:val="auto"/>
        </w:rPr>
      </w:pPr>
      <w:r>
        <w:rPr>
          <w:rFonts w:ascii="Arial" w:cs="Arial" w:eastAsia="Arial" w:hAnsi="Arial"/>
          <w:sz w:val="18"/>
          <w:szCs w:val="18"/>
          <w:i w:val="1"/>
          <w:iCs w:val="1"/>
          <w:color w:val="auto"/>
        </w:rPr>
        <w:t>Statutory Requirements Affecting Adjustments</w:t>
      </w:r>
      <w:r>
        <w:rPr>
          <w:rFonts w:ascii="Arial" w:cs="Arial" w:eastAsia="Arial" w:hAnsi="Arial"/>
          <w:sz w:val="18"/>
          <w:szCs w:val="18"/>
          <w:color w:val="auto"/>
        </w:rPr>
        <w:t>. Notwithstanding the foregoing: (A) any adjustments made pursuant to Section 10</w:t>
      </w:r>
      <w:r>
        <w:rPr>
          <w:rFonts w:ascii="Arial" w:cs="Arial" w:eastAsia="Arial" w:hAnsi="Arial"/>
          <w:sz w:val="18"/>
          <w:szCs w:val="18"/>
          <w:i w:val="1"/>
          <w:iCs w:val="1"/>
          <w:color w:val="auto"/>
        </w:rPr>
        <w:t xml:space="preserve"> </w:t>
      </w:r>
      <w:r>
        <w:rPr>
          <w:rFonts w:ascii="Arial" w:cs="Arial" w:eastAsia="Arial" w:hAnsi="Arial"/>
          <w:sz w:val="18"/>
          <w:szCs w:val="18"/>
          <w:color w:val="auto"/>
        </w:rPr>
        <w:t>to Awards that are considered “deferred compensation” within the meaning of Section 409A of the Code shall be made in compliance with the requirements of Section 409A of the Code; (B) any adjustments made pursuant to Section 10 to Awards that are not considered “deferred compensation” subject to Section 409A of the Code shall be made in such a manner as to ensure that after such adjustment, the Awards either</w:t>
      </w:r>
    </w:p>
    <w:p>
      <w:pPr>
        <w:spacing w:after="0" w:line="2" w:lineRule="exact"/>
        <w:rPr>
          <w:rFonts w:ascii="Arial" w:cs="Arial" w:eastAsia="Arial" w:hAnsi="Arial"/>
          <w:sz w:val="22"/>
          <w:szCs w:val="22"/>
          <w:color w:val="auto"/>
        </w:rPr>
      </w:pPr>
    </w:p>
    <w:p>
      <w:pPr>
        <w:ind w:right="180"/>
        <w:spacing w:after="0" w:line="300" w:lineRule="auto"/>
        <w:rPr>
          <w:rFonts w:ascii="Arial" w:cs="Arial" w:eastAsia="Arial" w:hAnsi="Arial"/>
          <w:sz w:val="22"/>
          <w:szCs w:val="22"/>
          <w:color w:val="auto"/>
        </w:rPr>
      </w:pPr>
      <w:r>
        <w:rPr>
          <w:rFonts w:ascii="Arial" w:cs="Arial" w:eastAsia="Arial" w:hAnsi="Arial"/>
          <w:sz w:val="18"/>
          <w:szCs w:val="18"/>
          <w:color w:val="auto"/>
        </w:rPr>
        <w:t>(1) continue not to be subject to Section 409A of the Code or (2) comply with the requirements of Section 409A of the Code; (C) in any event, the Administrator shall not have the authority to make any adjustments pursuant to Section 10 to the extent the existence of such authority would cause an Award that is not intended to be subject to Section 409A of the Code at the date of grant to be subject thereto; and (D) any adjustments made pursuant to Section 10 to Awards that are Incentive Stock Options shall be made in compliance with the requirements of Section 424(a) of the Code.</w:t>
      </w:r>
    </w:p>
    <w:p>
      <w:pPr>
        <w:spacing w:after="0" w:line="200" w:lineRule="exact"/>
        <w:rPr>
          <w:rFonts w:ascii="Arial" w:cs="Arial" w:eastAsia="Arial" w:hAnsi="Arial"/>
          <w:sz w:val="22"/>
          <w:szCs w:val="22"/>
          <w:color w:val="auto"/>
        </w:rPr>
      </w:pPr>
    </w:p>
    <w:p>
      <w:pPr>
        <w:ind w:right="120" w:firstLine="656"/>
        <w:spacing w:after="0" w:line="276" w:lineRule="auto"/>
        <w:tabs>
          <w:tab w:leader="none" w:pos="1092" w:val="left"/>
        </w:tabs>
        <w:numPr>
          <w:ilvl w:val="1"/>
          <w:numId w:val="81"/>
        </w:numPr>
        <w:rPr>
          <w:rFonts w:ascii="Arial" w:cs="Arial" w:eastAsia="Arial" w:hAnsi="Arial"/>
          <w:sz w:val="22"/>
          <w:szCs w:val="22"/>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Unless the Administrator determines otherwise, all Awards outstanding under the Plan shall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dissolution or liquidation of Price Group.</w:t>
      </w:r>
    </w:p>
    <w:p>
      <w:pPr>
        <w:spacing w:after="0" w:line="195" w:lineRule="exact"/>
        <w:rPr>
          <w:rFonts w:ascii="Arial" w:cs="Arial" w:eastAsia="Arial" w:hAnsi="Arial"/>
          <w:sz w:val="22"/>
          <w:szCs w:val="22"/>
          <w:color w:val="auto"/>
        </w:rPr>
      </w:pPr>
    </w:p>
    <w:p>
      <w:pPr>
        <w:ind w:left="480" w:hanging="472"/>
        <w:spacing w:after="0"/>
        <w:tabs>
          <w:tab w:leader="none" w:pos="480" w:val="left"/>
        </w:tabs>
        <w:numPr>
          <w:ilvl w:val="0"/>
          <w:numId w:val="81"/>
        </w:numPr>
        <w:rPr>
          <w:rFonts w:ascii="Arial" w:cs="Arial" w:eastAsia="Arial" w:hAnsi="Arial"/>
          <w:sz w:val="22"/>
          <w:szCs w:val="22"/>
          <w:b w:val="1"/>
          <w:bCs w:val="1"/>
          <w:color w:val="auto"/>
        </w:rPr>
      </w:pPr>
      <w:r>
        <w:rPr>
          <w:rFonts w:ascii="Arial" w:cs="Arial" w:eastAsia="Arial" w:hAnsi="Arial"/>
          <w:sz w:val="18"/>
          <w:szCs w:val="18"/>
          <w:b w:val="1"/>
          <w:bCs w:val="1"/>
          <w:color w:val="auto"/>
        </w:rPr>
        <w:t>Change in Control Provisions.</w:t>
      </w:r>
    </w:p>
    <w:p>
      <w:pPr>
        <w:sectPr>
          <w:pgSz w:w="11900" w:h="16838" w:orient="portrait"/>
          <w:cols w:equalWidth="0" w:num="1">
            <w:col w:w="11400"/>
          </w:cols>
          <w:pgMar w:left="240" w:top="140" w:right="259" w:bottom="198" w:gutter="0" w:footer="0" w:header="0"/>
        </w:sectPr>
      </w:pPr>
    </w:p>
    <w:bookmarkStart w:id="79" w:name="page80"/>
    <w:bookmarkEnd w:id="79"/>
    <w:p>
      <w:pPr>
        <w:ind w:right="60" w:firstLine="656"/>
        <w:spacing w:after="0" w:line="293" w:lineRule="auto"/>
        <w:tabs>
          <w:tab w:leader="none" w:pos="1092" w:val="left"/>
        </w:tabs>
        <w:numPr>
          <w:ilvl w:val="0"/>
          <w:numId w:val="82"/>
        </w:numPr>
        <w:rPr>
          <w:rFonts w:ascii="Arial" w:cs="Arial" w:eastAsia="Arial" w:hAnsi="Arial"/>
          <w:sz w:val="22"/>
          <w:szCs w:val="22"/>
          <w:color w:val="auto"/>
        </w:rPr>
      </w:pPr>
      <w:r>
        <w:rPr>
          <w:rFonts w:ascii="Arial" w:cs="Arial" w:eastAsia="Arial" w:hAnsi="Arial"/>
          <w:sz w:val="18"/>
          <w:szCs w:val="18"/>
          <w:i w:val="1"/>
          <w:iCs w:val="1"/>
          <w:color w:val="auto"/>
        </w:rPr>
        <w:t>Termination of Awards</w:t>
      </w:r>
      <w:r>
        <w:rPr>
          <w:rFonts w:ascii="Arial" w:cs="Arial" w:eastAsia="Arial" w:hAnsi="Arial"/>
          <w:sz w:val="18"/>
          <w:szCs w:val="18"/>
          <w:color w:val="auto"/>
        </w:rPr>
        <w:t>. Notwithstanding the provisions of Section 11(b), in the event that any transaction resulting in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occurs, outstanding Awards will terminate upon the effective time of such Change in Control unless provision is made in connection with the transaction for the continuation or assumption of such Awards by, or for the issuance of Substitute Awards of, the surviving or successor entity or a parent thereof. In the event of such termination, (i) the outstanding Awards that will terminate upon the effective time of the Change in Control shall, immediately before the effective time of the Change in Control, become fully exercisable, be considered to be earned and payable in full, any deferral or other restriction thereon shall lapse, and any Restriction Period thereon shall terminate, (ii) the holders of stock options, stock appreciation rights and other Awards granted under the Plan that are exchangeable for or convertible into Common Stock will be permitted, immediately before the Change in Control, to exercise or convert all portions of such Awards, and (iii) the Administrator may take any of the actions set forth in Section 10 with respect to any or all Awards granted under the Plan. Implementation of the provisions of the immediately foregoing sentence shall be conditioned upon consummation of the Change in Control.</w:t>
      </w:r>
    </w:p>
    <w:p>
      <w:pPr>
        <w:spacing w:after="0" w:line="212" w:lineRule="exact"/>
        <w:rPr>
          <w:rFonts w:ascii="Arial" w:cs="Arial" w:eastAsia="Arial" w:hAnsi="Arial"/>
          <w:sz w:val="22"/>
          <w:szCs w:val="22"/>
          <w:color w:val="auto"/>
        </w:rPr>
      </w:pPr>
    </w:p>
    <w:p>
      <w:pPr>
        <w:ind w:firstLine="656"/>
        <w:spacing w:after="0" w:line="289" w:lineRule="auto"/>
        <w:tabs>
          <w:tab w:leader="none" w:pos="1092" w:val="left"/>
        </w:tabs>
        <w:numPr>
          <w:ilvl w:val="0"/>
          <w:numId w:val="82"/>
        </w:numPr>
        <w:rPr>
          <w:rFonts w:ascii="Arial" w:cs="Arial" w:eastAsia="Arial" w:hAnsi="Arial"/>
          <w:sz w:val="22"/>
          <w:szCs w:val="22"/>
          <w:color w:val="auto"/>
        </w:rPr>
      </w:pPr>
      <w:r>
        <w:rPr>
          <w:rFonts w:ascii="Arial" w:cs="Arial" w:eastAsia="Arial" w:hAnsi="Arial"/>
          <w:sz w:val="18"/>
          <w:szCs w:val="18"/>
          <w:i w:val="1"/>
          <w:iCs w:val="1"/>
          <w:color w:val="auto"/>
        </w:rPr>
        <w:t>Continuation, Assumption or Substitution of Awards</w:t>
      </w:r>
      <w:r>
        <w:rPr>
          <w:rFonts w:ascii="Arial" w:cs="Arial" w:eastAsia="Arial" w:hAnsi="Arial"/>
          <w:sz w:val="18"/>
          <w:szCs w:val="18"/>
          <w:color w:val="auto"/>
        </w:rPr>
        <w:t>. Unless otherwise provided in the applicable Award Agreement, if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Control occurs under which provision is made in connection with the transaction for the continuation or assumption of outstanding Awards by, or for the issuance of Substitute Awards of, the surviving or successor entity or a parent thereof, then upon a Participant’s Termination of Service during the 18-month period following a Change in Control, (x) by Price Group, an Affiliate, or a successor to Price Group or an Affiliate other than for Cause, Total and Permanent Disability or death or (y) by the Participant for Good Reason:</w:t>
      </w:r>
    </w:p>
    <w:p>
      <w:pPr>
        <w:spacing w:after="0" w:line="188" w:lineRule="exact"/>
        <w:rPr>
          <w:rFonts w:ascii="Arial" w:cs="Arial" w:eastAsia="Arial" w:hAnsi="Arial"/>
          <w:sz w:val="22"/>
          <w:szCs w:val="22"/>
          <w:color w:val="auto"/>
        </w:rPr>
      </w:pPr>
    </w:p>
    <w:p>
      <w:pPr>
        <w:ind w:right="760" w:firstLine="1305"/>
        <w:spacing w:after="0" w:line="262" w:lineRule="auto"/>
        <w:tabs>
          <w:tab w:leader="none" w:pos="1656"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outstanding stock options and stock appreciation rights granted under the Plan to the Participant or any such Substitute Awards which are not then exercisable and vested shall become fully exercisable and vested;</w:t>
      </w:r>
    </w:p>
    <w:p>
      <w:pPr>
        <w:spacing w:after="0" w:line="196" w:lineRule="exact"/>
        <w:rPr>
          <w:rFonts w:ascii="Arial" w:cs="Arial" w:eastAsia="Arial" w:hAnsi="Arial"/>
          <w:sz w:val="18"/>
          <w:szCs w:val="18"/>
          <w:color w:val="auto"/>
        </w:rPr>
      </w:pPr>
    </w:p>
    <w:p>
      <w:pPr>
        <w:ind w:firstLine="1305"/>
        <w:spacing w:after="0" w:line="256" w:lineRule="auto"/>
        <w:tabs>
          <w:tab w:leader="none" w:pos="1696"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restrictions and deferral limitations applicable to any shares of Restricted Stock granted under the Plan to the Participant or any such Substitute Awards shall lapse and such shares of Restricted Stock shall become free of all restrictions and become fully vested and transferable;</w:t>
      </w:r>
    </w:p>
    <w:p>
      <w:pPr>
        <w:spacing w:after="0" w:line="201" w:lineRule="exact"/>
        <w:rPr>
          <w:rFonts w:ascii="Arial" w:cs="Arial" w:eastAsia="Arial" w:hAnsi="Arial"/>
          <w:sz w:val="18"/>
          <w:szCs w:val="18"/>
          <w:color w:val="auto"/>
        </w:rPr>
      </w:pPr>
    </w:p>
    <w:p>
      <w:pPr>
        <w:ind w:right="180" w:firstLine="1305"/>
        <w:spacing w:after="0" w:line="253" w:lineRule="auto"/>
        <w:tabs>
          <w:tab w:leader="none" w:pos="1736"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Restricted Stock Units, Performance Shares and Performance Units granted under the Plan to the Participant or any such Substitute Awards shall be considered to be earned and payable at target level, any deferral or other restriction thereon shall lapse, any Restriction Period thereon shall terminate, and such Restricted Stock Units, Performance Shares and Performance Units or any such Substitute Awards shall be settled in cash or shares of Common Stock (consistent with the terms of the Award Agreement after taking into account the effect of the Change in Control transaction on the shares) as promptly as is practicable;</w:t>
      </w:r>
    </w:p>
    <w:p>
      <w:pPr>
        <w:spacing w:after="0" w:line="205" w:lineRule="exact"/>
        <w:rPr>
          <w:rFonts w:ascii="Arial" w:cs="Arial" w:eastAsia="Arial" w:hAnsi="Arial"/>
          <w:sz w:val="18"/>
          <w:szCs w:val="18"/>
          <w:color w:val="auto"/>
        </w:rPr>
      </w:pPr>
    </w:p>
    <w:p>
      <w:pPr>
        <w:ind w:right="300" w:firstLine="1305"/>
        <w:spacing w:after="0" w:line="262" w:lineRule="auto"/>
        <w:tabs>
          <w:tab w:leader="none" w:pos="1746"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outstanding Performance Award granted under the Plan to the Participant or any such Substitute Award shall be deemed to satisfy any applicable Performance Goals as set forth in the applicable Award Agreement; and</w:t>
      </w:r>
    </w:p>
    <w:p>
      <w:pPr>
        <w:spacing w:after="0" w:line="196" w:lineRule="exact"/>
        <w:rPr>
          <w:rFonts w:ascii="Arial" w:cs="Arial" w:eastAsia="Arial" w:hAnsi="Arial"/>
          <w:sz w:val="18"/>
          <w:szCs w:val="18"/>
          <w:color w:val="auto"/>
        </w:rPr>
      </w:pPr>
    </w:p>
    <w:p>
      <w:pPr>
        <w:ind w:right="100" w:firstLine="1305"/>
        <w:spacing w:after="0" w:line="262" w:lineRule="auto"/>
        <w:tabs>
          <w:tab w:leader="none" w:pos="1706" w:val="left"/>
        </w:tabs>
        <w:numPr>
          <w:ilvl w:val="1"/>
          <w:numId w:val="82"/>
        </w:numPr>
        <w:rPr>
          <w:rFonts w:ascii="Arial" w:cs="Arial" w:eastAsia="Arial" w:hAnsi="Arial"/>
          <w:sz w:val="18"/>
          <w:szCs w:val="18"/>
          <w:color w:val="auto"/>
        </w:rPr>
      </w:pPr>
      <w:r>
        <w:rPr>
          <w:rFonts w:ascii="Arial" w:cs="Arial" w:eastAsia="Arial" w:hAnsi="Arial"/>
          <w:sz w:val="18"/>
          <w:szCs w:val="18"/>
          <w:color w:val="auto"/>
        </w:rPr>
        <w:t>subject to Section 15, the Administrator may also make additional adjustments and/or settlements of outstanding Awards granted to the Participant or any Substitute Awards as it deems appropriate and consistent with the Plan’s purposes.</w:t>
      </w:r>
    </w:p>
    <w:p>
      <w:pPr>
        <w:spacing w:after="0" w:line="218" w:lineRule="exact"/>
        <w:rPr>
          <w:rFonts w:ascii="Arial" w:cs="Arial" w:eastAsia="Arial" w:hAnsi="Arial"/>
          <w:sz w:val="18"/>
          <w:szCs w:val="18"/>
          <w:color w:val="auto"/>
        </w:rPr>
      </w:pPr>
    </w:p>
    <w:p>
      <w:pPr>
        <w:ind w:right="40" w:firstLine="656"/>
        <w:spacing w:after="0" w:line="282" w:lineRule="auto"/>
        <w:tabs>
          <w:tab w:leader="none" w:pos="1080" w:val="left"/>
        </w:tabs>
        <w:numPr>
          <w:ilvl w:val="0"/>
          <w:numId w:val="82"/>
        </w:numPr>
        <w:rPr>
          <w:rFonts w:ascii="Arial" w:cs="Arial" w:eastAsia="Arial" w:hAnsi="Arial"/>
          <w:sz w:val="22"/>
          <w:szCs w:val="22"/>
          <w:color w:val="auto"/>
        </w:rPr>
      </w:pPr>
      <w:r>
        <w:rPr>
          <w:rFonts w:ascii="Arial" w:cs="Arial" w:eastAsia="Arial" w:hAnsi="Arial"/>
          <w:sz w:val="18"/>
          <w:szCs w:val="18"/>
          <w:i w:val="1"/>
          <w:iCs w:val="1"/>
          <w:color w:val="auto"/>
        </w:rPr>
        <w:t>Section 409A Savings Clause</w:t>
      </w:r>
      <w:r>
        <w:rPr>
          <w:rFonts w:ascii="Arial" w:cs="Arial" w:eastAsia="Arial" w:hAnsi="Arial"/>
          <w:sz w:val="18"/>
          <w:szCs w:val="18"/>
          <w:color w:val="auto"/>
        </w:rPr>
        <w:t>. Notwithstanding the foregoing, if any Award is considered a “nonqualified 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within the meaning of Section 409A of the Code, this Section 11 shall apply to such Award only to the extent that its application would not result in the imposition of any tax or interest or the inclusion of any amount in income under Section 409A of the Code.</w:t>
      </w:r>
    </w:p>
    <w:p>
      <w:pPr>
        <w:spacing w:after="0" w:line="198" w:lineRule="exact"/>
        <w:rPr>
          <w:sz w:val="20"/>
          <w:szCs w:val="20"/>
          <w:color w:val="auto"/>
        </w:rPr>
      </w:pPr>
    </w:p>
    <w:p>
      <w:pPr>
        <w:ind w:left="480" w:hanging="472"/>
        <w:spacing w:after="0"/>
        <w:tabs>
          <w:tab w:leader="none" w:pos="480" w:val="left"/>
        </w:tabs>
        <w:numPr>
          <w:ilvl w:val="0"/>
          <w:numId w:val="83"/>
        </w:numPr>
        <w:rPr>
          <w:rFonts w:ascii="Arial" w:cs="Arial" w:eastAsia="Arial" w:hAnsi="Arial"/>
          <w:sz w:val="22"/>
          <w:szCs w:val="22"/>
          <w:b w:val="1"/>
          <w:bCs w:val="1"/>
          <w:color w:val="auto"/>
        </w:rPr>
      </w:pPr>
      <w:r>
        <w:rPr>
          <w:rFonts w:ascii="Arial" w:cs="Arial" w:eastAsia="Arial" w:hAnsi="Arial"/>
          <w:sz w:val="18"/>
          <w:szCs w:val="18"/>
          <w:b w:val="1"/>
          <w:bCs w:val="1"/>
          <w:color w:val="auto"/>
        </w:rPr>
        <w:t>Substitution of Awards in Mergers and Acquisitions.</w:t>
      </w:r>
    </w:p>
    <w:p>
      <w:pPr>
        <w:spacing w:after="0" w:line="229"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Awards may be granted under the Plan from time to time in substitution for assumed awards held by employees, officers, consultants or directors of entities who become employees, officers, consultants or directors of Price Group or an Affiliate as the result of a merger or consolidation of the entity for which they perform services with Price Group or an Affiliate, or the acquisition by Price Group or an Affiliate of the assets or stock of the such entity. The terms and conditions of any Awards so granted may vary from the terms and conditions set forth herein to the extent that the Administrator deems appropriate at the time of grant to conform the Awards to the provisions of the assumed awards for which they are substituted and to preserve their intrinsic value as of the date of the merger, consolidation or acquisition transaction. To the extent permitted by applicable law and marketplace or listing rules of the primary securities market or exchange on which the Common Stock is listed or admitted for trading, any available shares under a stockholder-approved plan of an acquired company (as appropriately adjusted to reflect the transaction) may be used for Awards granted pursuant to this Section 12 and, upon such grant, shall not reduce the Share Pool.</w:t>
      </w:r>
    </w:p>
    <w:p>
      <w:pPr>
        <w:spacing w:after="0" w:line="217" w:lineRule="exact"/>
        <w:rPr>
          <w:sz w:val="20"/>
          <w:szCs w:val="20"/>
          <w:color w:val="auto"/>
        </w:rPr>
      </w:pPr>
    </w:p>
    <w:p>
      <w:pPr>
        <w:ind w:left="480" w:hanging="472"/>
        <w:spacing w:after="0"/>
        <w:tabs>
          <w:tab w:leader="none" w:pos="480" w:val="left"/>
        </w:tabs>
        <w:numPr>
          <w:ilvl w:val="0"/>
          <w:numId w:val="84"/>
        </w:numPr>
        <w:rPr>
          <w:rFonts w:ascii="Arial" w:cs="Arial" w:eastAsia="Arial" w:hAnsi="Arial"/>
          <w:sz w:val="22"/>
          <w:szCs w:val="22"/>
          <w:b w:val="1"/>
          <w:bCs w:val="1"/>
          <w:color w:val="auto"/>
        </w:rPr>
      </w:pPr>
      <w:r>
        <w:rPr>
          <w:rFonts w:ascii="Arial" w:cs="Arial" w:eastAsia="Arial" w:hAnsi="Arial"/>
          <w:sz w:val="18"/>
          <w:szCs w:val="18"/>
          <w:b w:val="1"/>
          <w:bCs w:val="1"/>
          <w:color w:val="auto"/>
        </w:rPr>
        <w:t>Compliance with Securities Laws; Listing and Registration.</w:t>
      </w:r>
    </w:p>
    <w:p>
      <w:pPr>
        <w:spacing w:after="0" w:line="228" w:lineRule="exact"/>
        <w:rPr>
          <w:rFonts w:ascii="Arial" w:cs="Arial" w:eastAsia="Arial" w:hAnsi="Arial"/>
          <w:sz w:val="22"/>
          <w:szCs w:val="22"/>
          <w:b w:val="1"/>
          <w:bCs w:val="1"/>
          <w:color w:val="auto"/>
        </w:rPr>
      </w:pPr>
    </w:p>
    <w:p>
      <w:pPr>
        <w:ind w:right="40" w:firstLine="656"/>
        <w:spacing w:after="0" w:line="251" w:lineRule="auto"/>
        <w:tabs>
          <w:tab w:leader="none" w:pos="1065"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obligation of Price Group to sell or deliver Common Stock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Administrator. If at any time the Administrator determines that the delivery of Common Stock under the Plan is or may be unlawful under the laws of any applicable jurisdiction, or Federal, state or foreign (non-United States) securities laws, the right to exercise an Award or receive shares of Common Stock pursuant to an Award shall be suspended until the Administrator determines that such delivery is lawful. If at any time the Administrator determines that the delivery of Common Stock under the Plan is or may violate the rules of any exchange on which Price Group’s securities are then listed for trade, the right to exercise an Award or receive shares of Common Stock pursuant to an Award shall be suspended until the Administrator determines that such delivery would not violate such rules. If the Administrator determines that the exercise or nonforfeitability of, or delivery of benefits pursuant to, any Award would violate any applicable provision of securities laws or the listing requirements of any stock exchange upon which any of Price Group’s equity securities are listed, then the Administrator may postpone any such exercise, nonforfeitability or delivery, as applicable, but Price Group shall use all reasonable efforts to cause such exercise, nonforfeitability or delivery to comply with all such provisions at the earliest practicable date.</w:t>
      </w:r>
    </w:p>
    <w:p>
      <w:pPr>
        <w:spacing w:after="0" w:line="211" w:lineRule="exact"/>
        <w:rPr>
          <w:rFonts w:ascii="Arial" w:cs="Arial" w:eastAsia="Arial" w:hAnsi="Arial"/>
          <w:sz w:val="18"/>
          <w:szCs w:val="18"/>
          <w:color w:val="auto"/>
        </w:rPr>
      </w:pPr>
    </w:p>
    <w:p>
      <w:pPr>
        <w:ind w:right="40" w:firstLine="656"/>
        <w:spacing w:after="0" w:line="274" w:lineRule="auto"/>
        <w:tabs>
          <w:tab w:leader="none" w:pos="1068" w:val="left"/>
        </w:tabs>
        <w:numPr>
          <w:ilvl w:val="1"/>
          <w:numId w:val="84"/>
        </w:numPr>
        <w:rPr>
          <w:rFonts w:ascii="Arial" w:cs="Arial" w:eastAsia="Arial" w:hAnsi="Arial"/>
          <w:sz w:val="17"/>
          <w:szCs w:val="17"/>
          <w:color w:val="auto"/>
        </w:rPr>
      </w:pPr>
      <w:r>
        <w:rPr>
          <w:rFonts w:ascii="Arial" w:cs="Arial" w:eastAsia="Arial" w:hAnsi="Arial"/>
          <w:sz w:val="17"/>
          <w:szCs w:val="17"/>
          <w:color w:val="auto"/>
        </w:rPr>
        <w:t>Each Award is subject to the requirement that, if at any time the Administrator determines, in its absolute discretion, that the listing, registration or qualification of Common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Common Stock, no such Award shall be granted or payment made or Common Stock issued, in whole</w:t>
      </w:r>
    </w:p>
    <w:p>
      <w:pPr>
        <w:sectPr>
          <w:pgSz w:w="11900" w:h="16838" w:orient="portrait"/>
          <w:cols w:equalWidth="0" w:num="1">
            <w:col w:w="11400"/>
          </w:cols>
          <w:pgMar w:left="240" w:top="161" w:right="259" w:bottom="0" w:gutter="0" w:footer="0" w:header="0"/>
        </w:sectPr>
      </w:pPr>
    </w:p>
    <w:bookmarkStart w:id="80" w:name="page81"/>
    <w:bookmarkEnd w:id="80"/>
    <w:p>
      <w:pPr>
        <w:ind w:right="240"/>
        <w:spacing w:after="0" w:line="261" w:lineRule="auto"/>
        <w:rPr>
          <w:sz w:val="20"/>
          <w:szCs w:val="20"/>
          <w:color w:val="auto"/>
        </w:rPr>
      </w:pPr>
      <w:r>
        <w:rPr>
          <w:rFonts w:ascii="Arial" w:cs="Arial" w:eastAsia="Arial" w:hAnsi="Arial"/>
          <w:sz w:val="18"/>
          <w:szCs w:val="18"/>
          <w:color w:val="auto"/>
        </w:rPr>
        <w:t>or in part, unless listing, registration, qualification, consent or approval has been effected or obtained free of any conditions not acceptable to the Administrator.</w:t>
      </w:r>
    </w:p>
    <w:p>
      <w:pPr>
        <w:spacing w:after="0" w:line="197" w:lineRule="exact"/>
        <w:rPr>
          <w:sz w:val="20"/>
          <w:szCs w:val="20"/>
          <w:color w:val="auto"/>
        </w:rPr>
      </w:pPr>
    </w:p>
    <w:p>
      <w:pPr>
        <w:ind w:right="20" w:firstLine="656"/>
        <w:spacing w:after="0" w:line="252" w:lineRule="auto"/>
        <w:tabs>
          <w:tab w:leader="none" w:pos="1058"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 the event that the disposition of Common Stock acquired pursuant to the Plan is not covered by a then current registration statement under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and is not otherwise exempt from such registration, such Common Stock shall be restricted against transfer to the extent required by the Securities Act or regulations thereunder, and the Administrator may require a person receiving Common Stock pursuant to the Plan, as a condition precedent to receipt of such Common Stock, to represent to Price Group in writing that the Common Stock acquired by such person is acquired for investment only and not with a view to distribution and that such person will not dispose of the Common Stock so acquired in violation of Federal, state or foreign securities laws and furnish such information as may, in the opinion of counsel for the Company, be appropriate to permit the Company to issue the Common Stock in compliance with applicable Federal, state or foreign securities laws.</w:t>
      </w:r>
    </w:p>
    <w:p>
      <w:pPr>
        <w:spacing w:after="0" w:line="210" w:lineRule="exact"/>
        <w:rPr>
          <w:rFonts w:ascii="Arial" w:cs="Arial" w:eastAsia="Arial" w:hAnsi="Arial"/>
          <w:sz w:val="18"/>
          <w:szCs w:val="18"/>
          <w:color w:val="auto"/>
        </w:rPr>
      </w:pPr>
    </w:p>
    <w:p>
      <w:pPr>
        <w:ind w:left="480" w:hanging="472"/>
        <w:spacing w:after="0"/>
        <w:tabs>
          <w:tab w:leader="none" w:pos="480" w:val="left"/>
        </w:tabs>
        <w:numPr>
          <w:ilvl w:val="0"/>
          <w:numId w:val="86"/>
        </w:numPr>
        <w:rPr>
          <w:rFonts w:ascii="Arial" w:cs="Arial" w:eastAsia="Arial" w:hAnsi="Arial"/>
          <w:sz w:val="22"/>
          <w:szCs w:val="22"/>
          <w:b w:val="1"/>
          <w:bCs w:val="1"/>
          <w:color w:val="auto"/>
        </w:rPr>
      </w:pPr>
      <w:r>
        <w:rPr>
          <w:rFonts w:ascii="Arial" w:cs="Arial" w:eastAsia="Arial" w:hAnsi="Arial"/>
          <w:sz w:val="18"/>
          <w:szCs w:val="18"/>
          <w:b w:val="1"/>
          <w:bCs w:val="1"/>
          <w:color w:val="auto"/>
        </w:rPr>
        <w:t>Section 409A Compliance.</w:t>
      </w:r>
    </w:p>
    <w:p>
      <w:pPr>
        <w:spacing w:after="0" w:line="256" w:lineRule="exact"/>
        <w:rPr>
          <w:sz w:val="20"/>
          <w:szCs w:val="20"/>
          <w:color w:val="auto"/>
        </w:rPr>
      </w:pPr>
    </w:p>
    <w:p>
      <w:pPr>
        <w:ind w:firstLine="648"/>
        <w:spacing w:after="0" w:line="298" w:lineRule="auto"/>
        <w:rPr>
          <w:sz w:val="20"/>
          <w:szCs w:val="20"/>
          <w:color w:val="auto"/>
        </w:rPr>
      </w:pPr>
      <w:r>
        <w:rPr>
          <w:rFonts w:ascii="Arial" w:cs="Arial" w:eastAsia="Arial" w:hAnsi="Arial"/>
          <w:sz w:val="18"/>
          <w:szCs w:val="18"/>
          <w:color w:val="auto"/>
        </w:rPr>
        <w:t>It is the intention of Price Group that any Award that constitutes a “nonqualified deferred compensation plan” within the meaning of Section 409A of the Code shall comply in all respects with the requirements of Section 409A of the Code to avoid the imposition of any tax or interest or the inclusion of any amount in income pursuant to Section 409A of the Code, and the terms of each such Award shall be construed, administered and deemed amended, if applicable, in a manner consistent with this intention. Notwithstanding the foregoing, neither Price Group nor any of its Affiliates nor any of its or their directors, officers, employees, agents or other service providers will be liable for any taxes, penalties or interest imposed on any Participant or other person with respect to any amounts paid or payable (whether in cash, shares of Common Stock or other property) under any Award, including any taxes, penalties or interest imposed under or as a result of Section 409A of the Code. Any payments described in an Award that are due within the “short term deferral period” as defined in Section 409A of the Code shall not be treated as deferred compensation unless applicable law requires otherwise. For purposes of any Award, each amount to be paid or benefit to be provided to a Participant that constitutes deferred compensation subject to Section 409A of the Code shall be construed as a separate identified payment for purposes of Section 409A of the Code. For purposes of Section 409A of the Code, the payment of Dividend Equivalents under any Award shall be construed as earnings and the time and form of payment of such Dividend Equivalents shall be treated separately from the time and form of payment of the underlying Award. Notwithstanding any other provision of the Plan to the contrary, with respect to any Award that constitutes a “nonqualified deferred compensation plan” within the meaning of Section 409A of the Code, any payments (whether in cash, shares of Common Stock or other property) to be made with respect to the Award that become payable on account of the Participant’s separation from service, within the meaning of Section 409A of the Code, while the Participant is a “specified employee” (as determined in accordance with the uniform policy adopted by the Administrator with respect to all of the arrangements subject to Section 409A of the Code maintained by Price Group and its Affiliates) and which would otherwise be paid within six months after the Participant’s separation from service shall be accumulated (without interest) and paid on the first day of the seventh month following the Participant’s separation from service or, if earlier, within 15 days after the appointment of the personal representative or executor of the Participant’s estate following the Participant’s death. Notwithstanding anything in the Plan or an Award Agreement to the contrary, in no event shall the Administrator exercise its discretion to accelerate the payment or settlement of an Award where such payment or settlement constitutes deferred compensation within the meaning of Code section 409A unless, and solely to the extent that, such accelerated payment or settlement is permissible under Treasury Regulation section 1.409A-3(j)(4).</w:t>
      </w:r>
    </w:p>
    <w:p>
      <w:pPr>
        <w:spacing w:after="0" w:line="197" w:lineRule="exact"/>
        <w:rPr>
          <w:sz w:val="20"/>
          <w:szCs w:val="20"/>
          <w:color w:val="auto"/>
        </w:rPr>
      </w:pPr>
    </w:p>
    <w:p>
      <w:pPr>
        <w:ind w:left="480" w:hanging="472"/>
        <w:spacing w:after="0"/>
        <w:tabs>
          <w:tab w:leader="none" w:pos="480" w:val="left"/>
        </w:tabs>
        <w:numPr>
          <w:ilvl w:val="0"/>
          <w:numId w:val="87"/>
        </w:numPr>
        <w:rPr>
          <w:rFonts w:ascii="Arial" w:cs="Arial" w:eastAsia="Arial" w:hAnsi="Arial"/>
          <w:sz w:val="22"/>
          <w:szCs w:val="22"/>
          <w:b w:val="1"/>
          <w:bCs w:val="1"/>
          <w:color w:val="auto"/>
        </w:rPr>
      </w:pPr>
      <w:r>
        <w:rPr>
          <w:rFonts w:ascii="Arial" w:cs="Arial" w:eastAsia="Arial" w:hAnsi="Arial"/>
          <w:sz w:val="18"/>
          <w:szCs w:val="18"/>
          <w:b w:val="1"/>
          <w:bCs w:val="1"/>
          <w:color w:val="auto"/>
        </w:rPr>
        <w:t>Plan Duration; Amendment and Discontinuance.</w:t>
      </w:r>
    </w:p>
    <w:p>
      <w:pPr>
        <w:spacing w:after="0" w:line="251" w:lineRule="exact"/>
        <w:rPr>
          <w:rFonts w:ascii="Arial" w:cs="Arial" w:eastAsia="Arial" w:hAnsi="Arial"/>
          <w:sz w:val="22"/>
          <w:szCs w:val="22"/>
          <w:b w:val="1"/>
          <w:bCs w:val="1"/>
          <w:color w:val="auto"/>
        </w:rPr>
      </w:pPr>
    </w:p>
    <w:p>
      <w:pPr>
        <w:ind w:firstLine="656"/>
        <w:spacing w:after="0" w:line="293" w:lineRule="auto"/>
        <w:tabs>
          <w:tab w:leader="none" w:pos="1092" w:val="left"/>
        </w:tabs>
        <w:numPr>
          <w:ilvl w:val="1"/>
          <w:numId w:val="87"/>
        </w:numPr>
        <w:rPr>
          <w:rFonts w:ascii="Arial" w:cs="Arial" w:eastAsia="Arial" w:hAnsi="Arial"/>
          <w:sz w:val="22"/>
          <w:szCs w:val="22"/>
          <w:color w:val="auto"/>
        </w:rPr>
      </w:pPr>
      <w:r>
        <w:rPr>
          <w:rFonts w:ascii="Arial" w:cs="Arial" w:eastAsia="Arial" w:hAnsi="Arial"/>
          <w:sz w:val="18"/>
          <w:szCs w:val="18"/>
          <w:i w:val="1"/>
          <w:iCs w:val="1"/>
          <w:color w:val="auto"/>
        </w:rPr>
        <w:t>Plan Duration</w:t>
      </w:r>
      <w:r>
        <w:rPr>
          <w:rFonts w:ascii="Arial" w:cs="Arial" w:eastAsia="Arial" w:hAnsi="Arial"/>
          <w:sz w:val="18"/>
          <w:szCs w:val="18"/>
          <w:color w:val="auto"/>
        </w:rPr>
        <w:t>. The Plan shall remain in effect, subject to the right of the Board or the ECC to amend or terminate the Plan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until the earlier of (a) the earliest date as of which all Awards granted under the Plan have been satisfied in full or terminated and no shares of Common Stock approved for issuance under the Plan remain available to be granted under new Awards or (b) February 22, 2022. No Awards shall be granted under the Plan after such termination date. Subject to other applicable provisions of the Plan, all Awards made under the Plan on or before February 22, 2022, or such earlier termination of the Plan, shall remain in effect until such Awards have been satisfied or terminated in accordance with the Plan and the terms of such Awards. Notwithstanding the continuation of the Plan, no Award (other than a stock option or stock appreciation right) that is intended to be a Qualified Performance-Based Award shall be granted on or after the fifth anniversary of the Effective Date unless the material terms of the applicable performance goals, within the meaning of Treasury Regulation Section 1.162-27(e)(4)(i), are approved by the stockholders of Price Group no later than the first stockholder meeting that occurs in the fifth year following the Effective Date.</w:t>
      </w:r>
    </w:p>
    <w:p>
      <w:pPr>
        <w:spacing w:after="0" w:line="212" w:lineRule="exact"/>
        <w:rPr>
          <w:rFonts w:ascii="Arial" w:cs="Arial" w:eastAsia="Arial" w:hAnsi="Arial"/>
          <w:sz w:val="22"/>
          <w:szCs w:val="22"/>
          <w:color w:val="auto"/>
        </w:rPr>
      </w:pPr>
    </w:p>
    <w:p>
      <w:pPr>
        <w:ind w:right="100" w:firstLine="656"/>
        <w:spacing w:after="0" w:line="294" w:lineRule="auto"/>
        <w:tabs>
          <w:tab w:leader="none" w:pos="1092" w:val="left"/>
        </w:tabs>
        <w:numPr>
          <w:ilvl w:val="1"/>
          <w:numId w:val="87"/>
        </w:numPr>
        <w:rPr>
          <w:rFonts w:ascii="Arial" w:cs="Arial" w:eastAsia="Arial" w:hAnsi="Arial"/>
          <w:sz w:val="22"/>
          <w:szCs w:val="22"/>
          <w:color w:val="auto"/>
        </w:rPr>
      </w:pPr>
      <w:r>
        <w:rPr>
          <w:rFonts w:ascii="Arial" w:cs="Arial" w:eastAsia="Arial" w:hAnsi="Arial"/>
          <w:sz w:val="18"/>
          <w:szCs w:val="18"/>
          <w:i w:val="1"/>
          <w:iCs w:val="1"/>
          <w:color w:val="auto"/>
        </w:rPr>
        <w:t>Amendment and Discontinuance of the Plan</w:t>
      </w:r>
      <w:r>
        <w:rPr>
          <w:rFonts w:ascii="Arial" w:cs="Arial" w:eastAsia="Arial" w:hAnsi="Arial"/>
          <w:sz w:val="18"/>
          <w:szCs w:val="18"/>
          <w:color w:val="auto"/>
        </w:rPr>
        <w:t>. The Board or the ECC may amend, alter or discontinue the Plan, but no</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alteration or discontinuation shall be made which would materially impair the rights of a Participant with respect to a previously granted Award without such Participant’s consent, except such an amendment made to comply with applicable law or rule of any securities exchange or market on which the Common Stock is listed or admitted for trading or to prevent adverse tax or accounting consequences to Price Group or the Participant. Notwithstanding the foregoing, no such amendment shall be made without the approval of Price Group’s stockholders to the extent such amendment would (A) materially increase the benefits accruing to Participants under the Plan, (B) materially increase the number of shares of Common Stock which may be issued under the Plan or to a Participant, (C) materially expand the eligibility for participation in the Plan, (D) eliminate or modify the prohibition set forth in Section 7(f) on repricing of stock options and stock appreciation rights, (E) lengthen the maximum term or lower the minimum exercise price or base price permitted for stock options and stock appreciation rights, or (F) modify the limitation on the issuance of reload or replenishment options. Except as otherwise determined by the Board or ECC, termination of the Plan shall not affect the Administrator’s ability to exercise the powers granted to it hereunder with respect to Awards granted under the Plan prior to the date of such termination.</w:t>
      </w:r>
    </w:p>
    <w:p>
      <w:pPr>
        <w:sectPr>
          <w:pgSz w:w="11900" w:h="16838" w:orient="portrait"/>
          <w:cols w:equalWidth="0" w:num="1">
            <w:col w:w="11420"/>
          </w:cols>
          <w:pgMar w:left="240" w:top="140" w:right="239" w:bottom="264" w:gutter="0" w:footer="0" w:header="0"/>
        </w:sectPr>
      </w:pPr>
    </w:p>
    <w:bookmarkStart w:id="81" w:name="page82"/>
    <w:bookmarkEnd w:id="81"/>
    <w:p>
      <w:pPr>
        <w:ind w:right="40" w:firstLine="656"/>
        <w:spacing w:after="0" w:line="289" w:lineRule="auto"/>
        <w:tabs>
          <w:tab w:leader="none" w:pos="1080" w:val="left"/>
        </w:tabs>
        <w:numPr>
          <w:ilvl w:val="1"/>
          <w:numId w:val="88"/>
        </w:numPr>
        <w:rPr>
          <w:rFonts w:ascii="Arial" w:cs="Arial" w:eastAsia="Arial" w:hAnsi="Arial"/>
          <w:sz w:val="22"/>
          <w:szCs w:val="22"/>
          <w:color w:val="auto"/>
        </w:rPr>
      </w:pPr>
      <w:r>
        <w:rPr>
          <w:rFonts w:ascii="Arial" w:cs="Arial" w:eastAsia="Arial" w:hAnsi="Arial"/>
          <w:sz w:val="18"/>
          <w:szCs w:val="18"/>
          <w:i w:val="1"/>
          <w:iCs w:val="1"/>
          <w:color w:val="auto"/>
        </w:rPr>
        <w:t>Amendment of Awards</w:t>
      </w:r>
      <w:r>
        <w:rPr>
          <w:rFonts w:ascii="Arial" w:cs="Arial" w:eastAsia="Arial" w:hAnsi="Arial"/>
          <w:sz w:val="18"/>
          <w:szCs w:val="18"/>
          <w:color w:val="auto"/>
        </w:rPr>
        <w:t>. Subject to Section 7(f), the Administrator may unilaterally amend the terms of any Award theretofore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but no such amendment shall materially impair the rights of any Participant with respect to an Award without the Participant’s consent, except such an amendment made to cause the Plan or Award to comply with applicable law, applicable rule of any securities exchange on which the Common Stock is listed or admitted for trading, or to prevent adverse tax or accounting consequences for the Participant or the Company or any of its Affiliates.</w:t>
      </w:r>
    </w:p>
    <w:p>
      <w:pPr>
        <w:spacing w:after="0" w:line="192" w:lineRule="exact"/>
        <w:rPr>
          <w:rFonts w:ascii="Arial" w:cs="Arial" w:eastAsia="Arial" w:hAnsi="Arial"/>
          <w:sz w:val="22"/>
          <w:szCs w:val="22"/>
          <w:color w:val="auto"/>
        </w:rPr>
      </w:pPr>
    </w:p>
    <w:p>
      <w:pPr>
        <w:ind w:left="480" w:hanging="472"/>
        <w:spacing w:after="0"/>
        <w:tabs>
          <w:tab w:leader="none" w:pos="480" w:val="left"/>
        </w:tabs>
        <w:numPr>
          <w:ilvl w:val="0"/>
          <w:numId w:val="89"/>
        </w:numPr>
        <w:rPr>
          <w:rFonts w:ascii="Arial" w:cs="Arial" w:eastAsia="Arial" w:hAnsi="Arial"/>
          <w:sz w:val="22"/>
          <w:szCs w:val="22"/>
          <w:b w:val="1"/>
          <w:bCs w:val="1"/>
          <w:color w:val="auto"/>
        </w:rPr>
      </w:pPr>
      <w:r>
        <w:rPr>
          <w:rFonts w:ascii="Arial" w:cs="Arial" w:eastAsia="Arial" w:hAnsi="Arial"/>
          <w:sz w:val="18"/>
          <w:szCs w:val="18"/>
          <w:b w:val="1"/>
          <w:bCs w:val="1"/>
          <w:color w:val="auto"/>
        </w:rPr>
        <w:t>General Provisions.</w:t>
      </w:r>
    </w:p>
    <w:p>
      <w:pPr>
        <w:spacing w:after="0" w:line="251" w:lineRule="exact"/>
        <w:rPr>
          <w:rFonts w:ascii="Arial" w:cs="Arial" w:eastAsia="Arial" w:hAnsi="Arial"/>
          <w:sz w:val="22"/>
          <w:szCs w:val="22"/>
          <w:b w:val="1"/>
          <w:bCs w:val="1"/>
          <w:color w:val="auto"/>
        </w:rPr>
      </w:pPr>
    </w:p>
    <w:p>
      <w:pPr>
        <w:ind w:right="40" w:firstLine="656"/>
        <w:spacing w:after="0" w:line="289" w:lineRule="auto"/>
        <w:tabs>
          <w:tab w:leader="none" w:pos="1092" w:val="left"/>
        </w:tabs>
        <w:numPr>
          <w:ilvl w:val="1"/>
          <w:numId w:val="89"/>
        </w:numPr>
        <w:rPr>
          <w:rFonts w:ascii="Arial" w:cs="Arial" w:eastAsia="Arial" w:hAnsi="Arial"/>
          <w:sz w:val="22"/>
          <w:szCs w:val="22"/>
          <w:color w:val="auto"/>
        </w:rPr>
      </w:pPr>
      <w:r>
        <w:rPr>
          <w:rFonts w:ascii="Arial" w:cs="Arial" w:eastAsia="Arial" w:hAnsi="Arial"/>
          <w:sz w:val="18"/>
          <w:szCs w:val="18"/>
          <w:i w:val="1"/>
          <w:iCs w:val="1"/>
          <w:color w:val="auto"/>
        </w:rPr>
        <w:t>Non-Guarantee of Employment or Service</w:t>
      </w:r>
      <w:r>
        <w:rPr>
          <w:rFonts w:ascii="Arial" w:cs="Arial" w:eastAsia="Arial" w:hAnsi="Arial"/>
          <w:sz w:val="18"/>
          <w:szCs w:val="18"/>
          <w:color w:val="auto"/>
        </w:rPr>
        <w:t>. Nothing in the Plan or in any Award Agreement thereunder shall confer any right on</w:t>
      </w:r>
      <w:r>
        <w:rPr>
          <w:rFonts w:ascii="Arial" w:cs="Arial" w:eastAsia="Arial" w:hAnsi="Arial"/>
          <w:sz w:val="18"/>
          <w:szCs w:val="18"/>
          <w:i w:val="1"/>
          <w:iCs w:val="1"/>
          <w:color w:val="auto"/>
        </w:rPr>
        <w:t xml:space="preserve"> </w:t>
      </w:r>
      <w:r>
        <w:rPr>
          <w:rFonts w:ascii="Arial" w:cs="Arial" w:eastAsia="Arial" w:hAnsi="Arial"/>
          <w:sz w:val="18"/>
          <w:szCs w:val="18"/>
          <w:color w:val="auto"/>
        </w:rPr>
        <w:t>an individual to continue in the service of Price Group or any Affiliate or shall interfere in any way with the right of Price Group or any Affiliate to terminate such service at any time with or without cause or notice and whether or not such termination results in (i) the failure of any Award to vest or become payable; (ii) the forfeiture of any unvested or vested portion of any Award; and/or (iii) any other adverse effect on the individual’s interests under any Award or the Plan.</w:t>
      </w:r>
    </w:p>
    <w:p>
      <w:pPr>
        <w:spacing w:after="0" w:line="210" w:lineRule="exact"/>
        <w:rPr>
          <w:rFonts w:ascii="Arial" w:cs="Arial" w:eastAsia="Arial" w:hAnsi="Arial"/>
          <w:sz w:val="22"/>
          <w:szCs w:val="22"/>
          <w:color w:val="auto"/>
        </w:rPr>
      </w:pPr>
    </w:p>
    <w:p>
      <w:pPr>
        <w:ind w:right="200" w:firstLine="656"/>
        <w:spacing w:after="0" w:line="287" w:lineRule="auto"/>
        <w:tabs>
          <w:tab w:leader="none" w:pos="1092" w:val="left"/>
        </w:tabs>
        <w:numPr>
          <w:ilvl w:val="1"/>
          <w:numId w:val="89"/>
        </w:numPr>
        <w:rPr>
          <w:rFonts w:ascii="Arial" w:cs="Arial" w:eastAsia="Arial" w:hAnsi="Arial"/>
          <w:sz w:val="22"/>
          <w:szCs w:val="22"/>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shall create or be construed to create a trust or separate fund of any</w:t>
      </w:r>
      <w:r>
        <w:rPr>
          <w:rFonts w:ascii="Arial" w:cs="Arial" w:eastAsia="Arial" w:hAnsi="Arial"/>
          <w:sz w:val="18"/>
          <w:szCs w:val="18"/>
          <w:i w:val="1"/>
          <w:iCs w:val="1"/>
          <w:color w:val="auto"/>
        </w:rPr>
        <w:t xml:space="preserve"> </w:t>
      </w:r>
      <w:r>
        <w:rPr>
          <w:rFonts w:ascii="Arial" w:cs="Arial" w:eastAsia="Arial" w:hAnsi="Arial"/>
          <w:sz w:val="18"/>
          <w:szCs w:val="18"/>
          <w:color w:val="auto"/>
        </w:rPr>
        <w:t>kind or a fiduciary relationship between Price Group and a Participant or any other person. To the extent that any Participant or other person acquires a right to receive payments from Price Group pursuant to an Award, such right shall be no greater than the right of any unsecured general creditor of Price Group.</w:t>
      </w:r>
    </w:p>
    <w:p>
      <w:pPr>
        <w:spacing w:after="0" w:line="210" w:lineRule="exact"/>
        <w:rPr>
          <w:rFonts w:ascii="Arial" w:cs="Arial" w:eastAsia="Arial" w:hAnsi="Arial"/>
          <w:sz w:val="22"/>
          <w:szCs w:val="22"/>
          <w:color w:val="auto"/>
        </w:rPr>
      </w:pPr>
    </w:p>
    <w:p>
      <w:pPr>
        <w:ind w:right="60" w:firstLine="656"/>
        <w:spacing w:after="0" w:line="289" w:lineRule="auto"/>
        <w:tabs>
          <w:tab w:leader="none" w:pos="1080" w:val="left"/>
        </w:tabs>
        <w:numPr>
          <w:ilvl w:val="1"/>
          <w:numId w:val="89"/>
        </w:numPr>
        <w:rPr>
          <w:rFonts w:ascii="Arial" w:cs="Arial" w:eastAsia="Arial" w:hAnsi="Arial"/>
          <w:sz w:val="22"/>
          <w:szCs w:val="22"/>
          <w:color w:val="auto"/>
        </w:rPr>
      </w:pPr>
      <w:r>
        <w:rPr>
          <w:rFonts w:ascii="Arial" w:cs="Arial" w:eastAsia="Arial" w:hAnsi="Arial"/>
          <w:sz w:val="18"/>
          <w:szCs w:val="18"/>
          <w:i w:val="1"/>
          <w:iCs w:val="1"/>
          <w:color w:val="auto"/>
        </w:rPr>
        <w:t xml:space="preserve">Status of Awards. </w:t>
      </w:r>
      <w:r>
        <w:rPr>
          <w:rFonts w:ascii="Arial" w:cs="Arial" w:eastAsia="Arial" w:hAnsi="Arial"/>
          <w:sz w:val="18"/>
          <w:szCs w:val="18"/>
          <w:color w:val="auto"/>
        </w:rPr>
        <w:t>Awards shall be special incentive payments to the Participant and shall not be taken into account in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salary or compensation of the Participant for purposes of determining any pension, retirement, death, severance or other benefit under (a) any pension, retirement, profit-sharing, bonus, insurance, severance or other employee benefit plan of Price Group or any Affiliate now or hereafter in effect under which the availability or amount of benefits is related to the level of compensation or (b) any agreement between (i) Price Group or any Affiliate and (ii) the Participant, except as such plan or agreement shall otherwise expressly provide.</w:t>
      </w:r>
    </w:p>
    <w:p>
      <w:pPr>
        <w:spacing w:after="0" w:line="210" w:lineRule="exact"/>
        <w:rPr>
          <w:rFonts w:ascii="Arial" w:cs="Arial" w:eastAsia="Arial" w:hAnsi="Arial"/>
          <w:sz w:val="22"/>
          <w:szCs w:val="22"/>
          <w:color w:val="auto"/>
        </w:rPr>
      </w:pPr>
    </w:p>
    <w:p>
      <w:pPr>
        <w:ind w:right="20" w:firstLine="656"/>
        <w:spacing w:after="0" w:line="291" w:lineRule="auto"/>
        <w:tabs>
          <w:tab w:leader="none" w:pos="1092" w:val="left"/>
        </w:tabs>
        <w:numPr>
          <w:ilvl w:val="1"/>
          <w:numId w:val="89"/>
        </w:numPr>
        <w:rPr>
          <w:rFonts w:ascii="Arial" w:cs="Arial" w:eastAsia="Arial" w:hAnsi="Arial"/>
          <w:sz w:val="22"/>
          <w:szCs w:val="22"/>
          <w:color w:val="auto"/>
        </w:rPr>
      </w:pPr>
      <w:r>
        <w:rPr>
          <w:rFonts w:ascii="Arial" w:cs="Arial" w:eastAsia="Arial" w:hAnsi="Arial"/>
          <w:sz w:val="18"/>
          <w:szCs w:val="18"/>
          <w:i w:val="1"/>
          <w:iCs w:val="1"/>
          <w:color w:val="auto"/>
        </w:rPr>
        <w:t>Affiliate Employees</w:t>
      </w:r>
      <w:r>
        <w:rPr>
          <w:rFonts w:ascii="Arial" w:cs="Arial" w:eastAsia="Arial" w:hAnsi="Arial"/>
          <w:sz w:val="18"/>
          <w:szCs w:val="18"/>
          <w:color w:val="auto"/>
        </w:rPr>
        <w:t>. In the case of a grant of an Award to an Eligible Individual who provides services to any Affiliate, Price Group</w:t>
      </w:r>
      <w:r>
        <w:rPr>
          <w:rFonts w:ascii="Arial" w:cs="Arial" w:eastAsia="Arial" w:hAnsi="Arial"/>
          <w:sz w:val="18"/>
          <w:szCs w:val="18"/>
          <w:i w:val="1"/>
          <w:iCs w:val="1"/>
          <w:color w:val="auto"/>
        </w:rPr>
        <w:t xml:space="preserve"> </w:t>
      </w:r>
      <w:r>
        <w:rPr>
          <w:rFonts w:ascii="Arial" w:cs="Arial" w:eastAsia="Arial" w:hAnsi="Arial"/>
          <w:sz w:val="18"/>
          <w:szCs w:val="18"/>
          <w:color w:val="auto"/>
        </w:rPr>
        <w:t>may, if the Administrator so directs, issue or transfer the shares of Common Stock, if any, covered by the Award to the Affiliate, for such lawful consideration as the Administrator may specify, upon the condition or understanding that the Affiliate will transfer the shares of Common Stock to the Eligible Individual in accordance with the terms of the Award specified by the Administrator pursuant to the provisions of the Plan. All shares of Common Stock underlying Awards that are forfeited or canceled after such issue or transfer of shares to the Affiliate shall revert to Price Group.</w:t>
      </w:r>
    </w:p>
    <w:p>
      <w:pPr>
        <w:spacing w:after="0" w:line="207" w:lineRule="exact"/>
        <w:rPr>
          <w:rFonts w:ascii="Arial" w:cs="Arial" w:eastAsia="Arial" w:hAnsi="Arial"/>
          <w:sz w:val="22"/>
          <w:szCs w:val="22"/>
          <w:color w:val="auto"/>
        </w:rPr>
      </w:pPr>
    </w:p>
    <w:p>
      <w:pPr>
        <w:ind w:right="40" w:firstLine="656"/>
        <w:spacing w:after="0" w:line="289" w:lineRule="auto"/>
        <w:tabs>
          <w:tab w:leader="none" w:pos="1092" w:val="left"/>
        </w:tabs>
        <w:numPr>
          <w:ilvl w:val="1"/>
          <w:numId w:val="89"/>
        </w:numPr>
        <w:rPr>
          <w:rFonts w:ascii="Arial" w:cs="Arial" w:eastAsia="Arial" w:hAnsi="Arial"/>
          <w:sz w:val="22"/>
          <w:szCs w:val="22"/>
          <w:color w:val="auto"/>
        </w:rPr>
      </w:pPr>
      <w:r>
        <w:rPr>
          <w:rFonts w:ascii="Arial" w:cs="Arial" w:eastAsia="Arial" w:hAnsi="Arial"/>
          <w:sz w:val="18"/>
          <w:szCs w:val="18"/>
          <w:i w:val="1"/>
          <w:iCs w:val="1"/>
          <w:color w:val="auto"/>
        </w:rPr>
        <w:t xml:space="preserve">Governing Law and Interpretation. </w:t>
      </w:r>
      <w:r>
        <w:rPr>
          <w:rFonts w:ascii="Arial" w:cs="Arial" w:eastAsia="Arial" w:hAnsi="Arial"/>
          <w:sz w:val="18"/>
          <w:szCs w:val="18"/>
          <w:color w:val="auto"/>
        </w:rPr>
        <w:t>The validity, construction and effect of the Plan, of Award Agreements entered into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and of any rules, regulations, determinations or decisions made by the Administrator relating to the Plan or such Award Agreements, and the rights of any and all persons having or claiming to have any interest therein or thereunder, shall be determined exclusively in accordance with applicable federal laws and the laws of the State of Maryland, without regard to its conflict of laws principles. The captions of the Plan are not part of the provisions hereof and shall have no force or effect.</w:t>
      </w:r>
    </w:p>
    <w:p>
      <w:pPr>
        <w:spacing w:after="0" w:line="210" w:lineRule="exact"/>
        <w:rPr>
          <w:rFonts w:ascii="Arial" w:cs="Arial" w:eastAsia="Arial" w:hAnsi="Arial"/>
          <w:sz w:val="22"/>
          <w:szCs w:val="22"/>
          <w:color w:val="auto"/>
        </w:rPr>
      </w:pPr>
    </w:p>
    <w:p>
      <w:pPr>
        <w:ind w:firstLine="656"/>
        <w:spacing w:after="0" w:line="287" w:lineRule="auto"/>
        <w:tabs>
          <w:tab w:leader="none" w:pos="1032" w:val="left"/>
        </w:tabs>
        <w:numPr>
          <w:ilvl w:val="1"/>
          <w:numId w:val="89"/>
        </w:numPr>
        <w:rPr>
          <w:rFonts w:ascii="Arial" w:cs="Arial" w:eastAsia="Arial" w:hAnsi="Arial"/>
          <w:sz w:val="22"/>
          <w:szCs w:val="22"/>
          <w:color w:val="auto"/>
        </w:rPr>
      </w:pPr>
      <w:r>
        <w:rPr>
          <w:rFonts w:ascii="Arial" w:cs="Arial" w:eastAsia="Arial" w:hAnsi="Arial"/>
          <w:sz w:val="18"/>
          <w:szCs w:val="18"/>
          <w:i w:val="1"/>
          <w:iCs w:val="1"/>
          <w:color w:val="auto"/>
        </w:rPr>
        <w:t xml:space="preserve">Use of English Language. </w:t>
      </w:r>
      <w:r>
        <w:rPr>
          <w:rFonts w:ascii="Arial" w:cs="Arial" w:eastAsia="Arial" w:hAnsi="Arial"/>
          <w:sz w:val="18"/>
          <w:szCs w:val="18"/>
          <w:color w:val="auto"/>
        </w:rPr>
        <w:t>The Plan, each Award Agreement, and all other documents, notices and legal proceedings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given or instituted pursuant to an Award shall be written in English, unless otherwise determined by the Administrator. If a Participant receives an Award Agreement, a copy of the Plan or any other documents related to an Award translated into a language other than English, and if the meaning of the translated version is different from the English version, the English version shall control.</w:t>
      </w:r>
    </w:p>
    <w:p>
      <w:pPr>
        <w:spacing w:after="0" w:line="210" w:lineRule="exact"/>
        <w:rPr>
          <w:rFonts w:ascii="Arial" w:cs="Arial" w:eastAsia="Arial" w:hAnsi="Arial"/>
          <w:sz w:val="22"/>
          <w:szCs w:val="22"/>
          <w:color w:val="auto"/>
        </w:rPr>
      </w:pPr>
    </w:p>
    <w:p>
      <w:pPr>
        <w:ind w:firstLine="656"/>
        <w:spacing w:after="0" w:line="292" w:lineRule="auto"/>
        <w:tabs>
          <w:tab w:leader="none" w:pos="1092" w:val="left"/>
        </w:tabs>
        <w:numPr>
          <w:ilvl w:val="1"/>
          <w:numId w:val="89"/>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Recovery of Amounts Paid. </w:t>
      </w:r>
      <w:r>
        <w:rPr>
          <w:rFonts w:ascii="Arial" w:cs="Arial" w:eastAsia="Arial" w:hAnsi="Arial"/>
          <w:sz w:val="18"/>
          <w:szCs w:val="18"/>
          <w:color w:val="auto"/>
        </w:rPr>
        <w:t>Except as otherwise provided by the Administrator, Awards granted under the Plan shall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Price Group’s Policy for Recoupment of Incentive Compensation or any successor thereto (the “Recoupment Policy”) and/or to any provisions set forth in the applicable Award Agreement under which Price Group may recover from current and former Participants any amounts paid or shares of Common Stock issued under an Award and any proceeds therefrom under such circumstances as the Administrator determines appropriate. The Administrator may apply the Recoupment Policy to Awards granted before the policy is adopted to the extent required by applicable law or rule of any securities exchange or market on which shares of Common Stock are listed or admitted for trading, as determined by the Administrator in its sole discretion.</w:t>
      </w:r>
    </w:p>
    <w:p>
      <w:pPr>
        <w:spacing w:after="0" w:line="188" w:lineRule="exact"/>
        <w:rPr>
          <w:rFonts w:ascii="Arial" w:cs="Arial" w:eastAsia="Arial" w:hAnsi="Arial"/>
          <w:sz w:val="22"/>
          <w:szCs w:val="22"/>
          <w:i w:val="1"/>
          <w:iCs w:val="1"/>
          <w:color w:val="auto"/>
        </w:rPr>
      </w:pPr>
    </w:p>
    <w:p>
      <w:pPr>
        <w:ind w:left="480" w:hanging="472"/>
        <w:spacing w:after="0"/>
        <w:tabs>
          <w:tab w:leader="none" w:pos="480" w:val="left"/>
        </w:tabs>
        <w:numPr>
          <w:ilvl w:val="0"/>
          <w:numId w:val="89"/>
        </w:numPr>
        <w:rPr>
          <w:rFonts w:ascii="Arial" w:cs="Arial" w:eastAsia="Arial" w:hAnsi="Arial"/>
          <w:sz w:val="22"/>
          <w:szCs w:val="22"/>
          <w:b w:val="1"/>
          <w:bCs w:val="1"/>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Under this Plan, except where the context otherwise indicates, the following definitions apply:</w:t>
      </w:r>
    </w:p>
    <w:p>
      <w:pPr>
        <w:spacing w:after="0" w:line="207" w:lineRule="exact"/>
        <w:rPr>
          <w:sz w:val="20"/>
          <w:szCs w:val="20"/>
          <w:color w:val="auto"/>
        </w:rPr>
      </w:pPr>
    </w:p>
    <w:p>
      <w:pPr>
        <w:ind w:right="20" w:firstLine="656"/>
        <w:spacing w:after="0" w:line="253" w:lineRule="auto"/>
        <w:tabs>
          <w:tab w:leader="none" w:pos="1068"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ECC, or such other committee(s) or officer(s) duly appointed by the Board or the ECC to administer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 or delegated limited authority to perform administrative actions under the Plan, and having such powers as shall be specified by the Board or the ECC;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at any time the Board may serve as the Administrator in lieu of or in addition to the ECC or such other committee(s) or officer(s) to whom administrative authority has been delegated. With respect to any Award to which Section 16 of the Exchange Act applies, the Administrator shall consist of either the Board or the ECC, which committee shall consist of two or more directors, each of whom is intended to be, to the extent required by Rule 16b-3 of the Exchange Act, a “non-employee director” as defined in Rule 16b-3 of the Exchange Act and an “independent director” to the extent required by the rules of the national securities exchange that is the principal trading market for the Common Stock, and with respect to any Award that is intended to be a Qualified Performance-Based Award, the Administrator shall consist of two or more directors, each of whom is intended to be, to the extent required by Section 162(m) of the Code, an “outside director” as defined under Section 162(m) of the Code. Any member of the Administrator who does not meet the foregoing requirements shall abstain from any decision regarding an Award and shall not be considered a member of the Administrator to the extent required to comply with Rule 16b-3 of the Exchange Act or Section 162(m) of the Code.</w:t>
      </w:r>
    </w:p>
    <w:p>
      <w:pPr>
        <w:sectPr>
          <w:pgSz w:w="11900" w:h="16838" w:orient="portrait"/>
          <w:cols w:equalWidth="0" w:num="1">
            <w:col w:w="11400"/>
          </w:cols>
          <w:pgMar w:left="240" w:top="161" w:right="259" w:bottom="0" w:gutter="0" w:footer="0" w:header="0"/>
        </w:sectPr>
      </w:pPr>
    </w:p>
    <w:bookmarkStart w:id="82" w:name="page83"/>
    <w:bookmarkEnd w:id="82"/>
    <w:p>
      <w:pPr>
        <w:ind w:right="220" w:firstLine="656"/>
        <w:spacing w:after="0" w:line="257" w:lineRule="auto"/>
        <w:tabs>
          <w:tab w:leader="none" w:pos="1068" w:val="left"/>
        </w:tabs>
        <w:numPr>
          <w:ilvl w:val="1"/>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means any entity, whether previously, now or hereafter existing, in which Price Group, directly or indirectly, at the relevant time has a proprietary interest by reason of stock ownership or otherwise (including, but not limited to, joint ventures, limited liability companies, and partnerships) or any entity that provides services to Price Group or a subsidiary or affiliated entity of Price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solely for purposes of determining whether a Participant has a Termination of Service that is a “separation from service”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of Section 409A of the Code, an “Affiliate” of a corporation or other entity means all other entities with which such corporation or other entity would be considered a single employer under Sections 414(b) or 414(c) of the Code.</w:t>
      </w:r>
    </w:p>
    <w:p>
      <w:pPr>
        <w:spacing w:after="0" w:line="183" w:lineRule="exact"/>
        <w:rPr>
          <w:rFonts w:ascii="Arial" w:cs="Arial" w:eastAsia="Arial" w:hAnsi="Arial"/>
          <w:sz w:val="18"/>
          <w:szCs w:val="18"/>
          <w:color w:val="auto"/>
        </w:rPr>
      </w:pPr>
    </w:p>
    <w:p>
      <w:pPr>
        <w:ind w:right="120" w:firstLine="656"/>
        <w:spacing w:after="0" w:line="282" w:lineRule="auto"/>
        <w:tabs>
          <w:tab w:leader="none" w:pos="1058" w:val="left"/>
        </w:tabs>
        <w:numPr>
          <w:ilvl w:val="1"/>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stock option, stock appreciation right, stock award, stock unit, Performance Share, Performance Unit, and/or Other Stock-Based Award, whether granted under this Plan or any Prior Plan.</w:t>
      </w:r>
    </w:p>
    <w:p>
      <w:pPr>
        <w:spacing w:after="0" w:line="161" w:lineRule="exact"/>
        <w:rPr>
          <w:rFonts w:ascii="Arial" w:cs="Arial" w:eastAsia="Arial" w:hAnsi="Arial"/>
          <w:sz w:val="18"/>
          <w:szCs w:val="18"/>
          <w:color w:val="auto"/>
        </w:rPr>
      </w:pPr>
    </w:p>
    <w:p>
      <w:pPr>
        <w:ind w:right="320" w:firstLine="656"/>
        <w:spacing w:after="0" w:line="266" w:lineRule="auto"/>
        <w:tabs>
          <w:tab w:leader="none" w:pos="1068" w:val="left"/>
        </w:tabs>
        <w:numPr>
          <w:ilvl w:val="1"/>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the written document(s), including an electronic writing acceptable to the Administrator,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notice, addendum or supplement thereto, memorializing the terms and conditions of an Award granted pursuant to the Plan and which shall incorporate the terms of the Plan.</w:t>
      </w:r>
    </w:p>
    <w:p>
      <w:pPr>
        <w:spacing w:after="0" w:line="176" w:lineRule="exact"/>
        <w:rPr>
          <w:rFonts w:ascii="Arial" w:cs="Arial" w:eastAsia="Arial" w:hAnsi="Arial"/>
          <w:sz w:val="18"/>
          <w:szCs w:val="18"/>
          <w:color w:val="auto"/>
        </w:rPr>
      </w:pPr>
    </w:p>
    <w:p>
      <w:pPr>
        <w:ind w:left="1080" w:hanging="424"/>
        <w:spacing w:after="0"/>
        <w:tabs>
          <w:tab w:leader="none" w:pos="10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Price Group.</w:t>
      </w:r>
    </w:p>
    <w:p>
      <w:pPr>
        <w:spacing w:after="0" w:line="252" w:lineRule="exact"/>
        <w:rPr>
          <w:rFonts w:ascii="Arial" w:cs="Arial" w:eastAsia="Arial" w:hAnsi="Arial"/>
          <w:sz w:val="18"/>
          <w:szCs w:val="18"/>
          <w:color w:val="auto"/>
        </w:rPr>
      </w:pPr>
    </w:p>
    <w:p>
      <w:pPr>
        <w:ind w:right="140" w:firstLine="656"/>
        <w:spacing w:after="0" w:line="323" w:lineRule="auto"/>
        <w:tabs>
          <w:tab w:leader="none" w:pos="1018" w:val="left"/>
        </w:tabs>
        <w:numPr>
          <w:ilvl w:val="1"/>
          <w:numId w:val="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xml:space="preserve">” means, with respect to a Participant, except as otherwise provided in the relevant Award Agreement (i) the Participant’s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or conviction of, (A) a felony (or its equivalent in a non-United States jurisdiction) or (B) other conduct of a criminal nature that has or is likely to have a material adverse effect on the reputation or standing in the community of Price Group, any of its Affiliates or a successor to Price Group or an Affiliate, as determined by the Administrator in its sole discretion, or that legally prohibits the Participant from working for Price Group, any of its Affiliates or a successor to Price Group or an Affiliate; (ii) a breach by the Participant of a regulatory rule that adversely affects the Participant’s ability to perform the Participant’s employment duties to Price Group, any of its Affiliates or a successor to Price Group or an Affiliate, in any material respect; or (iii) the Participant’s failure, in any material respect, to (A) perform the Participant’s employment duties, (B) comply with the applicable policies of Price Group, or of its Affiliates, or a successor to Price Group or an Affiliate, or (C) comply with covenants contained in any contract or Award Agreement to which the Participant is a party; provided, however,</w:t>
      </w:r>
    </w:p>
    <w:p>
      <w:pPr>
        <w:ind w:right="140"/>
        <w:spacing w:after="0" w:line="303" w:lineRule="auto"/>
        <w:rPr>
          <w:rFonts w:ascii="Arial" w:cs="Arial" w:eastAsia="Arial" w:hAnsi="Arial"/>
          <w:sz w:val="17"/>
          <w:szCs w:val="17"/>
          <w:color w:val="auto"/>
        </w:rPr>
      </w:pPr>
      <w:r>
        <w:rPr>
          <w:rFonts w:ascii="Arial" w:cs="Arial" w:eastAsia="Arial" w:hAnsi="Arial"/>
          <w:sz w:val="18"/>
          <w:szCs w:val="18"/>
          <w:color w:val="auto"/>
        </w:rPr>
        <w:t>that the Participant shall be provided a written notice describing in reasonable detail the facts which are considered to give rise to a breach described in this clause (iii) and the Participant shall have 30 days following receipt of such written notice (the “</w:t>
      </w:r>
      <w:r>
        <w:rPr>
          <w:rFonts w:ascii="Arial" w:cs="Arial" w:eastAsia="Arial" w:hAnsi="Arial"/>
          <w:sz w:val="18"/>
          <w:szCs w:val="18"/>
          <w:i w:val="1"/>
          <w:iCs w:val="1"/>
          <w:color w:val="auto"/>
        </w:rPr>
        <w:t>Cure Period</w:t>
      </w:r>
      <w:r>
        <w:rPr>
          <w:rFonts w:ascii="Arial" w:cs="Arial" w:eastAsia="Arial" w:hAnsi="Arial"/>
          <w:sz w:val="18"/>
          <w:szCs w:val="18"/>
          <w:color w:val="auto"/>
        </w:rPr>
        <w:t>”) during which the Participant may remedy the condition and, if so remedied, no Cause for Termination of Service shall exist.</w:t>
      </w:r>
    </w:p>
    <w:p>
      <w:pPr>
        <w:spacing w:after="0" w:line="156" w:lineRule="exact"/>
        <w:rPr>
          <w:rFonts w:ascii="Arial" w:cs="Arial" w:eastAsia="Arial" w:hAnsi="Arial"/>
          <w:sz w:val="17"/>
          <w:szCs w:val="17"/>
          <w:color w:val="auto"/>
        </w:rPr>
      </w:pPr>
    </w:p>
    <w:p>
      <w:pPr>
        <w:ind w:left="1080" w:hanging="424"/>
        <w:spacing w:after="0"/>
        <w:tabs>
          <w:tab w:leader="none" w:pos="10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any of the following events:</w:t>
      </w:r>
    </w:p>
    <w:p>
      <w:pPr>
        <w:spacing w:after="0" w:line="243" w:lineRule="exact"/>
        <w:rPr>
          <w:rFonts w:ascii="Arial" w:cs="Arial" w:eastAsia="Arial" w:hAnsi="Arial"/>
          <w:sz w:val="18"/>
          <w:szCs w:val="18"/>
          <w:color w:val="auto"/>
        </w:rPr>
      </w:pPr>
    </w:p>
    <w:p>
      <w:pPr>
        <w:ind w:right="60" w:firstLine="1305"/>
        <w:spacing w:after="0" w:line="250" w:lineRule="auto"/>
        <w:tabs>
          <w:tab w:leader="none" w:pos="1656" w:val="left"/>
        </w:tabs>
        <w:numPr>
          <w:ilvl w:val="2"/>
          <w:numId w:val="91"/>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Exchange Act, other than an employee benefit plan or related trust sponsored or maintained by Price Group or by an entity controlled by Price Group or an underwriter of the Common Stock in a registered public offering) (a “</w:t>
      </w:r>
      <w:r>
        <w:rPr>
          <w:rFonts w:ascii="Arial" w:cs="Arial" w:eastAsia="Arial" w:hAnsi="Arial"/>
          <w:sz w:val="18"/>
          <w:szCs w:val="18"/>
          <w:i w:val="1"/>
          <w:iCs w:val="1"/>
          <w:color w:val="auto"/>
        </w:rPr>
        <w:t>Person</w:t>
      </w:r>
      <w:r>
        <w:rPr>
          <w:rFonts w:ascii="Arial" w:cs="Arial" w:eastAsia="Arial" w:hAnsi="Arial"/>
          <w:sz w:val="18"/>
          <w:szCs w:val="18"/>
          <w:color w:val="auto"/>
        </w:rPr>
        <w:t>”), during any 12-month period ending on the date of the most recent acquisition by such Person, of beneficial ownership (within the meaning of Rule 13d-3 promulgated under the Exchange Act) of shares representing thirty percent (30%) or more of the combined voting power (without regard to any limitations contained in the Price Group charter) of the then outstanding voting securities of Price Group entitled to vote generally in the election of directors (the “</w:t>
      </w:r>
      <w:r>
        <w:rPr>
          <w:rFonts w:ascii="Arial" w:cs="Arial" w:eastAsia="Arial" w:hAnsi="Arial"/>
          <w:sz w:val="18"/>
          <w:szCs w:val="18"/>
          <w:i w:val="1"/>
          <w:iCs w:val="1"/>
          <w:color w:val="auto"/>
        </w:rPr>
        <w:t>Outstanding Price Group</w:t>
      </w:r>
      <w:r>
        <w:rPr>
          <w:rFonts w:ascii="Arial" w:cs="Arial" w:eastAsia="Arial" w:hAnsi="Arial"/>
          <w:sz w:val="18"/>
          <w:szCs w:val="18"/>
          <w:color w:val="auto"/>
        </w:rPr>
        <w:t xml:space="preserve"> </w:t>
      </w:r>
      <w:r>
        <w:rPr>
          <w:rFonts w:ascii="Arial" w:cs="Arial" w:eastAsia="Arial" w:hAnsi="Arial"/>
          <w:sz w:val="18"/>
          <w:szCs w:val="18"/>
          <w:i w:val="1"/>
          <w:iCs w:val="1"/>
          <w:color w:val="auto"/>
        </w:rPr>
        <w:t>Voting Securities</w:t>
      </w:r>
      <w:r>
        <w:rPr>
          <w:rFonts w:ascii="Arial" w:cs="Arial" w:eastAsia="Arial" w:hAnsi="Arial"/>
          <w:sz w:val="18"/>
          <w:szCs w:val="18"/>
          <w:color w:val="auto"/>
        </w:rPr>
        <w:t>”);</w:t>
      </w:r>
      <w:r>
        <w:rPr>
          <w:rFonts w:ascii="Arial" w:cs="Arial" w:eastAsia="Arial" w:hAnsi="Arial"/>
          <w:sz w:val="18"/>
          <w:szCs w:val="18"/>
          <w:i w:val="1"/>
          <w:iCs w:val="1"/>
          <w:color w:val="auto"/>
        </w:rPr>
        <w:t xml:space="preserve"> 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for purposes of this subsection (i), the following acquisitions shall not constitute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(1) any acquisition directly from Price Group; (2) any acquisition by Price Group or a wholly-owned subsidiary of Price Group; or</w:t>
      </w:r>
    </w:p>
    <w:p>
      <w:pPr>
        <w:spacing w:after="0" w:line="3" w:lineRule="exact"/>
        <w:rPr>
          <w:rFonts w:ascii="Arial" w:cs="Arial" w:eastAsia="Arial" w:hAnsi="Arial"/>
          <w:sz w:val="18"/>
          <w:szCs w:val="18"/>
          <w:color w:val="auto"/>
        </w:rPr>
      </w:pPr>
    </w:p>
    <w:p>
      <w:pPr>
        <w:ind w:left="280" w:hanging="272"/>
        <w:spacing w:after="0"/>
        <w:tabs>
          <w:tab w:leader="none" w:pos="2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acquisition pursuant to a transaction which complies with clauses (A), (B) and (C) of subsection (iii) below; or</w:t>
      </w:r>
    </w:p>
    <w:p>
      <w:pPr>
        <w:spacing w:after="0" w:line="207" w:lineRule="exact"/>
        <w:rPr>
          <w:rFonts w:ascii="Arial" w:cs="Arial" w:eastAsia="Arial" w:hAnsi="Arial"/>
          <w:sz w:val="18"/>
          <w:szCs w:val="18"/>
          <w:color w:val="auto"/>
        </w:rPr>
      </w:pPr>
    </w:p>
    <w:p>
      <w:pPr>
        <w:ind w:right="60" w:firstLine="1305"/>
        <w:spacing w:after="0" w:line="257" w:lineRule="auto"/>
        <w:tabs>
          <w:tab w:leader="none" w:pos="1696" w:val="left"/>
        </w:tabs>
        <w:numPr>
          <w:ilvl w:val="2"/>
          <w:numId w:val="92"/>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(the “</w:t>
      </w:r>
      <w:r>
        <w:rPr>
          <w:rFonts w:ascii="Arial" w:cs="Arial" w:eastAsia="Arial" w:hAnsi="Arial"/>
          <w:sz w:val="18"/>
          <w:szCs w:val="18"/>
          <w:i w:val="1"/>
          <w:iCs w:val="1"/>
          <w:color w:val="auto"/>
        </w:rPr>
        <w:t>Incumbent Board</w:t>
      </w:r>
      <w:r>
        <w:rPr>
          <w:rFonts w:ascii="Arial" w:cs="Arial" w:eastAsia="Arial" w:hAnsi="Arial"/>
          <w:sz w:val="18"/>
          <w:szCs w:val="18"/>
          <w:color w:val="auto"/>
        </w:rPr>
        <w:t xml:space="preserve">”) cease for any reason, within any 12-month period, to constitute at least a majority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individual becoming a director subsequent to the Effective Date whose appointment or election was endorsed by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0" w:lineRule="exact"/>
        <w:rPr>
          <w:rFonts w:ascii="Arial" w:cs="Arial" w:eastAsia="Arial" w:hAnsi="Arial"/>
          <w:sz w:val="18"/>
          <w:szCs w:val="18"/>
          <w:color w:val="auto"/>
        </w:rPr>
      </w:pPr>
    </w:p>
    <w:p>
      <w:pPr>
        <w:ind w:firstLine="1305"/>
        <w:spacing w:after="0" w:line="251" w:lineRule="auto"/>
        <w:tabs>
          <w:tab w:leader="none" w:pos="1736" w:val="left"/>
        </w:tabs>
        <w:numPr>
          <w:ilvl w:val="2"/>
          <w:numId w:val="92"/>
        </w:numPr>
        <w:rPr>
          <w:rFonts w:ascii="Arial" w:cs="Arial" w:eastAsia="Arial" w:hAnsi="Arial"/>
          <w:sz w:val="18"/>
          <w:szCs w:val="18"/>
          <w:color w:val="auto"/>
        </w:rPr>
      </w:pPr>
      <w:r>
        <w:rPr>
          <w:rFonts w:ascii="Arial" w:cs="Arial" w:eastAsia="Arial" w:hAnsi="Arial"/>
          <w:sz w:val="18"/>
          <w:szCs w:val="18"/>
          <w:color w:val="auto"/>
        </w:rPr>
        <w:t>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 (each, a “</w:t>
      </w:r>
      <w:r>
        <w:rPr>
          <w:rFonts w:ascii="Arial" w:cs="Arial" w:eastAsia="Arial" w:hAnsi="Arial"/>
          <w:sz w:val="18"/>
          <w:szCs w:val="18"/>
          <w:i w:val="1"/>
          <w:iCs w:val="1"/>
          <w:color w:val="auto"/>
        </w:rPr>
        <w:t>Corporate Transaction</w:t>
      </w:r>
      <w:r>
        <w:rPr>
          <w:rFonts w:ascii="Arial" w:cs="Arial" w:eastAsia="Arial" w:hAnsi="Arial"/>
          <w:sz w:val="18"/>
          <w:szCs w:val="18"/>
          <w:color w:val="auto"/>
        </w:rPr>
        <w:t>”), in each case, unless, following such Corporate Transaction, (A) all or substantially all of the individuals and entities who were the beneficial owners, respectively, of the Outstanding Price Group Shares and Outstanding Price Group Voting Securities immediately prior to such Corporate Transaction beneficially own, directly or indirectly, more than fifty percent (50%) of, respectively, the then outstanding shares and the combined voting power of the then outstanding voting securities entitled to vote generally in the election of directors, as the case may be, of the corporation or other entity resulting from such Corporate Transaction (including, without limitation, a corporation or other entity which as a result of such transaction owns Price Group or all or substantially all of Price Group’s assets either directly or through one or more subsidiaries) in substantially the same proportions as their ownership, immediately prior to such Corporate Transaction, of the Outstanding Price Group Shares and Outstanding Price Group Voting Securities, as the case may be, (B) no Person (excluding such corporation or other entity resulting from such Corporate Transaction) beneficially owns, directly or indirectly, thirty percent (30%) or more of, respectively, the then outstanding shares of the corporation or other entity resulting from such Corporate Transaction or the combined voting power of the then outstanding voting securities of such corporation or other entity and (C) at least a majority of the members of the board of directors of the corporation (or other governing board of a non-corporate entity) resulting from such Corporate Transaction were members of the Incumbent Board at the time of the execution of the initial agreement, or of the action of the Board, providing for such Corporate Transaction.</w:t>
      </w:r>
    </w:p>
    <w:p>
      <w:pPr>
        <w:spacing w:after="0" w:line="21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Notwithstanding the foregoing, an event described above shall be a Change in Control with respect to an Award that constitutes a “nonqualified deferred compensation plan” within the meaning of Section 409A of the Code only if such event is also a change in the ownership or effective control of Price Group or a change in the ownership of a substantial portion of the assets of Price Group within the meaning of Section 409A of the Code to the extent necessary to avoid the imposition of any tax or interest or the inclusion of any amount in income pursuant to Section 409A of the Code.</w:t>
      </w:r>
    </w:p>
    <w:p>
      <w:pPr>
        <w:spacing w:after="0" w:line="188" w:lineRule="exact"/>
        <w:rPr>
          <w:sz w:val="20"/>
          <w:szCs w:val="20"/>
          <w:color w:val="auto"/>
        </w:rPr>
      </w:pPr>
    </w:p>
    <w:p>
      <w:pPr>
        <w:ind w:right="540" w:firstLine="656"/>
        <w:spacing w:after="0" w:line="313" w:lineRule="auto"/>
        <w:tabs>
          <w:tab w:leader="none" w:pos="1068"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Internal Revenue Code of 1986, as amended from time to time, and any successor thereto, the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thereunder and other relevant interpretive guidance issued by the Internal Revenue Service or the Treasury Department.</w:t>
      </w:r>
    </w:p>
    <w:p>
      <w:pPr>
        <w:sectPr>
          <w:pgSz w:w="11900" w:h="16838" w:orient="portrait"/>
          <w:cols w:equalWidth="0" w:num="1">
            <w:col w:w="11400"/>
          </w:cols>
          <w:pgMar w:left="240" w:top="120" w:right="259" w:bottom="0" w:gutter="0" w:footer="0" w:header="0"/>
        </w:sectPr>
      </w:pPr>
    </w:p>
    <w:bookmarkStart w:id="83" w:name="page84"/>
    <w:bookmarkEnd w:id="83"/>
    <w:p>
      <w:pPr>
        <w:ind w:right="340"/>
        <w:spacing w:after="0" w:line="260" w:lineRule="auto"/>
        <w:rPr>
          <w:sz w:val="20"/>
          <w:szCs w:val="20"/>
          <w:color w:val="auto"/>
        </w:rPr>
      </w:pPr>
      <w:r>
        <w:rPr>
          <w:rFonts w:ascii="Arial" w:cs="Arial" w:eastAsia="Arial" w:hAnsi="Arial"/>
          <w:sz w:val="18"/>
          <w:szCs w:val="18"/>
          <w:color w:val="auto"/>
        </w:rPr>
        <w:t>Reference to any specific section of the Code shall be deemed to include such regulations and guidance, as well as any successor section, regulations and guidance.</w:t>
      </w:r>
    </w:p>
    <w:p>
      <w:pPr>
        <w:spacing w:after="0" w:line="181" w:lineRule="exact"/>
        <w:rPr>
          <w:sz w:val="20"/>
          <w:szCs w:val="20"/>
          <w:color w:val="auto"/>
        </w:rPr>
      </w:pPr>
    </w:p>
    <w:p>
      <w:pPr>
        <w:ind w:right="660" w:firstLine="656"/>
        <w:spacing w:after="0" w:line="282" w:lineRule="auto"/>
        <w:tabs>
          <w:tab w:leader="none" w:pos="1008"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means shares of common stock of Price Group, par value twenty cents ($0.20) per share and any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into which they are converted.</w:t>
      </w:r>
    </w:p>
    <w:p>
      <w:pPr>
        <w:spacing w:after="0" w:line="161" w:lineRule="exact"/>
        <w:rPr>
          <w:rFonts w:ascii="Arial" w:cs="Arial" w:eastAsia="Arial" w:hAnsi="Arial"/>
          <w:sz w:val="18"/>
          <w:szCs w:val="18"/>
          <w:color w:val="auto"/>
        </w:rPr>
      </w:pPr>
    </w:p>
    <w:p>
      <w:pPr>
        <w:ind w:right="640" w:firstLine="656"/>
        <w:spacing w:after="0" w:line="282" w:lineRule="auto"/>
        <w:tabs>
          <w:tab w:leader="none" w:pos="1008"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Price Group and its Affiliates, except where the context otherwise requires. For purposes of determining whether a Change in Control has occurred, Company shall mean only Price Group.</w:t>
      </w:r>
    </w:p>
    <w:p>
      <w:pPr>
        <w:spacing w:after="0" w:line="161" w:lineRule="exact"/>
        <w:rPr>
          <w:rFonts w:ascii="Arial" w:cs="Arial" w:eastAsia="Arial" w:hAnsi="Arial"/>
          <w:sz w:val="18"/>
          <w:szCs w:val="18"/>
          <w:color w:val="auto"/>
        </w:rPr>
      </w:pPr>
    </w:p>
    <w:p>
      <w:pPr>
        <w:ind w:right="40" w:firstLine="656"/>
        <w:spacing w:after="0" w:line="282" w:lineRule="auto"/>
        <w:tabs>
          <w:tab w:leader="none" w:pos="10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Dividend Equivalent</w:t>
      </w:r>
      <w:r>
        <w:rPr>
          <w:rFonts w:ascii="Arial" w:cs="Arial" w:eastAsia="Arial" w:hAnsi="Arial"/>
          <w:sz w:val="18"/>
          <w:szCs w:val="18"/>
          <w:color w:val="auto"/>
        </w:rPr>
        <w:t>” means a right, granted to a Participant, to receive cash, Common Stock, stock Units or other property equal in value to dividends paid with respect to a specified number of shares of Common Stock.</w:t>
      </w:r>
    </w:p>
    <w:p>
      <w:pPr>
        <w:spacing w:after="0" w:line="161" w:lineRule="exact"/>
        <w:rPr>
          <w:rFonts w:ascii="Arial" w:cs="Arial" w:eastAsia="Arial" w:hAnsi="Arial"/>
          <w:sz w:val="18"/>
          <w:szCs w:val="18"/>
          <w:color w:val="auto"/>
        </w:rPr>
      </w:pPr>
    </w:p>
    <w:p>
      <w:pPr>
        <w:ind w:left="1020" w:hanging="364"/>
        <w:spacing w:after="0"/>
        <w:tabs>
          <w:tab w:leader="none" w:pos="102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“ECC” </w:t>
      </w:r>
      <w:r>
        <w:rPr>
          <w:rFonts w:ascii="Arial" w:cs="Arial" w:eastAsia="Arial" w:hAnsi="Arial"/>
          <w:sz w:val="18"/>
          <w:szCs w:val="18"/>
          <w:color w:val="auto"/>
        </w:rPr>
        <w:t>means the Executive Compensation Committee of the Board.</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on which adoption of the Plan is approved by the stockholders of Price Group.</w:t>
      </w:r>
    </w:p>
    <w:p>
      <w:pPr>
        <w:spacing w:after="0" w:line="225" w:lineRule="exact"/>
        <w:rPr>
          <w:rFonts w:ascii="Arial" w:cs="Arial" w:eastAsia="Arial" w:hAnsi="Arial"/>
          <w:sz w:val="18"/>
          <w:szCs w:val="18"/>
          <w:color w:val="auto"/>
        </w:rPr>
      </w:pPr>
    </w:p>
    <w:p>
      <w:pPr>
        <w:ind w:right="160" w:firstLine="656"/>
        <w:spacing w:after="0" w:line="266" w:lineRule="auto"/>
        <w:tabs>
          <w:tab w:leader="none" w:pos="1068"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Individuals</w:t>
      </w:r>
      <w:r>
        <w:rPr>
          <w:rFonts w:ascii="Arial" w:cs="Arial" w:eastAsia="Arial" w:hAnsi="Arial"/>
          <w:sz w:val="18"/>
          <w:szCs w:val="18"/>
          <w:color w:val="auto"/>
        </w:rPr>
        <w:t>” means officers and employees of, and other individuals, excluding non-employee directors, providing bona fide services to or for, Price Group or any of its Affiliates, and prospective officers, employees and service providers who have accepted offers of employment or other service relationship from Price Group or its Affiliates.</w:t>
      </w:r>
    </w:p>
    <w:p>
      <w:pPr>
        <w:spacing w:after="0" w:line="176" w:lineRule="exact"/>
        <w:rPr>
          <w:rFonts w:ascii="Arial" w:cs="Arial" w:eastAsia="Arial" w:hAnsi="Arial"/>
          <w:sz w:val="18"/>
          <w:szCs w:val="18"/>
          <w:color w:val="auto"/>
        </w:rPr>
      </w:pPr>
    </w:p>
    <w:p>
      <w:pPr>
        <w:ind w:right="60" w:firstLine="656"/>
        <w:spacing w:after="0" w:line="266" w:lineRule="auto"/>
        <w:tabs>
          <w:tab w:leader="none" w:pos="1068"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from time to time, and any successor thereto. Reference to any specific section of the Exchange Act shall be deemed to include such regulations and guidance issued thereunder, as well as any successor section, regulations and guidance.</w:t>
      </w:r>
    </w:p>
    <w:p>
      <w:pPr>
        <w:spacing w:after="0" w:line="176"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“Fair Market Value</w:t>
      </w:r>
      <w:r>
        <w:rPr>
          <w:rFonts w:ascii="Arial" w:cs="Arial" w:eastAsia="Arial" w:hAnsi="Arial"/>
          <w:sz w:val="18"/>
          <w:szCs w:val="18"/>
          <w:color w:val="auto"/>
        </w:rPr>
        <w:t>” means, unless otherwise determined by the Administrator, as of any date:</w:t>
      </w:r>
    </w:p>
    <w:p>
      <w:pPr>
        <w:spacing w:after="0" w:line="243" w:lineRule="exact"/>
        <w:rPr>
          <w:rFonts w:ascii="Arial" w:cs="Arial" w:eastAsia="Arial" w:hAnsi="Arial"/>
          <w:sz w:val="18"/>
          <w:szCs w:val="18"/>
          <w:color w:val="auto"/>
        </w:rPr>
      </w:pPr>
    </w:p>
    <w:p>
      <w:pPr>
        <w:ind w:right="360" w:firstLine="1305"/>
        <w:spacing w:after="0" w:line="253" w:lineRule="auto"/>
        <w:tabs>
          <w:tab w:leader="none" w:pos="1656" w:val="left"/>
        </w:tabs>
        <w:numPr>
          <w:ilvl w:val="1"/>
          <w:numId w:val="94"/>
        </w:numPr>
        <w:rPr>
          <w:rFonts w:ascii="Arial" w:cs="Arial" w:eastAsia="Arial" w:hAnsi="Arial"/>
          <w:sz w:val="18"/>
          <w:szCs w:val="18"/>
          <w:color w:val="auto"/>
        </w:rPr>
      </w:pPr>
      <w:r>
        <w:rPr>
          <w:rFonts w:ascii="Arial" w:cs="Arial" w:eastAsia="Arial" w:hAnsi="Arial"/>
          <w:sz w:val="18"/>
          <w:szCs w:val="18"/>
          <w:color w:val="auto"/>
        </w:rPr>
        <w:t>if the principal market for the Common Stock (as determined by the Administrator if the Common Stock is listed or admitted to trading on more than one exchange or market) is a national securities exchange or an established securities market, the official closing price per share of Common Stock for the regular market session on that date on the principal exchange or market on which the Common Stock is then listed or admitted to trading or, if no sale is reported for that date, on the last preceding day on which a sale was reported, all as reported by such source as the Administrator may select;</w:t>
      </w:r>
    </w:p>
    <w:p>
      <w:pPr>
        <w:spacing w:after="0" w:line="205" w:lineRule="exact"/>
        <w:rPr>
          <w:rFonts w:ascii="Arial" w:cs="Arial" w:eastAsia="Arial" w:hAnsi="Arial"/>
          <w:sz w:val="18"/>
          <w:szCs w:val="18"/>
          <w:color w:val="auto"/>
        </w:rPr>
      </w:pPr>
    </w:p>
    <w:p>
      <w:pPr>
        <w:ind w:right="40" w:firstLine="1305"/>
        <w:spacing w:after="0" w:line="254" w:lineRule="auto"/>
        <w:tabs>
          <w:tab w:leader="none" w:pos="1696" w:val="left"/>
        </w:tabs>
        <w:numPr>
          <w:ilvl w:val="1"/>
          <w:numId w:val="94"/>
        </w:numPr>
        <w:rPr>
          <w:rFonts w:ascii="Arial" w:cs="Arial" w:eastAsia="Arial" w:hAnsi="Arial"/>
          <w:sz w:val="18"/>
          <w:szCs w:val="18"/>
          <w:color w:val="auto"/>
        </w:rPr>
      </w:pPr>
      <w:r>
        <w:rPr>
          <w:rFonts w:ascii="Arial" w:cs="Arial" w:eastAsia="Arial" w:hAnsi="Arial"/>
          <w:sz w:val="18"/>
          <w:szCs w:val="18"/>
          <w:color w:val="auto"/>
        </w:rPr>
        <w:t>if the principal market for the Common Stock is not a national securities exchange or an established securities market, the average of the highest bid and lowest asked prices for the Common Stock on that date as reported on a national quotation system or, if no prices are reported for that date, on the last preceding day on which prices were reported, all as reported by such source as the Administrator may select; or</w:t>
      </w:r>
    </w:p>
    <w:p>
      <w:pPr>
        <w:spacing w:after="0" w:line="204" w:lineRule="exact"/>
        <w:rPr>
          <w:rFonts w:ascii="Arial" w:cs="Arial" w:eastAsia="Arial" w:hAnsi="Arial"/>
          <w:sz w:val="18"/>
          <w:szCs w:val="18"/>
          <w:color w:val="auto"/>
        </w:rPr>
      </w:pPr>
    </w:p>
    <w:p>
      <w:pPr>
        <w:ind w:right="60" w:firstLine="1305"/>
        <w:spacing w:after="0" w:line="256" w:lineRule="auto"/>
        <w:tabs>
          <w:tab w:leader="none" w:pos="1736" w:val="left"/>
        </w:tabs>
        <w:numPr>
          <w:ilvl w:val="1"/>
          <w:numId w:val="94"/>
        </w:numPr>
        <w:rPr>
          <w:rFonts w:ascii="Arial" w:cs="Arial" w:eastAsia="Arial" w:hAnsi="Arial"/>
          <w:sz w:val="18"/>
          <w:szCs w:val="18"/>
          <w:color w:val="auto"/>
        </w:rPr>
      </w:pPr>
      <w:r>
        <w:rPr>
          <w:rFonts w:ascii="Arial" w:cs="Arial" w:eastAsia="Arial" w:hAnsi="Arial"/>
          <w:sz w:val="18"/>
          <w:szCs w:val="18"/>
          <w:color w:val="auto"/>
        </w:rPr>
        <w:t>if the Common Stock is neither listed or admitted to trading on a national securities exchange or an established securities market, nor quoted by a national quotation system, the value determined by the Administrator in good faith by the reasonable application of a reasonable valuation method.</w:t>
      </w:r>
    </w:p>
    <w:p>
      <w:pPr>
        <w:spacing w:after="0" w:line="183" w:lineRule="exact"/>
        <w:rPr>
          <w:rFonts w:ascii="Arial" w:cs="Arial" w:eastAsia="Arial" w:hAnsi="Arial"/>
          <w:sz w:val="18"/>
          <w:szCs w:val="18"/>
          <w:color w:val="auto"/>
        </w:rPr>
      </w:pPr>
    </w:p>
    <w:p>
      <w:pPr>
        <w:ind w:right="180" w:firstLine="656"/>
        <w:spacing w:after="0" w:line="261" w:lineRule="auto"/>
        <w:tabs>
          <w:tab w:leader="none" w:pos="1068"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Full Value Award</w:t>
      </w:r>
      <w:r>
        <w:rPr>
          <w:rFonts w:ascii="Arial" w:cs="Arial" w:eastAsia="Arial" w:hAnsi="Arial"/>
          <w:sz w:val="18"/>
          <w:szCs w:val="18"/>
          <w:color w:val="auto"/>
        </w:rPr>
        <w:t>” means an Award that results in Price Group transferring the full value of a share of Common Stock under the Award, whether or not an actual share of stock is issued. Full Value Awards shall include, but are not limited to, stock awards, stock units, Performance Shares, Performance Units that are payable in Common Stock, and Other Stock-Based Awards for which Price Group transfers the full value of a share of Common Stock under the Award, but shall not include Dividend Equivalents.</w:t>
      </w:r>
    </w:p>
    <w:p>
      <w:pPr>
        <w:spacing w:after="0" w:line="180" w:lineRule="exact"/>
        <w:rPr>
          <w:rFonts w:ascii="Arial" w:cs="Arial" w:eastAsia="Arial" w:hAnsi="Arial"/>
          <w:sz w:val="18"/>
          <w:szCs w:val="18"/>
          <w:color w:val="auto"/>
        </w:rPr>
      </w:pPr>
    </w:p>
    <w:p>
      <w:pPr>
        <w:ind w:right="180" w:firstLine="656"/>
        <w:spacing w:after="0" w:line="266" w:lineRule="auto"/>
        <w:tabs>
          <w:tab w:leader="none" w:pos="1028"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means, with respect to a Participant, during the 18-month period following a Change in Control, actions taken by Price Group or any of its Affiliates or any successor corporation or other entity in a Corporate Transaction resulting in a material negative change in the employment relationship of the Participant who is an officer or an employee in one or more of the following ways:</w:t>
      </w:r>
    </w:p>
    <w:p>
      <w:pPr>
        <w:spacing w:after="0" w:line="194" w:lineRule="exact"/>
        <w:rPr>
          <w:rFonts w:ascii="Arial" w:cs="Arial" w:eastAsia="Arial" w:hAnsi="Arial"/>
          <w:sz w:val="18"/>
          <w:szCs w:val="18"/>
          <w:color w:val="auto"/>
        </w:rPr>
      </w:pPr>
    </w:p>
    <w:p>
      <w:pPr>
        <w:jc w:val="both"/>
        <w:ind w:firstLine="1305"/>
        <w:spacing w:after="0" w:line="256" w:lineRule="auto"/>
        <w:tabs>
          <w:tab w:leader="none" w:pos="1656"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assignment to the Participant of duties materially inconsistent with the Participant’s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201" w:lineRule="exact"/>
        <w:rPr>
          <w:rFonts w:ascii="Arial" w:cs="Arial" w:eastAsia="Arial" w:hAnsi="Arial"/>
          <w:sz w:val="18"/>
          <w:szCs w:val="18"/>
          <w:color w:val="auto"/>
        </w:rPr>
      </w:pPr>
    </w:p>
    <w:p>
      <w:pPr>
        <w:ind w:right="380" w:firstLine="1305"/>
        <w:spacing w:after="0" w:line="262" w:lineRule="auto"/>
        <w:tabs>
          <w:tab w:leader="none" w:pos="1696"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material reduction of the Participant’s aggregate annual compensation, including, without limitation, base salary and annual bonus and incentive compensation opportunity, from that in effect immediately prior to the Change in Control; or</w:t>
      </w:r>
    </w:p>
    <w:p>
      <w:pPr>
        <w:spacing w:after="0" w:line="196" w:lineRule="exact"/>
        <w:rPr>
          <w:rFonts w:ascii="Arial" w:cs="Arial" w:eastAsia="Arial" w:hAnsi="Arial"/>
          <w:sz w:val="18"/>
          <w:szCs w:val="18"/>
          <w:color w:val="auto"/>
        </w:rPr>
      </w:pPr>
    </w:p>
    <w:p>
      <w:pPr>
        <w:ind w:right="60" w:firstLine="1305"/>
        <w:spacing w:after="0" w:line="262" w:lineRule="auto"/>
        <w:tabs>
          <w:tab w:leader="none" w:pos="1736"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change in the Participant’s principal place of employment that increases the Participant’s commute by 75 or more miles as compared to the Participant’s commute immediately prior to the Change in Control.</w:t>
      </w:r>
    </w:p>
    <w:p>
      <w:pPr>
        <w:spacing w:after="0" w:line="19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order to invoke a Termination of Service for Good Reason, a Participant must provide written notice to Price Group, its Affiliate or any successor corporation or other entity in a Corporate Transaction with respect to which the Participant is employed or providing services (as applicable, the “</w:t>
      </w:r>
      <w:r>
        <w:rPr>
          <w:rFonts w:ascii="Arial" w:cs="Arial" w:eastAsia="Arial" w:hAnsi="Arial"/>
          <w:sz w:val="18"/>
          <w:szCs w:val="18"/>
          <w:i w:val="1"/>
          <w:iCs w:val="1"/>
          <w:color w:val="auto"/>
        </w:rPr>
        <w:t>Service Recipient</w:t>
      </w:r>
      <w:r>
        <w:rPr>
          <w:rFonts w:ascii="Arial" w:cs="Arial" w:eastAsia="Arial" w:hAnsi="Arial"/>
          <w:sz w:val="18"/>
          <w:szCs w:val="18"/>
          <w:color w:val="auto"/>
        </w:rPr>
        <w:t>”) of the existence of one or more of the conditions constituting Good Reason within 90 days following the Participant’s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18"/>
          <w:szCs w:val="18"/>
          <w:i w:val="1"/>
          <w:iCs w:val="1"/>
          <w:color w:val="auto"/>
        </w:rPr>
        <w:t>Cure Period</w:t>
      </w:r>
      <w:r>
        <w:rPr>
          <w:rFonts w:ascii="Arial" w:cs="Arial" w:eastAsia="Arial" w:hAnsi="Arial"/>
          <w:sz w:val="18"/>
          <w:szCs w:val="18"/>
          <w:color w:val="auto"/>
        </w:rPr>
        <w:t>”) during which it may remedy the condition. In the event that the Service Recipient fails to remedy the condition constituting Good Reason during the applicable Cure Period, the Participant’s Termination of Service must occur, if at all, within 90 days following the expiration of such Cure Period in order for such termination as a result of such condition to constitute a Termination of Service for Good Reason.</w:t>
      </w:r>
    </w:p>
    <w:p>
      <w:pPr>
        <w:spacing w:after="0" w:line="188" w:lineRule="exact"/>
        <w:rPr>
          <w:sz w:val="20"/>
          <w:szCs w:val="20"/>
          <w:color w:val="auto"/>
        </w:rPr>
      </w:pPr>
    </w:p>
    <w:p>
      <w:pPr>
        <w:ind w:right="220" w:firstLine="656"/>
        <w:spacing w:after="0" w:line="266" w:lineRule="auto"/>
        <w:tabs>
          <w:tab w:leader="none" w:pos="1058"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any stock option that is designated, in the applicable Award Agreement or the resolutions of the Administrator under which the stock option is granted, as an “incentive stock option” within the meaning of Section 422 of the Code and otherwise meets the requirements to be an “incentive stock option” set forth in Section 422 of the Code.</w:t>
      </w:r>
    </w:p>
    <w:p>
      <w:pPr>
        <w:spacing w:after="0" w:line="176" w:lineRule="exact"/>
        <w:rPr>
          <w:rFonts w:ascii="Arial" w:cs="Arial" w:eastAsia="Arial" w:hAnsi="Arial"/>
          <w:sz w:val="18"/>
          <w:szCs w:val="18"/>
          <w:color w:val="auto"/>
        </w:rPr>
      </w:pPr>
    </w:p>
    <w:p>
      <w:pPr>
        <w:ind w:left="1020" w:hanging="364"/>
        <w:spacing w:after="0"/>
        <w:tabs>
          <w:tab w:leader="none" w:pos="10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Option</w:t>
      </w:r>
      <w:r>
        <w:rPr>
          <w:rFonts w:ascii="Arial" w:cs="Arial" w:eastAsia="Arial" w:hAnsi="Arial"/>
          <w:sz w:val="18"/>
          <w:szCs w:val="18"/>
          <w:color w:val="auto"/>
        </w:rPr>
        <w:t>” means any stock option that is not an Incentive Stock Option.</w:t>
      </w:r>
    </w:p>
    <w:p>
      <w:pPr>
        <w:sectPr>
          <w:pgSz w:w="11900" w:h="16838" w:orient="portrait"/>
          <w:cols w:equalWidth="0" w:num="1">
            <w:col w:w="11420"/>
          </w:cols>
          <w:pgMar w:left="240" w:top="140" w:right="239" w:bottom="172" w:gutter="0" w:footer="0" w:header="0"/>
        </w:sectPr>
      </w:pPr>
    </w:p>
    <w:bookmarkStart w:id="84" w:name="page85"/>
    <w:bookmarkEnd w:id="84"/>
    <w:p>
      <w:pPr>
        <w:ind w:right="60" w:firstLine="656"/>
        <w:spacing w:after="0" w:line="284" w:lineRule="auto"/>
        <w:tabs>
          <w:tab w:leader="none" w:pos="1068"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means an Award of Common Stock or any other Award that is valued in whole or in part by reference to, or is otherwise based upon, shares of Common Stock, including without limitation Dividend Equivalents and convertible debentures.</w:t>
      </w:r>
    </w:p>
    <w:p>
      <w:pPr>
        <w:spacing w:after="0" w:line="159" w:lineRule="exact"/>
        <w:rPr>
          <w:rFonts w:ascii="Arial" w:cs="Arial" w:eastAsia="Arial" w:hAnsi="Arial"/>
          <w:sz w:val="18"/>
          <w:szCs w:val="18"/>
          <w:color w:val="auto"/>
        </w:rPr>
      </w:pPr>
    </w:p>
    <w:p>
      <w:pPr>
        <w:ind w:left="1060" w:hanging="40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Individual to whom an Award is or has been granted.</w:t>
      </w:r>
    </w:p>
    <w:p>
      <w:pPr>
        <w:spacing w:after="0" w:line="225" w:lineRule="exact"/>
        <w:rPr>
          <w:rFonts w:ascii="Arial" w:cs="Arial" w:eastAsia="Arial" w:hAnsi="Arial"/>
          <w:sz w:val="18"/>
          <w:szCs w:val="18"/>
          <w:color w:val="auto"/>
        </w:rPr>
      </w:pPr>
    </w:p>
    <w:p>
      <w:pPr>
        <w:ind w:right="320" w:firstLine="656"/>
        <w:spacing w:after="0" w:line="266" w:lineRule="auto"/>
        <w:tabs>
          <w:tab w:leader="none" w:pos="1098"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Award</w:t>
      </w:r>
      <w:r>
        <w:rPr>
          <w:rFonts w:ascii="Arial" w:cs="Arial" w:eastAsia="Arial" w:hAnsi="Arial"/>
          <w:sz w:val="18"/>
          <w:szCs w:val="18"/>
          <w:color w:val="auto"/>
        </w:rPr>
        <w:t>” means a Full Value Award, the grant, vesting, lapse of restrictions or settlement of which is conditioned upon the achievement of performance objectives over a specified Performance Period and includes, without limitation, Performance Shares and Performance Units.</w:t>
      </w:r>
    </w:p>
    <w:p>
      <w:pPr>
        <w:spacing w:after="0" w:line="176" w:lineRule="exact"/>
        <w:rPr>
          <w:rFonts w:ascii="Arial" w:cs="Arial" w:eastAsia="Arial" w:hAnsi="Arial"/>
          <w:sz w:val="18"/>
          <w:szCs w:val="18"/>
          <w:color w:val="auto"/>
        </w:rPr>
      </w:pPr>
    </w:p>
    <w:p>
      <w:pPr>
        <w:ind w:right="20" w:firstLine="656"/>
        <w:spacing w:after="0" w:line="266" w:lineRule="auto"/>
        <w:tabs>
          <w:tab w:leader="none" w:pos="1058"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xml:space="preserve">” means the performance goals established by the Administrator in connection with the grant of Awards based on Performance Metrics or other performance criteria selected by the Administrator;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of Qualified Performance-Based Awards, such performance goals shall be based on the attainment of specified levels of one or more Performance Metrics.</w:t>
      </w:r>
    </w:p>
    <w:p>
      <w:pPr>
        <w:spacing w:after="0" w:line="176" w:lineRule="exact"/>
        <w:rPr>
          <w:rFonts w:ascii="Arial" w:cs="Arial" w:eastAsia="Arial" w:hAnsi="Arial"/>
          <w:sz w:val="18"/>
          <w:szCs w:val="18"/>
          <w:color w:val="auto"/>
        </w:rPr>
      </w:pPr>
    </w:p>
    <w:p>
      <w:pPr>
        <w:ind w:right="220" w:firstLine="656"/>
        <w:spacing w:after="0" w:line="282" w:lineRule="auto"/>
        <w:tabs>
          <w:tab w:leader="none" w:pos="1058"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Period</w:t>
      </w:r>
      <w:r>
        <w:rPr>
          <w:rFonts w:ascii="Arial" w:cs="Arial" w:eastAsia="Arial" w:hAnsi="Arial"/>
          <w:sz w:val="18"/>
          <w:szCs w:val="18"/>
          <w:color w:val="auto"/>
        </w:rPr>
        <w:t>” means that period established by the Administrator during which any Performance Goals specified by the Administrator with respect to such Award are to be measured.</w:t>
      </w:r>
    </w:p>
    <w:p>
      <w:pPr>
        <w:spacing w:after="0" w:line="161" w:lineRule="exact"/>
        <w:rPr>
          <w:rFonts w:ascii="Arial" w:cs="Arial" w:eastAsia="Arial" w:hAnsi="Arial"/>
          <w:sz w:val="18"/>
          <w:szCs w:val="18"/>
          <w:color w:val="auto"/>
        </w:rPr>
      </w:pPr>
    </w:p>
    <w:p>
      <w:pPr>
        <w:ind w:right="160" w:firstLine="656"/>
        <w:spacing w:after="0" w:line="261" w:lineRule="auto"/>
        <w:tabs>
          <w:tab w:leader="none" w:pos="1058"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Metrics</w:t>
      </w:r>
      <w:r>
        <w:rPr>
          <w:rFonts w:ascii="Arial" w:cs="Arial" w:eastAsia="Arial" w:hAnsi="Arial"/>
          <w:sz w:val="18"/>
          <w:szCs w:val="18"/>
          <w:color w:val="auto"/>
        </w:rPr>
        <w:t>” means criteria established by the Administrator relating to any of the following, as it may apply to an individual, one or more business units, divisions, or Affiliates, one or more mutual funds or investment portfolios, or on a company-wide basis, and in absolute terms, relative to a base period, or relative to the performance of one or more comparable companies, peer groups, mutual funds or investment portfolios, or an index covering multiple companies, mutual funds or investment portfolios:</w:t>
      </w:r>
    </w:p>
    <w:p>
      <w:pPr>
        <w:spacing w:after="0" w:line="180" w:lineRule="exact"/>
        <w:rPr>
          <w:rFonts w:ascii="Arial" w:cs="Arial" w:eastAsia="Arial" w:hAnsi="Arial"/>
          <w:sz w:val="18"/>
          <w:szCs w:val="18"/>
          <w:color w:val="auto"/>
        </w:rPr>
      </w:pPr>
    </w:p>
    <w:p>
      <w:pPr>
        <w:ind w:left="660" w:right="80" w:firstLine="645"/>
        <w:spacing w:after="0" w:line="258" w:lineRule="auto"/>
        <w:tabs>
          <w:tab w:leader="none" w:pos="1668"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Earnings or Profitability Metrics</w:t>
      </w:r>
      <w:r>
        <w:rPr>
          <w:rFonts w:ascii="Arial" w:cs="Arial" w:eastAsia="Arial" w:hAnsi="Arial"/>
          <w:sz w:val="18"/>
          <w:szCs w:val="18"/>
          <w:color w:val="auto"/>
        </w:rPr>
        <w:t>: any derivative of investment advisory revenue; mutual fund servicing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earnings/loss (gross, operating, net, or adjusted); earnings/loss before interest and taxes (“EBIT”); earnings/loss before interest, taxes, depreciation and amortization (“EBITDA”); profit margins; operating margins; expense levels or ratios;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of the foregoing metrics may be adjusted to eliminate the effect of any one or more of the following: interest expense, asset impairments or investment losses, early extinguishment of debt or stock-based compensation expense;</w:t>
      </w:r>
    </w:p>
    <w:p>
      <w:pPr>
        <w:spacing w:after="0" w:line="183" w:lineRule="exact"/>
        <w:rPr>
          <w:rFonts w:ascii="Arial" w:cs="Arial" w:eastAsia="Arial" w:hAnsi="Arial"/>
          <w:sz w:val="18"/>
          <w:szCs w:val="18"/>
          <w:color w:val="auto"/>
        </w:rPr>
      </w:pPr>
    </w:p>
    <w:p>
      <w:pPr>
        <w:ind w:left="1700" w:hanging="395"/>
        <w:spacing w:after="0"/>
        <w:tabs>
          <w:tab w:leader="none" w:pos="1700"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Return Metrics</w:t>
      </w:r>
      <w:r>
        <w:rPr>
          <w:rFonts w:ascii="Arial" w:cs="Arial" w:eastAsia="Arial" w:hAnsi="Arial"/>
          <w:sz w:val="18"/>
          <w:szCs w:val="18"/>
          <w:color w:val="auto"/>
        </w:rPr>
        <w:t>: any derivative of return on investment, assets, equity or capital (total or invested);</w:t>
      </w:r>
    </w:p>
    <w:p>
      <w:pPr>
        <w:spacing w:after="0" w:line="225" w:lineRule="exact"/>
        <w:rPr>
          <w:rFonts w:ascii="Arial" w:cs="Arial" w:eastAsia="Arial" w:hAnsi="Arial"/>
          <w:sz w:val="18"/>
          <w:szCs w:val="18"/>
          <w:color w:val="auto"/>
        </w:rPr>
      </w:pPr>
    </w:p>
    <w:p>
      <w:pPr>
        <w:ind w:left="660" w:right="1120" w:firstLine="645"/>
        <w:spacing w:after="0" w:line="282" w:lineRule="auto"/>
        <w:tabs>
          <w:tab w:leader="none" w:pos="1748"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Investment Metrics: </w:t>
      </w:r>
      <w:r>
        <w:rPr>
          <w:rFonts w:ascii="Arial" w:cs="Arial" w:eastAsia="Arial" w:hAnsi="Arial"/>
          <w:sz w:val="18"/>
          <w:szCs w:val="18"/>
          <w:color w:val="auto"/>
        </w:rPr>
        <w:t>relative risk-adjusted investment performance; investment performance of assets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w:t>
      </w:r>
    </w:p>
    <w:p>
      <w:pPr>
        <w:spacing w:after="0" w:line="161" w:lineRule="exact"/>
        <w:rPr>
          <w:rFonts w:ascii="Arial" w:cs="Arial" w:eastAsia="Arial" w:hAnsi="Arial"/>
          <w:sz w:val="18"/>
          <w:szCs w:val="18"/>
          <w:color w:val="auto"/>
        </w:rPr>
      </w:pPr>
    </w:p>
    <w:p>
      <w:pPr>
        <w:ind w:left="660" w:right="380" w:firstLine="645"/>
        <w:spacing w:after="0" w:line="266" w:lineRule="auto"/>
        <w:tabs>
          <w:tab w:leader="none" w:pos="1758"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Cash Flow Metrics</w:t>
      </w:r>
      <w:r>
        <w:rPr>
          <w:rFonts w:ascii="Arial" w:cs="Arial" w:eastAsia="Arial" w:hAnsi="Arial"/>
          <w:sz w:val="18"/>
          <w:szCs w:val="18"/>
          <w:color w:val="auto"/>
        </w:rPr>
        <w:t>: any derivative of operating cash flow; cash flow sufficient to achieve financial ratios or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cash balance; free cash flow; cash flow return on capital; net cash provided by operating activities; cash flow per share; working capital;</w:t>
      </w:r>
    </w:p>
    <w:p>
      <w:pPr>
        <w:spacing w:after="0" w:line="176" w:lineRule="exact"/>
        <w:rPr>
          <w:rFonts w:ascii="Arial" w:cs="Arial" w:eastAsia="Arial" w:hAnsi="Arial"/>
          <w:sz w:val="18"/>
          <w:szCs w:val="18"/>
          <w:color w:val="auto"/>
        </w:rPr>
      </w:pPr>
    </w:p>
    <w:p>
      <w:pPr>
        <w:ind w:left="660" w:right="300" w:firstLine="645"/>
        <w:spacing w:after="0" w:line="282" w:lineRule="auto"/>
        <w:tabs>
          <w:tab w:leader="none" w:pos="1718"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Liquidity Metrics</w:t>
      </w:r>
      <w:r>
        <w:rPr>
          <w:rFonts w:ascii="Arial" w:cs="Arial" w:eastAsia="Arial" w:hAnsi="Arial"/>
          <w:sz w:val="18"/>
          <w:szCs w:val="18"/>
          <w:color w:val="auto"/>
        </w:rPr>
        <w:t>: any derivative of debt leverage (including debt to capital, net debt-to-capital, debt-to-EBITDA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ratios); and/or</w:t>
      </w:r>
    </w:p>
    <w:p>
      <w:pPr>
        <w:spacing w:after="0" w:line="161" w:lineRule="exact"/>
        <w:rPr>
          <w:rFonts w:ascii="Arial" w:cs="Arial" w:eastAsia="Arial" w:hAnsi="Arial"/>
          <w:sz w:val="18"/>
          <w:szCs w:val="18"/>
          <w:color w:val="auto"/>
        </w:rPr>
      </w:pPr>
    </w:p>
    <w:p>
      <w:pPr>
        <w:ind w:left="660" w:firstLine="645"/>
        <w:spacing w:after="0" w:line="282" w:lineRule="auto"/>
        <w:tabs>
          <w:tab w:leader="none" w:pos="1758"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Stock Price and Equity Metrics</w:t>
      </w:r>
      <w:r>
        <w:rPr>
          <w:rFonts w:ascii="Arial" w:cs="Arial" w:eastAsia="Arial" w:hAnsi="Arial"/>
          <w:sz w:val="18"/>
          <w:szCs w:val="18"/>
          <w:color w:val="auto"/>
        </w:rPr>
        <w:t>: any derivative of return on stockholders’ equity; total stockholder return; stock price; stock</w:t>
      </w:r>
      <w:r>
        <w:rPr>
          <w:rFonts w:ascii="Arial" w:cs="Arial" w:eastAsia="Arial" w:hAnsi="Arial"/>
          <w:sz w:val="18"/>
          <w:szCs w:val="18"/>
          <w:i w:val="1"/>
          <w:iCs w:val="1"/>
          <w:color w:val="auto"/>
        </w:rPr>
        <w:t xml:space="preserve"> </w:t>
      </w:r>
      <w:r>
        <w:rPr>
          <w:rFonts w:ascii="Arial" w:cs="Arial" w:eastAsia="Arial" w:hAnsi="Arial"/>
          <w:sz w:val="18"/>
          <w:szCs w:val="18"/>
          <w:color w:val="auto"/>
        </w:rPr>
        <w:t>price appreciation; market capitalization; earnings/loss per share (basic or diluted) (before or after taxes).</w:t>
      </w:r>
    </w:p>
    <w:p>
      <w:pPr>
        <w:spacing w:after="0" w:line="162" w:lineRule="exact"/>
        <w:rPr>
          <w:sz w:val="20"/>
          <w:szCs w:val="20"/>
          <w:color w:val="auto"/>
        </w:rPr>
      </w:pPr>
    </w:p>
    <w:p>
      <w:pPr>
        <w:ind w:right="760" w:firstLine="656"/>
        <w:spacing w:after="0" w:line="282" w:lineRule="auto"/>
        <w:tabs>
          <w:tab w:leader="none" w:pos="11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Shares</w:t>
      </w:r>
      <w:r>
        <w:rPr>
          <w:rFonts w:ascii="Arial" w:cs="Arial" w:eastAsia="Arial" w:hAnsi="Arial"/>
          <w:sz w:val="18"/>
          <w:szCs w:val="18"/>
          <w:color w:val="auto"/>
        </w:rPr>
        <w:t>” means a grant of stock or stock Units the issuance, vesting or payment of which is contingent on performance as measured against predetermined objectives over a specified Performance Period.</w:t>
      </w:r>
    </w:p>
    <w:p>
      <w:pPr>
        <w:spacing w:after="0" w:line="161" w:lineRule="exact"/>
        <w:rPr>
          <w:rFonts w:ascii="Arial" w:cs="Arial" w:eastAsia="Arial" w:hAnsi="Arial"/>
          <w:sz w:val="18"/>
          <w:szCs w:val="18"/>
          <w:color w:val="auto"/>
        </w:rPr>
      </w:pPr>
    </w:p>
    <w:p>
      <w:pPr>
        <w:ind w:right="760" w:firstLine="656"/>
        <w:spacing w:after="0" w:line="282" w:lineRule="auto"/>
        <w:tabs>
          <w:tab w:leader="none" w:pos="11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Units</w:t>
      </w:r>
      <w:r>
        <w:rPr>
          <w:rFonts w:ascii="Arial" w:cs="Arial" w:eastAsia="Arial" w:hAnsi="Arial"/>
          <w:sz w:val="18"/>
          <w:szCs w:val="18"/>
          <w:color w:val="auto"/>
        </w:rPr>
        <w:t>” means a grant of dollar-denominated Units the value, vesting or payment of which is contingent on performance against predetermined objectives over a specified Performance Period.</w:t>
      </w:r>
    </w:p>
    <w:p>
      <w:pPr>
        <w:spacing w:after="0" w:line="161" w:lineRule="exact"/>
        <w:rPr>
          <w:rFonts w:ascii="Arial" w:cs="Arial" w:eastAsia="Arial" w:hAnsi="Arial"/>
          <w:sz w:val="18"/>
          <w:szCs w:val="18"/>
          <w:color w:val="auto"/>
        </w:rPr>
      </w:pPr>
    </w:p>
    <w:p>
      <w:pPr>
        <w:ind w:left="1160" w:hanging="504"/>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T. Rowe Price Group, Inc. 2012 Long-Term Incentive Plan, as set forth herein and as hereafter amended from</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time to time.</w:t>
      </w:r>
    </w:p>
    <w:p>
      <w:pPr>
        <w:spacing w:after="0" w:line="207" w:lineRule="exact"/>
        <w:rPr>
          <w:rFonts w:ascii="Arial" w:cs="Arial" w:eastAsia="Arial" w:hAnsi="Arial"/>
          <w:sz w:val="18"/>
          <w:szCs w:val="18"/>
          <w:color w:val="auto"/>
        </w:rPr>
      </w:pPr>
    </w:p>
    <w:p>
      <w:pPr>
        <w:ind w:left="1180" w:hanging="524"/>
        <w:spacing w:after="0"/>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Price Group</w:t>
      </w:r>
      <w:r>
        <w:rPr>
          <w:rFonts w:ascii="Arial" w:cs="Arial" w:eastAsia="Arial" w:hAnsi="Arial"/>
          <w:sz w:val="18"/>
          <w:szCs w:val="18"/>
          <w:color w:val="auto"/>
        </w:rPr>
        <w:t>” means T. Rowe Price Group, Inc., a Maryland corporation.</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“Prior Plan” </w:t>
      </w:r>
      <w:r>
        <w:rPr>
          <w:rFonts w:ascii="Arial" w:cs="Arial" w:eastAsia="Arial" w:hAnsi="Arial"/>
          <w:sz w:val="18"/>
          <w:szCs w:val="18"/>
          <w:color w:val="auto"/>
        </w:rPr>
        <w:t>means Price Group’s 2001 Stock Incentive Plan and/or 2004 Stock Incentive Plan.</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Performance-Based Award</w:t>
      </w:r>
      <w:r>
        <w:rPr>
          <w:rFonts w:ascii="Arial" w:cs="Arial" w:eastAsia="Arial" w:hAnsi="Arial"/>
          <w:sz w:val="18"/>
          <w:szCs w:val="18"/>
          <w:color w:val="auto"/>
        </w:rPr>
        <w:t>” means an Award intended to qualify for the Section 162(m) Exemption, as provided in</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Section 7(k).</w:t>
      </w:r>
    </w:p>
    <w:p>
      <w:pPr>
        <w:spacing w:after="0" w:line="207" w:lineRule="exact"/>
        <w:rPr>
          <w:rFonts w:ascii="Arial" w:cs="Arial" w:eastAsia="Arial" w:hAnsi="Arial"/>
          <w:sz w:val="18"/>
          <w:szCs w:val="18"/>
          <w:color w:val="auto"/>
        </w:rPr>
      </w:pPr>
    </w:p>
    <w:p>
      <w:pPr>
        <w:ind w:right="20" w:firstLine="656"/>
        <w:spacing w:after="0" w:line="282" w:lineRule="auto"/>
        <w:tabs>
          <w:tab w:leader="none" w:pos="11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of shares of Common Stock to a Participant that may be subject to certain transferability and other restrictions and to a risk of forfeiture (including by reason of not satisfying certain Performance Goals).</w:t>
      </w:r>
    </w:p>
    <w:p>
      <w:pPr>
        <w:spacing w:after="0" w:line="161" w:lineRule="exact"/>
        <w:rPr>
          <w:rFonts w:ascii="Arial" w:cs="Arial" w:eastAsia="Arial" w:hAnsi="Arial"/>
          <w:sz w:val="18"/>
          <w:szCs w:val="18"/>
          <w:color w:val="auto"/>
        </w:rPr>
      </w:pPr>
    </w:p>
    <w:p>
      <w:pPr>
        <w:jc w:val="both"/>
        <w:ind w:right="640" w:firstLine="656"/>
        <w:spacing w:after="0" w:line="266" w:lineRule="auto"/>
        <w:tabs>
          <w:tab w:leader="none" w:pos="11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 right granted to a Participant to receive shares of Common Stock or cash at the end of a specified deferral period, which right may be conditioned on the satisfaction of certain requirements (including the satisfaction of certain Performance Goals).</w:t>
      </w:r>
    </w:p>
    <w:p>
      <w:pPr>
        <w:spacing w:after="0" w:line="176" w:lineRule="exact"/>
        <w:rPr>
          <w:rFonts w:ascii="Arial" w:cs="Arial" w:eastAsia="Arial" w:hAnsi="Arial"/>
          <w:sz w:val="18"/>
          <w:szCs w:val="18"/>
          <w:color w:val="auto"/>
        </w:rPr>
      </w:pPr>
    </w:p>
    <w:p>
      <w:pPr>
        <w:ind w:firstLine="656"/>
        <w:spacing w:after="0" w:line="258" w:lineRule="auto"/>
        <w:tabs>
          <w:tab w:leader="none" w:pos="10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Restriction Period</w:t>
      </w:r>
      <w:r>
        <w:rPr>
          <w:rFonts w:ascii="Arial" w:cs="Arial" w:eastAsia="Arial" w:hAnsi="Arial"/>
          <w:sz w:val="18"/>
          <w:szCs w:val="18"/>
          <w:color w:val="auto"/>
        </w:rPr>
        <w:t>” means, with respect to Full Value Awards, the period commencing on the date of grant of such Award to which vesting or transferability and other restrictions and a risk of forfeiture apply and ending upon the expiration of the applicable vesting conditions, transferability and other restrictions and lapse of risk of forfeiture and/or the achievement of the applicable Performance Goals (it being understood that the Administrator may provide that vesting shall occur and/or restrictions shall lapse with respect to portions of the applicable Award during the Restriction Period in accordance with Section 7(b)).</w:t>
      </w:r>
    </w:p>
    <w:p>
      <w:pPr>
        <w:spacing w:after="0" w:line="183" w:lineRule="exact"/>
        <w:rPr>
          <w:rFonts w:ascii="Arial" w:cs="Arial" w:eastAsia="Arial" w:hAnsi="Arial"/>
          <w:sz w:val="18"/>
          <w:szCs w:val="18"/>
          <w:color w:val="auto"/>
        </w:rPr>
      </w:pPr>
    </w:p>
    <w:p>
      <w:pPr>
        <w:ind w:right="60" w:firstLine="656"/>
        <w:spacing w:after="0" w:line="282" w:lineRule="auto"/>
        <w:tabs>
          <w:tab w:leader="none" w:pos="10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162(m) Exemption</w:t>
      </w:r>
      <w:r>
        <w:rPr>
          <w:rFonts w:ascii="Arial" w:cs="Arial" w:eastAsia="Arial" w:hAnsi="Arial"/>
          <w:sz w:val="18"/>
          <w:szCs w:val="18"/>
          <w:color w:val="auto"/>
        </w:rPr>
        <w:t>” means the exemption from the limitation on deductibility imposed by Section 162(m) of the Code that is set forth in Section 162(m)(4)(C) of the Code.</w:t>
      </w:r>
    </w:p>
    <w:p>
      <w:pPr>
        <w:spacing w:after="0" w:line="161" w:lineRule="exact"/>
        <w:rPr>
          <w:rFonts w:ascii="Arial" w:cs="Arial" w:eastAsia="Arial" w:hAnsi="Arial"/>
          <w:sz w:val="18"/>
          <w:szCs w:val="18"/>
          <w:color w:val="auto"/>
        </w:rPr>
      </w:pPr>
    </w:p>
    <w:p>
      <w:pPr>
        <w:ind w:right="220" w:firstLine="656"/>
        <w:spacing w:after="0" w:line="282" w:lineRule="auto"/>
        <w:tabs>
          <w:tab w:leader="none" w:pos="11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Tax Withholding Obligation</w:t>
      </w:r>
      <w:r>
        <w:rPr>
          <w:rFonts w:ascii="Arial" w:cs="Arial" w:eastAsia="Arial" w:hAnsi="Arial"/>
          <w:sz w:val="18"/>
          <w:szCs w:val="18"/>
          <w:color w:val="auto"/>
        </w:rPr>
        <w:t>” means any federal, state, local or foreign (non-United States) income, employment or other tax or social insurance contribution required by applicable law to be withheld in respect of Awards.</w:t>
      </w:r>
    </w:p>
    <w:p>
      <w:pPr>
        <w:sectPr>
          <w:pgSz w:w="11900" w:h="16838" w:orient="portrait"/>
          <w:cols w:equalWidth="0" w:num="1">
            <w:col w:w="11420"/>
          </w:cols>
          <w:pgMar w:left="240" w:top="120" w:right="239" w:bottom="0" w:gutter="0" w:footer="0" w:header="0"/>
        </w:sectPr>
      </w:pPr>
    </w:p>
    <w:bookmarkStart w:id="85" w:name="page86"/>
    <w:bookmarkEnd w:id="85"/>
    <w:p>
      <w:pPr>
        <w:ind w:firstLine="656"/>
        <w:spacing w:after="0" w:line="252" w:lineRule="auto"/>
        <w:tabs>
          <w:tab w:leader="none" w:pos="10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of Service</w:t>
      </w:r>
      <w:r>
        <w:rPr>
          <w:rFonts w:ascii="Arial" w:cs="Arial" w:eastAsia="Arial" w:hAnsi="Arial"/>
          <w:sz w:val="18"/>
          <w:szCs w:val="18"/>
          <w:color w:val="auto"/>
        </w:rPr>
        <w:t xml:space="preserve">” means the termination of the Participant’s employment or consultancy with, or performance of services for, Price Group and its Affiliates. Temporary absences from employment because of illness, vacation or leave of absence and transfers among Price Group and its Affiliates shall not be considered Terminations of Service. With respect to any Award that constitutes a “nonqualified deferred compensation plan” within the meaning of Section 409A of the Code, “Termination of Service” shall mean a “separation from service” as defined under Section 409A of the Code to the extent required by Section 409A of the Code to avoid the imposition of any tax or interest or the inclusion of any amount in income pursuant to Section 409A of the Code. A Participant has a separation from service within the meaning of Section 409A of the Code if the Participant terminates employment with Price Group and all Affiliates for any reason. A Participant will generally be treated as having terminated employment with Price Group and all Affiliates as of a certain date if the Participant and the entity that employs the Participant reasonably anticipate that the Participant will perform no further services for Price Group or any Affiliate after such date or that the level of bona fide services that the Participant will perform after such date (whether as an employee or an independent contractor) will permanently decrease to no more than 20 percent (20%) of the average level of bona fide services performed (whether as an employee or an independent contractor) over the immediately preceding 36-month period (or the full period of services if the Participant has been providing services for fewer than 36 months);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employment relationship is treated as continuing while the Participant is on military leave, sick leave or other bona fide leave of absence if the period of leave does not exceed six months or, if longer, so long as the Participant retains the right to reemployment with Price Group or any Affiliate.</w:t>
      </w:r>
    </w:p>
    <w:p>
      <w:pPr>
        <w:spacing w:after="0" w:line="197" w:lineRule="exact"/>
        <w:rPr>
          <w:rFonts w:ascii="Arial" w:cs="Arial" w:eastAsia="Arial" w:hAnsi="Arial"/>
          <w:sz w:val="18"/>
          <w:szCs w:val="18"/>
          <w:color w:val="auto"/>
        </w:rPr>
      </w:pPr>
    </w:p>
    <w:p>
      <w:pPr>
        <w:ind w:right="160" w:firstLine="656"/>
        <w:spacing w:after="0" w:line="254" w:lineRule="auto"/>
        <w:tabs>
          <w:tab w:leader="none" w:pos="12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and Permanent Disability</w:t>
      </w:r>
      <w:r>
        <w:rPr>
          <w:rFonts w:ascii="Arial" w:cs="Arial" w:eastAsia="Arial" w:hAnsi="Arial"/>
          <w:sz w:val="18"/>
          <w:szCs w:val="18"/>
          <w:color w:val="auto"/>
        </w:rPr>
        <w:t>” means, with respect to a Participant, except as otherwise provided in the relevant Award Agreement, that a Participant is (i) unable to engage in any substantial gainful activity by reason of any medically determinable physical or mental impairment that can be expected to last until the Participant’s death or result in death, or (ii) determined to be totally disabled by the Social Security Administration or other governmental or quasi-governmental body that administers a comparable social insurance program outside of the United States in which the Participant participates and which conditions the right to receive benefits under such program on the Participant being unable to engage in any substantial gainful activity by reason of any medically determinable physical or mental impairment that can be expected to last until the Participant’s death or result in death. The Administrator shall have sole authority to determine whether a Participant has suffered a Total and Permanent Disability and may require such medical or other evidence as it deems necessary to judge the nature and permanency of the Participant’s condition.</w:t>
      </w:r>
    </w:p>
    <w:p>
      <w:pPr>
        <w:spacing w:after="0" w:line="189" w:lineRule="exact"/>
        <w:rPr>
          <w:rFonts w:ascii="Arial" w:cs="Arial" w:eastAsia="Arial" w:hAnsi="Arial"/>
          <w:sz w:val="18"/>
          <w:szCs w:val="18"/>
          <w:color w:val="auto"/>
        </w:rPr>
      </w:pPr>
    </w:p>
    <w:p>
      <w:pPr>
        <w:ind w:right="220" w:firstLine="656"/>
        <w:spacing w:after="0" w:line="266" w:lineRule="auto"/>
        <w:tabs>
          <w:tab w:leader="none" w:pos="11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Unit</w:t>
      </w:r>
      <w:r>
        <w:rPr>
          <w:rFonts w:ascii="Arial" w:cs="Arial" w:eastAsia="Arial" w:hAnsi="Arial"/>
          <w:sz w:val="18"/>
          <w:szCs w:val="18"/>
          <w:color w:val="auto"/>
        </w:rPr>
        <w:t>” means a bookkeeping entry used by Price Group to record and account for the grant of the following Awards until such time as the Award is paid, cancelled, forfeited or terminated, as the case may be: stock units, Restricted Stock Units, Performance Units, and Performance Shares that are expressed in terms of units of Common Stock.</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EAST\46773935.20 1/2/13</w:t>
      </w:r>
    </w:p>
    <w:p>
      <w:pPr>
        <w:sectPr>
          <w:pgSz w:w="11900" w:h="16838" w:orient="portrait"/>
          <w:cols w:equalWidth="0" w:num="1">
            <w:col w:w="11420"/>
          </w:cols>
          <w:pgMar w:left="240" w:top="188"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SUBSIDIARIES OF T. ROWE PRICE GROUP, INC.</w:t>
            </w:r>
          </w:p>
        </w:tc>
        <w:tc>
          <w:tcPr>
            <w:tcW w:w="6680" w:type="dxa"/>
            <w:vAlign w:val="bottom"/>
            <w:gridSpan w:val="2"/>
          </w:tcPr>
          <w:p>
            <w:pPr>
              <w:jc w:val="right"/>
              <w:ind w:right="5410"/>
              <w:spacing w:after="0"/>
              <w:rPr>
                <w:sz w:val="20"/>
                <w:szCs w:val="20"/>
                <w:color w:val="auto"/>
              </w:rPr>
            </w:pPr>
            <w:r>
              <w:rPr>
                <w:rFonts w:ascii="Arial" w:cs="Arial" w:eastAsia="Arial" w:hAnsi="Arial"/>
                <w:sz w:val="18"/>
                <w:szCs w:val="18"/>
                <w:color w:val="auto"/>
              </w:rPr>
              <w:t>EXHIBIT 21</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DECEMBER 31, 2012</w:t>
            </w:r>
          </w:p>
        </w:tc>
        <w:tc>
          <w:tcPr>
            <w:tcW w:w="45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918"/>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Subsidiary companies and place of incorporation</w:t>
            </w:r>
          </w:p>
        </w:tc>
        <w:tc>
          <w:tcPr>
            <w:tcW w:w="4560" w:type="dxa"/>
            <w:vAlign w:val="bottom"/>
          </w:tcPr>
          <w:p>
            <w:pPr>
              <w:spacing w:after="0"/>
              <w:rPr>
                <w:sz w:val="24"/>
                <w:szCs w:val="24"/>
                <w:color w:val="auto"/>
              </w:rPr>
            </w:pPr>
          </w:p>
        </w:tc>
        <w:tc>
          <w:tcPr>
            <w:tcW w:w="2120" w:type="dxa"/>
            <w:vAlign w:val="bottom"/>
          </w:tcPr>
          <w:p>
            <w:pPr>
              <w:jc w:val="right"/>
              <w:ind w:right="550"/>
              <w:spacing w:after="0"/>
              <w:rPr>
                <w:sz w:val="20"/>
                <w:szCs w:val="20"/>
                <w:color w:val="auto"/>
              </w:rPr>
            </w:pPr>
            <w:r>
              <w:rPr>
                <w:rFonts w:ascii="Arial" w:cs="Arial" w:eastAsia="Arial" w:hAnsi="Arial"/>
                <w:sz w:val="18"/>
                <w:szCs w:val="18"/>
                <w:b w:val="1"/>
                <w:bCs w:val="1"/>
                <w:color w:val="auto"/>
              </w:rPr>
              <w:t>Ownership</w:t>
            </w:r>
          </w:p>
        </w:tc>
      </w:tr>
      <w:tr>
        <w:trPr>
          <w:trHeight w:val="27"/>
        </w:trPr>
        <w:tc>
          <w:tcPr>
            <w:tcW w:w="4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 Rowe Price Advisory Services, Inc. (Maryland)</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T. Rowe Price Associates, Inc. (Maryland)</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(Canada), Inc. (Maryland)</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T. Rowe Price Investment Services, Inc. (Maryland)</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T. Rowe Price Retirement Plan Services, Inc. (Maryland)</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T. Rowe Price Savings Bank (Maryland)</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Services, Inc. (Maryland)</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T. Rowe Price International Ltd (United Kingdom)</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 Rowe Price Hong Kong Limited (Hong Kong)</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720"/>
              <w:spacing w:after="0"/>
              <w:rPr>
                <w:sz w:val="20"/>
                <w:szCs w:val="20"/>
                <w:color w:val="auto"/>
              </w:rPr>
            </w:pPr>
            <w:r>
              <w:rPr>
                <w:rFonts w:ascii="Arial" w:cs="Arial" w:eastAsia="Arial" w:hAnsi="Arial"/>
                <w:sz w:val="18"/>
                <w:szCs w:val="18"/>
                <w:color w:val="auto"/>
              </w:rPr>
              <w:t>T. Rowe Price Singapore Private Ltd. (Singapore)</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have been omitted because, when considered in the aggregate, they do not constitute a significant subsidiary.</w:t>
      </w:r>
    </w:p>
    <w:p>
      <w:pPr>
        <w:sectPr>
          <w:pgSz w:w="11900" w:h="16838" w:orient="portrait"/>
          <w:cols w:equalWidth="0" w:num="1">
            <w:col w:w="11420"/>
          </w:cols>
          <w:pgMar w:left="240" w:top="584"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S-8 (No. 33-7012, No. 333-90967, No. 333-59714, No. 333-120882, No. 333-120883, No. 333-167317, No. 333-142092, and No. 333-180904) of T. Rowe Price Group, Inc. of our reports dated February 5, 2013, with respect to the consolidated balance sheets of T. Rowe Price Group, Inc. and subsidiaries as of December 31, 2012 and 2011, and the related consolidated statements of income, comprehensive income, and stockholders’ equity and cash flows for each of the years in the three-year period ended December 31, 2012, and the effectiveness of internal control over financial reporting as of December 31, 2012, which reports appear in the December 31, 2012 Annual Report on Form 10-K of T. Rowe Price Group, Inc.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5, 2013</w:t>
      </w:r>
    </w:p>
    <w:p>
      <w:pPr>
        <w:sectPr>
          <w:pgSz w:w="11900" w:h="16838" w:orient="portrait"/>
          <w:cols w:equalWidth="0" w:num="1">
            <w:col w:w="11420"/>
          </w:cols>
          <w:pgMar w:left="240" w:top="665" w:right="239" w:bottom="1440" w:gutter="0" w:footer="0" w:header="0"/>
        </w:sectPr>
      </w:pPr>
    </w:p>
    <w:bookmarkStart w:id="88" w:name="page89"/>
    <w:bookmarkEnd w:id="88"/>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71"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2012 of T. Rowe Price Group, Inc.;</w:t>
      </w:r>
    </w:p>
    <w:p>
      <w:pPr>
        <w:spacing w:after="0" w:line="171" w:lineRule="exact"/>
        <w:rPr>
          <w:rFonts w:ascii="Arial" w:cs="Arial" w:eastAsia="Arial" w:hAnsi="Arial"/>
          <w:sz w:val="18"/>
          <w:szCs w:val="18"/>
          <w:color w:val="auto"/>
        </w:rPr>
      </w:pPr>
    </w:p>
    <w:p>
      <w:pPr>
        <w:jc w:val="both"/>
        <w:ind w:left="660" w:right="180" w:hanging="328"/>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328"/>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spacing w:after="0" w:line="264" w:lineRule="auto"/>
        <w:tabs>
          <w:tab w:leader="none" w:pos="1225"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240"/>
        <w:spacing w:after="0" w:line="264" w:lineRule="auto"/>
        <w:tabs>
          <w:tab w:leader="none" w:pos="1235"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380"/>
        <w:spacing w:after="0" w:line="342" w:lineRule="auto"/>
        <w:tabs>
          <w:tab w:leader="none" w:pos="1225"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100"/>
        <w:spacing w:after="0" w:line="264" w:lineRule="auto"/>
        <w:tabs>
          <w:tab w:leader="none" w:pos="1235"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580"/>
        <w:spacing w:after="0" w:line="308" w:lineRule="auto"/>
        <w:tabs>
          <w:tab w:leader="none" w:pos="1225" w:val="left"/>
        </w:tabs>
        <w:numPr>
          <w:ilvl w:val="1"/>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260"/>
        <w:spacing w:after="0" w:line="277" w:lineRule="auto"/>
        <w:tabs>
          <w:tab w:leader="none" w:pos="1235"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February 5,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00"/>
          </w:cols>
          <w:pgMar w:left="240" w:top="665" w:right="359" w:bottom="1440" w:gutter="0" w:footer="0" w:header="0"/>
        </w:sectPr>
      </w:pPr>
    </w:p>
    <w:bookmarkStart w:id="89" w:name="page90"/>
    <w:bookmarkEnd w:id="89"/>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2012 of T. Rowe Price Group, Inc.;</w:t>
      </w:r>
    </w:p>
    <w:p>
      <w:pPr>
        <w:spacing w:after="0" w:line="171" w:lineRule="exact"/>
        <w:rPr>
          <w:rFonts w:ascii="Arial" w:cs="Arial" w:eastAsia="Arial" w:hAnsi="Arial"/>
          <w:sz w:val="18"/>
          <w:szCs w:val="18"/>
          <w:color w:val="auto"/>
        </w:rPr>
      </w:pPr>
    </w:p>
    <w:p>
      <w:pPr>
        <w:jc w:val="both"/>
        <w:ind w:left="660" w:right="180" w:hanging="328"/>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328"/>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spacing w:after="0" w:line="264" w:lineRule="auto"/>
        <w:tabs>
          <w:tab w:leader="none" w:pos="122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240"/>
        <w:spacing w:after="0" w:line="264" w:lineRule="auto"/>
        <w:tabs>
          <w:tab w:leader="none" w:pos="123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380"/>
        <w:spacing w:after="0" w:line="342" w:lineRule="auto"/>
        <w:tabs>
          <w:tab w:leader="none" w:pos="122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100"/>
        <w:spacing w:after="0" w:line="264" w:lineRule="auto"/>
        <w:tabs>
          <w:tab w:leader="none" w:pos="123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580"/>
        <w:spacing w:after="0" w:line="308" w:lineRule="auto"/>
        <w:tabs>
          <w:tab w:leader="none" w:pos="1225"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260"/>
        <w:spacing w:after="0" w:line="277" w:lineRule="auto"/>
        <w:tabs>
          <w:tab w:leader="none" w:pos="123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February 5,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00"/>
          </w:cols>
          <w:pgMar w:left="240" w:top="665" w:right="359" w:bottom="1440" w:gutter="0" w:footer="0" w:header="0"/>
        </w:sectPr>
      </w:pPr>
    </w:p>
    <w:bookmarkStart w:id="90" w:name="page91"/>
    <w:bookmarkEnd w:id="90"/>
    <w:p>
      <w:pPr>
        <w:spacing w:after="0"/>
        <w:tabs>
          <w:tab w:leader="none" w:pos="25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2012 of T. Rowe Price Group, Inc., that:</w:t>
      </w:r>
    </w:p>
    <w:p>
      <w:pPr>
        <w:spacing w:after="0" w:line="116" w:lineRule="exact"/>
        <w:rPr>
          <w:sz w:val="20"/>
          <w:szCs w:val="20"/>
          <w:color w:val="auto"/>
        </w:rPr>
      </w:pPr>
    </w:p>
    <w:p>
      <w:pPr>
        <w:ind w:left="920" w:hanging="264"/>
        <w:spacing w:after="0"/>
        <w:tabs>
          <w:tab w:leader="none" w:pos="9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Form 10-K Annual Report fully complies with the requirements of Section 13(a) of the Securities Exchange Act of 1934, as amended; and</w:t>
      </w:r>
    </w:p>
    <w:p>
      <w:pPr>
        <w:spacing w:after="0" w:line="194" w:lineRule="exact"/>
        <w:rPr>
          <w:rFonts w:ascii="Arial" w:cs="Arial" w:eastAsia="Arial" w:hAnsi="Arial"/>
          <w:sz w:val="16"/>
          <w:szCs w:val="16"/>
          <w:color w:val="auto"/>
        </w:rPr>
      </w:pPr>
    </w:p>
    <w:p>
      <w:pPr>
        <w:ind w:left="660" w:right="640" w:hanging="4"/>
        <w:spacing w:after="0" w:line="277" w:lineRule="auto"/>
        <w:tabs>
          <w:tab w:leader="none" w:pos="9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February 5, 2013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sectPr>
      <w:pgSz w:w="11900" w:h="16838" w:orient="portrait"/>
      <w:cols w:equalWidth="0" w:num="1">
        <w:col w:w="11380"/>
      </w:cols>
      <w:pgMar w:left="240" w:top="66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1)"/>
      <w:numFmt w:val="decimal"/>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1)"/>
      <w:numFmt w:val="decimal"/>
      <w:start w:val="1"/>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1)"/>
      <w:numFmt w:val="decimal"/>
      <w:start w:val="2"/>
    </w:lvl>
  </w:abstractNum>
  <w:abstractNum w:abstractNumId="18">
    <w:nsid w:val="741226BB"/>
    <w:multiLevelType w:val="hybridMultilevel"/>
    <w:lvl w:ilvl="0">
      <w:lvlJc w:val="left"/>
      <w:lvlText w:val="%1)"/>
      <w:numFmt w:val="lowerLetter"/>
      <w:start w:val="1"/>
    </w:lvl>
    <w:lvl w:ilvl="1">
      <w:lvlJc w:val="left"/>
      <w:lvlText w:val="%2)"/>
      <w:numFmt w:val="lowerRoman"/>
      <w:start w:val="1"/>
    </w:lvl>
  </w:abstractNum>
  <w:abstractNum w:abstractNumId="19">
    <w:nsid w:val="D34B6A8"/>
    <w:multiLevelType w:val="hybridMultilevel"/>
    <w:lvl w:ilvl="0">
      <w:lvlJc w:val="left"/>
      <w:lvlText w:val="%1"/>
      <w:numFmt w:val="lowerLetter"/>
      <w:start w:val="1"/>
    </w:lvl>
    <w:lvl w:ilvl="1">
      <w:lvlJc w:val="left"/>
      <w:lvlText w:val="%2)"/>
      <w:numFmt w:val="lowerLetter"/>
      <w:start w:val="61"/>
    </w:lvl>
  </w:abstractNum>
  <w:abstractNum w:abstractNumId="20">
    <w:nsid w:val="10233C99"/>
    <w:multiLevelType w:val="hybridMultilevel"/>
    <w:lvl w:ilvl="0">
      <w:lvlJc w:val="left"/>
      <w:lvlText w:val="%1)"/>
      <w:numFmt w:val="lowerLetter"/>
      <w:start w:val="6"/>
    </w:lvl>
    <w:lvl w:ilvl="1">
      <w:lvlJc w:val="left"/>
      <w:lvlText w:val="%2)"/>
      <w:numFmt w:val="lowerLetter"/>
      <w:start w:val="9"/>
    </w:lvl>
  </w:abstractNum>
  <w:abstractNum w:abstractNumId="21">
    <w:nsid w:val="3F6AB60F"/>
    <w:multiLevelType w:val="hybridMultilevel"/>
    <w:lvl w:ilvl="0">
      <w:lvlJc w:val="left"/>
      <w:lvlText w:val="%1"/>
      <w:numFmt w:val="lowerLetter"/>
      <w:start w:val="1"/>
    </w:lvl>
    <w:lvl w:ilvl="1">
      <w:lvlJc w:val="left"/>
      <w:lvlText w:val="%2)"/>
      <w:numFmt w:val="lowerRoman"/>
      <w:start w:val="2"/>
    </w:lvl>
  </w:abstractNum>
  <w:abstractNum w:abstractNumId="22">
    <w:nsid w:val="61574095"/>
    <w:multiLevelType w:val="hybridMultilevel"/>
    <w:lvl w:ilvl="0">
      <w:lvlJc w:val="left"/>
      <w:lvlText w:val="%1)"/>
      <w:numFmt w:val="lowerLetter"/>
      <w:start w:val="12"/>
    </w:lvl>
    <w:lvl w:ilvl="1">
      <w:lvlJc w:val="left"/>
      <w:lvlText w:val="%2"/>
      <w:numFmt w:val="lowerRoman"/>
      <w:start w:val="1"/>
    </w:lvl>
  </w:abstractNum>
  <w:abstractNum w:abstractNumId="23">
    <w:nsid w:val="7E0C57B1"/>
    <w:multiLevelType w:val="hybridMultilevel"/>
    <w:lvl w:ilvl="0">
      <w:lvlJc w:val="left"/>
      <w:lvlText w:val="%1)"/>
      <w:numFmt w:val="lowerLetter"/>
      <w:start w:val="13"/>
    </w:lvl>
  </w:abstractNum>
  <w:abstractNum w:abstractNumId="24">
    <w:nsid w:val="77AE35EB"/>
    <w:multiLevelType w:val="hybridMultilevel"/>
    <w:lvl w:ilvl="0">
      <w:lvlJc w:val="left"/>
      <w:lvlText w:val="%1)"/>
      <w:numFmt w:val="decimal"/>
      <w:start w:val="4"/>
    </w:lvl>
    <w:lvl w:ilvl="1">
      <w:lvlJc w:val="left"/>
      <w:lvlText w:val="%2)"/>
      <w:numFmt w:val="lowerLetter"/>
      <w:start w:val="1"/>
    </w:lvl>
  </w:abstractNum>
  <w:abstractNum w:abstractNumId="25">
    <w:nsid w:val="579BE4F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6">
    <w:nsid w:val="310C50B3"/>
    <w:multiLevelType w:val="hybridMultilevel"/>
    <w:lvl w:ilvl="0">
      <w:lvlJc w:val="left"/>
      <w:lvlText w:val="%1)"/>
      <w:numFmt w:val="lowerRoman"/>
      <w:start w:val="3"/>
    </w:lvl>
  </w:abstractNum>
  <w:abstractNum w:abstractNumId="27">
    <w:nsid w:val="5FF87E05"/>
    <w:multiLevelType w:val="hybridMultilevel"/>
    <w:lvl w:ilvl="0">
      <w:lvlJc w:val="left"/>
      <w:lvlText w:val="%1)"/>
      <w:numFmt w:val="lowerLetter"/>
      <w:start w:val="2"/>
    </w:lvl>
    <w:lvl w:ilvl="1">
      <w:lvlJc w:val="left"/>
      <w:lvlText w:val="%2)"/>
      <w:numFmt w:val="lowerRoman"/>
      <w:start w:val="1"/>
    </w:lvl>
  </w:abstractNum>
  <w:abstractNum w:abstractNumId="28">
    <w:nsid w:val="2F305DEF"/>
    <w:multiLevelType w:val="hybridMultilevel"/>
    <w:lvl w:ilvl="0">
      <w:lvlJc w:val="left"/>
      <w:lvlText w:val="(%1)"/>
      <w:numFmt w:val="lowerRoman"/>
      <w:start w:val="2"/>
    </w:lvl>
    <w:lvl w:ilvl="1">
      <w:lvlJc w:val="left"/>
      <w:lvlText w:val="%2)"/>
      <w:numFmt w:val="lowerRoman"/>
      <w:start w:val="3"/>
    </w:lvl>
  </w:abstractNum>
  <w:abstractNum w:abstractNumId="29">
    <w:nsid w:val="25A70BF7"/>
    <w:multiLevelType w:val="hybridMultilevel"/>
    <w:lvl w:ilvl="0">
      <w:lvlJc w:val="left"/>
      <w:lvlText w:val="%1)"/>
      <w:numFmt w:val="lowerLetter"/>
      <w:start w:val="3"/>
    </w:lvl>
    <w:lvl w:ilvl="1">
      <w:lvlJc w:val="left"/>
      <w:lvlText w:val="%2)"/>
      <w:numFmt w:val="lowerRoman"/>
      <w:start w:val="1"/>
    </w:lvl>
  </w:abstractNum>
  <w:abstractNum w:abstractNumId="30">
    <w:nsid w:val="1DBABF0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1">
    <w:nsid w:val="4AD084E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2">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3">
    <w:nsid w:val="1381823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4">
    <w:nsid w:val="5DB70AE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35">
    <w:nsid w:val="100F8FCA"/>
    <w:multiLevelType w:val="hybridMultilevel"/>
    <w:lvl w:ilvl="0">
      <w:lvlJc w:val="left"/>
      <w:lvlText w:val="%1)"/>
      <w:numFmt w:val="lowerRoman"/>
      <w:start w:val="2"/>
    </w:lvl>
  </w:abstractNum>
  <w:abstractNum w:abstractNumId="36">
    <w:nsid w:val="6590700B"/>
    <w:multiLevelType w:val="hybridMultilevel"/>
    <w:lvl w:ilvl="0">
      <w:lvlJc w:val="left"/>
      <w:lvlText w:val="%1"/>
      <w:numFmt w:val="decimal"/>
      <w:start w:val="1"/>
    </w:lvl>
    <w:lvl w:ilvl="1">
      <w:lvlJc w:val="left"/>
      <w:lvlText w:val="%2)"/>
      <w:numFmt w:val="lowerRoman"/>
      <w:start w:val="3"/>
    </w:lvl>
  </w:abstractNum>
  <w:abstractNum w:abstractNumId="37">
    <w:nsid w:val="15014ACB"/>
    <w:multiLevelType w:val="hybridMultilevel"/>
    <w:lvl w:ilvl="0">
      <w:lvlJc w:val="left"/>
      <w:lvlText w:val="%1)"/>
      <w:numFmt w:val="decimal"/>
      <w:start w:val="9"/>
    </w:lvl>
    <w:lvl w:ilvl="1">
      <w:lvlJc w:val="left"/>
      <w:lvlText w:val="%2"/>
      <w:numFmt w:val="lowerRoman"/>
      <w:start w:val="1"/>
    </w:lvl>
  </w:abstractNum>
  <w:abstractNum w:abstractNumId="38">
    <w:nsid w:val="5F5E7FD0"/>
    <w:multiLevelType w:val="hybridMultilevel"/>
    <w:lvl w:ilvl="0">
      <w:lvlJc w:val="left"/>
      <w:lvlText w:val="%1)"/>
      <w:numFmt w:val="decimal"/>
      <w:start w:val="10"/>
    </w:lvl>
    <w:lvl w:ilvl="1">
      <w:lvlJc w:val="left"/>
      <w:lvlText w:val="%2)"/>
      <w:numFmt w:val="lowerLetter"/>
      <w:start w:val="1"/>
    </w:lvl>
  </w:abstractNum>
  <w:abstractNum w:abstractNumId="39">
    <w:nsid w:val="98A3148"/>
    <w:multiLevelType w:val="hybridMultilevel"/>
    <w:lvl w:ilvl="0">
      <w:lvlJc w:val="left"/>
      <w:lvlText w:val="%1"/>
      <w:numFmt w:val="decimal"/>
      <w:start w:val="1"/>
    </w:lvl>
    <w:lvl w:ilvl="1">
      <w:lvlJc w:val="left"/>
      <w:lvlText w:val="%2)"/>
      <w:numFmt w:val="lowerLetter"/>
      <w:start w:val="3"/>
    </w:lvl>
  </w:abstractNum>
  <w:abstractNum w:abstractNumId="40">
    <w:nsid w:val="799D0247"/>
    <w:multiLevelType w:val="hybridMultilevel"/>
    <w:lvl w:ilvl="0">
      <w:lvlJc w:val="left"/>
      <w:lvlText w:val="%1)"/>
      <w:numFmt w:val="decimal"/>
      <w:start w:val="11"/>
    </w:lvl>
    <w:lvl w:ilvl="1">
      <w:lvlJc w:val="left"/>
      <w:lvlText w:val="%2"/>
      <w:numFmt w:val="lowerLetter"/>
      <w:start w:val="1"/>
    </w:lvl>
  </w:abstractNum>
  <w:abstractNum w:abstractNumId="41">
    <w:nsid w:val="6B94764"/>
    <w:multiLevelType w:val="hybridMultilevel"/>
    <w:lvl w:ilvl="0">
      <w:lvlJc w:val="left"/>
      <w:lvlText w:val="%1)"/>
      <w:numFmt w:val="decimal"/>
      <w:start w:val="12"/>
    </w:lvl>
    <w:lvl w:ilvl="1">
      <w:lvlJc w:val="left"/>
      <w:lvlText w:val="%2)"/>
      <w:numFmt w:val="lowerLetter"/>
      <w:start w:val="1"/>
    </w:lvl>
  </w:abstractNum>
  <w:abstractNum w:abstractNumId="42">
    <w:nsid w:val="42C296BD"/>
    <w:multiLevelType w:val="hybridMultilevel"/>
    <w:lvl w:ilvl="0">
      <w:lvlJc w:val="left"/>
      <w:lvlText w:val="%1)"/>
      <w:numFmt w:val="lowerLetter"/>
      <w:start w:val="3"/>
    </w:lvl>
  </w:abstractNum>
  <w:abstractNum w:abstractNumId="43">
    <w:nsid w:val="168E121F"/>
    <w:multiLevelType w:val="hybridMultilevel"/>
    <w:lvl w:ilvl="0">
      <w:lvlJc w:val="left"/>
      <w:lvlText w:val="%1."/>
      <w:numFmt w:val="decimal"/>
      <w:start w:val="3"/>
    </w:lvl>
  </w:abstractNum>
  <w:abstractNum w:abstractNumId="44">
    <w:nsid w:val="1EBA5D23"/>
    <w:multiLevelType w:val="hybridMultilevel"/>
    <w:lvl w:ilvl="0">
      <w:lvlJc w:val="left"/>
      <w:lvlText w:val="(%1)"/>
      <w:numFmt w:val="lowerLetter"/>
      <w:start w:val="4"/>
    </w:lvl>
  </w:abstractNum>
  <w:abstractNum w:abstractNumId="45">
    <w:nsid w:val="661E3F1E"/>
    <w:multiLevelType w:val="hybridMultilevel"/>
    <w:lvl w:ilvl="0">
      <w:lvlJc w:val="left"/>
      <w:lvlText w:val="(%1)"/>
      <w:numFmt w:val="lowerLetter"/>
      <w:start w:val="6"/>
    </w:lvl>
  </w:abstractNum>
  <w:abstractNum w:abstractNumId="46">
    <w:nsid w:val="5DC79EA8"/>
    <w:multiLevelType w:val="hybridMultilevel"/>
    <w:lvl w:ilvl="0">
      <w:lvlJc w:val="left"/>
      <w:lvlText w:val="(%1)"/>
      <w:numFmt w:val="lowerLetter"/>
      <w:start w:val="4"/>
    </w:lvl>
  </w:abstractNum>
  <w:abstractNum w:abstractNumId="47">
    <w:nsid w:val="540A471C"/>
    <w:multiLevelType w:val="hybridMultilevel"/>
    <w:lvl w:ilvl="0">
      <w:lvlJc w:val="left"/>
      <w:lvlText w:val="%1."/>
      <w:numFmt w:val="decimal"/>
      <w:start w:val="6"/>
    </w:lvl>
  </w:abstractNum>
  <w:abstractNum w:abstractNumId="48">
    <w:nsid w:val="7BD3EE7B"/>
    <w:multiLevelType w:val="hybridMultilevel"/>
    <w:lvl w:ilvl="0">
      <w:lvlJc w:val="left"/>
      <w:lvlText w:val="(%1)"/>
      <w:numFmt w:val="lowerLetter"/>
      <w:start w:val="3"/>
    </w:lvl>
  </w:abstractNum>
  <w:abstractNum w:abstractNumId="49">
    <w:nsid w:val="51D9C564"/>
    <w:multiLevelType w:val="hybridMultilevel"/>
    <w:lvl w:ilvl="0">
      <w:lvlJc w:val="left"/>
      <w:lvlText w:val="(%1)"/>
      <w:numFmt w:val="lowerLetter"/>
      <w:start w:val="7"/>
    </w:lvl>
  </w:abstractNum>
  <w:abstractNum w:abstractNumId="50">
    <w:nsid w:val="613EFDC5"/>
    <w:multiLevelType w:val="hybridMultilevel"/>
    <w:lvl w:ilvl="0">
      <w:lvlJc w:val="left"/>
      <w:lvlText w:val="(%1)"/>
      <w:numFmt w:val="lowerLetter"/>
      <w:start w:val="2"/>
    </w:lvl>
  </w:abstractNum>
  <w:abstractNum w:abstractNumId="51">
    <w:nsid w:val="BF72B14"/>
    <w:multiLevelType w:val="hybridMultilevel"/>
    <w:lvl w:ilvl="0">
      <w:lvlJc w:val="left"/>
      <w:lvlText w:val="(%1)"/>
      <w:numFmt w:val="lowerLetter"/>
      <w:start w:val="1"/>
    </w:lvl>
  </w:abstractNum>
  <w:abstractNum w:abstractNumId="52">
    <w:nsid w:val="11447B73"/>
    <w:multiLevelType w:val="hybridMultilevel"/>
    <w:lvl w:ilvl="0">
      <w:lvlJc w:val="left"/>
      <w:lvlText w:val="%1."/>
      <w:numFmt w:val="decimal"/>
      <w:start w:val="16"/>
    </w:lvl>
  </w:abstractNum>
  <w:abstractNum w:abstractNumId="53">
    <w:nsid w:val="42963E5A"/>
    <w:multiLevelType w:val="hybridMultilevel"/>
    <w:lvl w:ilvl="0">
      <w:lvlJc w:val="left"/>
      <w:lvlText w:val="(%1)"/>
      <w:numFmt w:val="lowerLetter"/>
      <w:start w:val="4"/>
    </w:lvl>
  </w:abstractNum>
  <w:abstractNum w:abstractNumId="54">
    <w:nsid w:val="A0382C5"/>
    <w:multiLevelType w:val="hybridMultilevel"/>
    <w:lvl w:ilvl="0">
      <w:lvlJc w:val="left"/>
      <w:lvlText w:val="%1."/>
      <w:numFmt w:val="decimal"/>
      <w:start w:val="17"/>
    </w:lvl>
  </w:abstractNum>
  <w:abstractNum w:abstractNumId="55">
    <w:nsid w:val="8F2B15E"/>
    <w:multiLevelType w:val="hybridMultilevel"/>
    <w:lvl w:ilvl="0">
      <w:lvlJc w:val="left"/>
      <w:lvlText w:val="%1."/>
      <w:numFmt w:val="decimal"/>
      <w:start w:val="2"/>
    </w:lvl>
  </w:abstractNum>
  <w:abstractNum w:abstractNumId="56">
    <w:nsid w:val="1A32234B"/>
    <w:multiLevelType w:val="hybridMultilevel"/>
    <w:lvl w:ilvl="0">
      <w:lvlJc w:val="left"/>
      <w:lvlText w:val="%1."/>
      <w:numFmt w:val="decimal"/>
      <w:start w:val="3"/>
    </w:lvl>
  </w:abstractNum>
  <w:abstractNum w:abstractNumId="57">
    <w:nsid w:val="3B0FD379"/>
    <w:multiLevelType w:val="hybridMultilevel"/>
    <w:lvl w:ilvl="0">
      <w:lvlJc w:val="left"/>
      <w:lvlText w:val="%1."/>
      <w:numFmt w:val="decimal"/>
      <w:start w:val="4"/>
    </w:lvl>
    <w:lvl w:ilvl="1">
      <w:lvlJc w:val="left"/>
      <w:lvlText w:val="(%2)"/>
      <w:numFmt w:val="lowerLetter"/>
      <w:start w:val="1"/>
    </w:lvl>
  </w:abstractNum>
  <w:abstractNum w:abstractNumId="58">
    <w:nsid w:val="68EB2F63"/>
    <w:multiLevelType w:val="hybridMultilevel"/>
    <w:lvl w:ilvl="0">
      <w:lvlJc w:val="left"/>
      <w:lvlText w:val="(%1)"/>
      <w:numFmt w:val="lowerRoman"/>
      <w:start w:val="1"/>
    </w:lvl>
  </w:abstractNum>
  <w:abstractNum w:abstractNumId="59">
    <w:nsid w:val="4962813B"/>
    <w:multiLevelType w:val="hybridMultilevel"/>
    <w:lvl w:ilvl="0">
      <w:lvlJc w:val="left"/>
      <w:lvlText w:val="%1"/>
      <w:numFmt w:val="lowerLetter"/>
      <w:start w:val="1"/>
    </w:lvl>
    <w:lvl w:ilvl="1">
      <w:lvlJc w:val="left"/>
      <w:lvlText w:val="(%2)"/>
      <w:numFmt w:val="lowerRoman"/>
      <w:start w:val="2"/>
    </w:lvl>
  </w:abstractNum>
  <w:abstractNum w:abstractNumId="60">
    <w:nsid w:val="60B6DF70"/>
    <w:multiLevelType w:val="hybridMultilevel"/>
    <w:lvl w:ilvl="0">
      <w:lvlJc w:val="left"/>
      <w:lvlText w:val="(%1)"/>
      <w:numFmt w:val="lowerLetter"/>
      <w:start w:val="3"/>
    </w:lvl>
    <w:lvl w:ilvl="1">
      <w:lvlJc w:val="left"/>
      <w:lvlText w:val="%2"/>
      <w:numFmt w:val="lowerRoman"/>
      <w:start w:val="1"/>
    </w:lvl>
  </w:abstractNum>
  <w:abstractNum w:abstractNumId="61">
    <w:nsid w:val="6A5EE64"/>
    <w:multiLevelType w:val="hybridMultilevel"/>
    <w:lvl w:ilvl="0">
      <w:lvlJc w:val="left"/>
      <w:lvlText w:val="%1"/>
      <w:numFmt w:val="decimal"/>
      <w:start w:val="1"/>
    </w:lvl>
    <w:lvl w:ilvl="1">
      <w:lvlJc w:val="left"/>
      <w:lvlText w:val="(%2)"/>
      <w:numFmt w:val="lowerLetter"/>
      <w:start w:val="7"/>
    </w:lvl>
  </w:abstractNum>
  <w:abstractNum w:abstractNumId="62">
    <w:nsid w:val="14330624"/>
    <w:multiLevelType w:val="hybridMultilevel"/>
    <w:lvl w:ilvl="0">
      <w:lvlJc w:val="left"/>
      <w:lvlText w:val="%1."/>
      <w:numFmt w:val="decimal"/>
      <w:start w:val="5"/>
    </w:lvl>
    <w:lvl w:ilvl="1">
      <w:lvlJc w:val="left"/>
      <w:lvlText w:val="(%2)"/>
      <w:numFmt w:val="lowerLetter"/>
      <w:start w:val="1"/>
    </w:lvl>
  </w:abstractNum>
  <w:abstractNum w:abstractNumId="63">
    <w:nsid w:val="7FFFCA11"/>
    <w:multiLevelType w:val="hybridMultilevel"/>
    <w:lvl w:ilvl="0">
      <w:lvlJc w:val="left"/>
      <w:lvlText w:val="(%1)"/>
      <w:numFmt w:val="lowerRoman"/>
      <w:start w:val="1"/>
    </w:lvl>
  </w:abstractNum>
  <w:abstractNum w:abstractNumId="64">
    <w:nsid w:val="1A27709E"/>
    <w:multiLevelType w:val="hybridMultilevel"/>
    <w:lvl w:ilvl="0">
      <w:lvlJc w:val="left"/>
      <w:lvlText w:val="(%1)"/>
      <w:numFmt w:val="lowerRoman"/>
      <w:start w:val="2"/>
    </w:lvl>
  </w:abstractNum>
  <w:abstractNum w:abstractNumId="65">
    <w:nsid w:val="71EA1109"/>
    <w:multiLevelType w:val="hybridMultilevel"/>
    <w:lvl w:ilvl="0">
      <w:lvlJc w:val="left"/>
      <w:lvlText w:val="(%1)"/>
      <w:numFmt w:val="lowerLetter"/>
      <w:start w:val="3"/>
    </w:lvl>
  </w:abstractNum>
  <w:abstractNum w:abstractNumId="66">
    <w:nsid w:val="100F59DC"/>
    <w:multiLevelType w:val="hybridMultilevel"/>
    <w:lvl w:ilvl="0">
      <w:lvlJc w:val="left"/>
      <w:lvlText w:val="(%1)"/>
      <w:numFmt w:val="lowerRoman"/>
      <w:start w:val="1"/>
    </w:lvl>
  </w:abstractNum>
  <w:abstractNum w:abstractNumId="67">
    <w:nsid w:val="7FB7E0AA"/>
    <w:multiLevelType w:val="hybridMultilevel"/>
    <w:lvl w:ilvl="0">
      <w:lvlJc w:val="left"/>
      <w:lvlText w:val="(%1)"/>
      <w:numFmt w:val="lowerLetter"/>
      <w:start w:val="4"/>
    </w:lvl>
  </w:abstractNum>
  <w:abstractNum w:abstractNumId="68">
    <w:nsid w:val="6EB5BD4"/>
    <w:multiLevelType w:val="hybridMultilevel"/>
    <w:lvl w:ilvl="0">
      <w:lvlJc w:val="left"/>
      <w:lvlText w:val="%1."/>
      <w:numFmt w:val="decimal"/>
      <w:start w:val="6"/>
    </w:lvl>
  </w:abstractNum>
  <w:abstractNum w:abstractNumId="69">
    <w:nsid w:val="6F6DD9A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0">
    <w:nsid w:val="94211F2"/>
    <w:multiLevelType w:val="hybridMultilevel"/>
    <w:lvl w:ilvl="0">
      <w:lvlJc w:val="left"/>
      <w:lvlText w:val="%1"/>
      <w:numFmt w:val="lowerLetter"/>
      <w:start w:val="1"/>
    </w:lvl>
    <w:lvl w:ilvl="1">
      <w:lvlJc w:val="left"/>
      <w:lvlText w:val="(%2)"/>
      <w:numFmt w:val="lowerRoman"/>
      <w:start w:val="2"/>
    </w:lvl>
  </w:abstractNum>
  <w:abstractNum w:abstractNumId="71">
    <w:nsid w:val="885E1B"/>
    <w:multiLevelType w:val="hybridMultilevel"/>
    <w:lvl w:ilvl="0">
      <w:lvlJc w:val="left"/>
      <w:lvlText w:val="(%1)"/>
      <w:numFmt w:val="lowerLetter"/>
      <w:start w:val="6"/>
    </w:lvl>
    <w:lvl w:ilvl="1">
      <w:lvlJc w:val="left"/>
      <w:lvlText w:val="(%2)"/>
      <w:numFmt w:val="lowerRoman"/>
      <w:start w:val="1"/>
    </w:lvl>
  </w:abstractNum>
  <w:abstractNum w:abstractNumId="72">
    <w:nsid w:val="76272110"/>
    <w:multiLevelType w:val="hybridMultilevel"/>
    <w:lvl w:ilvl="0">
      <w:lvlJc w:val="left"/>
      <w:lvlText w:val="%1"/>
      <w:numFmt w:val="lowerRoman"/>
      <w:start w:val="1"/>
    </w:lvl>
    <w:lvl w:ilvl="1">
      <w:lvlJc w:val="left"/>
      <w:lvlText w:val="(%2)"/>
      <w:numFmt w:val="lowerRoman"/>
      <w:start w:val="2"/>
    </w:lvl>
  </w:abstractNum>
  <w:abstractNum w:abstractNumId="73">
    <w:nsid w:val="4C04A8AF"/>
    <w:multiLevelType w:val="hybridMultilevel"/>
    <w:lvl w:ilvl="0">
      <w:lvlJc w:val="left"/>
      <w:lvlText w:val="(%1)"/>
      <w:numFmt w:val="lowerRoman"/>
      <w:start w:val="1"/>
    </w:lvl>
    <w:lvl w:ilvl="1">
      <w:lvlJc w:val="left"/>
      <w:lvlText w:val="(%2)"/>
      <w:numFmt w:val="lowerRoman"/>
      <w:start w:val="1"/>
    </w:lvl>
  </w:abstractNum>
  <w:abstractNum w:abstractNumId="74">
    <w:nsid w:val="1716703B"/>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9"/>
    </w:lvl>
  </w:abstractNum>
  <w:abstractNum w:abstractNumId="75">
    <w:nsid w:val="14E17E3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76">
    <w:nsid w:val="3222E7CD"/>
    <w:multiLevelType w:val="hybridMultilevel"/>
    <w:lvl w:ilvl="0">
      <w:lvlJc w:val="left"/>
      <w:lvlText w:val="%1"/>
      <w:numFmt w:val="lowerLetter"/>
      <w:start w:val="1"/>
    </w:lvl>
    <w:lvl w:ilvl="1">
      <w:lvlJc w:val="left"/>
      <w:lvlText w:val="(%2)"/>
      <w:numFmt w:val="lowerRoman"/>
      <w:start w:val="2"/>
    </w:lvl>
  </w:abstractNum>
  <w:abstractNum w:abstractNumId="77">
    <w:nsid w:val="74DE0EE3"/>
    <w:multiLevelType w:val="hybridMultilevel"/>
    <w:lvl w:ilvl="0">
      <w:lvlJc w:val="left"/>
      <w:lvlText w:val="(%1)"/>
      <w:numFmt w:val="lowerLetter"/>
      <w:start w:val="12"/>
    </w:lvl>
    <w:lvl w:ilvl="1">
      <w:lvlJc w:val="left"/>
      <w:lvlText w:val="%2"/>
      <w:numFmt w:val="lowerRoman"/>
      <w:start w:val="1"/>
    </w:lvl>
  </w:abstractNum>
  <w:abstractNum w:abstractNumId="78">
    <w:nsid w:val="68EBC550"/>
    <w:multiLevelType w:val="hybridMultilevel"/>
    <w:lvl w:ilvl="0">
      <w:lvlJc w:val="left"/>
      <w:lvlText w:val="%1."/>
      <w:numFmt w:val="decimal"/>
      <w:start w:val="8"/>
    </w:lvl>
  </w:abstractNum>
  <w:abstractNum w:abstractNumId="79">
    <w:nsid w:val="2DF6D648"/>
    <w:multiLevelType w:val="hybridMultilevel"/>
    <w:lvl w:ilvl="0">
      <w:lvlJc w:val="left"/>
      <w:lvlText w:val="%1."/>
      <w:numFmt w:val="decimal"/>
      <w:start w:val="9"/>
    </w:lvl>
  </w:abstractNum>
  <w:abstractNum w:abstractNumId="80">
    <w:nsid w:val="46B7D447"/>
    <w:multiLevelType w:val="hybridMultilevel"/>
    <w:lvl w:ilvl="0">
      <w:lvlJc w:val="left"/>
      <w:lvlText w:val="%1."/>
      <w:numFmt w:val="decimal"/>
      <w:start w:val="10"/>
    </w:lvl>
    <w:lvl w:ilvl="1">
      <w:lvlJc w:val="left"/>
      <w:lvlText w:val="(%2)"/>
      <w:numFmt w:val="lowerLetter"/>
      <w:start w:val="1"/>
    </w:lvl>
  </w:abstractNum>
  <w:abstractNum w:abstractNumId="81">
    <w:nsid w:val="4A2AC315"/>
    <w:multiLevelType w:val="hybridMultilevel"/>
    <w:lvl w:ilvl="0">
      <w:lvlJc w:val="left"/>
      <w:lvlText w:val="(%1)"/>
      <w:numFmt w:val="lowerLetter"/>
      <w:start w:val="1"/>
    </w:lvl>
    <w:lvl w:ilvl="1">
      <w:lvlJc w:val="left"/>
      <w:lvlText w:val="(%2)"/>
      <w:numFmt w:val="lowerRoman"/>
      <w:start w:val="1"/>
    </w:lvl>
  </w:abstractNum>
  <w:abstractNum w:abstractNumId="82">
    <w:nsid w:val="39EE015C"/>
    <w:multiLevelType w:val="hybridMultilevel"/>
    <w:lvl w:ilvl="0">
      <w:lvlJc w:val="left"/>
      <w:lvlText w:val="%1."/>
      <w:numFmt w:val="decimal"/>
      <w:start w:val="12"/>
    </w:lvl>
  </w:abstractNum>
  <w:abstractNum w:abstractNumId="83">
    <w:nsid w:val="57FC4FBB"/>
    <w:multiLevelType w:val="hybridMultilevel"/>
    <w:lvl w:ilvl="0">
      <w:lvlJc w:val="left"/>
      <w:lvlText w:val="%1."/>
      <w:numFmt w:val="decimal"/>
      <w:start w:val="13"/>
    </w:lvl>
    <w:lvl w:ilvl="1">
      <w:lvlJc w:val="left"/>
      <w:lvlText w:val="(%2)"/>
      <w:numFmt w:val="lowerLetter"/>
      <w:start w:val="1"/>
    </w:lvl>
  </w:abstractNum>
  <w:abstractNum w:abstractNumId="84">
    <w:nsid w:val="CC1016F"/>
    <w:multiLevelType w:val="hybridMultilevel"/>
    <w:lvl w:ilvl="0">
      <w:lvlJc w:val="left"/>
      <w:lvlText w:val="%1"/>
      <w:numFmt w:val="decimal"/>
      <w:start w:val="1"/>
    </w:lvl>
    <w:lvl w:ilvl="1">
      <w:lvlJc w:val="left"/>
      <w:lvlText w:val="(%2)"/>
      <w:numFmt w:val="lowerLetter"/>
      <w:start w:val="3"/>
    </w:lvl>
  </w:abstractNum>
  <w:abstractNum w:abstractNumId="85">
    <w:nsid w:val="43F18422"/>
    <w:multiLevelType w:val="hybridMultilevel"/>
    <w:lvl w:ilvl="0">
      <w:lvlJc w:val="left"/>
      <w:lvlText w:val="%1."/>
      <w:numFmt w:val="decimal"/>
      <w:start w:val="14"/>
    </w:lvl>
    <w:lvl w:ilvl="1">
      <w:lvlJc w:val="left"/>
      <w:lvlText w:val="%2"/>
      <w:numFmt w:val="lowerLetter"/>
      <w:start w:val="1"/>
    </w:lvl>
  </w:abstractNum>
  <w:abstractNum w:abstractNumId="86">
    <w:nsid w:val="60EF0119"/>
    <w:multiLevelType w:val="hybridMultilevel"/>
    <w:lvl w:ilvl="0">
      <w:lvlJc w:val="left"/>
      <w:lvlText w:val="%1."/>
      <w:numFmt w:val="decimal"/>
      <w:start w:val="15"/>
    </w:lvl>
    <w:lvl w:ilvl="1">
      <w:lvlJc w:val="left"/>
      <w:lvlText w:val="(%2)"/>
      <w:numFmt w:val="lowerLetter"/>
      <w:start w:val="1"/>
    </w:lvl>
  </w:abstractNum>
  <w:abstractNum w:abstractNumId="87">
    <w:nsid w:val="26F324BA"/>
    <w:multiLevelType w:val="hybridMultilevel"/>
    <w:lvl w:ilvl="0">
      <w:lvlJc w:val="left"/>
      <w:lvlText w:val="%1"/>
      <w:numFmt w:val="decimal"/>
      <w:start w:val="1"/>
    </w:lvl>
    <w:lvl w:ilvl="1">
      <w:lvlJc w:val="left"/>
      <w:lvlText w:val="(%2)"/>
      <w:numFmt w:val="lowerLetter"/>
      <w:start w:val="3"/>
    </w:lvl>
  </w:abstractNum>
  <w:abstractNum w:abstractNumId="88">
    <w:nsid w:val="7F01579B"/>
    <w:multiLevelType w:val="hybridMultilevel"/>
    <w:lvl w:ilvl="0">
      <w:lvlJc w:val="left"/>
      <w:lvlText w:val="%1."/>
      <w:numFmt w:val="decimal"/>
      <w:start w:val="16"/>
    </w:lvl>
    <w:lvl w:ilvl="1">
      <w:lvlJc w:val="left"/>
      <w:lvlText w:val="(%2)"/>
      <w:numFmt w:val="lowerLetter"/>
      <w:start w:val="1"/>
    </w:lvl>
  </w:abstractNum>
  <w:abstractNum w:abstractNumId="89">
    <w:nsid w:val="49DA307D"/>
    <w:multiLevelType w:val="hybridMultilevel"/>
    <w:lvl w:ilvl="0">
      <w:lvlJc w:val="left"/>
      <w:lvlText w:val="(%1)"/>
      <w:numFmt w:val="lowerLetter"/>
      <w:start w:val="1"/>
    </w:lvl>
  </w:abstractNum>
  <w:abstractNum w:abstractNumId="90">
    <w:nsid w:val="7055A5F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1">
    <w:nsid w:val="5FB8370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abstractNum>
  <w:abstractNum w:abstractNumId="92">
    <w:nsid w:val="50801EE1"/>
    <w:multiLevelType w:val="hybridMultilevel"/>
    <w:lvl w:ilvl="0">
      <w:lvlJc w:val="left"/>
      <w:lvlText w:val="(%1)"/>
      <w:numFmt w:val="lowerLetter"/>
      <w:start w:val="8"/>
    </w:lvl>
  </w:abstractNum>
  <w:abstractNum w:abstractNumId="93">
    <w:nsid w:val="488AC1A"/>
    <w:multiLevelType w:val="hybridMultilevel"/>
    <w:lvl w:ilvl="0">
      <w:lvlJc w:val="left"/>
      <w:lvlText w:val="(%1)"/>
      <w:numFmt w:val="lowerLetter"/>
      <w:start w:val="9"/>
    </w:lvl>
    <w:lvl w:ilvl="1">
      <w:lvlJc w:val="left"/>
      <w:lvlText w:val="(%2)"/>
      <w:numFmt w:val="lowerRoman"/>
      <w:start w:val="1"/>
    </w:lvl>
  </w:abstractNum>
  <w:abstractNum w:abstractNumId="94">
    <w:nsid w:val="5FB8011C"/>
    <w:multiLevelType w:val="hybridMultilevel"/>
    <w:lvl w:ilvl="0">
      <w:lvlJc w:val="left"/>
      <w:lvlText w:val="(%1)"/>
      <w:numFmt w:val="lowerLetter"/>
      <w:start w:val="19"/>
    </w:lvl>
  </w:abstractNum>
  <w:abstractNum w:abstractNumId="95">
    <w:nsid w:val="6AA78F7F"/>
    <w:multiLevelType w:val="hybridMultilevel"/>
    <w:lvl w:ilvl="0">
      <w:lvlJc w:val="left"/>
      <w:lvlText w:val="(%1)"/>
      <w:numFmt w:val="lowerLetter"/>
      <w:start w:val="21"/>
    </w:lvl>
    <w:lvl w:ilvl="1">
      <w:lvlJc w:val="left"/>
      <w:lvlText w:val="(%2)"/>
      <w:numFmt w:val="lowerRoman"/>
      <w:start w:val="1"/>
    </w:lvl>
  </w:abstractNum>
  <w:abstractNum w:abstractNumId="96">
    <w:nsid w:val="7672BD23"/>
    <w:multiLevelType w:val="hybridMultilevel"/>
    <w:lvl w:ilvl="0">
      <w:lvlJc w:val="left"/>
      <w:lvlText w:val="(%1)"/>
      <w:numFmt w:val="lowerLetter"/>
      <w:start w:val="27"/>
    </w:lvl>
  </w:abstractNum>
  <w:abstractNum w:abstractNumId="97">
    <w:nsid w:val="6FC75AF8"/>
    <w:multiLevelType w:val="hybridMultilevel"/>
    <w:lvl w:ilvl="0">
      <w:lvlJc w:val="left"/>
      <w:lvlText w:val="(%1)"/>
      <w:numFmt w:val="lowerLetter"/>
      <w:start w:val="38"/>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2019-12-07T00:21:09Z</dcterms:created>
  <dcterms:modified xsi:type="dcterms:W3CDTF">2019-12-07T00:21:09Z</dcterms:modified>
</cp:coreProperties>
</file>