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200660</wp:posOffset>
            </wp:positionH>
            <wp:positionV relativeFrom="page">
              <wp:posOffset>620395</wp:posOffset>
            </wp:positionV>
            <wp:extent cx="716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534670</wp:posOffset>
            </wp:positionV>
            <wp:extent cx="7169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52"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8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82" w:lineRule="exact"/>
        <w:rPr>
          <w:sz w:val="24"/>
          <w:szCs w:val="24"/>
          <w:color w:val="auto"/>
        </w:rPr>
      </w:pPr>
    </w:p>
    <w:p>
      <w:pPr>
        <w:jc w:val="center"/>
        <w:ind w:left="120" w:right="60"/>
        <w:spacing w:after="0" w:line="282" w:lineRule="auto"/>
        <w:rPr>
          <w:sz w:val="20"/>
          <w:szCs w:val="20"/>
          <w:color w:val="auto"/>
        </w:rPr>
      </w:pPr>
      <w:r>
        <w:rPr>
          <w:rFonts w:ascii="Arial" w:cs="Arial" w:eastAsia="Arial" w:hAnsi="Arial"/>
          <w:sz w:val="25"/>
          <w:szCs w:val="25"/>
          <w:b w:val="1"/>
          <w:bCs w:val="1"/>
          <w:color w:val="auto"/>
        </w:rPr>
        <w:t>QUARTERLY REPORT PURSUANT TO SECTION 13 OF THE SECURITIES EXCHANGE ACT OF 1934</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000-32191</w:t>
      </w:r>
    </w:p>
    <w:p>
      <w:pPr>
        <w:spacing w:after="0" w:line="8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 ROWE PRICE GROUP, INC.</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60"/>
          </w:cols>
          <w:pgMar w:left="240" w:top="1012" w:right="299" w:bottom="1440" w:gutter="0" w:footer="0" w:header="0"/>
        </w:sectPr>
      </w:pPr>
    </w:p>
    <w:p>
      <w:pPr>
        <w:spacing w:after="0" w:line="151" w:lineRule="exact"/>
        <w:rPr>
          <w:sz w:val="24"/>
          <w:szCs w:val="24"/>
          <w:color w:val="auto"/>
        </w:rPr>
      </w:pPr>
    </w:p>
    <w:p>
      <w:pPr>
        <w:ind w:left="234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52-2264646</w:t>
      </w:r>
    </w:p>
    <w:p>
      <w:pPr>
        <w:spacing w:after="0" w:line="81" w:lineRule="exact"/>
        <w:rPr>
          <w:sz w:val="24"/>
          <w:szCs w:val="24"/>
          <w:color w:val="auto"/>
        </w:rPr>
      </w:pPr>
    </w:p>
    <w:p>
      <w:pPr>
        <w:sectPr>
          <w:pgSz w:w="11900" w:h="16838" w:orient="portrait"/>
          <w:cols w:equalWidth="0" w:num="2">
            <w:col w:w="7380" w:space="720"/>
            <w:col w:w="3260"/>
          </w:cols>
          <w:pgMar w:left="240" w:top="1012" w:right="299" w:bottom="1440" w:gutter="0" w:footer="0" w:header="0"/>
          <w:type w:val="continuous"/>
        </w:sectPr>
      </w:pPr>
    </w:p>
    <w:p>
      <w:pPr>
        <w:ind w:left="200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720" w:space="720"/>
            <w:col w:w="3920"/>
          </w:cols>
          <w:pgMar w:left="240" w:top="1012"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345-2000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7" w:lineRule="exact"/>
        <w:rPr>
          <w:sz w:val="24"/>
          <w:szCs w:val="24"/>
          <w:color w:val="auto"/>
        </w:rPr>
      </w:pPr>
    </w:p>
    <w:p>
      <w:pPr>
        <w:ind w:left="4340"/>
        <w:spacing w:after="0"/>
        <w:rPr>
          <w:sz w:val="20"/>
          <w:szCs w:val="20"/>
          <w:color w:val="auto"/>
        </w:rPr>
      </w:pPr>
      <w:r>
        <w:rPr>
          <w:rFonts w:ascii="Arial" w:cs="Arial" w:eastAsia="Arial" w:hAnsi="Arial"/>
          <w:sz w:val="14"/>
          <w:szCs w:val="14"/>
          <w:color w:val="auto"/>
        </w:rPr>
        <w:t>______________________________________</w:t>
      </w:r>
    </w:p>
    <w:p>
      <w:pPr>
        <w:spacing w:after="0" w:line="73"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1012" w:right="299" w:bottom="1440" w:gutter="0" w:footer="0" w:header="0"/>
          <w:type w:val="continuous"/>
        </w:sectPr>
      </w:pPr>
    </w:p>
    <w:p>
      <w:pPr>
        <w:spacing w:after="0" w:line="12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40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5200" w:space="720"/>
            <w:col w:w="5440"/>
          </w:cols>
          <w:pgMar w:left="240" w:top="1012" w:right="299" w:bottom="1440" w:gutter="0" w:footer="0" w:header="0"/>
          <w:type w:val="continuous"/>
        </w:sectPr>
      </w:pPr>
    </w:p>
    <w:p>
      <w:pPr>
        <w:ind w:left="592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ectPr>
          <w:pgSz w:w="11900" w:h="16838" w:orient="portrait"/>
          <w:cols w:equalWidth="0" w:num="1">
            <w:col w:w="11360"/>
          </w:cols>
          <w:pgMar w:left="240" w:top="1012" w:right="299" w:bottom="1440" w:gutter="0" w:footer="0" w:header="0"/>
          <w:type w:val="continuous"/>
        </w:sectPr>
      </w:pPr>
    </w:p>
    <w:p>
      <w:pPr>
        <w:spacing w:after="0" w:line="86"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9" w:lineRule="exact"/>
        <w:rPr>
          <w:sz w:val="24"/>
          <w:szCs w:val="24"/>
          <w:color w:val="auto"/>
        </w:rPr>
      </w:pPr>
    </w:p>
    <w:p>
      <w:pPr>
        <w:sectPr>
          <w:pgSz w:w="11900" w:h="16838" w:orient="portrait"/>
          <w:cols w:equalWidth="0" w:num="3">
            <w:col w:w="1760" w:space="60"/>
            <w:col w:w="3380" w:space="720"/>
            <w:col w:w="5440"/>
          </w:cols>
          <w:pgMar w:left="240" w:top="1012" w:right="299" w:bottom="1440" w:gutter="0" w:footer="0" w:header="0"/>
          <w:type w:val="continuous"/>
        </w:sectPr>
      </w:pPr>
    </w:p>
    <w:p>
      <w:pPr>
        <w:spacing w:after="0" w:line="21"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8"/>
          <w:szCs w:val="18"/>
          <w:color w:val="auto"/>
        </w:rPr>
        <w:t>x No</w:t>
      </w:r>
    </w:p>
    <w:p>
      <w:pPr>
        <w:spacing w:after="0" w:line="204"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the issuer’s common stock ($.20 par value), as of the latest practicable date, October 24, 2017, is 242,310,036.</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69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69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360"/>
          </w:cols>
          <w:pgMar w:left="240" w:top="1012"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b w:val="1"/>
                <w:bCs w:val="1"/>
                <w:color w:val="auto"/>
              </w:rPr>
              <w:t>12/31/2016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9/30/2017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507.9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1,359.3</w:t>
            </w: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rPr>
              <w:t>Assets of consolidated sponsored investment portfolios ($1,446.1 million at December 31, 2016, and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$1,845.5 million at September 30, 2017, related to variable interest entities)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1,680.5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2,082.1</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260.2</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6,225.0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7,379.6</w:t>
            </w: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rPr>
              <w:t>Liabilities of consolidated sponsored investment portfolios ($56.8 million at December 31, 2016, and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$43.3 million at September 30, 2017, related to variable interest entities)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53.8</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Supplemental savings plan liability</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179.9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897.8</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953.8</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rPr>
              <w:t>Common stock, $.20 par value—authorized 750,000,000; issued 244,784,000 shares at December 31,</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2016, and 242,214,000 at September 30, 2017</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4,293.6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4,728.2</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permanent stockholders’ equity</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5,008.6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5,528.0</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6,225.0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7,379.6</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80" w:right="239" w:bottom="1440" w:gutter="0" w:footer="0" w:header="0"/>
        </w:sectPr>
      </w:pPr>
    </w:p>
    <w:bookmarkStart w:id="2" w:name="page3"/>
    <w:bookmarkEnd w:id="2"/>
    <w:p>
      <w:pPr>
        <w:ind w:right="5300"/>
        <w:spacing w:after="0" w:line="282"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600" w:type="dxa"/>
            <w:vAlign w:val="bottom"/>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580" w:type="dxa"/>
            <w:vAlign w:val="bottom"/>
            <w:gridSpan w:val="4"/>
            <w:shd w:val="clear" w:color="auto" w:fill="CCEEFF"/>
          </w:tcPr>
          <w:p>
            <w:pPr>
              <w:jc w:val="right"/>
              <w:ind w:right="73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4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96"/>
              </w:rPr>
              <w:t>9/30/2016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9/30/2016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9/30/2017</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970.5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1,096.7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2,761.9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3,131.7</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fees</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266.2</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Distribution and servicing fees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109.0</w:t>
            </w: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3,506.9</w:t>
            </w:r>
          </w:p>
        </w:tc>
      </w:tr>
      <w:tr>
        <w:trPr>
          <w:trHeight w:val="318"/>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Compensation and related costs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386.2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417.4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1,218.6</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 and promotion</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Distribution and servicing costs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109.0</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Occupancy and facility costs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141.2</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345.2</w:t>
            </w:r>
          </w:p>
        </w:tc>
      </w:tr>
      <w:tr>
        <w:trPr>
          <w:trHeight w:val="229"/>
        </w:trPr>
        <w:tc>
          <w:tcPr>
            <w:tcW w:w="5980" w:type="dxa"/>
            <w:vAlign w:val="bottom"/>
            <w:gridSpan w:val="3"/>
          </w:tcPr>
          <w:p>
            <w:pPr>
              <w:ind w:left="180"/>
              <w:spacing w:after="0"/>
              <w:rPr>
                <w:sz w:val="20"/>
                <w:szCs w:val="20"/>
                <w:color w:val="auto"/>
              </w:rPr>
            </w:pPr>
            <w:r>
              <w:rPr>
                <w:rFonts w:ascii="Arial" w:cs="Arial" w:eastAsia="Arial" w:hAnsi="Arial"/>
                <w:sz w:val="18"/>
                <w:szCs w:val="18"/>
                <w:color w:val="auto"/>
                <w:w w:val="97"/>
              </w:rPr>
              <w:t>Nonrecurring charge (insurance recoveries) related to Dell appraisal rights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matter</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1,929.1</w:t>
            </w:r>
          </w:p>
        </w:tc>
      </w:tr>
      <w:tr>
        <w:trPr>
          <w:trHeight w:val="318"/>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1,577.8</w:t>
            </w:r>
          </w:p>
        </w:tc>
      </w:tr>
      <w:tr>
        <w:trPr>
          <w:trHeight w:val="324"/>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Net investment income on investments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165.1</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Net investment income on consolidated sponsored investment portfolios</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294.3</w:t>
            </w:r>
          </w:p>
        </w:tc>
      </w:tr>
      <w:tr>
        <w:trPr>
          <w:trHeight w:val="318"/>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1,872.1</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677.5</w:t>
            </w: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1,194.6</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w w:val="95"/>
              </w:rPr>
              <w:t>Less: net income attributable to redeemable non-controlling interests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43.9</w:t>
            </w: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5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327.8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835.2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1,150.7</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 of T. Rowe Price Group</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5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4.67</w:t>
            </w:r>
          </w:p>
        </w:tc>
      </w:tr>
      <w:tr>
        <w:trPr>
          <w:trHeight w:val="251"/>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0"/>
        </w:trPr>
        <w:tc>
          <w:tcPr>
            <w:tcW w:w="562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8580" w:type="dxa"/>
            <w:vAlign w:val="bottom"/>
            <w:gridSpan w:val="8"/>
          </w:tcPr>
          <w:p>
            <w:pPr>
              <w:ind w:left="338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54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1"/>
              </w:rPr>
              <w:t>Page 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ind w:right="3340"/>
        <w:spacing w:after="0" w:line="282"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64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22"/>
                <w:szCs w:val="22"/>
                <w:color w:val="auto"/>
              </w:rPr>
            </w:pPr>
          </w:p>
        </w:tc>
        <w:tc>
          <w:tcPr>
            <w:tcW w:w="2540" w:type="dxa"/>
            <w:vAlign w:val="bottom"/>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4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9/30/2017</w:t>
            </w:r>
          </w:p>
        </w:tc>
      </w:tr>
      <w:tr>
        <w:trPr>
          <w:trHeight w:val="27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1,194.6</w:t>
            </w: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holding gains on available-for-sale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w w:val="99"/>
              </w:rPr>
              <w:t>Reclassification adjustments recognized in non-operating income:</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8"/>
              </w:rPr>
              <w:t>Net gains realized on dispositions determined using average cost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Net unrealized gains recognized upon the transfer to trading</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unrealized holding gains (losses) recognized in other</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7"/>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Consolidated sponsored investment portfolios - variable interest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entities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w:t>
            </w:r>
          </w:p>
        </w:tc>
      </w:tr>
      <w:tr>
        <w:trPr>
          <w:trHeight w:val="229"/>
        </w:trPr>
        <w:tc>
          <w:tcPr>
            <w:tcW w:w="5420" w:type="dxa"/>
            <w:vAlign w:val="bottom"/>
          </w:tcPr>
          <w:p>
            <w:pPr>
              <w:ind w:left="280"/>
              <w:spacing w:after="0"/>
              <w:rPr>
                <w:sz w:val="20"/>
                <w:szCs w:val="20"/>
                <w:color w:val="auto"/>
              </w:rPr>
            </w:pPr>
            <w:r>
              <w:rPr>
                <w:rFonts w:ascii="Arial" w:cs="Arial" w:eastAsia="Arial" w:hAnsi="Arial"/>
                <w:sz w:val="18"/>
                <w:szCs w:val="18"/>
                <w:color w:val="auto"/>
                <w:w w:val="93"/>
              </w:rPr>
              <w:t>Reclassification gain recognized in non-operating investment income</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420" w:type="dxa"/>
            <w:vAlign w:val="bottom"/>
          </w:tcPr>
          <w:p>
            <w:pPr>
              <w:ind w:left="280"/>
              <w:spacing w:after="0"/>
              <w:rPr>
                <w:sz w:val="20"/>
                <w:szCs w:val="20"/>
                <w:color w:val="auto"/>
              </w:rPr>
            </w:pPr>
            <w:r>
              <w:rPr>
                <w:rFonts w:ascii="Arial" w:cs="Arial" w:eastAsia="Arial" w:hAnsi="Arial"/>
                <w:sz w:val="18"/>
                <w:szCs w:val="18"/>
                <w:color w:val="auto"/>
              </w:rPr>
              <w:t>upon deconsolidation of sponsored fund subsidiary</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5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Consolidated sponsored investment portfolios - variable interest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7"/>
        </w:trPr>
        <w:tc>
          <w:tcPr>
            <w:tcW w:w="5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entities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w:t>
            </w:r>
          </w:p>
        </w:tc>
      </w:tr>
      <w:tr>
        <w:trPr>
          <w:trHeight w:val="243"/>
        </w:trPr>
        <w:tc>
          <w:tcPr>
            <w:tcW w:w="5420" w:type="dxa"/>
            <w:vAlign w:val="bottom"/>
          </w:tcPr>
          <w:p>
            <w:pPr>
              <w:ind w:left="260"/>
              <w:spacing w:after="0"/>
              <w:rPr>
                <w:sz w:val="20"/>
                <w:szCs w:val="20"/>
                <w:color w:val="auto"/>
              </w:rPr>
            </w:pPr>
            <w:r>
              <w:rPr>
                <w:rFonts w:ascii="Arial" w:cs="Arial" w:eastAsia="Arial" w:hAnsi="Arial"/>
                <w:sz w:val="18"/>
                <w:szCs w:val="18"/>
                <w:color w:val="auto"/>
              </w:rPr>
              <w:t>Equity method investments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4.5</w:t>
            </w:r>
          </w:p>
        </w:tc>
      </w:tr>
      <w:tr>
        <w:trPr>
          <w:trHeight w:val="27"/>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currency translation adjustments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w:t>
            </w:r>
          </w:p>
        </w:tc>
      </w:tr>
      <w:tr>
        <w:trPr>
          <w:trHeight w:val="210"/>
        </w:trPr>
        <w:tc>
          <w:tcPr>
            <w:tcW w:w="5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Net deferred tax benefits (income taxes)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8.2</w:t>
            </w:r>
          </w:p>
        </w:tc>
      </w:tr>
      <w:tr>
        <w:trPr>
          <w:trHeight w:val="27"/>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r>
      <w:tr>
        <w:trPr>
          <w:trHeight w:val="210"/>
        </w:trPr>
        <w:tc>
          <w:tcPr>
            <w:tcW w:w="5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1,196.4</w:t>
            </w:r>
          </w:p>
        </w:tc>
      </w:tr>
      <w:tr>
        <w:trPr>
          <w:trHeight w:val="229"/>
        </w:trPr>
        <w:tc>
          <w:tcPr>
            <w:tcW w:w="5420" w:type="dxa"/>
            <w:vAlign w:val="bottom"/>
          </w:tcPr>
          <w:p>
            <w:pPr>
              <w:ind w:left="180"/>
              <w:spacing w:after="0"/>
              <w:rPr>
                <w:sz w:val="20"/>
                <w:szCs w:val="20"/>
                <w:color w:val="auto"/>
              </w:rPr>
            </w:pPr>
            <w:r>
              <w:rPr>
                <w:rFonts w:ascii="Arial" w:cs="Arial" w:eastAsia="Arial" w:hAnsi="Arial"/>
                <w:sz w:val="18"/>
                <w:szCs w:val="18"/>
                <w:color w:val="auto"/>
                <w:w w:val="91"/>
              </w:rPr>
              <w:t>Less: comprehensive income attributable to redeemable non-controlling</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57.7</w:t>
            </w:r>
          </w:p>
        </w:tc>
      </w:tr>
      <w:tr>
        <w:trPr>
          <w:trHeight w:val="27"/>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T. Rowe Price Group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402.0</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814.4</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1,138.7</w:t>
            </w: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100"/>
          </w:cols>
          <w:pgMar w:left="240" w:top="580" w:right="5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UNAUDITED CONDENSED CONSOLIDATED STATEMENTS OF CASH FLOWS</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b w:val="1"/>
          <w:bCs w:val="1"/>
          <w:color w:val="auto"/>
        </w:rPr>
        <w:t>(in millions)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4"/>
            <w:shd w:val="clear" w:color="auto" w:fill="CCEEFF"/>
          </w:tcPr>
          <w:p>
            <w:pPr>
              <w:jc w:val="right"/>
              <w:ind w:right="7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58"/>
        </w:trPr>
        <w:tc>
          <w:tcPr>
            <w:tcW w:w="8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9/30/2017</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887.2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1,194.6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Realized gains on dispositions of available-for-sale sponsored investment portfolios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Gains recognized upon transfer of an available-for-sale sponsored investment portfolio to sponsored investment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portfolios held as trading</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Net gains recognized on other investments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Investments in sponsored investment portfolios held as trading to economically hedge supplemental savings plan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liability</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Net change in trading securities held by consolidated sponsored investment portfolios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(1,210.5)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available-for-sale sponsored investment portfolios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Dispositions of available-for-sale sponsored investment portfolios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of sponsored investment portfolios on consolidation (deconsolidation)</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 to common stockholders of T. Rowe Price Group</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798.2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Effect of exchange rate changes on cash and cash equivalents of consolidated sponsored investment portfolios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705.7</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1,270.5</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Cash and cash equivalents at end of period, including $86.3 million at September 30, 2016, and $106.8 million at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1,487.3</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1,976.2</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2017, held by consolidated sponsored investment portfolios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See note 12 for a supplementary consolidating cash flow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-181610</wp:posOffset>
            </wp:positionV>
            <wp:extent cx="1800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529" w:right="259" w:bottom="1440" w:gutter="0" w:footer="0" w:header="0"/>
        </w:sectPr>
      </w:pPr>
    </w:p>
    <w:bookmarkStart w:id="5" w:name="page6"/>
    <w:bookmarkEnd w:id="5"/>
    <w:p>
      <w:pPr>
        <w:ind w:right="3840"/>
        <w:spacing w:after="0" w:line="282" w:lineRule="auto"/>
        <w:rPr>
          <w:sz w:val="20"/>
          <w:szCs w:val="20"/>
          <w:color w:val="auto"/>
        </w:rPr>
      </w:pPr>
      <w:r>
        <w:rPr>
          <w:rFonts w:ascii="Arial" w:cs="Arial" w:eastAsia="Arial" w:hAnsi="Arial"/>
          <w:sz w:val="18"/>
          <w:szCs w:val="18"/>
          <w:b w:val="1"/>
          <w:bCs w:val="1"/>
          <w:color w:val="auto"/>
        </w:rPr>
        <w:t>UNAUDITED CONDENSED CONSOLIDATED STATEMENT OF STOCKHOLDERS’ EQUITY (shares in thousands; dollars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35"/>
        </w:trPr>
        <w:tc>
          <w:tcPr>
            <w:tcW w:w="33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Common</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capital in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Total</w:t>
            </w: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33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b w:val="1"/>
                <w:bCs w:val="1"/>
                <w:color w:val="auto"/>
                <w:w w:val="81"/>
              </w:rPr>
              <w:t>shares</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Common</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77"/>
              </w:rPr>
              <w:t>excess of</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stockholders’</w:t>
            </w:r>
          </w:p>
        </w:tc>
        <w:tc>
          <w:tcPr>
            <w:tcW w:w="1140" w:type="dxa"/>
            <w:vAlign w:val="bottom"/>
            <w:gridSpan w:val="2"/>
            <w:shd w:val="clear" w:color="auto" w:fill="CCEEFF"/>
          </w:tcPr>
          <w:p>
            <w:pPr>
              <w:jc w:val="right"/>
              <w:ind w:right="10"/>
              <w:spacing w:after="0" w:line="135" w:lineRule="exact"/>
              <w:rPr>
                <w:sz w:val="20"/>
                <w:szCs w:val="20"/>
                <w:color w:val="auto"/>
              </w:rPr>
            </w:pPr>
            <w:r>
              <w:rPr>
                <w:rFonts w:ascii="Arial" w:cs="Arial" w:eastAsia="Arial" w:hAnsi="Arial"/>
                <w:sz w:val="13"/>
                <w:szCs w:val="13"/>
                <w:b w:val="1"/>
                <w:bCs w:val="1"/>
                <w:color w:val="auto"/>
                <w:w w:val="94"/>
              </w:rPr>
              <w:t>Redeemable non-</w:t>
            </w:r>
          </w:p>
        </w:tc>
      </w:tr>
      <w:tr>
        <w:trPr>
          <w:trHeight w:val="174"/>
        </w:trPr>
        <w:tc>
          <w:tcPr>
            <w:tcW w:w="3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b w:val="1"/>
                <w:bCs w:val="1"/>
                <w:color w:val="auto"/>
                <w:w w:val="83"/>
              </w:rPr>
              <w:t>outstanding</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w w:val="82"/>
              </w:rPr>
              <w:t>stock</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87"/>
              </w:rPr>
              <w:t>par value</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earnings</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83"/>
              </w:rPr>
              <w:t>income (loss)</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88"/>
              </w:rPr>
              <w:t>equity</w:t>
            </w: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w w:val="86"/>
              </w:rPr>
              <w:t>controlling interests</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Balances at December 31, 2016</w:t>
            </w:r>
          </w:p>
        </w:tc>
        <w:tc>
          <w:tcPr>
            <w:tcW w:w="10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244,784</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4,293.6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5,008.6</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687.2</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6"/>
              </w:rPr>
              <w:t>Other comprehensive income (loss), net of</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tax</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6"/>
              </w:rPr>
              <w:t>Common stock-based compensation plans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activity</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issued upon option exercises</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4,001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Restricted shares issued, net of shares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withheld for taxes</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Shares issued upon vesting of restricted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stock units, net of shares withheld for taxes</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Forfeiture of restricted awards</w:t>
            </w: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6"/>
              </w:rPr>
              <w:t>Restricted stock units issued as dividend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repurchased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2"/>
              </w:rPr>
              <w:t>Net subscriptions into sponsored investment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portfolios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988.2</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deconsolidations of sponsored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portfolios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(779.3)</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Balances at September 30, 2017</w:t>
            </w:r>
          </w:p>
        </w:tc>
        <w:tc>
          <w:tcPr>
            <w:tcW w:w="10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242,214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751.9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4,728.2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5,528.0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953.8</w:t>
            </w:r>
          </w:p>
        </w:tc>
      </w:tr>
      <w:tr>
        <w:trPr>
          <w:trHeight w:val="20"/>
        </w:trPr>
        <w:tc>
          <w:tcPr>
            <w:tcW w:w="3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PREPARATION.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 Rowe Price Group (Price Group) derives its consolidated revenues and net income primarily from investment advisory services that its subsidiaries provide to individual and institutional investors in the sponsored T. Rowe Price U.S. mutual funds and other investment portfolios, including separately managed accounts, subadvised funds, and other sponsored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 Certain prior year amounts have been reclassified to conform to the 2017 presentation.</w:t>
      </w:r>
    </w:p>
    <w:p>
      <w:pPr>
        <w:spacing w:after="0" w:line="18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2016 Annual Report.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INFORMATION ABOUT RECEIVABLES, REVENUES, AND SERVICES.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Accounts receivable from our sponsored investment portfolios, including our U.S. mutual funds, for advisory fees and advisory-related administrative services aggregate $303.1 million at December 31, 2016, and $332.4 million at September 30, 2017.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U.S. mutual funds and other investment clients include: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760" w:type="dxa"/>
            <w:vAlign w:val="bottom"/>
            <w:tcBorders>
              <w:bottom w:val="single" w:sz="8" w:color="auto"/>
            </w:tcBorders>
            <w:gridSpan w:val="4"/>
            <w:shd w:val="clear" w:color="auto" w:fill="CCEEFF"/>
          </w:tcPr>
          <w:p>
            <w:pPr>
              <w:jc w:val="right"/>
              <w:ind w:right="77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shd w:val="clear" w:color="auto" w:fill="CCEEFF"/>
          </w:tcPr>
          <w:p>
            <w:pPr>
              <w:spacing w:after="0"/>
              <w:rPr>
                <w:sz w:val="17"/>
                <w:szCs w:val="17"/>
                <w:color w:val="auto"/>
              </w:rPr>
            </w:pPr>
          </w:p>
        </w:tc>
        <w:tc>
          <w:tcPr>
            <w:tcW w:w="2780" w:type="dxa"/>
            <w:vAlign w:val="bottom"/>
            <w:tcBorders>
              <w:bottom w:val="single" w:sz="8" w:color="auto"/>
            </w:tcBorders>
            <w:gridSpan w:val="4"/>
            <w:shd w:val="clear" w:color="auto" w:fill="CCEEFF"/>
          </w:tcPr>
          <w:p>
            <w:pPr>
              <w:jc w:val="right"/>
              <w:ind w:right="832"/>
              <w:spacing w:after="0"/>
              <w:rPr>
                <w:sz w:val="20"/>
                <w:szCs w:val="20"/>
                <w:color w:val="auto"/>
              </w:rPr>
            </w:pPr>
            <w:r>
              <w:rPr>
                <w:rFonts w:ascii="Arial" w:cs="Arial" w:eastAsia="Arial" w:hAnsi="Arial"/>
                <w:sz w:val="14"/>
                <w:szCs w:val="14"/>
                <w:b w:val="1"/>
                <w:bCs w:val="1"/>
                <w:color w:val="auto"/>
              </w:rPr>
              <w:t>Nine months ended</w:t>
            </w:r>
          </w:p>
        </w:tc>
      </w:tr>
      <w:tr>
        <w:trPr>
          <w:trHeight w:val="258"/>
        </w:trPr>
        <w:tc>
          <w:tcPr>
            <w:tcW w:w="52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9/30/2016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9/30/2017</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9/30/2017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579.3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656.8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1,649.9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1,879.5</w:t>
            </w:r>
          </w:p>
        </w:tc>
      </w:tr>
      <w:tr>
        <w:trPr>
          <w:trHeight w:val="27"/>
        </w:trPr>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and money market</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374.5</w:t>
            </w:r>
          </w:p>
        </w:tc>
      </w:tr>
      <w:tr>
        <w:trPr>
          <w:trHeight w:val="237"/>
        </w:trPr>
        <w:tc>
          <w:tcPr>
            <w:tcW w:w="52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703.5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783.9</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2,004.7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2,254.0</w:t>
            </w:r>
          </w:p>
        </w:tc>
      </w:tr>
      <w:tr>
        <w:trPr>
          <w:trHeight w:val="27"/>
        </w:trPr>
        <w:tc>
          <w:tcPr>
            <w:tcW w:w="5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222.2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259.6</w:t>
            </w:r>
          </w:p>
        </w:tc>
        <w:tc>
          <w:tcPr>
            <w:tcW w:w="32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630.4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727.8</w:t>
            </w:r>
          </w:p>
        </w:tc>
      </w:tr>
      <w:tr>
        <w:trPr>
          <w:trHeight w:val="27"/>
        </w:trPr>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money market, and stable value</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149.9</w:t>
            </w:r>
          </w:p>
        </w:tc>
      </w:tr>
      <w:tr>
        <w:trPr>
          <w:trHeight w:val="237"/>
        </w:trPr>
        <w:tc>
          <w:tcPr>
            <w:tcW w:w="52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877.7</w:t>
            </w:r>
          </w:p>
        </w:tc>
      </w:tr>
      <w:tr>
        <w:trPr>
          <w:trHeight w:val="27"/>
        </w:trPr>
        <w:tc>
          <w:tcPr>
            <w:tcW w:w="5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970.5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2,761.9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3,131.7</w:t>
            </w:r>
          </w:p>
        </w:tc>
      </w:tr>
      <w:tr>
        <w:trPr>
          <w:trHeight w:val="20"/>
        </w:trPr>
        <w:tc>
          <w:tcPr>
            <w:tcW w:w="5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Other investment portfolios include advisory revenues of $101.1 million and $125.1 million for the three months ended September 30, 2016 and 2017, respectively, that were earned from other sponsored investment portfolios. Fees earned during the nine months ended September 30, 2016 and 2017, total $283.3 million and $339.8 million respectively.</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voluntarily waived $2.1 million and $9.4 million in money market related fees, including advisory fees and fund expenses, during the three and nine months ended September 30, 2016, respectively, in order to maintain a positive yield for investors. We did not waive any money market related fees during 2017.</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following table summarizes the investment portfolios and assets under management (in billions) on which we earn advisory fees.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4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Average during</w:t>
            </w: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Average during</w:t>
            </w:r>
          </w:p>
        </w:tc>
        <w:tc>
          <w:tcPr>
            <w:tcW w:w="1040" w:type="dxa"/>
            <w:vAlign w:val="bottom"/>
            <w:shd w:val="clear" w:color="auto" w:fill="CCEEFF"/>
          </w:tcPr>
          <w:p>
            <w:pPr>
              <w:spacing w:after="0"/>
              <w:rPr>
                <w:sz w:val="23"/>
                <w:szCs w:val="23"/>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the third quarter of</w:t>
            </w: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jc w:val="right"/>
              <w:ind w:right="712"/>
              <w:spacing w:after="0"/>
              <w:rPr>
                <w:sz w:val="20"/>
                <w:szCs w:val="20"/>
                <w:color w:val="auto"/>
              </w:rPr>
            </w:pPr>
            <w:r>
              <w:rPr>
                <w:rFonts w:ascii="Arial" w:cs="Arial" w:eastAsia="Arial" w:hAnsi="Arial"/>
                <w:sz w:val="14"/>
                <w:szCs w:val="14"/>
                <w:b w:val="1"/>
                <w:bCs w:val="1"/>
                <w:color w:val="auto"/>
              </w:rPr>
              <w:t>the first nine months of</w:t>
            </w:r>
          </w:p>
        </w:tc>
      </w:tr>
      <w:tr>
        <w:trPr>
          <w:trHeight w:val="270"/>
        </w:trPr>
        <w:tc>
          <w:tcPr>
            <w:tcW w:w="51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399.3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64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119.6</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511.3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218.2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81.5</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292.3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328.5</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803.6</w:t>
            </w:r>
          </w:p>
        </w:tc>
        <w:tc>
          <w:tcPr>
            <w:tcW w:w="1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927.4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768.3</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886.3</w:t>
            </w:r>
          </w:p>
        </w:tc>
      </w:tr>
      <w:tr>
        <w:trPr>
          <w:trHeight w:val="311"/>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w w:val="85"/>
              </w:rPr>
              <w:t>As of</w:t>
            </w:r>
          </w:p>
        </w:tc>
        <w:tc>
          <w:tcPr>
            <w:tcW w:w="1040" w:type="dxa"/>
            <w:vAlign w:val="bottom"/>
            <w:tcBorders>
              <w:bottom w:val="single" w:sz="8" w:color="auto"/>
            </w:tcBorders>
          </w:tcPr>
          <w:p>
            <w:pPr>
              <w:spacing w:after="0"/>
              <w:rPr>
                <w:sz w:val="22"/>
                <w:szCs w:val="22"/>
                <w:color w:val="auto"/>
              </w:rPr>
            </w:pPr>
          </w:p>
        </w:tc>
      </w:tr>
      <w:tr>
        <w:trPr>
          <w:trHeight w:val="270"/>
        </w:trPr>
        <w:tc>
          <w:tcPr>
            <w:tcW w:w="5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12/31/2016</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w w:val="93"/>
              </w:rPr>
              <w:t>9/30/2017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64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123.4</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89.5</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362.6</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947.9</w:t>
            </w:r>
          </w:p>
        </w:tc>
      </w:tr>
      <w:tr>
        <w:trPr>
          <w:trHeight w:val="20"/>
        </w:trPr>
        <w:tc>
          <w:tcPr>
            <w:tcW w:w="5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4.7% and 5.4% of our assets under management at December 31, 2016, and September 30,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fees (in millions) we earn from our sponsored U.S. mutual funds.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20" w:type="dxa"/>
            <w:vAlign w:val="bottom"/>
            <w:shd w:val="clear" w:color="auto" w:fill="CCEEFF"/>
          </w:tcPr>
          <w:p>
            <w:pPr>
              <w:spacing w:after="0"/>
              <w:rPr>
                <w:sz w:val="22"/>
                <w:szCs w:val="22"/>
                <w:color w:val="auto"/>
              </w:rPr>
            </w:pPr>
          </w:p>
        </w:tc>
        <w:tc>
          <w:tcPr>
            <w:tcW w:w="2660" w:type="dxa"/>
            <w:vAlign w:val="bottom"/>
            <w:tcBorders>
              <w:bottom w:val="single" w:sz="8" w:color="auto"/>
            </w:tcBorders>
            <w:gridSpan w:val="4"/>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gridSpan w:val="4"/>
            <w:shd w:val="clear" w:color="auto" w:fill="CCEEFF"/>
          </w:tcPr>
          <w:p>
            <w:pPr>
              <w:ind w:left="68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9/30/2017</w:t>
            </w:r>
          </w:p>
        </w:tc>
        <w:tc>
          <w:tcPr>
            <w:tcW w:w="4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9/30/2017</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fees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69.2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208.6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210.6</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Distribution and servicing fees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36.7</w:t>
            </w:r>
          </w:p>
        </w:tc>
        <w:tc>
          <w:tcPr>
            <w:tcW w:w="100" w:type="dxa"/>
            <w:vAlign w:val="bottom"/>
          </w:tcPr>
          <w:p>
            <w:pPr>
              <w:spacing w:after="0"/>
              <w:rPr>
                <w:sz w:val="21"/>
                <w:szCs w:val="21"/>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37.4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ind w:left="680"/>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109.0</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investments (in millions) we do not consolidate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7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12/31/2016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9/30/2017</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Available-for-sale sponsored investment portfolios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709.0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573.0</w:t>
            </w: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Sponsored investment portfolios</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287.7</w:t>
            </w: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154.6</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Investment partnerships</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w:t>
            </w: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Trading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8780" w:type="dxa"/>
            <w:vAlign w:val="bottom"/>
          </w:tcPr>
          <w:p>
            <w:pPr>
              <w:ind w:left="180"/>
              <w:spacing w:after="0"/>
              <w:rPr>
                <w:sz w:val="20"/>
                <w:szCs w:val="20"/>
                <w:color w:val="auto"/>
              </w:rPr>
            </w:pPr>
            <w:r>
              <w:rPr>
                <w:rFonts w:ascii="Arial" w:cs="Arial" w:eastAsia="Arial" w:hAnsi="Arial"/>
                <w:sz w:val="18"/>
                <w:szCs w:val="18"/>
                <w:color w:val="auto"/>
              </w:rPr>
              <w:t>Sponsored investment portfolios designated as economic hedge of</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780" w:type="dxa"/>
            <w:vAlign w:val="bottom"/>
          </w:tcPr>
          <w:p>
            <w:pPr>
              <w:ind w:left="180"/>
              <w:spacing w:after="0"/>
              <w:rPr>
                <w:sz w:val="20"/>
                <w:szCs w:val="20"/>
                <w:color w:val="auto"/>
              </w:rPr>
            </w:pPr>
            <w:r>
              <w:rPr>
                <w:rFonts w:ascii="Arial" w:cs="Arial" w:eastAsia="Arial" w:hAnsi="Arial"/>
                <w:sz w:val="18"/>
                <w:szCs w:val="18"/>
                <w:color w:val="auto"/>
              </w:rPr>
              <w:t>supplemental savings plan liability</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178.4</w:t>
            </w: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sponsored investment portfolios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82.3</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77.4</w:t>
            </w: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note</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57"/>
        </w:trPr>
        <w:tc>
          <w:tcPr>
            <w:tcW w:w="87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1,257.5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1,359.3</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At the end of the second quarter 2017, we made the decision to economically hedge the market exposure associated with our supplemental savings plan liability with certain sponsored investment portfolios. In order to fund the hedge portfolio, we used the proceeds from the sale of certain available-for-sale sponsored investment holdings as well as designated a sponsored fund that was held as available-for-sale.</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first nine months of 2016 and 2017, certain sponsored investment portfolios in which we provided initial seed capital at the time of formation were deconsolidated, as we no longer had a controlling interest. Additionally, during the first nine months of 2016 and 2017, certain sponsored investment portfolios that were being accounted for as equity method investments were consolidated, as we regained a controlling interest. The net impact of these changes on our condensed consolidated balance sheets and income statements as of the dates the portfolios were deconsolidated or reconsolidated is detailed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20" w:type="dxa"/>
            <w:vAlign w:val="bottom"/>
            <w:gridSpan w:val="5"/>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17"/>
                <w:szCs w:val="17"/>
                <w:color w:val="auto"/>
              </w:rPr>
            </w:pPr>
          </w:p>
        </w:tc>
        <w:tc>
          <w:tcPr>
            <w:tcW w:w="2400" w:type="dxa"/>
            <w:vAlign w:val="bottom"/>
            <w:gridSpan w:val="4"/>
            <w:shd w:val="clear" w:color="auto" w:fill="CCEEFF"/>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64"/>
        </w:trPr>
        <w:tc>
          <w:tcPr>
            <w:tcW w:w="606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shd w:val="clear" w:color="auto" w:fill="CCEEFF"/>
          </w:tcPr>
          <w:p>
            <w:pPr>
              <w:spacing w:after="0"/>
              <w:rPr>
                <w:sz w:val="5"/>
                <w:szCs w:val="5"/>
                <w:color w:val="auto"/>
              </w:rPr>
            </w:pPr>
          </w:p>
        </w:tc>
      </w:tr>
      <w:tr>
        <w:trPr>
          <w:trHeight w:val="258"/>
        </w:trPr>
        <w:tc>
          <w:tcPr>
            <w:tcW w:w="60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9/30/2016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9/30/2017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Net increase (decrease) in assets of consolidated sponsored investment portfolios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(1,060.5)</w:t>
            </w: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rPr>
              <w:t>Net increase (decrease) in liabilities of consolidated sponsored investment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portfolios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(133.6)</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redeemable non-controlling interests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(779.3)</w:t>
            </w:r>
          </w:p>
        </w:tc>
      </w:tr>
      <w:tr>
        <w:trPr>
          <w:trHeight w:val="28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recognized upon deconsolidation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7"/>
        </w:trPr>
        <w:tc>
          <w:tcPr>
            <w:tcW w:w="6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gains recognized upon deconsolidation were the result of reclassifying currency translation adjustments accumulated on investment portfolios’ with non-USD functional currencies from accumulated other comprehensive income to non-operating income. Depending on our ownership interest, we are now reporting our residual interests in these sponsored investment portfolios as either an equity method or available-for-sale investment.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AVAILABLE-FOR-SALE SPONSORED INVESTMENT PORTFOLIOS.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available-for-sale sponsored investment portfolios (in millions)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2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Unrealized holding</w:t>
            </w: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vMerge w:val="restart"/>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84"/>
        </w:trPr>
        <w:tc>
          <w:tcPr>
            <w:tcW w:w="4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5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vMerge w:val="restart"/>
            <w:shd w:val="clear" w:color="auto" w:fill="CCEEFF"/>
          </w:tcPr>
          <w:p>
            <w:pPr>
              <w:jc w:val="right"/>
              <w:ind w:right="93"/>
              <w:spacing w:after="0"/>
              <w:rPr>
                <w:sz w:val="20"/>
                <w:szCs w:val="20"/>
                <w:color w:val="auto"/>
              </w:rPr>
            </w:pPr>
            <w:r>
              <w:rPr>
                <w:rFonts w:ascii="Arial" w:cs="Arial" w:eastAsia="Arial" w:hAnsi="Arial"/>
                <w:sz w:val="14"/>
                <w:szCs w:val="14"/>
                <w:b w:val="1"/>
                <w:bCs w:val="1"/>
                <w:color w:val="auto"/>
                <w:w w:val="90"/>
              </w:rPr>
              <w:t>Aggregate cost</w:t>
            </w: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8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gains</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losses</w:t>
            </w: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606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2016</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162.9</w:t>
            </w:r>
          </w:p>
        </w:tc>
        <w:tc>
          <w:tcPr>
            <w:tcW w:w="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Bond funds</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463.3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626.2</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September 30, 2017</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5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Stock and blended asset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118.8</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840" w:type="dxa"/>
            <w:vAlign w:val="bottom"/>
          </w:tcPr>
          <w:p>
            <w:pPr>
              <w:jc w:val="right"/>
              <w:ind w:right="63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57"/>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555.1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following table details the number of holdings, the unrealized holding losses, and the aggregate fair value of available-for-sale sponsored investment portfolios with unrealized losses categorized by the length of time they have been in a continuous unrealized loss position: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72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228"/>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Unrealized</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Aggregate</w:t>
            </w:r>
          </w:p>
        </w:tc>
      </w:tr>
      <w:tr>
        <w:trPr>
          <w:trHeight w:val="192"/>
        </w:trPr>
        <w:tc>
          <w:tcPr>
            <w:tcW w:w="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7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b w:val="1"/>
                <w:bCs w:val="1"/>
                <w:color w:val="auto"/>
                <w:w w:val="89"/>
              </w:rPr>
              <w:t>holdings</w:t>
            </w:r>
          </w:p>
        </w:tc>
        <w:tc>
          <w:tcPr>
            <w:tcW w:w="3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4"/>
                <w:szCs w:val="14"/>
                <w:b w:val="1"/>
                <w:bCs w:val="1"/>
                <w:color w:val="auto"/>
                <w:w w:val="93"/>
              </w:rPr>
              <w:t>holding losses</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fair value</w:t>
            </w:r>
          </w:p>
        </w:tc>
      </w:tr>
      <w:tr>
        <w:trPr>
          <w:trHeight w:val="202"/>
        </w:trPr>
        <w:tc>
          <w:tcPr>
            <w:tcW w:w="81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December 31, 2016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Less than 12 months</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328.1</w:t>
            </w:r>
          </w:p>
        </w:tc>
      </w:tr>
      <w:tr>
        <w:trPr>
          <w:trHeight w:val="243"/>
        </w:trPr>
        <w:tc>
          <w:tcPr>
            <w:tcW w:w="8180" w:type="dxa"/>
            <w:vAlign w:val="bottom"/>
            <w:gridSpan w:val="5"/>
          </w:tcPr>
          <w:p>
            <w:pPr>
              <w:ind w:left="40"/>
              <w:spacing w:after="0"/>
              <w:rPr>
                <w:sz w:val="20"/>
                <w:szCs w:val="20"/>
                <w:color w:val="auto"/>
              </w:rPr>
            </w:pPr>
            <w:r>
              <w:rPr>
                <w:rFonts w:ascii="Arial" w:cs="Arial" w:eastAsia="Arial" w:hAnsi="Arial"/>
                <w:sz w:val="18"/>
                <w:szCs w:val="18"/>
                <w:color w:val="auto"/>
              </w:rPr>
              <w:t>12 months or more</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169.5</w:t>
            </w: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1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497.6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81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September 30, 2017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57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8180" w:type="dxa"/>
            <w:vAlign w:val="bottom"/>
            <w:gridSpan w:val="5"/>
          </w:tcPr>
          <w:p>
            <w:pPr>
              <w:ind w:left="40"/>
              <w:spacing w:after="0"/>
              <w:rPr>
                <w:sz w:val="20"/>
                <w:szCs w:val="20"/>
                <w:color w:val="auto"/>
              </w:rPr>
            </w:pPr>
            <w:r>
              <w:rPr>
                <w:rFonts w:ascii="Arial" w:cs="Arial" w:eastAsia="Arial" w:hAnsi="Arial"/>
                <w:sz w:val="18"/>
                <w:szCs w:val="18"/>
                <w:color w:val="auto"/>
              </w:rPr>
              <w:t>Less than 12 months</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24.5</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12 months or more</w:t>
            </w:r>
          </w:p>
        </w:tc>
        <w:tc>
          <w:tcPr>
            <w:tcW w:w="9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168.3</w:t>
            </w:r>
          </w:p>
        </w:tc>
      </w:tr>
      <w:tr>
        <w:trPr>
          <w:trHeight w:val="257"/>
        </w:trPr>
        <w:tc>
          <w:tcPr>
            <w:tcW w:w="720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192.8</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the duration of the impairments, we reviewed the severity of the impairment as well as our intent and ability to hold the investments for a period of time sufficient for an anticipated recovery in fair value. Accordingly, impairment of these investment holdings is considered temporary at December 31, 2016 and September 30, 2017.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VARIABLE INTEREST ENTITIES.</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investments at December 31, 2016 and September 30, 2017, include interests in variable interest entities that we do not consolidate as we are not deemed the primary beneficiary. Our maximum risk of loss (in millions) related to our involvement with these entities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12/31/2016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9/30/2017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Investment carrying values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132.9</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Unfunded capital commitments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Uncollected investment advisory and administrative fees</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6.4</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182.6</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unfunded capital commitments totaling $43.3 million relate primarily to investment partnerships in which we have an existing investment. In addition to such amounts, a percentage of prior distributions may be called under certain circumstances.</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10</w:t>
      </w:r>
    </w:p>
    <w:p>
      <w:pPr>
        <w:sectPr>
          <w:pgSz w:w="11900" w:h="16838" w:orient="portrait"/>
          <w:cols w:equalWidth="0" w:num="1">
            <w:col w:w="11420"/>
          </w:cols>
          <w:pgMar w:left="240" w:top="800"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determine the fair value of our cash equivalents and certain investments using the following broad levels of inputs as defined by related accounting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740" w:right="46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Level 3 – unobservable inputs reflecting our own assumptions based on the best information available. We do not value any investments using Level 3 inputs.</w:t>
      </w:r>
    </w:p>
    <w:p>
      <w:pPr>
        <w:spacing w:after="0" w:line="18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transfers between the levels. The following table summarizes our investments (in millions) that are recognized in our condensed consolidated balance sheets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3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Level 2</w:t>
            </w:r>
          </w:p>
        </w:tc>
      </w:tr>
      <w:tr>
        <w:trPr>
          <w:trHeight w:val="196"/>
        </w:trPr>
        <w:tc>
          <w:tcPr>
            <w:tcW w:w="880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2016</w:t>
            </w: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7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Available-for-sale sponsored investment portfolios</w:t>
            </w: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709.0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Sponsored investment portfolios held as trading</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r>
      <w:tr>
        <w:trPr>
          <w:trHeight w:val="297"/>
        </w:trPr>
        <w:tc>
          <w:tcPr>
            <w:tcW w:w="88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1,821.6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15.1</w:t>
            </w:r>
          </w:p>
        </w:tc>
      </w:tr>
      <w:tr>
        <w:trPr>
          <w:trHeight w:val="284"/>
        </w:trPr>
        <w:tc>
          <w:tcPr>
            <w:tcW w:w="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03"/>
        </w:trPr>
        <w:tc>
          <w:tcPr>
            <w:tcW w:w="88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September 30, 2017</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7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Available-for-sale sponsored investment portfolios</w:t>
            </w: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Sponsored investment portfolios held as trading</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r>
      <w:tr>
        <w:trPr>
          <w:trHeight w:val="257"/>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2,422.2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17.8</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table above excludes investments held by consolidated sponsored investment portfolios which are presented separately on our condensed consolidated balance sheets and are detailed in Note 5.</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SPONSORED INVESTMENT PORTFOLIOS.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sponsored investment portfolios that we consolidate in our condensed consolidated financial statements are generally those products we provided initial seed capital at the time of their formation and have a controlling interest. Our U.S. sponsored investment portfolios are considered voting interest entities, while those regulated outside the U.S. are considered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details the net assets of the consolidated sponsored investment portfolios: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Variable</w:t>
            </w:r>
          </w:p>
        </w:tc>
        <w:tc>
          <w:tcPr>
            <w:tcW w:w="240" w:type="dxa"/>
            <w:vAlign w:val="bottom"/>
          </w:tcPr>
          <w:p>
            <w:pPr>
              <w:spacing w:after="0"/>
              <w:rPr>
                <w:sz w:val="13"/>
                <w:szCs w:val="13"/>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Variable</w:t>
            </w:r>
          </w:p>
        </w:tc>
        <w:tc>
          <w:tcPr>
            <w:tcW w:w="240" w:type="dxa"/>
            <w:vAlign w:val="bottom"/>
          </w:tcPr>
          <w:p>
            <w:pPr>
              <w:spacing w:after="0"/>
              <w:rPr>
                <w:sz w:val="13"/>
                <w:szCs w:val="13"/>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interest entities</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interest entities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interest entities</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2"/>
              </w:rPr>
              <w:t>interest entities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1,340.6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1,559.9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1,720.0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1,940.7</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1,446.1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1,845.5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2,082.1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1,389.3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1,614.9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226.1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1,802.2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2,028.3</w:t>
            </w: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156.1</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771.6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927.7</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165.7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908.8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1,074.5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687.2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953.8</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1,389.3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1,614.9</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226.1</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1,802.2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2,028.3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17145</wp:posOffset>
            </wp:positionV>
            <wp:extent cx="42621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29" w:lineRule="exact"/>
        <w:rPr>
          <w:sz w:val="20"/>
          <w:szCs w:val="20"/>
          <w:color w:val="auto"/>
        </w:rPr>
      </w:pPr>
    </w:p>
    <w:p>
      <w:pPr>
        <w:ind w:right="260"/>
        <w:spacing w:after="0" w:line="250" w:lineRule="auto"/>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Cash and cash equivalents includes $8.8 million and $8.2 million at December 31, 2016 and September 30, 2017, respectively, of investments in sponsored money market mutual funds that are</w:t>
      </w:r>
      <w:r>
        <w:rPr>
          <w:rFonts w:ascii="Arial" w:cs="Arial" w:eastAsia="Arial" w:hAnsi="Arial"/>
          <w:sz w:val="9"/>
          <w:szCs w:val="9"/>
          <w:i w:val="1"/>
          <w:iCs w:val="1"/>
          <w:color w:val="auto"/>
        </w:rPr>
        <w:t xml:space="preserve"> </w:t>
      </w:r>
      <w:r>
        <w:rPr>
          <w:rFonts w:ascii="Arial" w:cs="Arial" w:eastAsia="Arial" w:hAnsi="Arial"/>
          <w:sz w:val="14"/>
          <w:szCs w:val="14"/>
          <w:i w:val="1"/>
          <w:iCs w:val="1"/>
          <w:color w:val="auto"/>
        </w:rPr>
        <w:t>considered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-208915</wp:posOffset>
            </wp:positionV>
            <wp:extent cx="42621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rPr>
          <w:sz w:val="20"/>
          <w:szCs w:val="20"/>
          <w:color w:val="auto"/>
        </w:rPr>
      </w:pPr>
      <w:r>
        <w:rPr>
          <w:rFonts w:ascii="Arial" w:cs="Arial" w:eastAsia="Arial" w:hAnsi="Arial"/>
          <w:sz w:val="8"/>
          <w:szCs w:val="8"/>
          <w:i w:val="1"/>
          <w:iCs w:val="1"/>
          <w:color w:val="auto"/>
        </w:rPr>
        <w:t>(2)</w:t>
      </w:r>
      <w:r>
        <w:rPr>
          <w:rFonts w:ascii="Arial" w:cs="Arial" w:eastAsia="Arial" w:hAnsi="Arial"/>
          <w:sz w:val="13"/>
          <w:szCs w:val="13"/>
          <w:i w:val="1"/>
          <w:iCs w:val="1"/>
          <w:color w:val="auto"/>
        </w:rPr>
        <w:t>Investments includes $4.2 million and $14.4 million at December 31, 2016 and September 30, 2017, respectively, of investments in sponsored portfolios that are considered related parties.</w:t>
      </w:r>
    </w:p>
    <w:p>
      <w:pPr>
        <w:spacing w:after="0" w:line="221"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Although we can redeem our net interest in these sponsored investment portfolios at any time, we cannot directly access or sell the assets held by the portfolios to obtain cash for general operations. Additionally, the assets of these investment portfolios are not available to our general creditors.</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Since third party investors in these investment funds have no recourse to our credit, our overall risk related to the net assets of consolidated sponsored investment portfolios is limited to valuation changes associated with our net interest. We, however, are required to recognize the valuation changes associated with all underlying investments held by these portfolios in our condensed consolidated statements of income, and disclose the portion attributable to third party investors as net income attributable to redeemable non-controlling interests.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operating results (in millions) of the consolidated sponsored investment portfolios for the three- and nine- months ended September 30, 2016 and 2017, are reflected in our condensed consolidated statements of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9/30/2016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9/30/2017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Voting</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8"/>
              </w:rPr>
              <w:t>interest entities</w:t>
            </w: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2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365"/>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Net income attributable to redeemable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584" w:right="239" w:bottom="1440" w:gutter="0" w:footer="0" w:header="0"/>
        </w:sectPr>
      </w:pPr>
    </w:p>
    <w:bookmarkStart w:id="12" w:name="page13"/>
    <w:bookmarkEnd w:id="12"/>
    <w:p>
      <w:pPr>
        <w:ind w:left="74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66675</wp:posOffset>
            </wp:positionV>
            <wp:extent cx="42710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9/30/2016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9/30/2017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Voting</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8"/>
              </w:rPr>
              <w:t>interest entities</w:t>
            </w: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2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103.5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365"/>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Net income attributable to redeemable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operating expenses of these consolidated portfolios are reflected in other operating expenses. In preparing our condensed consolidated financial statements, we eliminated operating expenses of $2.2 million and $1.4 million for the three months ended September 30, 2016 and 2017, respectively, against the investment advisory and administrative fees earned from these portfolios. Operating expenses eliminated for the nine months ended September 30, 2016 and 2017, were $5.3 million and $3.2 million, respectively. The net investment income reflected in non-operating income includes dividend and interest income and realized and unrealized gains and losses on the underlying securities held by the consolidated sponsored investment portfolios.</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table below details the impact of these consolidated investment portfolios on the individual lines of our condensed consolidated statements of cash flows (in millions) for the nine months ended September 30, 2016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7"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September 30, 2016</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52"/>
              <w:spacing w:after="0" w:line="153" w:lineRule="exact"/>
              <w:rPr>
                <w:sz w:val="20"/>
                <w:szCs w:val="20"/>
                <w:color w:val="auto"/>
              </w:rPr>
            </w:pPr>
            <w:r>
              <w:rPr>
                <w:rFonts w:ascii="Arial" w:cs="Arial" w:eastAsia="Arial" w:hAnsi="Arial"/>
                <w:sz w:val="14"/>
                <w:szCs w:val="14"/>
                <w:b w:val="1"/>
                <w:bCs w:val="1"/>
                <w:color w:val="auto"/>
              </w:rPr>
              <w:t>Voting</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52"/>
              <w:spacing w:after="0" w:line="153" w:lineRule="exact"/>
              <w:rPr>
                <w:sz w:val="20"/>
                <w:szCs w:val="20"/>
                <w:color w:val="auto"/>
              </w:rPr>
            </w:pPr>
            <w:r>
              <w:rPr>
                <w:rFonts w:ascii="Arial" w:cs="Arial" w:eastAsia="Arial" w:hAnsi="Arial"/>
                <w:sz w:val="14"/>
                <w:szCs w:val="14"/>
                <w:b w:val="1"/>
                <w:bCs w:val="1"/>
                <w:color w:val="auto"/>
              </w:rPr>
              <w:t>Voting</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Variable</w:t>
            </w: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interest entities</w:t>
            </w: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2"/>
              </w:rPr>
              <w:t>interest entities</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4"/>
              </w:rPr>
              <w:t>interest entities</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2"/>
              </w:rPr>
              <w:t>interest entities</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(915.1)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(963.1)</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(1,078.1)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974.9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1,153.1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1,186.4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Effect of exchange rate changes on cash and cash equivalents of</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sponsored investment portfolios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The net cash provided by financing activities during the first nine months of 2016 and 2017 includes $215.1 million and $181.1 million, respectively, of net subscriptions we made into the consolidated sponsored investment portfolios, net of dividends received. These cash flows were eliminated in consolidation.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determine the fair value of investments held by consolidated sponsored investment portfolios using the following broad levels of inputs as defined by related accounting standards: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740" w:right="460" w:hanging="728"/>
        <w:spacing w:after="0" w:line="261"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1035" w:right="239" w:bottom="1440" w:gutter="0" w:footer="0" w:header="0"/>
        </w:sectPr>
      </w:pPr>
    </w:p>
    <w:bookmarkStart w:id="13" w:name="page14"/>
    <w:bookmarkEnd w:id="13"/>
    <w:p>
      <w:pPr>
        <w:ind w:left="740" w:right="480" w:hanging="728"/>
        <w:spacing w:after="0" w:line="277"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There have been no material transfers between the levels. The following table summarizes the investment holdings held by our consolidated sponsored investment portfolios (in millions)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3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6"/>
        </w:trPr>
        <w:tc>
          <w:tcPr>
            <w:tcW w:w="906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December 31, 2016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7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0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4"/>
          </w:tcPr>
          <w:p>
            <w:pPr>
              <w:ind w:left="80"/>
              <w:spacing w:after="0"/>
              <w:rPr>
                <w:sz w:val="20"/>
                <w:szCs w:val="20"/>
                <w:color w:val="auto"/>
              </w:rPr>
            </w:pPr>
            <w:r>
              <w:rPr>
                <w:rFonts w:ascii="Arial" w:cs="Arial" w:eastAsia="Arial" w:hAnsi="Arial"/>
                <w:sz w:val="18"/>
                <w:szCs w:val="18"/>
                <w:color w:val="auto"/>
              </w:rPr>
              <w:t>Cash equivalents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w w:val="79"/>
              </w:rPr>
              <w:t>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4"/>
          </w:tcPr>
          <w:p>
            <w:pPr>
              <w:ind w:left="140"/>
              <w:spacing w:after="0"/>
              <w:rPr>
                <w:sz w:val="20"/>
                <w:szCs w:val="20"/>
                <w:color w:val="auto"/>
              </w:rPr>
            </w:pPr>
            <w:r>
              <w:rPr>
                <w:rFonts w:ascii="Arial" w:cs="Arial" w:eastAsia="Arial" w:hAnsi="Arial"/>
                <w:sz w:val="18"/>
                <w:szCs w:val="18"/>
                <w:color w:val="auto"/>
              </w:rPr>
              <w:t>Fixed income securities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918.1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0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1,278.5</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40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732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60" w:type="dxa"/>
            <w:vAlign w:val="bottom"/>
            <w:gridSpan w:val="5"/>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Arial" w:cs="Arial" w:eastAsia="Arial" w:hAnsi="Arial"/>
                <w:sz w:val="18"/>
                <w:szCs w:val="18"/>
                <w:color w:val="auto"/>
                <w:w w:val="96"/>
              </w:rPr>
              <w:t>(.6)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84"/>
        </w:trPr>
        <w:tc>
          <w:tcPr>
            <w:tcW w:w="40" w:type="dxa"/>
            <w:vAlign w:val="bottom"/>
            <w:tcBorders>
              <w:top w:val="single" w:sz="8" w:color="CCEEFF"/>
            </w:tcBorders>
            <w:shd w:val="clear" w:color="auto" w:fill="CCEEFF"/>
          </w:tcPr>
          <w:p>
            <w:pPr>
              <w:spacing w:after="0"/>
              <w:rPr>
                <w:sz w:val="24"/>
                <w:szCs w:val="24"/>
                <w:color w:val="auto"/>
              </w:rPr>
            </w:pPr>
          </w:p>
        </w:tc>
        <w:tc>
          <w:tcPr>
            <w:tcW w:w="140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73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06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September 30, 2017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7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0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4"/>
          </w:tcPr>
          <w:p>
            <w:pPr>
              <w:ind w:left="80"/>
              <w:spacing w:after="0"/>
              <w:rPr>
                <w:sz w:val="20"/>
                <w:szCs w:val="20"/>
                <w:color w:val="auto"/>
              </w:rPr>
            </w:pPr>
            <w:r>
              <w:rPr>
                <w:rFonts w:ascii="Arial" w:cs="Arial" w:eastAsia="Arial" w:hAnsi="Arial"/>
                <w:sz w:val="18"/>
                <w:szCs w:val="18"/>
                <w:color w:val="auto"/>
              </w:rPr>
              <w:t>Cash equivalents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w w:val="79"/>
              </w:rPr>
              <w:t>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4"/>
          </w:tcPr>
          <w:p>
            <w:pPr>
              <w:ind w:left="80"/>
              <w:spacing w:after="0"/>
              <w:rPr>
                <w:sz w:val="20"/>
                <w:szCs w:val="20"/>
                <w:color w:val="auto"/>
              </w:rPr>
            </w:pPr>
            <w:r>
              <w:rPr>
                <w:rFonts w:ascii="Arial" w:cs="Arial" w:eastAsia="Arial" w:hAnsi="Arial"/>
                <w:sz w:val="18"/>
                <w:szCs w:val="18"/>
                <w:color w:val="auto"/>
              </w:rPr>
              <w:t>Fixed income securities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895.4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02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Other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521.6</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1,428.4</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40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732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60" w:type="dxa"/>
            <w:vAlign w:val="bottom"/>
            <w:gridSpan w:val="5"/>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320" w:type="dxa"/>
            <w:vAlign w:val="bottom"/>
            <w:gridSpan w:val="4"/>
          </w:tcPr>
          <w:p>
            <w:pPr>
              <w:jc w:val="right"/>
              <w:spacing w:after="0"/>
              <w:rPr>
                <w:sz w:val="20"/>
                <w:szCs w:val="20"/>
                <w:color w:val="auto"/>
              </w:rPr>
            </w:pPr>
            <w:r>
              <w:rPr>
                <w:rFonts w:ascii="Arial" w:cs="Arial" w:eastAsia="Arial" w:hAnsi="Arial"/>
                <w:sz w:val="18"/>
                <w:szCs w:val="18"/>
                <w:color w:val="auto"/>
                <w:w w:val="96"/>
              </w:rPr>
              <w:t>(.5)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90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NOTE 6 – STOCKHOLDERS’ EQUITY.</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9060" w:type="dxa"/>
            <w:vAlign w:val="bottom"/>
            <w:gridSpan w:val="5"/>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60" w:type="dxa"/>
            <w:vAlign w:val="bottom"/>
            <w:gridSpan w:val="5"/>
          </w:tcPr>
          <w:p>
            <w:pPr>
              <w:spacing w:after="0"/>
              <w:rPr>
                <w:sz w:val="20"/>
                <w:szCs w:val="20"/>
                <w:color w:val="auto"/>
              </w:rPr>
            </w:pPr>
            <w:r>
              <w:rPr>
                <w:rFonts w:ascii="Arial" w:cs="Arial" w:eastAsia="Arial" w:hAnsi="Arial"/>
                <w:sz w:val="18"/>
                <w:szCs w:val="18"/>
                <w:color w:val="auto"/>
                <w:w w:val="90"/>
              </w:rPr>
              <w:t>Regular cash dividends declared per share during the first nine months of 2016 and 2017 were $1.62 and $1.71, respectively.</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9060" w:type="dxa"/>
            <w:vAlign w:val="bottom"/>
            <w:gridSpan w:val="5"/>
          </w:tcPr>
          <w:p>
            <w:pPr>
              <w:spacing w:after="0"/>
              <w:rPr>
                <w:sz w:val="20"/>
                <w:szCs w:val="20"/>
                <w:color w:val="auto"/>
              </w:rPr>
            </w:pPr>
            <w:r>
              <w:rPr>
                <w:rFonts w:ascii="Arial" w:cs="Arial" w:eastAsia="Arial" w:hAnsi="Arial"/>
                <w:sz w:val="18"/>
                <w:szCs w:val="18"/>
                <w:b w:val="1"/>
                <w:bCs w:val="1"/>
                <w:color w:val="auto"/>
              </w:rPr>
              <w:t>NOTE 7– STOCK-BASED COMPENSATION.</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60" w:type="dxa"/>
            <w:vAlign w:val="bottom"/>
            <w:gridSpan w:val="5"/>
          </w:tcPr>
          <w:p>
            <w:pPr>
              <w:spacing w:after="0"/>
              <w:rPr>
                <w:sz w:val="20"/>
                <w:szCs w:val="20"/>
                <w:color w:val="auto"/>
              </w:rPr>
            </w:pPr>
            <w:r>
              <w:rPr>
                <w:rFonts w:ascii="Arial" w:cs="Arial" w:eastAsia="Arial" w:hAnsi="Arial"/>
                <w:sz w:val="18"/>
                <w:szCs w:val="18"/>
                <w:color w:val="auto"/>
              </w:rPr>
              <w:t>STOCK OPTIONS.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60" w:type="dxa"/>
            <w:vAlign w:val="bottom"/>
            <w:gridSpan w:val="5"/>
          </w:tcPr>
          <w:p>
            <w:pPr>
              <w:spacing w:after="0"/>
              <w:rPr>
                <w:sz w:val="20"/>
                <w:szCs w:val="20"/>
                <w:color w:val="auto"/>
              </w:rPr>
            </w:pPr>
            <w:r>
              <w:rPr>
                <w:rFonts w:ascii="Arial" w:cs="Arial" w:eastAsia="Arial" w:hAnsi="Arial"/>
                <w:sz w:val="18"/>
                <w:szCs w:val="18"/>
                <w:color w:val="auto"/>
                <w:w w:val="97"/>
              </w:rPr>
              <w:t>The following table summarizes the status of, and changes in, our stock options during the first nine months of 2017.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center"/>
              <w:ind w:right="153"/>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27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93"/>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293"/>
              <w:spacing w:after="0" w:line="149" w:lineRule="exact"/>
              <w:rPr>
                <w:sz w:val="20"/>
                <w:szCs w:val="20"/>
                <w:color w:val="auto"/>
              </w:rPr>
            </w:pPr>
            <w:r>
              <w:rPr>
                <w:rFonts w:ascii="Arial" w:cs="Arial" w:eastAsia="Arial" w:hAnsi="Arial"/>
                <w:sz w:val="14"/>
                <w:szCs w:val="14"/>
                <w:b w:val="1"/>
                <w:bCs w:val="1"/>
                <w:color w:val="auto"/>
                <w:w w:val="89"/>
              </w:rPr>
              <w:t>exercise</w:t>
            </w:r>
          </w:p>
        </w:tc>
        <w:tc>
          <w:tcPr>
            <w:tcW w:w="0" w:type="dxa"/>
            <w:vAlign w:val="bottom"/>
          </w:tcPr>
          <w:p>
            <w:pPr>
              <w:spacing w:after="0"/>
              <w:rPr>
                <w:sz w:val="1"/>
                <w:szCs w:val="1"/>
                <w:color w:val="auto"/>
              </w:rPr>
            </w:pPr>
          </w:p>
        </w:tc>
      </w:tr>
      <w:tr>
        <w:trPr>
          <w:trHeight w:val="192"/>
        </w:trPr>
        <w:tc>
          <w:tcPr>
            <w:tcW w:w="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3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3"/>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right="293"/>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43"/>
        </w:trPr>
        <w:tc>
          <w:tcPr>
            <w:tcW w:w="9060" w:type="dxa"/>
            <w:vAlign w:val="bottom"/>
            <w:gridSpan w:val="5"/>
          </w:tcPr>
          <w:p>
            <w:pPr>
              <w:ind w:left="40"/>
              <w:spacing w:after="0"/>
              <w:rPr>
                <w:sz w:val="20"/>
                <w:szCs w:val="20"/>
                <w:color w:val="auto"/>
              </w:rPr>
            </w:pPr>
            <w:r>
              <w:rPr>
                <w:rFonts w:ascii="Arial" w:cs="Arial" w:eastAsia="Arial" w:hAnsi="Arial"/>
                <w:sz w:val="18"/>
                <w:szCs w:val="18"/>
                <w:color w:val="auto"/>
              </w:rPr>
              <w:t>Outstanding at December 31, 2016</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5"/>
              </w:rPr>
              <w:t>24,364,322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0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9"/>
              </w:rPr>
              <w:t>(5,803,025)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50.09</w:t>
            </w:r>
          </w:p>
        </w:tc>
        <w:tc>
          <w:tcPr>
            <w:tcW w:w="0" w:type="dxa"/>
            <w:vAlign w:val="bottom"/>
          </w:tcPr>
          <w:p>
            <w:pPr>
              <w:spacing w:after="0"/>
              <w:rPr>
                <w:sz w:val="1"/>
                <w:szCs w:val="1"/>
                <w:color w:val="auto"/>
              </w:rPr>
            </w:pPr>
          </w:p>
        </w:tc>
      </w:tr>
      <w:tr>
        <w:trPr>
          <w:trHeight w:val="243"/>
        </w:trPr>
        <w:tc>
          <w:tcPr>
            <w:tcW w:w="9060" w:type="dxa"/>
            <w:vAlign w:val="bottom"/>
            <w:gridSpan w:val="5"/>
          </w:tcPr>
          <w:p>
            <w:pPr>
              <w:ind w:left="40"/>
              <w:spacing w:after="0"/>
              <w:rPr>
                <w:sz w:val="20"/>
                <w:szCs w:val="20"/>
                <w:color w:val="auto"/>
              </w:rPr>
            </w:pPr>
            <w:r>
              <w:rPr>
                <w:rFonts w:ascii="Arial" w:cs="Arial" w:eastAsia="Arial" w:hAnsi="Arial"/>
                <w:sz w:val="18"/>
                <w:szCs w:val="18"/>
                <w:color w:val="auto"/>
              </w:rPr>
              <w:t>Forfeited</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(66,936)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74.41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(39,631)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76.06</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Outstanding at September 30, 2017</w:t>
            </w: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18,454,730</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65.54</w:t>
            </w:r>
          </w:p>
        </w:tc>
        <w:tc>
          <w:tcPr>
            <w:tcW w:w="0" w:type="dxa"/>
            <w:vAlign w:val="bottom"/>
          </w:tcPr>
          <w:p>
            <w:pPr>
              <w:spacing w:after="0"/>
              <w:rPr>
                <w:sz w:val="1"/>
                <w:szCs w:val="1"/>
                <w:color w:val="auto"/>
              </w:rPr>
            </w:pPr>
          </w:p>
        </w:tc>
      </w:tr>
      <w:tr>
        <w:trPr>
          <w:trHeight w:val="251"/>
        </w:trPr>
        <w:tc>
          <w:tcPr>
            <w:tcW w:w="90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Exercisable at September 30, 2017</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11,731,672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14</w:t>
      </w:r>
    </w:p>
    <w:p>
      <w:pPr>
        <w:sectPr>
          <w:pgSz w:w="11900" w:h="16838" w:orient="portrait"/>
          <w:cols w:equalWidth="0" w:num="1">
            <w:col w:w="11420"/>
          </w:cols>
          <w:pgMar w:left="240" w:top="584"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and changes in, our nonvested restricted shares and restricted stock units during the first nine months of 2017.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b w:val="1"/>
                <w:bCs w:val="1"/>
                <w:color w:val="auto"/>
              </w:rPr>
              <w:t>Restricted</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Weighted-average</w:t>
            </w:r>
          </w:p>
        </w:tc>
        <w:tc>
          <w:tcPr>
            <w:tcW w:w="0" w:type="dxa"/>
            <w:vAlign w:val="bottom"/>
          </w:tcPr>
          <w:p>
            <w:pPr>
              <w:spacing w:after="0"/>
              <w:rPr>
                <w:sz w:val="1"/>
                <w:szCs w:val="1"/>
                <w:color w:val="auto"/>
              </w:rPr>
            </w:pPr>
          </w:p>
        </w:tc>
      </w:tr>
      <w:tr>
        <w:trPr>
          <w:trHeight w:val="149"/>
        </w:trPr>
        <w:tc>
          <w:tcPr>
            <w:tcW w:w="744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00" w:type="dxa"/>
            <w:vAlign w:val="bottom"/>
            <w:shd w:val="clear" w:color="auto" w:fill="CCEEFF"/>
          </w:tcPr>
          <w:p>
            <w:pPr>
              <w:spacing w:after="0"/>
              <w:rPr>
                <w:sz w:val="12"/>
                <w:szCs w:val="12"/>
                <w:color w:val="auto"/>
              </w:rPr>
            </w:pPr>
          </w:p>
        </w:tc>
        <w:tc>
          <w:tcPr>
            <w:tcW w:w="12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44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units</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Nonvested at December 31, 2016</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931,508</w:t>
            </w:r>
          </w:p>
        </w:tc>
        <w:tc>
          <w:tcPr>
            <w:tcW w:w="1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4,634,461</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72.19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Time-based grants</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17,022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78,484</w:t>
            </w:r>
          </w:p>
        </w:tc>
        <w:tc>
          <w:tcPr>
            <w:tcW w:w="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69.60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Vested</w:t>
            </w:r>
          </w:p>
        </w:tc>
        <w:tc>
          <w:tcPr>
            <w:tcW w:w="1260" w:type="dxa"/>
            <w:vAlign w:val="bottom"/>
          </w:tcPr>
          <w:p>
            <w:pPr>
              <w:jc w:val="right"/>
              <w:spacing w:after="0"/>
              <w:rPr>
                <w:sz w:val="20"/>
                <w:szCs w:val="20"/>
                <w:color w:val="auto"/>
              </w:rPr>
            </w:pPr>
            <w:r>
              <w:rPr>
                <w:rFonts w:ascii="Arial" w:cs="Arial" w:eastAsia="Arial" w:hAnsi="Arial"/>
                <w:sz w:val="18"/>
                <w:szCs w:val="18"/>
                <w:color w:val="auto"/>
              </w:rPr>
              <w:t>(10,717)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(48,319)</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(50,996)</w:t>
            </w:r>
          </w:p>
        </w:tc>
        <w:tc>
          <w:tcPr>
            <w:tcW w:w="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72.84</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Nonvested at September 30, 2017</w:t>
            </w: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924,806</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4,613,630</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60"/>
        <w:spacing w:after="0" w:line="264" w:lineRule="auto"/>
        <w:rPr>
          <w:sz w:val="20"/>
          <w:szCs w:val="20"/>
          <w:color w:val="auto"/>
        </w:rPr>
      </w:pPr>
      <w:r>
        <w:rPr>
          <w:rFonts w:ascii="Arial" w:cs="Arial" w:eastAsia="Arial" w:hAnsi="Arial"/>
          <w:sz w:val="18"/>
          <w:szCs w:val="18"/>
          <w:color w:val="auto"/>
        </w:rPr>
        <w:t>Nonvested at September 30, 2017, includes 14,400 performance-based restricted shares and 401,138 performance-based restricted stock units. The performance period has lapsed and the performance threshold has been met for all nonvested performance-based restricted shares and units as of September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following table presents the compensation expense (in millions) to be recognized over the remaining vesting periods of the stock-based awards outstanding at September 30, 2017. Estimated future compensation expense will change to reflect future grants of restricted stock awards and units, future option grants, changes in the probability of performance thresholds being met, and adjustments for actual forfeitures.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 2017</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86.3</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through 2022</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w:t>
            </w:r>
          </w:p>
        </w:tc>
      </w:tr>
      <w:tr>
        <w:trPr>
          <w:trHeight w:val="257"/>
        </w:trPr>
        <w:tc>
          <w:tcPr>
            <w:tcW w:w="10160" w:type="dxa"/>
            <w:vAlign w:val="bottom"/>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193.7</w:t>
            </w:r>
          </w:p>
        </w:tc>
      </w:tr>
      <w:tr>
        <w:trPr>
          <w:trHeight w:val="20"/>
        </w:trPr>
        <w:tc>
          <w:tcPr>
            <w:tcW w:w="10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 CALCULATIONS.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presents the reconciliation (in millions) of net income attributable to T. Rowe Price Group to net income allocated to our common stockholders and the weighted-average shares (in millions) that are used in calculating the basic and diluted earnings per share on our common stock. Weighted-average common shares outstanding assuming dilution reflect the potential dilution, determined using the treasury stock method, that could occur if outstanding stock options were exercised and non-participating stock awards vested.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520" w:type="dxa"/>
            <w:vAlign w:val="bottom"/>
            <w:gridSpan w:val="5"/>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22"/>
                <w:szCs w:val="22"/>
                <w:color w:val="auto"/>
              </w:rPr>
            </w:pPr>
          </w:p>
        </w:tc>
        <w:tc>
          <w:tcPr>
            <w:tcW w:w="2400" w:type="dxa"/>
            <w:vAlign w:val="bottom"/>
            <w:gridSpan w:val="4"/>
            <w:shd w:val="clear" w:color="auto" w:fill="CCEEFF"/>
          </w:tcPr>
          <w:p>
            <w:pPr>
              <w:jc w:val="right"/>
              <w:ind w:right="61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0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9/30/2016</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9/30/2017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1,150.7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4"/>
              </w:rPr>
              <w:t>Less: net income allocated to outstanding restricted stock and stock unit holders</w:t>
            </w: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26.0</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320.5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818.1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1,124.7</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30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245.6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240.7</w:t>
            </w:r>
          </w:p>
        </w:tc>
      </w:tr>
      <w:tr>
        <w:trPr>
          <w:trHeight w:val="251"/>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assuming dilution</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244.3</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584" w:right="239" w:bottom="1440" w:gutter="0" w:footer="0" w:header="0"/>
        </w:sectPr>
      </w:pPr>
    </w:p>
    <w:bookmarkStart w:id="15" w:name="page16"/>
    <w:bookmarkEnd w:id="15"/>
    <w:p>
      <w:pPr>
        <w:ind w:right="64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(in millions) that are excluded from the calculation of diluted earnings per common share as the inclusion of such shares would be anti-dilutive.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60" w:type="dxa"/>
            <w:vAlign w:val="bottom"/>
            <w:shd w:val="clear" w:color="auto" w:fill="CCEEFF"/>
          </w:tcPr>
          <w:p>
            <w:pPr>
              <w:spacing w:after="0"/>
              <w:rPr>
                <w:sz w:val="22"/>
                <w:szCs w:val="22"/>
                <w:color w:val="auto"/>
              </w:rPr>
            </w:pPr>
          </w:p>
        </w:tc>
        <w:tc>
          <w:tcPr>
            <w:tcW w:w="2760" w:type="dxa"/>
            <w:vAlign w:val="bottom"/>
            <w:gridSpan w:val="4"/>
            <w:shd w:val="clear" w:color="auto" w:fill="CCEEFF"/>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2600" w:type="dxa"/>
            <w:vAlign w:val="bottom"/>
            <w:gridSpan w:val="3"/>
            <w:shd w:val="clear" w:color="auto" w:fill="CCEEFF"/>
          </w:tcPr>
          <w:p>
            <w:pPr>
              <w:jc w:val="right"/>
              <w:ind w:right="61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06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9/30/2016</w:t>
            </w:r>
          </w:p>
        </w:tc>
        <w:tc>
          <w:tcPr>
            <w:tcW w:w="120" w:type="dxa"/>
            <w:vAlign w:val="bottom"/>
            <w:tcBorders>
              <w:top w:val="single" w:sz="8" w:color="auto"/>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9/30/2016</w:t>
            </w:r>
          </w:p>
        </w:tc>
        <w:tc>
          <w:tcPr>
            <w:tcW w:w="12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9/30/2017</w:t>
            </w:r>
          </w:p>
        </w:tc>
      </w:tr>
      <w:tr>
        <w:trPr>
          <w:trHeight w:val="26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outstanding stock options excluded</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6.7</w:t>
            </w: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impact of the components (in millions) of other comprehensive income or loss on deferred tax benefits (income taxes).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2520" w:type="dxa"/>
            <w:vAlign w:val="bottom"/>
            <w:tcBorders>
              <w:bottom w:val="single" w:sz="8" w:color="auto"/>
            </w:tcBorders>
            <w:gridSpan w:val="5"/>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shd w:val="clear" w:color="auto" w:fill="CCEEFF"/>
          </w:tcPr>
          <w:p>
            <w:pPr>
              <w:spacing w:after="0"/>
              <w:rPr>
                <w:sz w:val="22"/>
                <w:szCs w:val="22"/>
                <w:color w:val="auto"/>
              </w:rPr>
            </w:pPr>
          </w:p>
        </w:tc>
        <w:tc>
          <w:tcPr>
            <w:tcW w:w="2400" w:type="dxa"/>
            <w:vAlign w:val="bottom"/>
            <w:tcBorders>
              <w:bottom w:val="single" w:sz="8" w:color="auto"/>
            </w:tcBorders>
            <w:gridSpan w:val="4"/>
            <w:shd w:val="clear" w:color="auto" w:fill="CCEEFF"/>
          </w:tcPr>
          <w:p>
            <w:pPr>
              <w:jc w:val="right"/>
              <w:ind w:right="61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0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9/30/2016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9/30/2017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 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unrealized holding gains or losses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Reclassification adjustments recognized in the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8"/>
                <w:szCs w:val="18"/>
                <w:color w:val="auto"/>
              </w:rPr>
              <w:t>Net gains realized on dispositions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30.5</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gains recognized upon transfer to trading</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w w:val="92"/>
              </w:rPr>
              <w:t>Net deferred tax benefits (income taxes) on net unrealized holding gains or losses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25.3</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w w:val="94"/>
              </w:rPr>
              <w:t>Reclassification adjustment recognized in the provision for income taxes upon</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deconsolidation of sponsored fund subsidiary</w:t>
            </w: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Total deferred tax benefits (income taxes) on currency translation adjustments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 net deferred tax benefits (income taxes)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8.2</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changes (in millions) in each component of accumulated other comprehensive income (loss), including reclassification adjustments for the first nine months of 2017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0"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sponsored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Total currency</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Equity method</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portfolios -</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variable interest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holding gains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entities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 and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adjustments recognized in non-operating</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September 30,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10 – DELL APPRAISAL RIGHTS MATTER.</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2016, we paid $166.2 million to compensate certain T. Rowe Price mutual funds, trusts, separately managed accounts, and subadvised clients (collectively, Clients) for the denial of their appraisal rights by the Delaware Chancery Court (Court) in connection with the 2013 leveraged buyout of Dell, Inc. (Dell).</w:t>
      </w:r>
    </w:p>
    <w:p>
      <w:pPr>
        <w:spacing w:after="0" w:line="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Court ruled on May 11, 2016, that the Clients could not pursue an appraisal of any shares they held that were voted in favor of the Dell merger. The appraisal statute governing the transaction required the record holder to vote against or abstain from voting on the transaction in order to assert appraisal rights. After previously voting against prior transaction proposals, the voting instructions submitted on behalf of the Clients in connection with voting on the final proposed transaction were incorrectly submitted in favor of the transaction. On May 31, 2016, the Court determined that the fair value of Dell at the time of the merger was $17.62 per share, as opposed to the $13.75 price offered in the transaction. As a result, any shareholder perfecting appraisal rights is entitled to a payment at $17.62 per share plus statutory interest from the date the Dell transaction closed. The compensation to Clients was intended to make them whole for the voting discrepancy that resulted in the denial of their appraisal rights.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30, 2016, we signed a settlement agreement with our insurance carrier for insurance proceeds totaling $100.0 million related to this matter. We recognized the proceeds as a reduction to the $166.2 million nonrecurring charge that we recognized in the second quarter of 2016 and as a receivable in other assets at December 31, 2016. We received the insurance proceeds on January 24, 2017. In the first quarter of 2017, we recognized a reduction in operating expenses from insurance recoveries from other insurance carriers totaling an additional $50 million, of which $40 million was paid during the first quarter and the remaining $10 million was paid during the second quarter.</w:t>
      </w:r>
    </w:p>
    <w:p>
      <w:pPr>
        <w:spacing w:after="0" w:line="134"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accordance with the compensation payment, the Clients agreed that in the event the findings made by the Court regarding the fair value of Dell or the amount of interest to be applied were modified by the Supreme Court of Delaware on appeal, T. Rowe Price and the Clients would make an appropriate adjustment between themselves, calculated in a manner that is consistent with the methodology used to compensate Clients. In December 2016, several parties, including Dell and the successful appraisal petitioners, filed appeals to the Delaware Supreme Court to challenge the Chancery Court’s valuation ruling. Our settlement agreements with our insurance carriers provide that if the fair value of Dell is reduced, we would work together to make appropriate adjustments.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17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plaintiffs are seeking certification of the complaint as a class action.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2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 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24"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12 – SUPPLEMENTARY CONSOLIDATING CASH FLOW STATEMENT.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summarize the cash flows (in millions) for the nine months ended September 30, 2016 and 2017, that are attributable to T. Rowe Price Group, our consolidated sponsored investment portfolios and the related eliminations required in preparing the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486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156" w:lineRule="exact"/>
        <w:rPr>
          <w:sz w:val="20"/>
          <w:szCs w:val="20"/>
          <w:color w:val="auto"/>
        </w:rPr>
      </w:pPr>
    </w:p>
    <w:p>
      <w:pPr>
        <w:ind w:left="656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23495</wp:posOffset>
            </wp:positionV>
            <wp:extent cx="5205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9/30/2016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9/30/2017</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Cash flow</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Cash flow</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3"/>
              </w:rPr>
              <w:t>Cash flow</w:t>
            </w:r>
          </w:p>
        </w:tc>
        <w:tc>
          <w:tcPr>
            <w:tcW w:w="11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3"/>
              </w:rPr>
              <w:t>Cash flow</w:t>
            </w:r>
          </w:p>
        </w:tc>
        <w:tc>
          <w:tcPr>
            <w:tcW w:w="11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sponsored</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sponsored</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 Rowe Price</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00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As reported</w:t>
            </w:r>
          </w:p>
        </w:tc>
        <w:tc>
          <w:tcPr>
            <w:tcW w:w="11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 Rowe Price</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investment</w:t>
            </w:r>
          </w:p>
        </w:tc>
        <w:tc>
          <w:tcPr>
            <w:tcW w:w="100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Eliminations</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As reported</w:t>
            </w: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w w:val="92"/>
              </w:rPr>
              <w:t>portfolios</w:t>
            </w:r>
          </w:p>
        </w:tc>
        <w:tc>
          <w:tcPr>
            <w:tcW w:w="1000" w:type="dxa"/>
            <w:vAlign w:val="bottom"/>
            <w:gridSpan w:val="3"/>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89"/>
              </w:rPr>
              <w:t>portfolios</w:t>
            </w:r>
          </w:p>
        </w:tc>
        <w:tc>
          <w:tcPr>
            <w:tcW w:w="1000" w:type="dxa"/>
            <w:vAlign w:val="bottom"/>
            <w:gridSpan w:val="3"/>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  887.2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$1,194.6</w:t>
            </w:r>
          </w:p>
        </w:tc>
        <w:tc>
          <w:tcPr>
            <w:tcW w:w="0" w:type="dxa"/>
            <w:vAlign w:val="bottom"/>
          </w:tcPr>
          <w:p>
            <w:pPr>
              <w:spacing w:after="0"/>
              <w:rPr>
                <w:sz w:val="1"/>
                <w:szCs w:val="1"/>
                <w:color w:val="auto"/>
              </w:rPr>
            </w:pPr>
          </w:p>
        </w:tc>
      </w:tr>
      <w:tr>
        <w:trPr>
          <w:trHeight w:val="229"/>
        </w:trPr>
        <w:tc>
          <w:tcPr>
            <w:tcW w:w="3040" w:type="dxa"/>
            <w:vAlign w:val="bottom"/>
          </w:tcPr>
          <w:p>
            <w:pPr>
              <w:ind w:left="180"/>
              <w:spacing w:after="0"/>
              <w:rPr>
                <w:sz w:val="20"/>
                <w:szCs w:val="20"/>
                <w:color w:val="auto"/>
              </w:rPr>
            </w:pPr>
            <w:r>
              <w:rPr>
                <w:rFonts w:ascii="Arial" w:cs="Arial" w:eastAsia="Arial" w:hAnsi="Arial"/>
                <w:sz w:val="18"/>
                <w:szCs w:val="18"/>
                <w:color w:val="auto"/>
                <w:w w:val="91"/>
              </w:rPr>
              <w:t>Adjustments to reconcile net income to</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net cash provided by (used in)</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w w:val="94"/>
              </w:rPr>
              <w:t>Stock-based compensation expense</w:t>
            </w: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Realized gains on dispositions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available-for-sale sponsored</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portfolios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9"/>
        </w:trPr>
        <w:tc>
          <w:tcPr>
            <w:tcW w:w="3040" w:type="dxa"/>
            <w:vAlign w:val="bottom"/>
          </w:tcPr>
          <w:p>
            <w:pPr>
              <w:ind w:left="280"/>
              <w:spacing w:after="0"/>
              <w:rPr>
                <w:sz w:val="20"/>
                <w:szCs w:val="20"/>
                <w:color w:val="auto"/>
              </w:rPr>
            </w:pPr>
            <w:r>
              <w:rPr>
                <w:rFonts w:ascii="Arial" w:cs="Arial" w:eastAsia="Arial" w:hAnsi="Arial"/>
                <w:sz w:val="18"/>
                <w:szCs w:val="18"/>
                <w:color w:val="auto"/>
                <w:w w:val="92"/>
              </w:rPr>
              <w:t>Gains recognized upon transfer of an</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available-for-sale sponsored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investment portfolio to sponsored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80"/>
              <w:spacing w:after="0"/>
              <w:rPr>
                <w:sz w:val="20"/>
                <w:szCs w:val="20"/>
                <w:color w:val="auto"/>
              </w:rPr>
            </w:pPr>
            <w:r>
              <w:rPr>
                <w:rFonts w:ascii="Arial" w:cs="Arial" w:eastAsia="Arial" w:hAnsi="Arial"/>
                <w:sz w:val="18"/>
                <w:szCs w:val="18"/>
                <w:color w:val="auto"/>
                <w:w w:val="95"/>
              </w:rPr>
              <w:t>investment portfolios held as trading</w:t>
            </w: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Net gains recognized on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9"/>
        </w:trPr>
        <w:tc>
          <w:tcPr>
            <w:tcW w:w="3040" w:type="dxa"/>
            <w:vAlign w:val="bottom"/>
          </w:tcPr>
          <w:p>
            <w:pPr>
              <w:ind w:left="280"/>
              <w:spacing w:after="0"/>
              <w:rPr>
                <w:sz w:val="20"/>
                <w:szCs w:val="20"/>
                <w:color w:val="auto"/>
              </w:rPr>
            </w:pPr>
            <w:r>
              <w:rPr>
                <w:rFonts w:ascii="Arial" w:cs="Arial" w:eastAsia="Arial" w:hAnsi="Arial"/>
                <w:sz w:val="18"/>
                <w:szCs w:val="18"/>
                <w:color w:val="auto"/>
                <w:w w:val="92"/>
              </w:rPr>
              <w:t>Investments in sponsored investment</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portfolios held as trading to</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economically hedge supplemental</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80"/>
              <w:spacing w:after="0"/>
              <w:rPr>
                <w:sz w:val="20"/>
                <w:szCs w:val="20"/>
                <w:color w:val="auto"/>
              </w:rPr>
            </w:pPr>
            <w:r>
              <w:rPr>
                <w:rFonts w:ascii="Arial" w:cs="Arial" w:eastAsia="Arial" w:hAnsi="Arial"/>
                <w:sz w:val="18"/>
                <w:szCs w:val="18"/>
                <w:color w:val="auto"/>
              </w:rPr>
              <w:t>savings plan liability</w:t>
            </w: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Net change in trading securities held</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by consolidated sponsored</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portfolios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(1,084.1)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(1,210.5)</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w w:val="90"/>
              </w:rPr>
              <w:t>Other changes in assets and liabilities</w:t>
            </w: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438.6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Net cash provided by (used in) operating</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w w:val="93"/>
              </w:rPr>
              <w:t>Net cash provided by (used in) investing</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cash provided by (used in) financing</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w w:val="91"/>
              </w:rPr>
              <w:t>Effect of exchange rate changes on cash</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40"/>
              <w:spacing w:after="0"/>
              <w:rPr>
                <w:sz w:val="20"/>
                <w:szCs w:val="20"/>
                <w:color w:val="auto"/>
              </w:rPr>
            </w:pPr>
            <w:r>
              <w:rPr>
                <w:rFonts w:ascii="Arial" w:cs="Arial" w:eastAsia="Arial" w:hAnsi="Arial"/>
                <w:sz w:val="18"/>
                <w:szCs w:val="18"/>
                <w:color w:val="auto"/>
              </w:rPr>
              <w:t>and cash equivalents of consolidated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sponsored investment portfolios</w:t>
            </w: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Net change in cash and cash equivalents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during period</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705.7</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w w:val="93"/>
              </w:rPr>
              <w:t>Cash and cash equivalents at beginning</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of year</w:t>
            </w:r>
          </w:p>
        </w:tc>
        <w:tc>
          <w:tcPr>
            <w:tcW w:w="1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1,204.9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1,270.5</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1,401.0</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94"/>
              </w:rPr>
              <w:t>$1,487.3</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1,869.4</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4"/>
              </w:rPr>
              <w:t>$1,976.2</w:t>
            </w:r>
          </w:p>
        </w:tc>
        <w:tc>
          <w:tcPr>
            <w:tcW w:w="0" w:type="dxa"/>
            <w:vAlign w:val="bottom"/>
          </w:tcPr>
          <w:p>
            <w:pPr>
              <w:spacing w:after="0"/>
              <w:rPr>
                <w:sz w:val="1"/>
                <w:szCs w:val="1"/>
                <w:color w:val="auto"/>
              </w:rPr>
            </w:pPr>
          </w:p>
        </w:tc>
      </w:tr>
      <w:tr>
        <w:trPr>
          <w:trHeight w:val="237"/>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18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240"/>
          </w:cols>
          <w:pgMar w:left="240" w:top="580" w:right="41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September 30, 2017, the related condensed consolidated statements of income and comprehensive income for the three- and nine- month periods ended September 30, 2017 and 2016, the related condensed consolidated statements of cash flows for the nine-month periods ended September 30, 2017 and 2016, and the related condensed consolidated statement of stockholders’ equity for the nine-month period ended September 30, 2017. These condensed consolidated financial statements are the responsibility of the Company’s management.</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2016, and the related consolidated statements of income, comprehensive income, stockholders’ equity, and cash flows for the year then ended (not presented herein); and in our report dated February 7, 2017, we expressed an unqualified opinion on those consolidated financial statements. In our opinion, the information set forth in the accompanying condensed consolidated balance sheet as of December 31, 2016,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26, 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U.S. mutual funds and other investment portfolios. The other investment portfolios include: separately managed accounts, subadvised funds, and other sponsored investment portfolios including collective investment trusts, target-date retirement trusts, open-ended investment products offered to investors outside the U.S., and portfolios offered through variable annuity life insurance plans in the U.S. Investment advisory clients domiciled outside the U.S. account for about 5% of our assets under management at September 30, 2017.</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remain debt-free with ample liquidity and resources that allow us to take advantage of attractive growth opportunities; invest in key capabilities, including investment professionals, technologies, and new product offerings; and, most importantly, provide our clients with strong investment management expertise and service both now and in the future. We expect to continue our investment in long-term initiatives to sustain and deepen our investment talent, add investment capabilities both in terms of new strategies and new investment vehicles, expand capabilities through enhanced technology, and broaden our distribution reach globally.</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expect to sustain our current pace of spending on a series of key strategic priorities to address evolving client needs and to grow and further diversify our business. Based on these planned initiatives, we currently expect non-GAAP operating expenses will grow about 11% in 2017 versus 2016. This increase from previous guidance of about 10% results primarily from certain expenses, such as variable compensation, that have increased as a result of stronger than anticipated market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U.S. stocks continued to rise in the third quarter of 2017, with most major indexes finishing the period at or near record highs. Equities were lifted by favorable economic data and solid second-quarter corporate earnings reports. Investors were also encouraged that Congressional Republicans were making progress in developing a plan to reform the tax code and reduce corporate and individual tax rates. While market volatility remained generally low, stocks occasionally suffered sharp but brief pullbacks in response to rising geo-political tensions.</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Developed non-U.S. equity markets outperformed large-cap U.S. shares, helped by a weaker dollar versus the euro and pound sterling, which lifted eurozone and UK returns in dollar terms. Major European markets rose, lifted in part by the region’s ongoing economic recovery. UK shares returned just over 5% in dollar terms, as the pound strengthened amid expectations that the Bank of England would soon raise short-term interest rates in response to rising inflation. Markets in Asia produced more moderate gains. Japanese shares returned slightly more than 4% in dollar terms, as the yen edged lower versus the greenback.</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Emerging markets equities outperformed developed markets in dollar terms, helped by global economic growth and strengthening in some non-U.S.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currencies. All broad emerging regions produced gains.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00"/>
          </w:cols>
          <w:pgMar w:left="240" w:top="58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Returns of several major equity market indexes for the three- and nine-month periods ended September 30, 2017,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2"/>
              </w:rPr>
              <w:t>Three months</w:t>
            </w:r>
          </w:p>
        </w:tc>
        <w:tc>
          <w:tcPr>
            <w:tcW w:w="12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98"/>
        </w:trPr>
        <w:tc>
          <w:tcPr>
            <w:tcW w:w="8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7"/>
              </w:rPr>
              <w:t>ended</w:t>
            </w: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9/30/2017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9/30/2017</w:t>
            </w: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14.2%</w:t>
            </w:r>
          </w:p>
        </w:tc>
        <w:tc>
          <w:tcPr>
            <w:tcW w:w="0" w:type="dxa"/>
            <w:vAlign w:val="bottom"/>
          </w:tcPr>
          <w:p>
            <w:pPr>
              <w:spacing w:after="0"/>
              <w:rPr>
                <w:sz w:val="1"/>
                <w:szCs w:val="1"/>
                <w:color w:val="auto"/>
              </w:rPr>
            </w:pPr>
          </w:p>
        </w:tc>
      </w:tr>
      <w:tr>
        <w:trPr>
          <w:trHeight w:val="270"/>
        </w:trPr>
        <w:tc>
          <w:tcPr>
            <w:tcW w:w="88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NASDAQ Composite Index </w:t>
            </w:r>
            <w:r>
              <w:rPr>
                <w:rFonts w:ascii="Arial" w:cs="Arial" w:eastAsia="Arial" w:hAnsi="Arial"/>
                <w:sz w:val="25"/>
                <w:szCs w:val="25"/>
                <w:color w:val="auto"/>
                <w:vertAlign w:val="superscript"/>
              </w:rPr>
              <w:t>(1)</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5.8%</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20.7%</w:t>
            </w: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10.9%</w:t>
            </w:r>
          </w:p>
        </w:tc>
        <w:tc>
          <w:tcPr>
            <w:tcW w:w="0" w:type="dxa"/>
            <w:vAlign w:val="bottom"/>
          </w:tcPr>
          <w:p>
            <w:pPr>
              <w:spacing w:after="0"/>
              <w:rPr>
                <w:sz w:val="1"/>
                <w:szCs w:val="1"/>
                <w:color w:val="auto"/>
              </w:rPr>
            </w:pP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20.5%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MSCI Emerging Markets Index</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28.1%</w:t>
            </w:r>
          </w:p>
        </w:tc>
        <w:tc>
          <w:tcPr>
            <w:tcW w:w="0" w:type="dxa"/>
            <w:vAlign w:val="bottom"/>
          </w:tcPr>
          <w:p>
            <w:pPr>
              <w:spacing w:after="0"/>
              <w:rPr>
                <w:sz w:val="1"/>
                <w:szCs w:val="1"/>
                <w:color w:val="auto"/>
              </w:rPr>
            </w:pPr>
          </w:p>
        </w:tc>
      </w:tr>
      <w:tr>
        <w:trPr>
          <w:trHeight w:val="329"/>
        </w:trPr>
        <w:tc>
          <w:tcPr>
            <w:tcW w:w="8820" w:type="dxa"/>
            <w:vAlign w:val="bottom"/>
            <w:gridSpan w:val="2"/>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i w:val="1"/>
                <w:iCs w:val="1"/>
                <w:color w:val="auto"/>
              </w:rPr>
              <w:t xml:space="preserve"> returns exclude dividends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Global bond returns in the third quarter were broadly positive. In the U.S., longer-term Treasury yields declined for most of the quarter, but yields rebounded in September as President Trump and Congress agreed to fund the federal government and push back the debt ceiling for three months. The Federal Reserve did not raise short-term interest rates in the quarter but did announce, as expected, that it would begin to reduce the size of its balance sheet starting in October. The 10-year Treasury note yield started and ended the quarter around 2.3%. Among high-quality taxable bonds, longer-term corporate bonds did best. Municipal bonds outperformed taxable securities, helped by steady demand and limited new issuance. High yield issues outpaced higher-quality debt.</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Bonds in developed non-U.S. markets outperformed domestic bonds, as a weaker dollar versus the pound and the euro lifted European bond returns in dollar terms. In the UK, bond yields fell through early September, but yields spiked toward the end of the quarter as the Bank of England cautioned that “some withdrawal of monetary stimulus” was likely in the next few months. In the eurozone, German bond yields followed a similar pattern, declining for much of the quarter but rising in the latter part of September. In Asia, the Bank of Japan, which continues to target a 10-year government bond yield of 0%, offered in early July to purchase an unlimited quantity of bonds to keep yields from rising. Emerging markets bonds produced good returns, with local currency bonds faring better than dollar-denominated issues.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three- and nine-month periods ended September 30, 2017,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2"/>
              </w:rPr>
              <w:t>Three months</w:t>
            </w:r>
          </w:p>
        </w:tc>
        <w:tc>
          <w:tcPr>
            <w:tcW w:w="12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98"/>
        </w:trPr>
        <w:tc>
          <w:tcPr>
            <w:tcW w:w="8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7"/>
              </w:rPr>
              <w:t>ended</w:t>
            </w: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9/30/2017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9/30/2017</w:t>
            </w: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U.S. Aggregate Bond Index</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JPMorgan Global High Yield Index</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7.4%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Municipal Bond Index</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4.7%</w:t>
            </w:r>
          </w:p>
        </w:tc>
        <w:tc>
          <w:tcPr>
            <w:tcW w:w="0" w:type="dxa"/>
            <w:vAlign w:val="bottom"/>
          </w:tcPr>
          <w:p>
            <w:pPr>
              <w:spacing w:after="0"/>
              <w:rPr>
                <w:sz w:val="1"/>
                <w:szCs w:val="1"/>
                <w:color w:val="auto"/>
              </w:rPr>
            </w:pP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Bloomberg Barclays Global Aggregate Ex-U.S. Dollar Bond Index</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8.7%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8.6%</w:t>
            </w:r>
          </w:p>
        </w:tc>
        <w:tc>
          <w:tcPr>
            <w:tcW w:w="0" w:type="dxa"/>
            <w:vAlign w:val="bottom"/>
          </w:tcPr>
          <w:p>
            <w:pPr>
              <w:spacing w:after="0"/>
              <w:rPr>
                <w:sz w:val="1"/>
                <w:szCs w:val="1"/>
                <w:color w:val="auto"/>
              </w:rPr>
            </w:pPr>
          </w:p>
        </w:tc>
      </w:tr>
      <w:tr>
        <w:trPr>
          <w:trHeight w:val="27"/>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17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Assets under management ended the third quarter of 2017 at $947.9 billion, an increase of $44.3 billion from June 30, 2017 and $137.1 billion from December 31, 2016. We had net cash inflows of $5.9 billion in the third quarter of 2017 and $10.3 billion for the first nine months of 2017. The following table presents our assets under management (in billions) at December 31, 2016, and September 30, 2017, by investment portfolio and asset class.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2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1"/>
              </w:rPr>
              <w:t>As of</w:t>
            </w:r>
          </w:p>
        </w:tc>
        <w:tc>
          <w:tcPr>
            <w:tcW w:w="860" w:type="dxa"/>
            <w:vAlign w:val="bottom"/>
            <w:tcBorders>
              <w:bottom w:val="single" w:sz="8" w:color="auto"/>
            </w:tcBorders>
            <w:shd w:val="clear" w:color="auto" w:fill="CCEEFF"/>
          </w:tcPr>
          <w:p>
            <w:pPr>
              <w:spacing w:after="0"/>
              <w:rPr>
                <w:sz w:val="22"/>
                <w:szCs w:val="22"/>
                <w:color w:val="auto"/>
              </w:rPr>
            </w:pPr>
          </w:p>
        </w:tc>
      </w:tr>
      <w:tr>
        <w:trPr>
          <w:trHeight w:val="264"/>
        </w:trPr>
        <w:tc>
          <w:tcPr>
            <w:tcW w:w="92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12/31/2016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9/30/2017</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585.3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362.6</w:t>
            </w:r>
          </w:p>
        </w:tc>
      </w:tr>
      <w:tr>
        <w:trPr>
          <w:trHeight w:val="27"/>
        </w:trPr>
        <w:tc>
          <w:tcPr>
            <w:tcW w:w="9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under management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947.9</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58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64"/>
        </w:trPr>
        <w:tc>
          <w:tcPr>
            <w:tcW w:w="92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As of</w:t>
            </w:r>
          </w:p>
        </w:tc>
        <w:tc>
          <w:tcPr>
            <w:tcW w:w="860" w:type="dxa"/>
            <w:vAlign w:val="bottom"/>
            <w:tcBorders>
              <w:bottom w:val="single" w:sz="8" w:color="auto"/>
            </w:tcBorders>
            <w:shd w:val="clear" w:color="auto" w:fill="CCEEFF"/>
          </w:tcPr>
          <w:p>
            <w:pPr>
              <w:spacing w:after="0"/>
              <w:rPr>
                <w:sz w:val="22"/>
                <w:szCs w:val="22"/>
                <w:color w:val="auto"/>
              </w:rPr>
            </w:pPr>
          </w:p>
        </w:tc>
      </w:tr>
      <w:tr>
        <w:trPr>
          <w:trHeight w:val="264"/>
        </w:trPr>
        <w:tc>
          <w:tcPr>
            <w:tcW w:w="92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12/31/2016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9/30/2017</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537.2</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130.9</w:t>
            </w:r>
          </w:p>
        </w:tc>
      </w:tr>
      <w:tr>
        <w:trPr>
          <w:trHeight w:val="27"/>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allocation</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279.8</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Total assets under management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947.9</w:t>
            </w:r>
          </w:p>
        </w:tc>
      </w:tr>
      <w:tr>
        <w:trPr>
          <w:trHeight w:val="20"/>
        </w:trPr>
        <w:tc>
          <w:tcPr>
            <w:tcW w:w="9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target date retirement portfolios, which invest in a broadly diversified portfolio of other T. Rowe Price funds or T. Rowe Price collective investment trusts and automatically rebalance to maintain their specific asset allocation weightings, are included in the asset allocation line above. These portfolios continue to be a significant part of our assets under management. Assets in these portfolios at September 30, 2017, totaled $223.3 billion, including $166.0 billion in target date retirement funds and $57.3 billion in target date retirement trusts.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changes in our assets under management (in billions) during the three- and nine-month periods ended September 30, 2017: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500" w:type="dxa"/>
            <w:vAlign w:val="bottom"/>
            <w:tcBorders>
              <w:bottom w:val="single" w:sz="8" w:color="auto"/>
            </w:tcBorders>
            <w:gridSpan w:val="6"/>
            <w:shd w:val="clear" w:color="auto" w:fill="CCEEFF"/>
          </w:tcPr>
          <w:p>
            <w:pPr>
              <w:jc w:val="center"/>
              <w:ind w:left="494"/>
              <w:spacing w:after="0"/>
              <w:rPr>
                <w:sz w:val="20"/>
                <w:szCs w:val="20"/>
                <w:color w:val="auto"/>
              </w:rPr>
            </w:pPr>
            <w:r>
              <w:rPr>
                <w:rFonts w:ascii="Arial" w:cs="Arial" w:eastAsia="Arial" w:hAnsi="Arial"/>
                <w:sz w:val="14"/>
                <w:szCs w:val="14"/>
                <w:b w:val="1"/>
                <w:bCs w:val="1"/>
                <w:color w:val="auto"/>
                <w:w w:val="92"/>
              </w:rPr>
              <w:t>Three months ended 9/30/2017</w:t>
            </w: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tcBorders>
            <w:gridSpan w:val="6"/>
            <w:shd w:val="clear" w:color="auto" w:fill="CCEEFF"/>
          </w:tcPr>
          <w:p>
            <w:pPr>
              <w:jc w:val="center"/>
              <w:ind w:left="312"/>
              <w:spacing w:after="0"/>
              <w:rPr>
                <w:sz w:val="20"/>
                <w:szCs w:val="20"/>
                <w:color w:val="auto"/>
              </w:rPr>
            </w:pPr>
            <w:r>
              <w:rPr>
                <w:rFonts w:ascii="Arial" w:cs="Arial" w:eastAsia="Arial" w:hAnsi="Arial"/>
                <w:sz w:val="14"/>
                <w:szCs w:val="14"/>
                <w:b w:val="1"/>
                <w:bCs w:val="1"/>
                <w:color w:val="auto"/>
                <w:w w:val="91"/>
              </w:rPr>
              <w:t>Nine months ended 9/30/2017</w:t>
            </w:r>
          </w:p>
        </w:tc>
        <w:tc>
          <w:tcPr>
            <w:tcW w:w="700" w:type="dxa"/>
            <w:vAlign w:val="bottom"/>
            <w:tcBorders>
              <w:bottom w:val="single" w:sz="8" w:color="auto"/>
            </w:tcBorders>
            <w:shd w:val="clear" w:color="auto" w:fill="CCEEFF"/>
          </w:tcPr>
          <w:p>
            <w:pPr>
              <w:spacing w:after="0"/>
              <w:rPr>
                <w:sz w:val="22"/>
                <w:szCs w:val="22"/>
                <w:color w:val="auto"/>
              </w:rPr>
            </w:pPr>
          </w:p>
        </w:tc>
      </w:tr>
      <w:tr>
        <w:trPr>
          <w:trHeight w:val="155"/>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9"/>
        </w:trPr>
        <w:tc>
          <w:tcPr>
            <w:tcW w:w="470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Sponsored U.S.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investment</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Sponsored U.S.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investment</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90"/>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mutual funds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portfolios</w:t>
            </w:r>
          </w:p>
        </w:tc>
        <w:tc>
          <w:tcPr>
            <w:tcW w:w="3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mutual funds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portfolios</w:t>
            </w:r>
          </w:p>
        </w:tc>
        <w:tc>
          <w:tcPr>
            <w:tcW w:w="320" w:type="dxa"/>
            <w:vAlign w:val="bottom"/>
          </w:tcPr>
          <w:p>
            <w:pPr>
              <w:spacing w:after="0"/>
              <w:rPr>
                <w:sz w:val="16"/>
                <w:szCs w:val="16"/>
                <w:color w:val="auto"/>
              </w:rPr>
            </w:pPr>
          </w:p>
        </w:tc>
        <w:tc>
          <w:tcPr>
            <w:tcW w:w="700" w:type="dxa"/>
            <w:vAlign w:val="bottom"/>
          </w:tcPr>
          <w:p>
            <w:pPr>
              <w:jc w:val="right"/>
              <w:ind w:right="272"/>
              <w:spacing w:after="0"/>
              <w:rPr>
                <w:sz w:val="20"/>
                <w:szCs w:val="20"/>
                <w:color w:val="auto"/>
              </w:rPr>
            </w:pPr>
            <w:r>
              <w:rPr>
                <w:rFonts w:ascii="Arial" w:cs="Arial" w:eastAsia="Arial" w:hAnsi="Arial"/>
                <w:sz w:val="14"/>
                <w:szCs w:val="14"/>
                <w:b w:val="1"/>
                <w:bCs w:val="1"/>
                <w:color w:val="auto"/>
                <w:w w:val="95"/>
              </w:rPr>
              <w:t>Total</w:t>
            </w:r>
          </w:p>
        </w:tc>
      </w:tr>
      <w:tr>
        <w:trPr>
          <w:trHeight w:val="27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beginning of period</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566.5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337.1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903.6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514.2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296.6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810.8</w:t>
            </w:r>
          </w:p>
        </w:tc>
      </w:tr>
      <w:tr>
        <w:trPr>
          <w:trHeight w:val="277"/>
        </w:trPr>
        <w:tc>
          <w:tcPr>
            <w:tcW w:w="47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before client transfers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Client transfers from mutual funds to other portfolios</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after client transfers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market appreciation and income</w:t>
            </w:r>
          </w:p>
        </w:tc>
        <w:tc>
          <w:tcPr>
            <w:tcW w:w="1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126.8</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during the period</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137.1</w:t>
            </w:r>
          </w:p>
        </w:tc>
      </w:tr>
      <w:tr>
        <w:trPr>
          <w:trHeight w:val="277"/>
        </w:trPr>
        <w:tc>
          <w:tcPr>
            <w:tcW w:w="47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September 30,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362.6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947.9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362.6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947.9</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client transfers from mutual funds to other investment portfolios noted in the table above were primarily transfers from the target date retirement funds to target date retirement trusts.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(in billions) during the three- and nine-month periods ended September 30, 2017, include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2"/>
              </w:rPr>
              <w:t>Three months</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center"/>
              <w:ind w:right="34"/>
              <w:spacing w:after="0"/>
              <w:rPr>
                <w:sz w:val="20"/>
                <w:szCs w:val="20"/>
                <w:color w:val="auto"/>
              </w:rPr>
            </w:pPr>
            <w:r>
              <w:rPr>
                <w:rFonts w:ascii="Arial" w:cs="Arial" w:eastAsia="Arial" w:hAnsi="Arial"/>
                <w:sz w:val="14"/>
                <w:szCs w:val="14"/>
                <w:b w:val="1"/>
                <w:bCs w:val="1"/>
                <w:color w:val="auto"/>
                <w:w w:val="91"/>
              </w:rPr>
              <w:t>Nine months</w:t>
            </w:r>
          </w:p>
        </w:tc>
      </w:tr>
      <w:tr>
        <w:trPr>
          <w:trHeight w:val="149"/>
        </w:trPr>
        <w:tc>
          <w:tcPr>
            <w:tcW w:w="9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ended</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center"/>
              <w:ind w:right="34"/>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98"/>
        </w:trPr>
        <w:tc>
          <w:tcPr>
            <w:tcW w:w="92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right="73"/>
              <w:spacing w:after="0"/>
              <w:rPr>
                <w:sz w:val="20"/>
                <w:szCs w:val="20"/>
                <w:color w:val="auto"/>
              </w:rPr>
            </w:pPr>
            <w:r>
              <w:rPr>
                <w:rFonts w:ascii="Arial" w:cs="Arial" w:eastAsia="Arial" w:hAnsi="Arial"/>
                <w:sz w:val="14"/>
                <w:szCs w:val="14"/>
                <w:b w:val="1"/>
                <w:bCs w:val="1"/>
                <w:color w:val="auto"/>
                <w:w w:val="93"/>
              </w:rPr>
              <w:t>9/30/2017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ind w:right="34"/>
              <w:spacing w:after="0"/>
              <w:rPr>
                <w:sz w:val="20"/>
                <w:szCs w:val="20"/>
                <w:color w:val="auto"/>
              </w:rPr>
            </w:pPr>
            <w:r>
              <w:rPr>
                <w:rFonts w:ascii="Arial" w:cs="Arial" w:eastAsia="Arial" w:hAnsi="Arial"/>
                <w:sz w:val="14"/>
                <w:szCs w:val="14"/>
                <w:b w:val="1"/>
                <w:bCs w:val="1"/>
                <w:color w:val="auto"/>
                <w:w w:val="93"/>
              </w:rPr>
              <w:t>9/30/2017</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 and blended asset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9260" w:type="dxa"/>
            <w:vAlign w:val="bottom"/>
          </w:tcPr>
          <w:p>
            <w:pPr>
              <w:ind w:left="220"/>
              <w:spacing w:after="0"/>
              <w:rPr>
                <w:sz w:val="20"/>
                <w:szCs w:val="20"/>
                <w:color w:val="auto"/>
              </w:rPr>
            </w:pPr>
            <w:r>
              <w:rPr>
                <w:rFonts w:ascii="Arial" w:cs="Arial" w:eastAsia="Arial" w:hAnsi="Arial"/>
                <w:sz w:val="18"/>
                <w:szCs w:val="18"/>
                <w:color w:val="auto"/>
              </w:rPr>
              <w:t>Bond funds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4.3</w:t>
            </w:r>
          </w:p>
        </w:tc>
      </w:tr>
      <w:tr>
        <w:trPr>
          <w:trHeight w:val="27"/>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r>
      <w:tr>
        <w:trPr>
          <w:trHeight w:val="237"/>
        </w:trPr>
        <w:tc>
          <w:tcPr>
            <w:tcW w:w="9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9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20"/>
              <w:spacing w:after="0"/>
              <w:rPr>
                <w:sz w:val="20"/>
                <w:szCs w:val="20"/>
                <w:color w:val="auto"/>
              </w:rPr>
            </w:pPr>
            <w:r>
              <w:rPr>
                <w:rFonts w:ascii="Arial" w:cs="Arial" w:eastAsia="Arial" w:hAnsi="Arial"/>
                <w:sz w:val="18"/>
                <w:szCs w:val="18"/>
                <w:color w:val="auto"/>
              </w:rPr>
              <w:t>Stock and blended assets</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9.0</w:t>
            </w:r>
          </w:p>
        </w:tc>
      </w:tr>
      <w:tr>
        <w:trPr>
          <w:trHeight w:val="27"/>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Fixed income, money market, and stable value</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r>
      <w:tr>
        <w:trPr>
          <w:trHeight w:val="237"/>
        </w:trPr>
        <w:tc>
          <w:tcPr>
            <w:tcW w:w="9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18.9</w:t>
            </w:r>
          </w:p>
        </w:tc>
      </w:tr>
      <w:tr>
        <w:trPr>
          <w:trHeight w:val="27"/>
        </w:trPr>
        <w:tc>
          <w:tcPr>
            <w:tcW w:w="9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cash flows after client transfers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r>
      <w:tr>
        <w:trPr>
          <w:trHeight w:val="20"/>
        </w:trPr>
        <w:tc>
          <w:tcPr>
            <w:tcW w:w="9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9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and blended asset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Bond, money market, and stable value</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16.2</w:t>
            </w:r>
          </w:p>
        </w:tc>
      </w:tr>
      <w:tr>
        <w:trPr>
          <w:trHeight w:val="27"/>
        </w:trPr>
        <w:tc>
          <w:tcPr>
            <w:tcW w:w="9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r>
      <w:tr>
        <w:trPr>
          <w:trHeight w:val="20"/>
        </w:trPr>
        <w:tc>
          <w:tcPr>
            <w:tcW w:w="9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734" w:right="239" w:bottom="1440" w:gutter="0" w:footer="0" w:header="0"/>
        </w:sectPr>
      </w:pPr>
    </w:p>
    <w:bookmarkStart w:id="22" w:name="page23"/>
    <w:bookmarkEnd w:id="22"/>
    <w:p>
      <w:pPr>
        <w:jc w:val="both"/>
        <w:ind w:right="60"/>
        <w:spacing w:after="0" w:line="286" w:lineRule="auto"/>
        <w:rPr>
          <w:sz w:val="20"/>
          <w:szCs w:val="20"/>
          <w:color w:val="auto"/>
        </w:rPr>
      </w:pPr>
      <w:r>
        <w:rPr>
          <w:rFonts w:ascii="Arial" w:cs="Arial" w:eastAsia="Arial" w:hAnsi="Arial"/>
          <w:sz w:val="17"/>
          <w:szCs w:val="17"/>
          <w:color w:val="auto"/>
        </w:rPr>
        <w:t>Net cash inflows into our target date retirement portfolios were $1.0 billion in the third quarter of 2017 and $6.4 billion in the first nine months of 2017. The components of net cash flows, by vehicle and asset class, shown above are affected by the mutual fund to trust transfers and the net cash flows by assets class are affected by the equity and fixed income portfolio rebalancing done to align allocations within the target date portfolios.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table below presents financial results on a U.S. GAAP basis as well as a non-GAAP basis that adjusts for the impact of the Dell appraisal rights matter, the firm's consolidated sponsored investment portfolios, the supplemental savings plan, and other non-operating income. We believe the non-GAAP financial measures below provide relevant and meaningful information to investors about our core operating results.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500" w:type="dxa"/>
            <w:vAlign w:val="bottom"/>
            <w:gridSpan w:val="5"/>
            <w:shd w:val="clear" w:color="auto" w:fill="CCEEFF"/>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5960" w:type="dxa"/>
            <w:vAlign w:val="bottom"/>
            <w:gridSpan w:val="5"/>
            <w:vMerge w:val="restart"/>
          </w:tcPr>
          <w:p>
            <w:pPr>
              <w:ind w:left="40"/>
              <w:spacing w:after="0"/>
              <w:rPr>
                <w:sz w:val="20"/>
                <w:szCs w:val="20"/>
                <w:color w:val="auto"/>
              </w:rPr>
            </w:pPr>
            <w:r>
              <w:rPr>
                <w:rFonts w:ascii="Arial" w:cs="Arial" w:eastAsia="Arial" w:hAnsi="Arial"/>
                <w:sz w:val="18"/>
                <w:szCs w:val="18"/>
                <w:color w:val="auto"/>
              </w:rPr>
              <w:t>(in millions, except per-share data)</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4"/>
                <w:szCs w:val="14"/>
                <w:b w:val="1"/>
                <w:bCs w:val="1"/>
                <w:color w:val="auto"/>
              </w:rPr>
              <w:t>9/30/2016</w:t>
            </w: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251"/>
              <w:spacing w:after="0"/>
              <w:rPr>
                <w:sz w:val="20"/>
                <w:szCs w:val="20"/>
                <w:color w:val="auto"/>
              </w:rPr>
            </w:pPr>
            <w:r>
              <w:rPr>
                <w:rFonts w:ascii="Arial" w:cs="Arial" w:eastAsia="Arial" w:hAnsi="Arial"/>
                <w:sz w:val="14"/>
                <w:szCs w:val="14"/>
                <w:b w:val="1"/>
                <w:bCs w:val="1"/>
                <w:color w:val="auto"/>
              </w:rPr>
              <w:t>9/30/2017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160"/>
              <w:spacing w:after="0" w:line="133" w:lineRule="exact"/>
              <w:rPr>
                <w:sz w:val="20"/>
                <w:szCs w:val="20"/>
                <w:color w:val="auto"/>
              </w:rPr>
            </w:pPr>
            <w:r>
              <w:rPr>
                <w:rFonts w:ascii="Arial" w:cs="Arial" w:eastAsia="Arial" w:hAnsi="Arial"/>
                <w:sz w:val="14"/>
                <w:szCs w:val="14"/>
                <w:b w:val="1"/>
                <w:bCs w:val="1"/>
                <w:color w:val="auto"/>
              </w:rPr>
              <w:t>Dollar</w:t>
            </w:r>
          </w:p>
        </w:tc>
        <w:tc>
          <w:tcPr>
            <w:tcW w:w="13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6"/>
              </w:rPr>
              <w:t>Percentage change</w:t>
            </w:r>
          </w:p>
        </w:tc>
        <w:tc>
          <w:tcPr>
            <w:tcW w:w="0" w:type="dxa"/>
            <w:vAlign w:val="bottom"/>
          </w:tcPr>
          <w:p>
            <w:pPr>
              <w:spacing w:after="0"/>
              <w:rPr>
                <w:sz w:val="1"/>
                <w:szCs w:val="1"/>
                <w:color w:val="auto"/>
              </w:rPr>
            </w:pPr>
          </w:p>
        </w:tc>
      </w:tr>
      <w:tr>
        <w:trPr>
          <w:trHeight w:val="192"/>
        </w:trPr>
        <w:tc>
          <w:tcPr>
            <w:tcW w:w="596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0" w:type="dxa"/>
            <w:vAlign w:val="bottom"/>
            <w:tcBorders>
              <w:top w:val="single" w:sz="8" w:color="CCEEFF"/>
            </w:tcBorders>
            <w:shd w:val="clear" w:color="auto" w:fill="CCEEFF"/>
          </w:tcPr>
          <w:p>
            <w:pPr>
              <w:spacing w:after="0"/>
              <w:rPr>
                <w:sz w:val="24"/>
                <w:szCs w:val="24"/>
                <w:color w:val="auto"/>
              </w:rPr>
            </w:pPr>
          </w:p>
        </w:tc>
        <w:tc>
          <w:tcPr>
            <w:tcW w:w="130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298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3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U.S. GAAP basis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Investment advisory fees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4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1,092.9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1,221.7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4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Net 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475.7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548.5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Diluted earnings per share on common stock of T. Rowe Price Group</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4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Weighted average common shares outstanding assuming dilution</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60" w:type="dxa"/>
            <w:vAlign w:val="bottom"/>
            <w:gridSpan w:val="5"/>
          </w:tcPr>
          <w:p>
            <w:pPr>
              <w:ind w:left="40"/>
              <w:spacing w:after="0" w:line="202" w:lineRule="exact"/>
              <w:rPr>
                <w:sz w:val="20"/>
                <w:szCs w:val="20"/>
                <w:color w:val="auto"/>
              </w:rPr>
            </w:pPr>
            <w:r>
              <w:rPr>
                <w:rFonts w:ascii="Arial" w:cs="Arial" w:eastAsia="Arial" w:hAnsi="Arial"/>
                <w:sz w:val="17"/>
                <w:szCs w:val="17"/>
                <w:b w:val="1"/>
                <w:bCs w:val="1"/>
                <w:color w:val="auto"/>
              </w:rPr>
              <w:t>Adjusted non-GAAP basis</w:t>
            </w:r>
            <w:r>
              <w:rPr>
                <w:rFonts w:ascii="Arial" w:cs="Arial" w:eastAsia="Arial" w:hAnsi="Arial"/>
                <w:sz w:val="23"/>
                <w:szCs w:val="23"/>
                <w:b w:val="1"/>
                <w:bCs w:val="1"/>
                <w:color w:val="auto"/>
                <w:vertAlign w:val="superscript"/>
              </w:rPr>
              <w:t>(1)</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4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299.9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362.1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Diluted earnings per share on common stock of T. Rowe Price Group</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Assets under management (in billions)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Average assets under management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803.6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927.4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70"/>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Ending assets under management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812.9</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947.9</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See the reconciliation to the comparable U.S. GAAP measures at the end of the results of operations sections of this management discussion and analysis.</w:t>
      </w:r>
    </w:p>
    <w:p>
      <w:pPr>
        <w:spacing w:after="0" w:line="16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Investment advisory fees earned in the third quarter of 2017 increased over the comparable 2016 quarter as average assets under our management increased $123.8 billion, or 15.4%, to $927.4 billion. Recent increases in money market fund yields have resulted in no fee waivers for those portfolios in the third quarter of 2017. Comparably, we waived $2.1 million in advisory fees from certain of our money market mutual funds in the third quarter of 2016.</w:t>
      </w:r>
    </w:p>
    <w:p>
      <w:pPr>
        <w:spacing w:after="0" w:line="1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average annualized effective fee rate earned on our assets under management during the third quarter of 2017 was 46.9 basis points, compared with 48.0 basis points earned during the third quarter of 2016. Our effective fee rate has declined in part due to fee reductions we made to certain mutual funds and other portfolios since the mid-2016 coupled with higher market valuations that have resulted in a greater proportion of incremental assets under management earning lower fee rates. The impact of the fee reductions was offset in part by higher equity valuations, which resulted in a greater percentage of our assets under management being attributable to higher fee equity portfolios. We regularly assess the competitiveness of our investment advisory fees and will continue to make adjustments as deemed appropriate.</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operating margin in the third quarter of 2017 was 44.9%, compared to 43.5% earned in the 2016 quarter, as higher market returns and net new cash flows have driven our net revenues to pace faster than operating expenses.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80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Investment advisory revenues earned in the third quarter of 2017 from the T. Rowe Price mutual funds distributed in the U.S. were $783.9 million, an increase of $80.4 million, or 11.4%, from the comparable 2016 quarter. Average mutual fund assets under management in the third quarter of 2017 were $576.1 billion, an increase of 12.7% from the average in the third quarter of 2016.</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Investment advisory revenues earned in the third quarter of 2017 from the other investment portfolios were $312.8 million, an increase of $45.8 million, or 17.2%, from the comparable 2016 quarter. Average assets under management for these portfolios in the third quarter of 2017 were $351.3 billion, an increase of 20.2% from the average in the third quarter of 2016.</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third quarter of 2016 and 2017 include the elimination of $2.2 million and $1.4 million, respectively, in advisory and administrative fees earned from our consolidated sponsored investment portfolios. The related management fee expense was also eliminated from operating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Compensation and related costs were $417.4 million in the third quarter of 2017, an increase of $31.2 million, or 8.1%, compared to the third quarter of 2016. Our base salaries and related benefits have increased $30.9 million from the third quarter of 2016 primarily as a result of a 7.0% increase in our average staff size and modest increases in base salaries at the beginning of 2017. Our interim accrual for annual variable compensation increased $8.9 million from the 2016 quarter. Our interim accrual for annual variable compensation program is recognized ratably over the year using the ratio of recognized quarterly net revenues to forecasted annual net revenues. Higher market valuations on a larger supplemental savings plan liability resulted in $3.4 million in additional compensation expense in the third quarter of 2017 compared with the 2016 period. We began economically hedging the exposure to these market movements in the third quarter of 2017 and show the effectiveness of these hedges in our non-GAAP measures’ reconciliation at the end of the management discussion and analysis. These higher compensation costs were offset, in part, by a $7.3 million increase in labor capitalization related to internally developed software as we continue to invest in technology capabilities. We also had a $5.9 million decrease in non-cash stock based compensation expenses as the timing of our annual grant shifted in 2017 from twice a year to a single grant in December. We employed 6,796 associates at September 30, 2017, an increase of 467 associates from the 6,329 associates employed at December 31, 2016.</w:t>
      </w:r>
    </w:p>
    <w:p>
      <w:pPr>
        <w:spacing w:after="0" w:line="183"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Occupancy and facility costs, together with depreciation expense, were $84.0 million in the third quarter of 2017, an increase of $4.7 million, or 5.9%, compared to the third quarter of 2016. The increase is primarily attributable to costs to update and enhance technology capabilities, including related maintenance programs.</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Other operating expenses in the third quarter of 2017 were up $20.1 million from the comparable 2016 quarter. Nearly half of the increase is attributable to professional fees incurred to support the firm’s continued investment in its operating capabilities. The remainder of the change from the third quarter of 2016 results primarily from increases in other operating costs to meet the growing operational and regulatory business demands. These costs include those related to our defined contribution recordkeeping business, third-party service costs, market information services, and other general and administrative costs.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80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Non-operating income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non-operating income in the third quarter of 2017 was $67.3 million, a decrease of $21.0 million from the 2016 quarter. The following table details the components of non-operating income (in millions) during the third quarter of 2016 and 2017 and the related dollar change.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500" w:type="dxa"/>
            <w:vAlign w:val="bottom"/>
            <w:gridSpan w:val="5"/>
            <w:shd w:val="clear" w:color="auto" w:fill="CCEEFF"/>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Dollar change</w:t>
            </w:r>
          </w:p>
        </w:tc>
      </w:tr>
      <w:tr>
        <w:trPr>
          <w:trHeight w:val="324"/>
        </w:trPr>
        <w:tc>
          <w:tcPr>
            <w:tcW w:w="7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gains realized on dispositions of available-for-sale investments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dividend distributions from sponsored fund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gains recognized on deconsolidation of sponsored fund investments</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Unrealized gains on sponsored investment portfolios used to hedge the supplemental savings plan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Unrealized gains on sponsored equity method and other trading investments</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investment income on sponsored fund investments not consolidated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investment income</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earned from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investment income of consolidated sponsored investment portfolios</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including net foreign currency gains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57"/>
        </w:trPr>
        <w:tc>
          <w:tcPr>
            <w:tcW w:w="7440" w:type="dxa"/>
            <w:vAlign w:val="bottom"/>
          </w:tcPr>
          <w:p>
            <w:pPr>
              <w:ind w:left="120"/>
              <w:spacing w:after="0"/>
              <w:rPr>
                <w:sz w:val="20"/>
                <w:szCs w:val="20"/>
                <w:color w:val="auto"/>
              </w:rPr>
            </w:pPr>
            <w:r>
              <w:rPr>
                <w:rFonts w:ascii="Arial" w:cs="Arial" w:eastAsia="Arial" w:hAnsi="Arial"/>
                <w:sz w:val="18"/>
                <w:szCs w:val="18"/>
                <w:color w:val="auto"/>
              </w:rPr>
              <w:t>Non-operating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$36.3 million decrease from the 2016 quarter in net investment income of consolidated sponsored investment portfolios for the three months ended September 30, 2017, was primarily a result of net investment income recognized in the 2016 quarter on a fund that was deconsolidated in the fourth quarter of 2016.</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impact (in millions) of consolidating certain sponsored investment portfolios on the individual lines of our condensed consolidated statements of income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2"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23495</wp:posOffset>
            </wp:positionV>
            <wp:extent cx="1663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9/30/2017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37.5</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Group’s interest in the consolidated sponsored investment portfolios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interests (unrelated third party investors)</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13.3</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effective tax rate for the third quarter of 2017 was 34.4%, compared with the full-year 2017 rate of 37.4% we expected at the end of the second quarter of 2017. The number of stock option exercises and the related tax benefits recognized were higher than originally expected. We currently estimate our effective tax rate for the full-year 2017 will be 35.9%. The following table provides the components of our effective income tax rate for the third quarter of 2017 and our current estimate for the full-year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58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860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Full-year</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spacing w:after="0"/>
              <w:rPr>
                <w:sz w:val="12"/>
                <w:szCs w:val="12"/>
                <w:color w:val="auto"/>
              </w:rPr>
            </w:pPr>
          </w:p>
        </w:tc>
        <w:tc>
          <w:tcPr>
            <w:tcW w:w="1460" w:type="dxa"/>
            <w:vAlign w:val="bottom"/>
            <w:gridSpan w:val="2"/>
            <w:vMerge w:val="continue"/>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92"/>
        </w:trPr>
        <w:tc>
          <w:tcPr>
            <w:tcW w:w="860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9/30/2017</w:t>
            </w:r>
          </w:p>
        </w:tc>
        <w:tc>
          <w:tcPr>
            <w:tcW w:w="10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Estimate</w:t>
            </w:r>
          </w:p>
        </w:tc>
        <w:tc>
          <w:tcPr>
            <w:tcW w:w="0" w:type="dxa"/>
            <w:vAlign w:val="bottom"/>
          </w:tcPr>
          <w:p>
            <w:pPr>
              <w:spacing w:after="0"/>
              <w:rPr>
                <w:sz w:val="1"/>
                <w:szCs w:val="1"/>
                <w:color w:val="auto"/>
              </w:rPr>
            </w:pP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Statutory U.S. federal income tax rate</w:t>
            </w:r>
          </w:p>
        </w:tc>
        <w:tc>
          <w:tcPr>
            <w:tcW w:w="136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taxes for current year, net of federal income tax benefits</w:t>
            </w: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interests</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360" w:type="dxa"/>
            <w:vAlign w:val="bottom"/>
          </w:tcPr>
          <w:p>
            <w:pPr>
              <w:jc w:val="right"/>
              <w:ind w:right="7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Other items</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60" w:type="dxa"/>
            <w:vAlign w:val="bottom"/>
          </w:tcPr>
          <w:p>
            <w:pPr>
              <w:jc w:val="right"/>
              <w:ind w:right="7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6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expect there to be continued volatility in our effective tax rate in future periods as the net excess tax benefits from stock-based compensation recognized in our tax provision are impacted by market fluctuations in our stock price and the timing of when option holders exercise their awards. Our effective tax rate will also be impacted by changes in our consolidated sponsored investment portfolios that are driven by the market and changes affecting net income attributable to non-controlling interests. Our effective income tax rate also reflects the relative contribution of pre-tax income generated by our foreign subsidiaries that are subject to tax rates lower than our U.S. rates. Changes in the relative contribution of pre-tax income from U.S. and foreign sources or changes in tax rates in relevant jurisdictions may affect our effective income tax rate and overall net income in the future.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nine months of 2016 versus first nine months of 2017.</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table below presents financial results on a U.S. GAAP basis as well as a non-GAAP basis that adjusts for the impact of the Dell appraisal rights matter, the firm's consolidated sponsored investment portfolios, the supplemental savings plan, and other non-operating income. We believe the non-GAAP financial measures below provide relevant and meaningful information to investors about our core operating results.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500" w:type="dxa"/>
            <w:vAlign w:val="bottom"/>
            <w:gridSpan w:val="5"/>
            <w:shd w:val="clear" w:color="auto" w:fill="CCEEFF"/>
          </w:tcPr>
          <w:p>
            <w:pPr>
              <w:ind w:left="50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59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(in millions, except per-share data)</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4"/>
                <w:szCs w:val="14"/>
                <w:b w:val="1"/>
                <w:bCs w:val="1"/>
                <w:color w:val="auto"/>
              </w:rPr>
              <w:t>9/30/2016</w:t>
            </w: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251"/>
              <w:spacing w:after="0"/>
              <w:rPr>
                <w:sz w:val="20"/>
                <w:szCs w:val="20"/>
                <w:color w:val="auto"/>
              </w:rPr>
            </w:pPr>
            <w:r>
              <w:rPr>
                <w:rFonts w:ascii="Arial" w:cs="Arial" w:eastAsia="Arial" w:hAnsi="Arial"/>
                <w:sz w:val="14"/>
                <w:szCs w:val="14"/>
                <w:b w:val="1"/>
                <w:bCs w:val="1"/>
                <w:color w:val="auto"/>
              </w:rPr>
              <w:t>9/30/2017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Dollar</w:t>
            </w:r>
          </w:p>
        </w:tc>
        <w:tc>
          <w:tcPr>
            <w:tcW w:w="13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6"/>
              </w:rPr>
              <w:t>Percentage change</w:t>
            </w:r>
          </w:p>
        </w:tc>
        <w:tc>
          <w:tcPr>
            <w:tcW w:w="0" w:type="dxa"/>
            <w:vAlign w:val="bottom"/>
          </w:tcPr>
          <w:p>
            <w:pPr>
              <w:spacing w:after="0"/>
              <w:rPr>
                <w:sz w:val="1"/>
                <w:szCs w:val="1"/>
                <w:color w:val="auto"/>
              </w:rPr>
            </w:pPr>
          </w:p>
        </w:tc>
      </w:tr>
      <w:tr>
        <w:trPr>
          <w:trHeight w:val="192"/>
        </w:trPr>
        <w:tc>
          <w:tcPr>
            <w:tcW w:w="596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0" w:type="dxa"/>
            <w:vAlign w:val="bottom"/>
            <w:tcBorders>
              <w:top w:val="single" w:sz="8" w:color="CCEEFF"/>
            </w:tcBorders>
            <w:shd w:val="clear" w:color="auto" w:fill="CCEEFF"/>
          </w:tcPr>
          <w:p>
            <w:pPr>
              <w:spacing w:after="0"/>
              <w:rPr>
                <w:sz w:val="24"/>
                <w:szCs w:val="24"/>
                <w:color w:val="auto"/>
              </w:rPr>
            </w:pPr>
          </w:p>
        </w:tc>
        <w:tc>
          <w:tcPr>
            <w:tcW w:w="130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298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3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U.S. GAAP basis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Investment advisory fees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4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3,131.7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3,506.9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375.2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Net 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1,170.1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1,577.8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34.8 %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36.9 %</w:t>
            </w:r>
          </w:p>
        </w:tc>
        <w:tc>
          <w:tcPr>
            <w:tcW w:w="0" w:type="dxa"/>
            <w:vAlign w:val="bottom"/>
          </w:tcPr>
          <w:p>
            <w:pPr>
              <w:spacing w:after="0"/>
              <w:rPr>
                <w:sz w:val="1"/>
                <w:szCs w:val="1"/>
                <w:color w:val="auto"/>
              </w:rPr>
            </w:pPr>
          </w:p>
        </w:tc>
      </w:tr>
      <w:tr>
        <w:trPr>
          <w:trHeight w:val="24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835.2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1,150.7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37.8 %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Diluted earnings per share on common stock of T. Rowe Price Group</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41.5 %</w:t>
            </w:r>
          </w:p>
        </w:tc>
        <w:tc>
          <w:tcPr>
            <w:tcW w:w="0" w:type="dxa"/>
            <w:vAlign w:val="bottom"/>
          </w:tcPr>
          <w:p>
            <w:pPr>
              <w:spacing w:after="0"/>
              <w:rPr>
                <w:sz w:val="1"/>
                <w:szCs w:val="1"/>
                <w:color w:val="auto"/>
              </w:rPr>
            </w:pPr>
          </w:p>
        </w:tc>
      </w:tr>
      <w:tr>
        <w:trPr>
          <w:trHeight w:val="24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Weighted average common shares outstanding assuming dilution</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60" w:type="dxa"/>
            <w:vAlign w:val="bottom"/>
            <w:gridSpan w:val="5"/>
          </w:tcPr>
          <w:p>
            <w:pPr>
              <w:ind w:left="40"/>
              <w:spacing w:after="0" w:line="202" w:lineRule="exact"/>
              <w:rPr>
                <w:sz w:val="20"/>
                <w:szCs w:val="20"/>
                <w:color w:val="auto"/>
              </w:rPr>
            </w:pPr>
            <w:r>
              <w:rPr>
                <w:rFonts w:ascii="Arial" w:cs="Arial" w:eastAsia="Arial" w:hAnsi="Arial"/>
                <w:sz w:val="17"/>
                <w:szCs w:val="17"/>
                <w:b w:val="1"/>
                <w:bCs w:val="1"/>
                <w:color w:val="auto"/>
              </w:rPr>
              <w:t>Adjusted non-GAAP basis</w:t>
            </w:r>
            <w:r>
              <w:rPr>
                <w:rFonts w:ascii="Arial" w:cs="Arial" w:eastAsia="Arial" w:hAnsi="Arial"/>
                <w:sz w:val="23"/>
                <w:szCs w:val="23"/>
                <w:b w:val="1"/>
                <w:bCs w:val="1"/>
                <w:color w:val="auto"/>
                <w:vertAlign w:val="superscript"/>
              </w:rPr>
              <w:t>(1)</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4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845.7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977.2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Diluted earnings per share on common stock of T. Rowe Price Group</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Assets under management (in billions)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Average assets under management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768.3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886.3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Ending assets under management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812.9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See the reconciliation to the comparable U.S. GAAP measures at the end of the results of operations sections of this management discussion and analysis.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726" w:right="239" w:bottom="1440" w:gutter="0" w:footer="0" w:header="0"/>
        </w:sectPr>
      </w:pPr>
    </w:p>
    <w:bookmarkStart w:id="26" w:name="page27"/>
    <w:bookmarkEnd w:id="26"/>
    <w:p>
      <w:pPr>
        <w:ind w:right="220"/>
        <w:spacing w:after="0" w:line="255" w:lineRule="auto"/>
        <w:rPr>
          <w:sz w:val="20"/>
          <w:szCs w:val="20"/>
          <w:color w:val="auto"/>
        </w:rPr>
      </w:pPr>
      <w:r>
        <w:rPr>
          <w:rFonts w:ascii="Arial" w:cs="Arial" w:eastAsia="Arial" w:hAnsi="Arial"/>
          <w:sz w:val="18"/>
          <w:szCs w:val="18"/>
          <w:color w:val="auto"/>
        </w:rPr>
        <w:t>Investment advisory revenues earned in the first nine months of 2017 increased 13.4% over the comparable 2016 period as average assets under our management increased $118.0 billion, or 15.4%, to $886.3 billion. We waived no money market fees in the first nine months of 2017, compared to $9.4 million in the 2016 period. The average annualized fee rate earned on our assets under management was 47.2 basis points in the first nine months of 2017, compared with 48.0 basis points earned in the first nine months of 2016. Our effective fee rate has declined in part due to fee reductions we made to certain mutual funds and other portfolios since the end of 2015. The impact of the fee reductions was offset in part by higher equity valuations, which resulted in a greater percentage of our assets under management being attributable to higher fee equity portfolios, and the elimination of money market fee waivers in 2017.</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operating results for the first nine-months of 2016 include a nonrecurring operating charge of $166.2 million related to our decision to compensate certain clients in regard to the Dell appraisal rights matter. During the first nine months of 2017, we recognized insurance recoveries totaling $50 million from claims filed in 2016 related to this matter. A quarterly summary of the financial impact of the Dell matter on our pre-tax operating expenses and pre-tax operating cash flows (in millions) since the matter arose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3"/>
              </w:rPr>
              <w:t>Pre-tax operating</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Pre-tax operating</w:t>
            </w:r>
          </w:p>
        </w:tc>
        <w:tc>
          <w:tcPr>
            <w:tcW w:w="0" w:type="dxa"/>
            <w:vAlign w:val="bottom"/>
          </w:tcPr>
          <w:p>
            <w:pPr>
              <w:spacing w:after="0"/>
              <w:rPr>
                <w:sz w:val="1"/>
                <w:szCs w:val="1"/>
                <w:color w:val="auto"/>
              </w:rPr>
            </w:pPr>
          </w:p>
        </w:tc>
      </w:tr>
      <w:tr>
        <w:trPr>
          <w:trHeight w:val="192"/>
        </w:trPr>
        <w:tc>
          <w:tcPr>
            <w:tcW w:w="880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85"/>
              </w:rPr>
              <w:t>expense</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cash flow</w:t>
            </w:r>
          </w:p>
        </w:tc>
        <w:tc>
          <w:tcPr>
            <w:tcW w:w="0" w:type="dxa"/>
            <w:vAlign w:val="bottom"/>
          </w:tcPr>
          <w:p>
            <w:pPr>
              <w:spacing w:after="0"/>
              <w:rPr>
                <w:sz w:val="1"/>
                <w:szCs w:val="1"/>
                <w:color w:val="auto"/>
              </w:rPr>
            </w:pPr>
          </w:p>
        </w:tc>
      </w:tr>
      <w:tr>
        <w:trPr>
          <w:trHeight w:val="243"/>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June 30, 2016</w:t>
            </w: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2016</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- 2016</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March 31, 2017</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Total impact from Dell appraisal rights matter</w:t>
            </w: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16.2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operating margin in the first nine months of 2017 was 45.0%, compared to 37.4% in the 2016 period. Excluding the impact of the Dell matter, our operating margin was 43.6% in the first nine months of 2017, and 42.7% for the comparable 2016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Investment advisory revenues earned from the T. Rowe Price mutual funds distributed in the U.S. increased 12.4%, or $249.3 million, to $2.3 billion. Average mutual fund assets in the first nine months of 2017 were $557.8 billion, an increase of 13.9% from the average for the comparable 2016 period. The increase in advisory revenues was also due in part to the reduction in money market fee waivers made in the first nine months of 2017 compared with the 2016 period.</w:t>
      </w:r>
    </w:p>
    <w:p>
      <w:pPr>
        <w:spacing w:after="0" w:line="14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Investment advisory revenues earned on the other investment portfolios for the first nine months of 2017 were $877.7 million, an increase of $120.5 million, or 15.9%, from the $757.2 million earned in the comparable 2016 period. Average assets in these portfolios were $328.5 billion during the first nine months of 2017, up 17.9% from the comparable 2016 period.</w:t>
      </w:r>
    </w:p>
    <w:p>
      <w:pPr>
        <w:spacing w:after="0" w:line="1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results for the first nine months of 2017 include the elimination of $3.2 million in advisory and administrative fees against the related management fee expense recorded by our consolidated sponsored investment portfolios, a decrease of $2.1 million from the $5.3 million eliminated during the comparable 2016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Compensation and related costs were $1,218.6 million in the first nine months of 2017, an increase of $106.2 million, or 9.5%, compared to the 2016 period. The largest part of the increase is attributable to a $78.5 million increase in base salaries and related benefits which resulted from an increase of 6.1% in average headcount from the 2016 period combined with a modest increase in salaries at the beginning of 2017. The increase in average headcount also drove higher recruiting costs in the 2017 year-to-date period. The interim accrual for our annual variable compensation in the 2017 period rose $37.0 million over the interim accrual in the 2016 period. Higher market valuations on a larger supplemental savings plan liability resulted in $14.5 million in additional compensation expense in the first nine months of 2017 compared with the 2016 period. The increases in these compensation and related expenses were offset in part by an increase of $25.8 million in the level of labor capitalized in 2017 compared with the 2016 period and lower non-cash stock based compensation expense as we shifted our annual grant from twice a year to a single grant in December and experienced an increase in forfeitures over the prior comparable period.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800" w:right="239" w:bottom="1440" w:gutter="0" w:footer="0" w:header="0"/>
        </w:sectPr>
      </w:pPr>
    </w:p>
    <w:bookmarkStart w:id="27" w:name="page28"/>
    <w:bookmarkEnd w:id="27"/>
    <w:p>
      <w:pPr>
        <w:jc w:val="both"/>
        <w:ind w:right="80"/>
        <w:spacing w:after="0" w:line="342" w:lineRule="auto"/>
        <w:rPr>
          <w:sz w:val="20"/>
          <w:szCs w:val="20"/>
          <w:color w:val="auto"/>
        </w:rPr>
      </w:pPr>
      <w:r>
        <w:rPr>
          <w:rFonts w:ascii="Arial" w:cs="Arial" w:eastAsia="Arial" w:hAnsi="Arial"/>
          <w:sz w:val="16"/>
          <w:szCs w:val="16"/>
          <w:color w:val="auto"/>
        </w:rPr>
        <w:t>Advertising and promotion costs were $58.2 million in the first nine months of 2017, an increase of $5.5 million, or 10.4%, compared to the 2016 period. We currently expect advertising and promotion costs for 2017 will be up to 10% higher than the 2016 year as we execute on a number of our strategic initiatives.</w:t>
      </w:r>
    </w:p>
    <w:p>
      <w:pPr>
        <w:spacing w:after="0" w:line="1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Occupancy and facility costs, together with depreciation expense, increased $20.6 million, or 9.1%, compared to the first nine months of 2016. The increase is attributable to higher facilities costs as well as the added costs to update and enhance technology capabilities, including related maintenance programs.</w:t>
      </w:r>
    </w:p>
    <w:p>
      <w:pPr>
        <w:spacing w:after="0" w:line="12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Other operating expenses were $345.2 million in the first nine months of 2017, an increase of $48.6 million from the comparable 2016 period. About half of the increase is attributable to professional fees incurred to support the firm’s continued investment in its operating capabilities. The remainder of the change from the first nine months of 2016 is a result of increases in other operating costs to meet the growing operational and regulatory business demands. These costs include those related to our defined contribution recordkeeping business, travel costs, third-party service costs, and other general and administrative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Net non-operating investment activity during the first nine months of 2017 resulted in income of $294.3 million, an increase of $79.4 million from the 2016 period. The following table details the components of non-operating income (in millions) during the first nine months of 2016 and 2017.</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500" w:type="dxa"/>
            <w:vAlign w:val="bottom"/>
            <w:gridSpan w:val="5"/>
            <w:shd w:val="clear" w:color="auto" w:fill="CCEEFF"/>
          </w:tcPr>
          <w:p>
            <w:pPr>
              <w:ind w:left="5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Dollar change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gains realized on dispositions of available-for-sale investments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Ordinary dividend distributions from sponsored fund investments</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6.2</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recognized on deconsolidation of sponsored fund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440" w:type="dxa"/>
            <w:vAlign w:val="bottom"/>
          </w:tcPr>
          <w:p>
            <w:pPr>
              <w:ind w:left="40"/>
              <w:spacing w:after="0"/>
              <w:rPr>
                <w:sz w:val="20"/>
                <w:szCs w:val="20"/>
                <w:color w:val="auto"/>
              </w:rPr>
            </w:pPr>
            <w:r>
              <w:rPr>
                <w:rFonts w:ascii="Arial" w:cs="Arial" w:eastAsia="Arial" w:hAnsi="Arial"/>
                <w:sz w:val="18"/>
                <w:szCs w:val="18"/>
                <w:color w:val="auto"/>
                <w:w w:val="93"/>
              </w:rPr>
              <w:t>Gains reclassified from accumulated other comprehensive income upon transfer of an available-for-</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sale sponsored investment portfolio to sponsored investment portfolios held as trading</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23.6</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Unrealized gains on sponsored investment portfolios used to hedge the supplemental savings plan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Unrealized gains on sponsored equity method and other trading investments</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investment income on sponsored fund investments not consolidated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investment income</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earned from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investment income of consolidated sponsored investment portfolios</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expenses, including net foreign currency gains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57"/>
        </w:trPr>
        <w:tc>
          <w:tcPr>
            <w:tcW w:w="7440" w:type="dxa"/>
            <w:vAlign w:val="bottom"/>
          </w:tcPr>
          <w:p>
            <w:pPr>
              <w:ind w:left="120"/>
              <w:spacing w:after="0"/>
              <w:rPr>
                <w:sz w:val="20"/>
                <w:szCs w:val="20"/>
                <w:color w:val="auto"/>
              </w:rPr>
            </w:pPr>
            <w:r>
              <w:rPr>
                <w:rFonts w:ascii="Arial" w:cs="Arial" w:eastAsia="Arial" w:hAnsi="Arial"/>
                <w:sz w:val="18"/>
                <w:szCs w:val="18"/>
                <w:color w:val="auto"/>
              </w:rPr>
              <w:t>Non-operating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79.4</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During the first nine months of 2017, non-operating income includes $30.8 million in gains realized from the disposition of certain available-for-sale investments and $23.6 million in unrealized gains recognized on sponsored trading investments that result from our decision to economically hedge the market exposure associated with our supplemental savings plan liability. In order to fund the hedge portfolio, we used the proceeds from the sale of certain available-for-sale sponsored investment holdings as well as designated a sponsored fund that was held as available-for-sale. The designation of the sponsored fund as an economic hedge transferred its accounting classification from an available-for-sale security to a trading security and resulted in the reclassification of the investment's unrealized holding gain at the date of designation to the income statement from the balance sheet where it was previously recognized.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800" w:right="239" w:bottom="1440" w:gutter="0" w:footer="0" w:header="0"/>
        </w:sectPr>
      </w:pPr>
    </w:p>
    <w:bookmarkStart w:id="28" w:name="page29"/>
    <w:bookmarkEnd w:id="28"/>
    <w:p>
      <w:pPr>
        <w:ind w:right="100"/>
        <w:spacing w:after="0" w:line="277" w:lineRule="auto"/>
        <w:rPr>
          <w:sz w:val="20"/>
          <w:szCs w:val="20"/>
          <w:color w:val="auto"/>
        </w:rPr>
      </w:pPr>
      <w:r>
        <w:rPr>
          <w:rFonts w:ascii="Arial" w:cs="Arial" w:eastAsia="Arial" w:hAnsi="Arial"/>
          <w:sz w:val="18"/>
          <w:szCs w:val="18"/>
          <w:color w:val="auto"/>
        </w:rPr>
        <w:t>The impact (in millions) of consolidating certain sponsored investment portfolios on the individual lines of our condensed consolidated statements of income for the first nine months of 2016 and 2017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2"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23495</wp:posOffset>
            </wp:positionV>
            <wp:extent cx="1663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9/30/2017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125.8</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117.3</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Group’s interest in the consolidated sponsored investment portfolios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interests (unrelated third party investors)</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43.9</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117.3</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 The following schedule reconciles (in millions, except for per-share amounts) U.S. GAAP financial measures to non-GAAP measures for the three- and nine-month periods ended September 30, 2016 and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320" w:type="dxa"/>
            <w:vAlign w:val="bottom"/>
            <w:gridSpan w:val="5"/>
            <w:shd w:val="clear" w:color="auto" w:fill="CCEEFF"/>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22"/>
                <w:szCs w:val="22"/>
                <w:color w:val="auto"/>
              </w:rPr>
            </w:pPr>
          </w:p>
        </w:tc>
        <w:tc>
          <w:tcPr>
            <w:tcW w:w="2180" w:type="dxa"/>
            <w:vAlign w:val="bottom"/>
            <w:gridSpan w:val="4"/>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5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9/30/2017</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9/30/2017</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 GAAP basis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1,929.1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Expenses of consolidated sponsored investment portfolios, net of elimination of its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652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related management fee</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6520" w:type="dxa"/>
            <w:vAlign w:val="bottom"/>
          </w:tcPr>
          <w:p>
            <w:pPr>
              <w:ind w:left="120"/>
              <w:spacing w:after="0"/>
              <w:rPr>
                <w:sz w:val="20"/>
                <w:szCs w:val="20"/>
                <w:color w:val="auto"/>
              </w:rPr>
            </w:pPr>
            <w:r>
              <w:rPr>
                <w:rFonts w:ascii="Arial" w:cs="Arial" w:eastAsia="Arial" w:hAnsi="Arial"/>
                <w:sz w:val="18"/>
                <w:szCs w:val="18"/>
                <w:color w:val="auto"/>
                <w:w w:val="94"/>
              </w:rPr>
              <w:t>Compensation expense related to market valuation changes in supplemental savings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7"/>
        </w:trPr>
        <w:tc>
          <w:tcPr>
            <w:tcW w:w="6520" w:type="dxa"/>
            <w:vAlign w:val="bottom"/>
          </w:tcPr>
          <w:p>
            <w:pPr>
              <w:ind w:left="120"/>
              <w:spacing w:after="0" w:line="257" w:lineRule="exact"/>
              <w:rPr>
                <w:sz w:val="20"/>
                <w:szCs w:val="20"/>
                <w:color w:val="auto"/>
              </w:rPr>
            </w:pPr>
            <w:r>
              <w:rPr>
                <w:rFonts w:ascii="Arial" w:cs="Arial" w:eastAsia="Arial" w:hAnsi="Arial"/>
                <w:sz w:val="18"/>
                <w:szCs w:val="18"/>
                <w:color w:val="auto"/>
              </w:rPr>
              <w:t>plan liability</w:t>
            </w:r>
            <w:r>
              <w:rPr>
                <w:rFonts w:ascii="Arial" w:cs="Arial" w:eastAsia="Arial" w:hAnsi="Arial"/>
                <w:sz w:val="25"/>
                <w:szCs w:val="25"/>
                <w:color w:val="auto"/>
                <w:vertAlign w:val="superscript"/>
              </w:rPr>
              <w:t>(2)</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65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w w:val="95"/>
              </w:rPr>
              <w:t>Insurance recoveries (nonrecurring charge) related to Dell appraisal rights matter</w:t>
            </w:r>
            <w:r>
              <w:rPr>
                <w:rFonts w:ascii="Arial" w:cs="Arial" w:eastAsia="Arial" w:hAnsi="Arial"/>
                <w:sz w:val="25"/>
                <w:szCs w:val="25"/>
                <w:color w:val="auto"/>
                <w:w w:val="95"/>
                <w:vertAlign w:val="superscript"/>
              </w:rPr>
              <w:t>(4)</w:t>
            </w:r>
          </w:p>
        </w:tc>
        <w:tc>
          <w:tcPr>
            <w:tcW w:w="2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97"/>
        </w:trPr>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Adjusted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615.6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665.7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1,790.8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1,968.1</w:t>
            </w:r>
          </w:p>
        </w:tc>
      </w:tr>
      <w:tr>
        <w:trPr>
          <w:trHeight w:val="311"/>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T. Rowe Price Group, GAAP basis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835.2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1,150.7</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9"/>
        </w:trPr>
        <w:tc>
          <w:tcPr>
            <w:tcW w:w="6520" w:type="dxa"/>
            <w:vAlign w:val="bottom"/>
          </w:tcPr>
          <w:p>
            <w:pPr>
              <w:ind w:left="120"/>
              <w:spacing w:after="0"/>
              <w:rPr>
                <w:sz w:val="20"/>
                <w:szCs w:val="20"/>
                <w:color w:val="auto"/>
              </w:rPr>
            </w:pPr>
            <w:r>
              <w:rPr>
                <w:rFonts w:ascii="Arial" w:cs="Arial" w:eastAsia="Arial" w:hAnsi="Arial"/>
                <w:sz w:val="18"/>
                <w:szCs w:val="18"/>
                <w:color w:val="auto"/>
                <w:w w:val="94"/>
              </w:rPr>
              <w:t>Net income of consolidated sponsored investment portfolios, net of redeemable non-</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7"/>
        </w:trPr>
        <w:tc>
          <w:tcPr>
            <w:tcW w:w="6520" w:type="dxa"/>
            <w:vAlign w:val="bottom"/>
          </w:tcPr>
          <w:p>
            <w:pPr>
              <w:ind w:left="120"/>
              <w:spacing w:after="0" w:line="257" w:lineRule="exact"/>
              <w:rPr>
                <w:sz w:val="20"/>
                <w:szCs w:val="20"/>
                <w:color w:val="auto"/>
              </w:rPr>
            </w:pPr>
            <w:r>
              <w:rPr>
                <w:rFonts w:ascii="Arial" w:cs="Arial" w:eastAsia="Arial" w:hAnsi="Arial"/>
                <w:sz w:val="18"/>
                <w:szCs w:val="18"/>
                <w:color w:val="auto"/>
              </w:rPr>
              <w:t>controlling interests</w:t>
            </w:r>
            <w:r>
              <w:rPr>
                <w:rFonts w:ascii="Arial" w:cs="Arial" w:eastAsia="Arial" w:hAnsi="Arial"/>
                <w:sz w:val="25"/>
                <w:szCs w:val="25"/>
                <w:color w:val="auto"/>
                <w:vertAlign w:val="superscript"/>
              </w:rPr>
              <w:t>(1)</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(73.4)</w:t>
            </w:r>
          </w:p>
        </w:tc>
      </w:tr>
      <w:tr>
        <w:trPr>
          <w:trHeight w:val="229"/>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Non-operating income of investments designated as an economic hedge of supplemental</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652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savings plan liability less related compensation expense</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520" w:type="dxa"/>
            <w:vAlign w:val="bottom"/>
          </w:tcPr>
          <w:p>
            <w:pPr>
              <w:ind w:left="120"/>
              <w:spacing w:after="0"/>
              <w:rPr>
                <w:sz w:val="20"/>
                <w:szCs w:val="20"/>
                <w:color w:val="auto"/>
              </w:rPr>
            </w:pPr>
            <w:r>
              <w:rPr>
                <w:rFonts w:ascii="Arial" w:cs="Arial" w:eastAsia="Arial" w:hAnsi="Arial"/>
                <w:sz w:val="18"/>
                <w:szCs w:val="18"/>
                <w:color w:val="auto"/>
              </w:rPr>
              <w:t>Non-operating income, excluding impacts of consolidated sponsored investment</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w w:val="92"/>
              </w:rPr>
              <w:t>portfolios and investments designated as an economic hedge of supplemental savings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7"/>
        </w:trPr>
        <w:tc>
          <w:tcPr>
            <w:tcW w:w="6520" w:type="dxa"/>
            <w:vAlign w:val="bottom"/>
          </w:tcPr>
          <w:p>
            <w:pPr>
              <w:ind w:left="120"/>
              <w:spacing w:after="0" w:line="257" w:lineRule="exact"/>
              <w:rPr>
                <w:sz w:val="20"/>
                <w:szCs w:val="20"/>
                <w:color w:val="auto"/>
              </w:rPr>
            </w:pPr>
            <w:r>
              <w:rPr>
                <w:rFonts w:ascii="Arial" w:cs="Arial" w:eastAsia="Arial" w:hAnsi="Arial"/>
                <w:sz w:val="18"/>
                <w:szCs w:val="18"/>
                <w:color w:val="auto"/>
              </w:rPr>
              <w:t>plan liability</w:t>
            </w:r>
            <w:r>
              <w:rPr>
                <w:rFonts w:ascii="Arial" w:cs="Arial" w:eastAsia="Arial" w:hAnsi="Arial"/>
                <w:sz w:val="25"/>
                <w:szCs w:val="25"/>
                <w:color w:val="auto"/>
                <w:vertAlign w:val="superscript"/>
              </w:rPr>
              <w:t>(3)</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(162.4)</w:t>
            </w:r>
          </w:p>
        </w:tc>
      </w:tr>
      <w:tr>
        <w:trPr>
          <w:trHeight w:val="270"/>
        </w:trPr>
        <w:tc>
          <w:tcPr>
            <w:tcW w:w="65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w w:val="95"/>
              </w:rPr>
              <w:t>Nonrecurring charge (insurance recoveries) related to Dell appraisal rights matter</w:t>
            </w:r>
            <w:r>
              <w:rPr>
                <w:rFonts w:ascii="Arial" w:cs="Arial" w:eastAsia="Arial" w:hAnsi="Arial"/>
                <w:sz w:val="25"/>
                <w:szCs w:val="25"/>
                <w:color w:val="auto"/>
                <w:w w:val="95"/>
                <w:vertAlign w:val="superscript"/>
              </w:rPr>
              <w:t>(4)</w:t>
            </w:r>
          </w:p>
        </w:tc>
        <w:tc>
          <w:tcPr>
            <w:tcW w:w="2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0"/>
        </w:trPr>
        <w:tc>
          <w:tcPr>
            <w:tcW w:w="6520" w:type="dxa"/>
            <w:vAlign w:val="bottom"/>
            <w:tcBorders>
              <w:bottom w:val="single" w:sz="8" w:color="CCEEFF"/>
            </w:tcBorders>
          </w:tcPr>
          <w:p>
            <w:pPr>
              <w:ind w:left="120"/>
              <w:spacing w:after="0" w:line="270" w:lineRule="exact"/>
              <w:rPr>
                <w:sz w:val="20"/>
                <w:szCs w:val="20"/>
                <w:color w:val="auto"/>
              </w:rPr>
            </w:pPr>
            <w:r>
              <w:rPr>
                <w:rFonts w:ascii="Arial" w:cs="Arial" w:eastAsia="Arial" w:hAnsi="Arial"/>
                <w:sz w:val="18"/>
                <w:szCs w:val="18"/>
                <w:color w:val="auto"/>
              </w:rPr>
              <w:t>Income tax impacts of non-GAAP adjustments</w:t>
            </w:r>
            <w:r>
              <w:rPr>
                <w:rFonts w:ascii="Arial" w:cs="Arial" w:eastAsia="Arial" w:hAnsi="Arial"/>
                <w:sz w:val="25"/>
                <w:szCs w:val="25"/>
                <w:color w:val="auto"/>
                <w:vertAlign w:val="superscript"/>
              </w:rPr>
              <w:t>(5)</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112.7</w:t>
            </w: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net income attributable to T. Rowe Price Group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977.2</w:t>
            </w: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common share, GAAP basis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rPr>
              <w:t>Consolidated sponsored investment portfolios</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6520" w:type="dxa"/>
            <w:vAlign w:val="bottom"/>
          </w:tcPr>
          <w:p>
            <w:pPr>
              <w:ind w:left="120"/>
              <w:spacing w:after="0"/>
              <w:rPr>
                <w:sz w:val="20"/>
                <w:szCs w:val="20"/>
                <w:color w:val="auto"/>
              </w:rPr>
            </w:pPr>
            <w:r>
              <w:rPr>
                <w:rFonts w:ascii="Arial" w:cs="Arial" w:eastAsia="Arial" w:hAnsi="Arial"/>
                <w:sz w:val="18"/>
                <w:szCs w:val="18"/>
                <w:color w:val="auto"/>
              </w:rPr>
              <w:t>Non-operating income, excluding impacts of consolidated sponsored investment</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w w:val="92"/>
              </w:rPr>
              <w:t>portfolios and investments designated as an economic hedge of supplemental savings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7"/>
        </w:trPr>
        <w:tc>
          <w:tcPr>
            <w:tcW w:w="6520" w:type="dxa"/>
            <w:vAlign w:val="bottom"/>
          </w:tcPr>
          <w:p>
            <w:pPr>
              <w:ind w:left="120"/>
              <w:spacing w:after="0" w:line="257" w:lineRule="exact"/>
              <w:rPr>
                <w:sz w:val="20"/>
                <w:szCs w:val="20"/>
                <w:color w:val="auto"/>
              </w:rPr>
            </w:pPr>
            <w:r>
              <w:rPr>
                <w:rFonts w:ascii="Arial" w:cs="Arial" w:eastAsia="Arial" w:hAnsi="Arial"/>
                <w:sz w:val="18"/>
                <w:szCs w:val="18"/>
                <w:color w:val="auto"/>
              </w:rPr>
              <w:t>plan liability</w:t>
            </w:r>
            <w:r>
              <w:rPr>
                <w:rFonts w:ascii="Arial" w:cs="Arial" w:eastAsia="Arial" w:hAnsi="Arial"/>
                <w:sz w:val="25"/>
                <w:szCs w:val="25"/>
                <w:color w:val="auto"/>
                <w:vertAlign w:val="superscript"/>
              </w:rPr>
              <w:t>(3)</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65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w w:val="95"/>
              </w:rPr>
              <w:t>Nonrecurring charge (insurance recoveries) related to Dell appraisal rights matter</w:t>
            </w:r>
            <w:r>
              <w:rPr>
                <w:rFonts w:ascii="Arial" w:cs="Arial" w:eastAsia="Arial" w:hAnsi="Arial"/>
                <w:sz w:val="25"/>
                <w:szCs w:val="25"/>
                <w:color w:val="auto"/>
                <w:w w:val="95"/>
                <w:vertAlign w:val="superscript"/>
              </w:rPr>
              <w:t>(4)</w:t>
            </w:r>
          </w:p>
        </w:tc>
        <w:tc>
          <w:tcPr>
            <w:tcW w:w="2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4"/>
        </w:trPr>
        <w:tc>
          <w:tcPr>
            <w:tcW w:w="6520" w:type="dxa"/>
            <w:vAlign w:val="bottom"/>
          </w:tcPr>
          <w:p>
            <w:pPr>
              <w:ind w:left="40"/>
              <w:spacing w:after="0" w:line="264" w:lineRule="exact"/>
              <w:rPr>
                <w:sz w:val="20"/>
                <w:szCs w:val="20"/>
                <w:color w:val="auto"/>
              </w:rPr>
            </w:pPr>
            <w:r>
              <w:rPr>
                <w:rFonts w:ascii="Arial" w:cs="Arial" w:eastAsia="Arial" w:hAnsi="Arial"/>
                <w:sz w:val="18"/>
                <w:szCs w:val="18"/>
                <w:b w:val="1"/>
                <w:bCs w:val="1"/>
                <w:color w:val="auto"/>
              </w:rPr>
              <w:t>Adjusted diluted earnings per common share</w:t>
            </w:r>
            <w:r>
              <w:rPr>
                <w:rFonts w:ascii="Arial" w:cs="Arial" w:eastAsia="Arial" w:hAnsi="Arial"/>
                <w:sz w:val="25"/>
                <w:szCs w:val="25"/>
                <w:b w:val="1"/>
                <w:bCs w:val="1"/>
                <w:color w:val="auto"/>
                <w:vertAlign w:val="superscript"/>
              </w:rPr>
              <w:t>(6)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3.91</w:t>
            </w: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20"/>
          </w:cols>
          <w:pgMar w:left="240" w:top="638" w:right="239" w:bottom="1440" w:gutter="0" w:footer="0" w:header="0"/>
        </w:sectPr>
      </w:pPr>
    </w:p>
    <w:bookmarkStart w:id="30" w:name="page31"/>
    <w:bookmarkEnd w:id="30"/>
    <w:p>
      <w:pPr>
        <w:ind w:left="180" w:right="100" w:hanging="172"/>
        <w:spacing w:after="0" w:line="271" w:lineRule="auto"/>
        <w:tabs>
          <w:tab w:leader="none" w:pos="210" w:val="left"/>
        </w:tabs>
        <w:numPr>
          <w:ilvl w:val="0"/>
          <w:numId w:val="1"/>
        </w:numPr>
        <w:rPr>
          <w:rFonts w:ascii="Arial" w:cs="Arial" w:eastAsia="Arial" w:hAnsi="Arial"/>
          <w:sz w:val="22"/>
          <w:szCs w:val="22"/>
          <w:color w:val="auto"/>
          <w:vertAlign w:val="superscript"/>
        </w:rPr>
      </w:pPr>
      <w:r>
        <w:rPr>
          <w:rFonts w:ascii="Arial" w:cs="Arial" w:eastAsia="Arial" w:hAnsi="Arial"/>
          <w:sz w:val="16"/>
          <w:szCs w:val="16"/>
          <w:color w:val="auto"/>
        </w:rPr>
        <w:t>We implemented new consolidation accounting guidance on January 1, 2016, that resulted in a larger number of our sponsored investment portfolios, that we provide seed capital to at formation, to be consolidated in our financial statements as we were deemed to have a controlling financial interest. The non-GAAP adjustments add back the management fees we earn from the consolidated sponsored investment portfolios and remove the investment income and operating expenses of these portfolios that have been included in our U.S. GAAP condensed consolidated statements of income. We believe the consolidated sponsored investment portfolios may impact the reader's ability to understand our core operating results.</w:t>
      </w:r>
    </w:p>
    <w:p>
      <w:pPr>
        <w:spacing w:after="0" w:line="113" w:lineRule="exact"/>
        <w:rPr>
          <w:sz w:val="20"/>
          <w:szCs w:val="20"/>
          <w:color w:val="auto"/>
        </w:rPr>
      </w:pPr>
    </w:p>
    <w:tbl>
      <w:tblPr>
        <w:tblLayout w:type="fixed"/>
        <w:tblInd w:w="180" w:type="dxa"/>
        <w:tblCellMar>
          <w:top w:w="0" w:type="dxa"/>
          <w:left w:w="0" w:type="dxa"/>
          <w:bottom w:w="0" w:type="dxa"/>
          <w:right w:w="0" w:type="dxa"/>
        </w:tblCellMar>
      </w:tblPr>
      <w:tr>
        <w:trPr>
          <w:trHeight w:val="264"/>
        </w:trPr>
        <w:tc>
          <w:tcPr>
            <w:tcW w:w="62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240" w:type="dxa"/>
            <w:vAlign w:val="bottom"/>
            <w:tcBorders>
              <w:bottom w:val="single" w:sz="8" w:color="auto"/>
            </w:tcBorders>
            <w:gridSpan w:val="5"/>
            <w:shd w:val="clear" w:color="auto" w:fill="CCEEFF"/>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shd w:val="clear" w:color="auto" w:fill="CCEEFF"/>
          </w:tcPr>
          <w:p>
            <w:pPr>
              <w:spacing w:after="0"/>
              <w:rPr>
                <w:sz w:val="22"/>
                <w:szCs w:val="22"/>
                <w:color w:val="auto"/>
              </w:rPr>
            </w:pPr>
          </w:p>
        </w:tc>
        <w:tc>
          <w:tcPr>
            <w:tcW w:w="2140" w:type="dxa"/>
            <w:vAlign w:val="bottom"/>
            <w:tcBorders>
              <w:bottom w:val="single" w:sz="8" w:color="auto"/>
            </w:tcBorders>
            <w:gridSpan w:val="4"/>
            <w:shd w:val="clear" w:color="auto" w:fill="CCEEFF"/>
          </w:tcPr>
          <w:p>
            <w:pPr>
              <w:jc w:val="right"/>
              <w:ind w:right="43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2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9"/>
              </w:rPr>
              <w:t>9/30/2016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9/30/2017</w:t>
            </w: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 of consolidated sponsored portfolios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125.8</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Operating expenses of consolidated sponsored portfolios</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of consolidated sponsored portfolios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117.3</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20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43.9</w:t>
            </w: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Price's portion of 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73.4</w:t>
            </w: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right="20" w:hanging="172"/>
        <w:spacing w:after="0" w:line="268" w:lineRule="auto"/>
        <w:tabs>
          <w:tab w:leader="none" w:pos="196" w:val="left"/>
        </w:tabs>
        <w:numPr>
          <w:ilvl w:val="0"/>
          <w:numId w:val="2"/>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impact of market movements on the supplemental savings plan liability and related investments designated as economic hedges of the liability beginning July 1, 2017. Amounts deferred under the supplemental savings plan are adjusted for appreciation (depreciation) of hypothetical investments chosen by the employee. Since we economically hedged the exposure to these market movements, we believe it is useful to offset the non-operating investment income earned on the hedges against the related compensation expense to increase comparability period to period.</w:t>
      </w:r>
    </w:p>
    <w:p>
      <w:pPr>
        <w:spacing w:after="0" w:line="115" w:lineRule="exact"/>
        <w:rPr>
          <w:sz w:val="20"/>
          <w:szCs w:val="20"/>
          <w:color w:val="auto"/>
        </w:rPr>
      </w:pPr>
    </w:p>
    <w:tbl>
      <w:tblPr>
        <w:tblLayout w:type="fixed"/>
        <w:tblInd w:w="180" w:type="dxa"/>
        <w:tblCellMar>
          <w:top w:w="0" w:type="dxa"/>
          <w:left w:w="0" w:type="dxa"/>
          <w:bottom w:w="0" w:type="dxa"/>
          <w:right w:w="0" w:type="dxa"/>
        </w:tblCellMar>
      </w:tblPr>
      <w:tr>
        <w:trPr>
          <w:trHeight w:val="264"/>
        </w:trPr>
        <w:tc>
          <w:tcPr>
            <w:tcW w:w="6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40" w:type="dxa"/>
            <w:vAlign w:val="bottom"/>
            <w:gridSpan w:val="5"/>
            <w:shd w:val="clear" w:color="auto" w:fill="CCEEFF"/>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22"/>
                <w:szCs w:val="22"/>
                <w:color w:val="auto"/>
              </w:rPr>
            </w:pPr>
          </w:p>
        </w:tc>
        <w:tc>
          <w:tcPr>
            <w:tcW w:w="2140" w:type="dxa"/>
            <w:vAlign w:val="bottom"/>
            <w:gridSpan w:val="4"/>
            <w:shd w:val="clear" w:color="auto" w:fill="CCEEFF"/>
          </w:tcPr>
          <w:p>
            <w:pPr>
              <w:jc w:val="right"/>
              <w:ind w:right="4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top w:val="single" w:sz="8" w:color="auto"/>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9/30/2017</w:t>
            </w:r>
          </w:p>
        </w:tc>
        <w:tc>
          <w:tcPr>
            <w:tcW w:w="0" w:type="dxa"/>
            <w:vAlign w:val="bottom"/>
          </w:tcPr>
          <w:p>
            <w:pPr>
              <w:spacing w:after="0"/>
              <w:rPr>
                <w:sz w:val="1"/>
                <w:szCs w:val="1"/>
                <w:color w:val="auto"/>
              </w:rPr>
            </w:pPr>
          </w:p>
        </w:tc>
      </w:tr>
      <w:tr>
        <w:trPr>
          <w:trHeight w:val="21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of investments designated as an economic hedge of</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savings plan liability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w w:val="92"/>
              </w:rPr>
              <w:t>Compensation expense from market valuation changes in supplemental savings plan</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liability</w:t>
            </w:r>
          </w:p>
        </w:tc>
        <w:tc>
          <w:tcPr>
            <w:tcW w:w="20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of investments designated as an economic hedge of</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savings plan liability less compensation expense</w:t>
            </w:r>
          </w:p>
        </w:tc>
        <w:tc>
          <w:tcPr>
            <w:tcW w:w="20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right="80" w:hanging="172"/>
        <w:spacing w:after="0" w:line="250" w:lineRule="auto"/>
        <w:tabs>
          <w:tab w:leader="none" w:pos="196"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This non-GAAP adjustment removes the non-operating income that remains after backing out the portion related to the consolidated sponsored investment portfolios and investments designated as an economic hedge of our supplemental savings plan liability. We believe excluding non-operating income helps the reader's ability to understand the firm’s core operating results and increases comparability to prior years. Additionally, we do not emphasize the impact of non-operating income when managing our firm and evaluating our performance.</w:t>
      </w:r>
    </w:p>
    <w:p>
      <w:pPr>
        <w:spacing w:after="0" w:line="127" w:lineRule="exact"/>
        <w:rPr>
          <w:sz w:val="20"/>
          <w:szCs w:val="20"/>
          <w:color w:val="auto"/>
        </w:rPr>
      </w:pPr>
    </w:p>
    <w:tbl>
      <w:tblPr>
        <w:tblLayout w:type="fixed"/>
        <w:tblInd w:w="180" w:type="dxa"/>
        <w:tblCellMar>
          <w:top w:w="0" w:type="dxa"/>
          <w:left w:w="0" w:type="dxa"/>
          <w:bottom w:w="0" w:type="dxa"/>
          <w:right w:w="0" w:type="dxa"/>
        </w:tblCellMar>
      </w:tblPr>
      <w:tr>
        <w:trPr>
          <w:trHeight w:val="264"/>
        </w:trPr>
        <w:tc>
          <w:tcPr>
            <w:tcW w:w="6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40" w:type="dxa"/>
            <w:vAlign w:val="bottom"/>
            <w:gridSpan w:val="5"/>
            <w:shd w:val="clear" w:color="auto" w:fill="CCEEFF"/>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22"/>
                <w:szCs w:val="22"/>
                <w:color w:val="auto"/>
              </w:rPr>
            </w:pPr>
          </w:p>
        </w:tc>
        <w:tc>
          <w:tcPr>
            <w:tcW w:w="2140" w:type="dxa"/>
            <w:vAlign w:val="bottom"/>
            <w:gridSpan w:val="4"/>
            <w:shd w:val="clear" w:color="auto" w:fill="CCEEFF"/>
          </w:tcPr>
          <w:p>
            <w:pPr>
              <w:jc w:val="right"/>
              <w:ind w:right="43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2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9"/>
              </w:rPr>
              <w:t>9/30/2016</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9/30/2017</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9/30/2017</w:t>
            </w: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294.3</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Less: net investment income of consolidated sponsored portfolios</w:t>
            </w:r>
          </w:p>
        </w:tc>
        <w:tc>
          <w:tcPr>
            <w:tcW w:w="20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125.8</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Less: non-operating income from investments designated as an economic hedge of</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savings plan liability</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r>
      <w:tr>
        <w:trPr>
          <w:trHeight w:val="257"/>
        </w:trPr>
        <w:tc>
          <w:tcPr>
            <w:tcW w:w="6280" w:type="dxa"/>
            <w:vAlign w:val="bottom"/>
          </w:tcPr>
          <w:p>
            <w:pPr>
              <w:ind w:left="20"/>
              <w:spacing w:after="0"/>
              <w:rPr>
                <w:sz w:val="20"/>
                <w:szCs w:val="20"/>
                <w:color w:val="auto"/>
              </w:rPr>
            </w:pPr>
            <w:r>
              <w:rPr>
                <w:rFonts w:ascii="Arial" w:cs="Arial" w:eastAsia="Arial" w:hAnsi="Arial"/>
                <w:sz w:val="18"/>
                <w:szCs w:val="18"/>
                <w:color w:val="auto"/>
              </w:rPr>
              <w:t>Total other non-operating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162.4</w:t>
            </w: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hanging="172"/>
        <w:spacing w:after="0" w:line="250" w:lineRule="auto"/>
        <w:tabs>
          <w:tab w:leader="none" w:pos="210"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In the second quarter of 2016, we recognized a nonrecurring charge of $166.2 million related to our decision to compensate certain clients in regard to the Dell appraisal rights matter. In the first quarter of 2017, we recognized insurance recoveries of $50 million as a reduction in operating expenses from claims that were filed in relation to the matter. We believe it is useful to readers of our consolidated statements of income to adjust for these charges and non-recurring insurance recoveries in arriving at adjusted operating expenses and net income attributable to T. Rowe Price Group, Inc. and diluted earnings per share, as this will aid with comparability to prior periods and analyzing our core business results.</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(5</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These were calculated using the effective tax rate applicable to the related items.</w:t>
      </w:r>
    </w:p>
    <w:p>
      <w:pPr>
        <w:spacing w:after="0" w:line="145" w:lineRule="exact"/>
        <w:rPr>
          <w:sz w:val="20"/>
          <w:szCs w:val="20"/>
          <w:color w:val="auto"/>
        </w:rPr>
      </w:pPr>
    </w:p>
    <w:p>
      <w:pPr>
        <w:ind w:left="180" w:right="60" w:hanging="172"/>
        <w:spacing w:after="0" w:line="227" w:lineRule="auto"/>
        <w:tabs>
          <w:tab w:leader="none" w:pos="21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This non-GAAP measure was calculated by applying the two-class method to adjusted net income attributable to T. Rowe Price Group, Inc. divided by the weighted-average common shares outstanding assuming dilution.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00"/>
          </w:cols>
          <w:pgMar w:left="240" w:top="58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increased our quarterly recurring dividend per share in March 2017 by 5.6% to $.57 per share. Additionally, we expended $456.7 million to repurchase 6.6 million shares, or 2.7%, of our outstanding common stock in the first nine months of 2017. These dividends and repurchases were expended using existing cash balances and cash generated from operations. We will generally repurchase our common stock over time to offset the dilution created by our equity-based compensation plans.</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Since the end of 2014, we have returned $4.1 billion to stockholders through stock repurchases, our regular quarterly dividends, and a special dividend in 2015.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6"/>
              </w:rPr>
              <w:t>Recurring</w:t>
            </w: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right="78"/>
              <w:spacing w:after="0"/>
              <w:rPr>
                <w:sz w:val="20"/>
                <w:szCs w:val="20"/>
                <w:color w:val="auto"/>
              </w:rPr>
            </w:pPr>
            <w:r>
              <w:rPr>
                <w:rFonts w:ascii="Arial" w:cs="Arial" w:eastAsia="Arial" w:hAnsi="Arial"/>
                <w:sz w:val="14"/>
                <w:szCs w:val="14"/>
                <w:b w:val="1"/>
                <w:bCs w:val="1"/>
                <w:color w:val="auto"/>
                <w:w w:val="89"/>
              </w:rPr>
              <w:t>Total cash</w:t>
            </w:r>
          </w:p>
        </w:tc>
        <w:tc>
          <w:tcPr>
            <w:tcW w:w="0" w:type="dxa"/>
            <w:vAlign w:val="bottom"/>
          </w:tcPr>
          <w:p>
            <w:pPr>
              <w:spacing w:after="0"/>
              <w:rPr>
                <w:sz w:val="1"/>
                <w:szCs w:val="1"/>
                <w:color w:val="auto"/>
              </w:rPr>
            </w:pPr>
          </w:p>
        </w:tc>
      </w:tr>
      <w:tr>
        <w:trPr>
          <w:trHeight w:val="149"/>
        </w:trPr>
        <w:tc>
          <w:tcPr>
            <w:tcW w:w="6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24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Special dividend</w:t>
            </w:r>
          </w:p>
        </w:tc>
        <w:tc>
          <w:tcPr>
            <w:tcW w:w="16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returned to</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3"/>
              </w:rPr>
              <w:t>dividend</w:t>
            </w:r>
          </w:p>
        </w:tc>
        <w:tc>
          <w:tcPr>
            <w:tcW w:w="124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8"/>
              </w:rPr>
              <w:t>repurchases</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center"/>
              <w:ind w:right="78"/>
              <w:spacing w:after="0"/>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524.5</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987.8</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2,046.8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676.9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1,218.1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Nine months ended 9/30/2017</w:t>
            </w:r>
          </w:p>
        </w:tc>
        <w:tc>
          <w:tcPr>
            <w:tcW w:w="20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420.3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456.7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877.0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1,496.0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2,121.4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4,141.9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remain debt-free with ample liquidity, including cash and sponsored investment portfolio holdings (in millions)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0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4"/>
                <w:szCs w:val="14"/>
                <w:b w:val="1"/>
                <w:bCs w:val="1"/>
                <w:color w:val="auto"/>
                <w:w w:val="99"/>
              </w:rPr>
              <w:t>12/31/2016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4"/>
                <w:szCs w:val="14"/>
                <w:b w:val="1"/>
                <w:bCs w:val="1"/>
                <w:color w:val="auto"/>
              </w:rPr>
              <w:t>9/30/2017</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1,204.9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1,869.4</w:t>
            </w:r>
          </w:p>
        </w:tc>
      </w:tr>
      <w:tr>
        <w:trPr>
          <w:trHeight w:val="27"/>
        </w:trPr>
        <w:tc>
          <w:tcPr>
            <w:tcW w:w="9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Discretionary investments in sponsored investment portfolios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867.2</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Total discretionary investments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1,905.5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2,736.6</w:t>
            </w:r>
          </w:p>
        </w:tc>
      </w:tr>
      <w:tr>
        <w:trPr>
          <w:trHeight w:val="27"/>
        </w:trPr>
        <w:tc>
          <w:tcPr>
            <w:tcW w:w="9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seed capital investments in sponsored investment portfolios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1,150.3</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Investments in sponsored investment portfolios used to hedge the supplemental savings plan liability</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178.4</w:t>
            </w:r>
          </w:p>
        </w:tc>
      </w:tr>
      <w:tr>
        <w:trPr>
          <w:trHeight w:val="27"/>
        </w:trPr>
        <w:tc>
          <w:tcPr>
            <w:tcW w:w="9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sponsored investment portfolio holdings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3,169.3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4,065.3</w:t>
            </w:r>
          </w:p>
        </w:tc>
      </w:tr>
      <w:tr>
        <w:trPr>
          <w:trHeight w:val="20"/>
        </w:trPr>
        <w:tc>
          <w:tcPr>
            <w:tcW w:w="9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cash and discretionary sponsored investment holdings held by our subsidiaries outside the U.S. is $394.4 million at September 30, 2017.</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following table details (in millions) the line items of the condensed consolidated balance sheet as of September 30, 2017, where our cash and sponsored portfolio investment holdings are presented as well as the amount of other investments that make up the remainder of the investments line. The investment presentation on the balance sheet is based on the type of investment, as well as how we account for the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Interest Held by 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23495</wp:posOffset>
            </wp:positionV>
            <wp:extent cx="38506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Investments in</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Cash and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Redeemable Seed</w:t>
            </w: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sponsored</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18"/>
              <w:spacing w:after="0"/>
              <w:rPr>
                <w:sz w:val="20"/>
                <w:szCs w:val="20"/>
                <w:color w:val="auto"/>
              </w:rPr>
            </w:pPr>
            <w:r>
              <w:rPr>
                <w:rFonts w:ascii="Arial" w:cs="Arial" w:eastAsia="Arial" w:hAnsi="Arial"/>
                <w:sz w:val="14"/>
                <w:szCs w:val="14"/>
                <w:b w:val="1"/>
                <w:bCs w:val="1"/>
                <w:color w:val="auto"/>
              </w:rPr>
              <w:t>As reported on</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discretionary</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capital</w:t>
            </w:r>
          </w:p>
        </w:tc>
        <w:tc>
          <w:tcPr>
            <w:tcW w:w="13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portfolios to hedge</w:t>
            </w: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Investment in</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Redeemable non-</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investments in</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investments in</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supplemental</w:t>
            </w:r>
          </w:p>
        </w:tc>
        <w:tc>
          <w:tcPr>
            <w:tcW w:w="11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sponsored</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sponsored</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savings plan</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UTI and other</w:t>
            </w:r>
          </w:p>
        </w:tc>
        <w:tc>
          <w:tcPr>
            <w:tcW w:w="240" w:type="dxa"/>
            <w:vAlign w:val="bottom"/>
          </w:tcPr>
          <w:p>
            <w:pPr>
              <w:spacing w:after="0"/>
              <w:rPr>
                <w:sz w:val="12"/>
                <w:szCs w:val="12"/>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controlling</w:t>
            </w:r>
          </w:p>
        </w:tc>
        <w:tc>
          <w:tcPr>
            <w:tcW w:w="140" w:type="dxa"/>
            <w:vAlign w:val="bottom"/>
          </w:tcPr>
          <w:p>
            <w:pPr>
              <w:spacing w:after="0"/>
              <w:rPr>
                <w:sz w:val="12"/>
                <w:szCs w:val="12"/>
                <w:color w:val="auto"/>
              </w:rPr>
            </w:pPr>
          </w:p>
        </w:tc>
        <w:tc>
          <w:tcPr>
            <w:tcW w:w="10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8"/>
              </w:rPr>
              <w:t>balance sheet</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portfolios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2"/>
              </w:rPr>
              <w:t>portfolios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9"/>
              </w:rPr>
              <w:t>liability</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9/30/2017</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1,869.4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1,869.4</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8"/>
                <w:szCs w:val="18"/>
                <w:color w:val="auto"/>
              </w:rPr>
              <w:t>713.3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229.7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1,359.3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1,359.3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Net assets of consolidated sponsored</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portfolios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153.9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920.6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2,028.3</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2,736.6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1,150.3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4,303.2</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953.8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5,257.0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condensed consolidated balance sheet reflects the cash and cash equivalents, investments, other assets and liabilities of those sponsored portfolios we consolidate, as well as redeemable non-controlling interests for the portion of these sponsored portfolios that are held by unrelated third party investors. Although we can redeem our net interest in these sponsored investment portfolios at any time, we cannot directly access or sell the assets held by the portfolios to obtain cash for general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20"/>
          </w:cols>
          <w:pgMar w:left="240" w:top="800" w:right="239" w:bottom="1440" w:gutter="0" w:footer="0" w:header="0"/>
        </w:sectPr>
      </w:pPr>
    </w:p>
    <w:bookmarkStart w:id="32" w:name="page33"/>
    <w:bookmarkEnd w:id="32"/>
    <w:p>
      <w:pPr>
        <w:spacing w:after="0" w:line="259" w:lineRule="auto"/>
        <w:rPr>
          <w:sz w:val="20"/>
          <w:szCs w:val="20"/>
          <w:color w:val="auto"/>
        </w:rPr>
      </w:pPr>
      <w:r>
        <w:rPr>
          <w:rFonts w:ascii="Arial" w:cs="Arial" w:eastAsia="Arial" w:hAnsi="Arial"/>
          <w:sz w:val="18"/>
          <w:szCs w:val="18"/>
          <w:color w:val="auto"/>
        </w:rPr>
        <w:t>operations. Additionally, the assets of these investment portfolios are not available to our general creditors. Our interest in these sponsored investment portfolios was used as initial seed capital and is recategorized as discretionary when it is determined by management that the seed capital is no longer needed. We assess the discretionary investment portfolio and seek to liquidate our interest, if decided, in a way as to not impact the portfolio and ultimately, the unrelated third party investors.</w:t>
      </w:r>
    </w:p>
    <w:p>
      <w:pPr>
        <w:spacing w:after="0" w:line="18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We anticipate property and equipment expenditures for the full-year 2017 to be up to $200 million, of which about two-thirds is planned for technology initiatives. Given the availability of our financial resources, we expect to fund our anticipated capital expenditures with operating resources, and do not maintain an available external source of additional liquidity.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380"/>
          </w:cols>
          <w:pgMar w:left="240" w:top="584" w:right="279" w:bottom="1440" w:gutter="0" w:footer="0" w:header="0"/>
        </w:sectPr>
      </w:pPr>
    </w:p>
    <w:bookmarkStart w:id="33" w:name="page34"/>
    <w:bookmarkEnd w:id="33"/>
    <w:p>
      <w:pPr>
        <w:ind w:right="200"/>
        <w:spacing w:after="0" w:line="277" w:lineRule="auto"/>
        <w:rPr>
          <w:sz w:val="20"/>
          <w:szCs w:val="20"/>
          <w:color w:val="auto"/>
        </w:rPr>
      </w:pPr>
      <w:r>
        <w:rPr>
          <w:rFonts w:ascii="Arial" w:cs="Arial" w:eastAsia="Arial" w:hAnsi="Arial"/>
          <w:sz w:val="18"/>
          <w:szCs w:val="18"/>
          <w:color w:val="auto"/>
        </w:rPr>
        <w:t>The following table summarizes the cash flows (in millions) for the nine months ended September 30, 2016 and 2017, that are attributable to T. Rowe Price Group, our consolidated sponsored investment portfolios, and the related eliminations required in preparing the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7"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23495</wp:posOffset>
            </wp:positionV>
            <wp:extent cx="48367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September 30, 2016</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September 30, 2017</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Cash flow</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Cash flow</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3"/>
              </w:rPr>
              <w:t>Cash flow</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0"/>
              </w:rPr>
              <w:t>Cash flow</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to</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00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02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sponsored</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w w:val="89"/>
              </w:rPr>
              <w:t>As</w:t>
            </w:r>
          </w:p>
        </w:tc>
        <w:tc>
          <w:tcPr>
            <w:tcW w:w="10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sponsored</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to T. Rowe</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investment</w:t>
            </w:r>
          </w:p>
        </w:tc>
        <w:tc>
          <w:tcPr>
            <w:tcW w:w="96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to T. Rowe</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investment</w:t>
            </w:r>
          </w:p>
        </w:tc>
        <w:tc>
          <w:tcPr>
            <w:tcW w:w="9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Eliminations</w:t>
            </w: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4"/>
              </w:rPr>
              <w:t>Price Group</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89"/>
              </w:rPr>
              <w:t>portfolios</w:t>
            </w:r>
          </w:p>
        </w:tc>
        <w:tc>
          <w:tcPr>
            <w:tcW w:w="960" w:type="dxa"/>
            <w:vAlign w:val="bottom"/>
            <w:gridSpan w:val="3"/>
            <w:vMerge w:val="continue"/>
            <w:shd w:val="clear" w:color="auto" w:fill="CCEEFF"/>
          </w:tcPr>
          <w:p>
            <w:pPr>
              <w:spacing w:after="0"/>
              <w:rPr>
                <w:sz w:val="17"/>
                <w:szCs w:val="17"/>
                <w:color w:val="auto"/>
              </w:rPr>
            </w:pP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5"/>
              </w:rPr>
              <w:t>reported</w:t>
            </w:r>
          </w:p>
        </w:tc>
        <w:tc>
          <w:tcPr>
            <w:tcW w:w="10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4"/>
              </w:rPr>
              <w:t>Price Group</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89"/>
              </w:rPr>
              <w:t>portfolios</w:t>
            </w:r>
          </w:p>
        </w:tc>
        <w:tc>
          <w:tcPr>
            <w:tcW w:w="960" w:type="dxa"/>
            <w:vAlign w:val="bottom"/>
            <w:gridSpan w:val="3"/>
            <w:vMerge w:val="continue"/>
            <w:shd w:val="clear" w:color="auto" w:fill="CCEEFF"/>
          </w:tcPr>
          <w:p>
            <w:pPr>
              <w:spacing w:after="0"/>
              <w:rPr>
                <w:sz w:val="17"/>
                <w:szCs w:val="17"/>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  887.2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1"/>
              </w:rPr>
              <w:t>$1,194.6</w:t>
            </w:r>
          </w:p>
        </w:tc>
        <w:tc>
          <w:tcPr>
            <w:tcW w:w="0" w:type="dxa"/>
            <w:vAlign w:val="bottom"/>
          </w:tcPr>
          <w:p>
            <w:pPr>
              <w:spacing w:after="0"/>
              <w:rPr>
                <w:sz w:val="1"/>
                <w:szCs w:val="1"/>
                <w:color w:val="auto"/>
              </w:rPr>
            </w:pPr>
          </w:p>
        </w:tc>
      </w:tr>
      <w:tr>
        <w:trPr>
          <w:trHeight w:val="229"/>
        </w:trPr>
        <w:tc>
          <w:tcPr>
            <w:tcW w:w="3800" w:type="dxa"/>
            <w:vAlign w:val="bottom"/>
          </w:tcPr>
          <w:p>
            <w:pPr>
              <w:ind w:left="180"/>
              <w:spacing w:after="0"/>
              <w:rPr>
                <w:sz w:val="20"/>
                <w:szCs w:val="20"/>
                <w:color w:val="auto"/>
              </w:rPr>
            </w:pPr>
            <w:r>
              <w:rPr>
                <w:rFonts w:ascii="Arial" w:cs="Arial" w:eastAsia="Arial" w:hAnsi="Arial"/>
                <w:sz w:val="18"/>
                <w:szCs w:val="18"/>
                <w:color w:val="auto"/>
                <w:w w:val="94"/>
              </w:rPr>
              <w:t>Adjustments to reconcile net income to net cash</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80"/>
              <w:spacing w:after="0"/>
              <w:rPr>
                <w:sz w:val="20"/>
                <w:szCs w:val="20"/>
                <w:color w:val="auto"/>
              </w:rPr>
            </w:pPr>
            <w:r>
              <w:rPr>
                <w:rFonts w:ascii="Arial" w:cs="Arial" w:eastAsia="Arial" w:hAnsi="Arial"/>
                <w:sz w:val="18"/>
                <w:szCs w:val="18"/>
                <w:color w:val="auto"/>
              </w:rPr>
              <w:t>provided by (used in) operating activities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Depreciation and amortization of property and</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equipment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Realized gains on dispositions of available-for-</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 sponsored investment portfolios</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9"/>
        </w:trPr>
        <w:tc>
          <w:tcPr>
            <w:tcW w:w="3800" w:type="dxa"/>
            <w:vAlign w:val="bottom"/>
          </w:tcPr>
          <w:p>
            <w:pPr>
              <w:ind w:left="280"/>
              <w:spacing w:after="0"/>
              <w:rPr>
                <w:sz w:val="20"/>
                <w:szCs w:val="20"/>
                <w:color w:val="auto"/>
              </w:rPr>
            </w:pPr>
            <w:r>
              <w:rPr>
                <w:rFonts w:ascii="Arial" w:cs="Arial" w:eastAsia="Arial" w:hAnsi="Arial"/>
                <w:sz w:val="18"/>
                <w:szCs w:val="18"/>
                <w:color w:val="auto"/>
                <w:w w:val="92"/>
              </w:rPr>
              <w:t>Gains recognized upon transfer of an available-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80"/>
              <w:spacing w:after="0"/>
              <w:rPr>
                <w:sz w:val="20"/>
                <w:szCs w:val="20"/>
                <w:color w:val="auto"/>
              </w:rPr>
            </w:pPr>
            <w:r>
              <w:rPr>
                <w:rFonts w:ascii="Arial" w:cs="Arial" w:eastAsia="Arial" w:hAnsi="Arial"/>
                <w:sz w:val="18"/>
                <w:szCs w:val="18"/>
                <w:color w:val="auto"/>
              </w:rPr>
              <w:t>for-sale sponsored investment portfolio to</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80"/>
              <w:spacing w:after="0"/>
              <w:rPr>
                <w:sz w:val="20"/>
                <w:szCs w:val="20"/>
                <w:color w:val="auto"/>
              </w:rPr>
            </w:pPr>
            <w:r>
              <w:rPr>
                <w:rFonts w:ascii="Arial" w:cs="Arial" w:eastAsia="Arial" w:hAnsi="Arial"/>
                <w:sz w:val="18"/>
                <w:szCs w:val="18"/>
                <w:color w:val="auto"/>
                <w:w w:val="92"/>
              </w:rPr>
              <w:t>sponsored investment portfolios held as trading</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gains recognized on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9"/>
        </w:trPr>
        <w:tc>
          <w:tcPr>
            <w:tcW w:w="3800" w:type="dxa"/>
            <w:vAlign w:val="bottom"/>
          </w:tcPr>
          <w:p>
            <w:pPr>
              <w:ind w:left="280"/>
              <w:spacing w:after="0"/>
              <w:rPr>
                <w:sz w:val="20"/>
                <w:szCs w:val="20"/>
                <w:color w:val="auto"/>
              </w:rPr>
            </w:pPr>
            <w:r>
              <w:rPr>
                <w:rFonts w:ascii="Arial" w:cs="Arial" w:eastAsia="Arial" w:hAnsi="Arial"/>
                <w:sz w:val="18"/>
                <w:szCs w:val="18"/>
                <w:color w:val="auto"/>
                <w:w w:val="93"/>
              </w:rPr>
              <w:t>Investments in sponsored investment portfolios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80"/>
              <w:spacing w:after="0"/>
              <w:rPr>
                <w:sz w:val="20"/>
                <w:szCs w:val="20"/>
                <w:color w:val="auto"/>
              </w:rPr>
            </w:pPr>
            <w:r>
              <w:rPr>
                <w:rFonts w:ascii="Arial" w:cs="Arial" w:eastAsia="Arial" w:hAnsi="Arial"/>
                <w:sz w:val="18"/>
                <w:szCs w:val="18"/>
                <w:color w:val="auto"/>
              </w:rPr>
              <w:t>held as trading to economically hedge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80"/>
              <w:spacing w:after="0"/>
              <w:rPr>
                <w:sz w:val="20"/>
                <w:szCs w:val="20"/>
                <w:color w:val="auto"/>
              </w:rPr>
            </w:pPr>
            <w:r>
              <w:rPr>
                <w:rFonts w:ascii="Arial" w:cs="Arial" w:eastAsia="Arial" w:hAnsi="Arial"/>
                <w:sz w:val="18"/>
                <w:szCs w:val="18"/>
                <w:color w:val="auto"/>
              </w:rPr>
              <w:t>supplemental savings plan liability</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change in trading securities held by</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consolidated sponsored investment portfolios</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(1,084.1)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(1,084.1)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(1,210.5)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(1,210.5)</w:t>
            </w:r>
          </w:p>
        </w:tc>
        <w:tc>
          <w:tcPr>
            <w:tcW w:w="0" w:type="dxa"/>
            <w:vAlign w:val="bottom"/>
          </w:tcPr>
          <w:p>
            <w:pPr>
              <w:spacing w:after="0"/>
              <w:rPr>
                <w:sz w:val="1"/>
                <w:szCs w:val="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Other changes in assets and liabilities</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324.7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438.6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Net cash provided by (used in)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(1,106.1)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w w:val="94"/>
              </w:rPr>
              <w:t>Net cash provided by (used in) investing activities</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cash provided by (used in)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29"/>
        </w:trPr>
        <w:tc>
          <w:tcPr>
            <w:tcW w:w="3800" w:type="dxa"/>
            <w:vAlign w:val="bottom"/>
          </w:tcPr>
          <w:p>
            <w:pPr>
              <w:ind w:left="40"/>
              <w:spacing w:after="0"/>
              <w:rPr>
                <w:sz w:val="20"/>
                <w:szCs w:val="20"/>
                <w:color w:val="auto"/>
              </w:rPr>
            </w:pPr>
            <w:r>
              <w:rPr>
                <w:rFonts w:ascii="Arial" w:cs="Arial" w:eastAsia="Arial" w:hAnsi="Arial"/>
                <w:sz w:val="18"/>
                <w:szCs w:val="18"/>
                <w:color w:val="auto"/>
                <w:w w:val="92"/>
              </w:rPr>
              <w:t>Effect of exchange rate changes on cash and cash</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40"/>
              <w:spacing w:after="0"/>
              <w:rPr>
                <w:sz w:val="20"/>
                <w:szCs w:val="20"/>
                <w:color w:val="auto"/>
              </w:rPr>
            </w:pPr>
            <w:r>
              <w:rPr>
                <w:rFonts w:ascii="Arial" w:cs="Arial" w:eastAsia="Arial" w:hAnsi="Arial"/>
                <w:sz w:val="18"/>
                <w:szCs w:val="18"/>
                <w:color w:val="auto"/>
                <w:w w:val="93"/>
              </w:rPr>
              <w:t>equivalents of consolidated sponsored investment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40"/>
              <w:spacing w:after="0"/>
              <w:rPr>
                <w:sz w:val="20"/>
                <w:szCs w:val="20"/>
                <w:color w:val="auto"/>
              </w:rPr>
            </w:pPr>
            <w:r>
              <w:rPr>
                <w:rFonts w:ascii="Arial" w:cs="Arial" w:eastAsia="Arial" w:hAnsi="Arial"/>
                <w:sz w:val="18"/>
                <w:szCs w:val="18"/>
                <w:color w:val="auto"/>
              </w:rPr>
              <w:t>portfolios</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Net change in cash and cash equivalents during</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705.7</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w w:val="98"/>
              </w:rPr>
              <w:t>Cash and cash equivalents at beginning of year</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1,172.3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1,204.9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1,270.5</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1,401.0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1"/>
              </w:rPr>
              <w:t>$1,487.3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1,869.4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106.8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1"/>
              </w:rPr>
              <w:t>$1,976.2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20"/>
          </w:cols>
          <w:pgMar w:left="240" w:top="584" w:right="239" w:bottom="1440" w:gutter="0" w:footer="0" w:header="0"/>
        </w:sectPr>
      </w:pPr>
    </w:p>
    <w:bookmarkStart w:id="34" w:name="page35"/>
    <w:bookmarkEnd w:id="34"/>
    <w:p>
      <w:pPr>
        <w:ind w:right="80"/>
        <w:spacing w:after="0" w:line="271" w:lineRule="auto"/>
        <w:rPr>
          <w:sz w:val="20"/>
          <w:szCs w:val="20"/>
          <w:color w:val="auto"/>
        </w:rPr>
      </w:pPr>
      <w:r>
        <w:rPr>
          <w:rFonts w:ascii="Arial" w:cs="Arial" w:eastAsia="Arial" w:hAnsi="Arial"/>
          <w:sz w:val="17"/>
          <w:szCs w:val="17"/>
          <w:color w:val="auto"/>
        </w:rPr>
        <w:t>Operating activities attributable to T. Rowe Price Group during the first nine months of 2017 provided cash flows of $1,462.4 million, an increase of $227.1 million from the 2016 period. The increase is largely attributable to the timing differences of cash flows related to the Dell appraisal rights matter as we paid $164.9 million to certain T. Rowe Price clients in the first nine months of 2016 and received related insurance recoveries of $150.0 million in the first nine-months of 2017. This change in cash flows from the Dell appraisal rights matter was offset by cash outflows in the 2017 period for new investments made into sponsored investment portfolios held as trading in order to economically hedge our supplemental savings plan liability. Our interim operating cash flows do not include the cash impact of variable compensation that is accrued throughout the year before being substantially paid out in December. The net cash provided by operating activities attributable to T. Rowe Price Group was offset in part by the net change in trading securities held in our consolidated sponsored investments’ underlying investment portfolios.</w:t>
      </w:r>
    </w:p>
    <w:p>
      <w:pPr>
        <w:spacing w:after="0" w:line="1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Net cash used in investing activities that are attributable to T. Rowe Price Group totaled $63.2 million in the first nine months of 2017, an increase of $99.9 million from the comparable 2016 period. During the first nine months of 2017, we realized $188.9 million more net proceeds from the purchases and sales of our available-for-sale investments compared with the 2016 period. Additionally, the amount of seed capital investments we provided in the first nine months of 2017 decreased by $34.5 million compared with the 2016 period. Since we consolidate these sponsored investment portfolios, our investment was eliminated in preparing our consolidated condensed statement of cash flow. These net increases in investing cash flows were offset by an $82.8 million decrease in proceeds from the sales of equity method investments and a $16.6 million increase in property and equipment expenditures during the first nine months of 2017 compared with the 2016 period. The cash flow attributable to consolidated sponsored investment portfolios of $46.0 million represents the aggregate net cash removed from our balance sheet from consolidating and deconsolidating portfolios during the first nine months of 2017. During the 2016 period the equivalent cash flow activity added $54.3 million to our balance sheet.</w:t>
      </w:r>
    </w:p>
    <w:p>
      <w:pPr>
        <w:spacing w:after="0" w:line="11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Net cash used in financing activities attributable to T. Rowe Price Group were $734.7 million in the first nine months of 2017 compared with $843.5 million in the 2016 period. The decrease in cash used in financing activities is related in part to a reduction of $69.0 million for common stock repurchases as the higher stock price led to fewer shares being repurchased in the 2017 period. Additionally, the higher stock price in 2017 led to a larger number of stock option exercises resulting in a $54.0 million increase in related cash proceeds compared with the 2016 period. The remaining change in reported cash flows from financing activities is primarily attributable to a $207.2 million increase in net subscriptions received from redeemable non-controlling interest holders of our consolidated sponsored investment portfolios during the first nine months of 2017 compared to the 2016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2016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00"/>
          </w:cols>
          <w:pgMar w:left="240" w:top="584"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NEW ACCOUNTING STANDARDS.</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May 2014, the FASB issued Accounting Standards Update No. 2014-09 — Revenue from Contracts with Customers, and subsequently has issued five related accounting standard updates clarifying several aspects of ASU 2014-09, including technical corrections and improvements. The overall objective of the new standards updates is to provide a single, comprehensive revenue recognition model for all contracts with customers to improve comparability within industries, across industries, and across capital markets. The revenue standard contains principles that will be applied to determine the measurement of revenue and timing of when it is recognized. We will adopt the new standard on its effective date, January 1, 2018, though we have not yet selected whether we will adopt using the retrospective approach with adjustments to each prior period or the retrospective method with the cumulative effect of initial application recognized at the date of initial application. Our implementation efforts include a detailed review of revenue contracts within the scope of the guidance and evaluation of the impact on the Company's revenue recognition policies. While we are continuing to assess all potential impacts these standards will have on our financial position and results of operations, our initial conclusions indicate that these standards will not materially change the timing of revenue recognition. However, the presentation of about $60 million in certain revenue related costs will change from being reported net against related-revenues to being reported in operating expenses. We continue to evaluate the impact of the guidance on disclosures.</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2016, the FASB issued Accounting Standards Update No. 2016-01 — Financial Instruments — Overall (Subtopic 825-10): Recognition and Measurement of Financial Assets and Financial Liabilities. The amendments in this update address certain aspects of recognition, measurement, presentation, and disclosure of financial instruments. The ASU is effective for fiscal years and interim periods within those years beginning after December 15, 2017, and requires a cumulative-effect adjustment to the balance sheet as of the beginning of the fiscal year of adoption. Early adoption is not permitted. The new guidance will require the change in fair value of equity investments with readily determinable fair values to be recognized through the income statements. We are currently evaluating the full impact of the standard, however, upon adoption the change in the fair value of our available-for-sale investments after January 1, 2018, will be recognized in our consolidated income statement rather than our consolidated statement of comprehensive income.</w:t>
      </w:r>
    </w:p>
    <w:p>
      <w:pPr>
        <w:spacing w:after="0" w:line="16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February 2016, the FASB issued Accounting Standards Update No. 2016-02 — Leases (Topic 842). The objective of the update is to increase transparency and comparability among organizations by recognizing lease assets and lease liabilities on the balance sheet and disclosing key information about leasing arrangements. The amendments in this update are effective for fiscal years beginning after December 15, 2018, including interim periods within those fiscal years. Early adoption is permitted. We are currently evaluating the impact this standard will have on our financial position and results of operations.</w:t>
      </w:r>
    </w:p>
    <w:p>
      <w:pPr>
        <w:spacing w:after="0" w:line="15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condensed consolidated statements, including those we have not yet adopted. We do not believe that any such guidance has or will have a material effect on our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of common stock; changes in the amount and composition of our assets under management; our expense levels; our estimated effective income tax rate; and our expectations regarding financial markets, future transactions and strategic initiatives, dividends, investments, capital expenditures, stock repurchases,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2016.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9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U.S. mutual funds (Price funds) and other managed investment portfolios; fluctuations in global financial markets that result in appreciation or depreciation of the assets under our management; our introduction of new products, including mutual funds and investment portfolios, and services;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funds and other managed investment portfolios as compared to competing offerings and market indexes; the ability to maintain our investment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420"/>
          </w:cols>
          <w:pgMar w:left="240" w:top="584" w:right="239" w:bottom="1440" w:gutter="0" w:footer="0" w:header="0"/>
        </w:sectPr>
      </w:pPr>
    </w:p>
    <w:bookmarkStart w:id="36" w:name="page37"/>
    <w:bookmarkEnd w:id="36"/>
    <w:p>
      <w:pPr>
        <w:spacing w:after="0" w:line="273" w:lineRule="auto"/>
        <w:rPr>
          <w:sz w:val="20"/>
          <w:szCs w:val="20"/>
          <w:color w:val="auto"/>
        </w:rPr>
      </w:pPr>
      <w:r>
        <w:rPr>
          <w:rFonts w:ascii="Arial" w:cs="Arial" w:eastAsia="Arial" w:hAnsi="Arial"/>
          <w:sz w:val="17"/>
          <w:szCs w:val="17"/>
          <w:color w:val="auto"/>
        </w:rPr>
        <w:t>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income will also fluctuate as a result of the consolidation of certain of our investment portfolios as well as the size of our investments, changes in their market valuations, and any other-than-temporary impairments that may arise, or in the case of our equity method investments, our proportionate share of the investees net income.</w:t>
      </w:r>
    </w:p>
    <w:p>
      <w:pPr>
        <w:spacing w:after="0" w:line="17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U.S., and to further penetrate our distribution channels within the U.S.; the pace and level of our planned increase in spending to support key strategic priorities; variations in the level of total compensation expense due to, among other things, bonuses, restricted stock units and other equity grants, other incentive awards, fluctuations in our supplemental savings plan liability due to changes in market valuations, changes in our employee count and mix, and competitive factors; any goodwill or other asset impairment that may arise; fluctuation in foreign currency exchange rates applicable to our investment in and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fund accounting and other recordkeeping services, facilities, communications, power, and the mutual fund transfer agent and accounting systems.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September 30, 2017. Based on that evaluation, our principal executive and principal financial officers have concluded that our disclosure controls and procedures as of September 30, 2017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third quarter of 2017, and has concluded that there was no change during the third quarter of 2017 that has materially affected, or is reasonably likely to materially affect, our internal control over financial reporting.</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400"/>
          </w:cols>
          <w:pgMar w:left="240" w:top="584" w:right="259"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plaintiffs are seeking certification of the complaint as a class action.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 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78"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With the exception of the following additions or updates to the Legal and Regulatory Risks discussed in Item 1A of our Form 10-K Annual Report for 2016, there have been no material changes in the risk factors previously provided.</w:t>
      </w:r>
    </w:p>
    <w:p>
      <w:pPr>
        <w:spacing w:after="0" w:line="180"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Legal and regulatory developments in the mutual fund and investment advisory industry could increase our regulatory burden, impose significant financial and strategic costs on our business, and cause a loss of, or impact the servicing of, our clients and fund shareholders.</w:t>
      </w:r>
    </w:p>
    <w:p>
      <w:pPr>
        <w:spacing w:after="0" w:line="12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regulatory environment is frequently altered by new regulations and by revisions to, and evolving interpretations of, existing laws and regulations. New laws and regulations present areas of uncertainty susceptible to alternative interpretations; regulators and prospective litigants may not agree with reasoned interpretations we adopt. Future changes could require us to modify or curtail our investment offerings and business operations, or impact our expenses and profitability. Additionally, some laws and regulations may not directly apply to our business but may impact the capital markets, service providers or have other indirect effects on our ability to provide services to our clients.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Potential impacts of current or proposed legal or regulatory requirements include, without limitation, the following:</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revised Markets in Financial Instruments Directive (MiFID II Directive) and Regulation (MiFIR) (together “MiFID II”) will apply across the European Union (“EU”) and member states of the European Economic Area beginning on January 3, 2018, unless this date is extended. Implementation of MiFID II will significantly impact both the structure and operation of EU financial markets. Some of the main changes introduced under MiFID II include applying enhanced disclosure requirements, enhancing conduct of business and governance requirements, broadening the scope of pre and post trade transparency, increasing transaction reporting requirements, transforming the relationship between client commissions and research, and further regulation of trading venues. We expect that the implementation of MiFID II will increase our costs, though not materially, as we made the decision in the third quarter of 2017 that we would pay for third-party investment research used by our UK-based investment manager, T. Rowe Price International Ltd.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360"/>
          </w:cols>
          <w:pgMar w:left="240" w:top="364" w:right="299" w:bottom="1440" w:gutter="0" w:footer="0" w:header="0"/>
        </w:sectPr>
      </w:pPr>
    </w:p>
    <w:bookmarkStart w:id="38" w:name="page39"/>
    <w:bookmarkEnd w:id="38"/>
    <w:p>
      <w:pPr>
        <w:ind w:right="120"/>
        <w:spacing w:after="0" w:line="302" w:lineRule="auto"/>
        <w:rPr>
          <w:sz w:val="20"/>
          <w:szCs w:val="20"/>
          <w:color w:val="auto"/>
        </w:rPr>
      </w:pPr>
      <w:r>
        <w:rPr>
          <w:rFonts w:ascii="Arial" w:cs="Arial" w:eastAsia="Arial" w:hAnsi="Arial"/>
          <w:sz w:val="16"/>
          <w:szCs w:val="16"/>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our service providers and, to the extent such providers alter their services or increase their fees, it may impact our expenses or those of the products we offer.</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From time to time, various claims against us arise in the ordinary course of business, including employment-related claims. There also has been an increase in litigation and in regulatory investigations in the financial services industry in recent years, including customer claims, class action suits, and government actions alleging substantial monetary damages and penalties.</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carry insurance in amounts and under terms that we believe are appropriate. We cannot be assured that our insurance will cover every liability and loss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2016, we paid $166.2 million to compensate certain T. Rowe Price mutual funds, trusts, separately managed accounts, and subadvised clients (collectively, “Clients”) for the denial of their appraisal rights by the Delaware Chancery Court (Court) in connection with the 2013 leveraged buyout of Dell, Inc. (Dell). The Court ruled on May 11, 2016, that the Clients could not pursue an appraisal of any shares they held that were voted in favor of the Dell merger. The appraisal statute governing the transaction required the record holder to vote against or abstain from voting on the transaction in order to assert appraisal rights. After previously voting against prior transaction proposals, the voting instructions submitted on behalf of the Clients in connection with voting on the final proposed transaction were incorrectly submitted in favor of the transaction. On May 31, 2016, the Court determined that the fair value of Dell at the time of the merger was $17.62 per share, as opposed to the $13.75 price offered in the transaction. As a result, any shareholder perfecting appraisal rights is entitled to a payment at $17.62 per share plus statutory interest from the date the Dell transaction closed. The compensation to Clients was intended to make them whole for the voting discrepancy that resulted in the denial of their appraisal rights. On December 30, 2016, we signed a settlement agreement with our insurance carrier for insurance proceeds totaling $100 million related to this matter. We received the settlement in the first quarter of 2017. Additionally, we signed settlement agreements totaling $50 million in the first quarter of 2017. As of June 30, 2017, we have received the entire $150 million in related proceeds.</w:t>
      </w:r>
    </w:p>
    <w:p>
      <w:pPr>
        <w:spacing w:after="0" w:line="18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accordance with the compensation payment, the Clients agreed that in the event the findings made by the Court regarding the fair value of Dell or the amount of interest to be applied were modified by the Supreme Court of Delaware on appeal, T. Rowe Price and the Clients would make an appropriate adjustment between themselves, calculated in a manner that is consistent with the methodology used to compensate Clients. In December 2016, several parties, including Dell and the successful appraisal petitioners, filed appeals to the Delaware Supreme Court to challenge the Chancery Court’s valuation ruling. Our settlement agreements with our insurance carriers provide that if the fair value of Dell is reduced, we would work together to make appropriate adjustments.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third quarter of 2017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6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shd w:val="clear" w:color="auto" w:fill="CCEEFF"/>
          </w:tcPr>
          <w:p>
            <w:pPr>
              <w:spacing w:after="0"/>
              <w:rPr>
                <w:sz w:val="12"/>
                <w:szCs w:val="12"/>
                <w:color w:val="auto"/>
              </w:rPr>
            </w:pPr>
          </w:p>
        </w:tc>
        <w:tc>
          <w:tcPr>
            <w:tcW w:w="166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Average Price</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Month</w:t>
            </w:r>
          </w:p>
        </w:tc>
        <w:tc>
          <w:tcPr>
            <w:tcW w:w="120" w:type="dxa"/>
            <w:vAlign w:val="bottom"/>
            <w:vMerge w:val="restart"/>
            <w:shd w:val="clear" w:color="auto" w:fill="CCEEFF"/>
          </w:tcPr>
          <w:p>
            <w:pPr>
              <w:spacing w:after="0"/>
              <w:rPr>
                <w:sz w:val="12"/>
                <w:szCs w:val="12"/>
                <w:color w:val="auto"/>
              </w:rPr>
            </w:pPr>
          </w:p>
        </w:tc>
        <w:tc>
          <w:tcPr>
            <w:tcW w:w="1960" w:type="dxa"/>
            <w:vAlign w:val="bottom"/>
            <w:gridSpan w:val="2"/>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60" w:type="dxa"/>
            <w:vAlign w:val="bottom"/>
            <w:gridSpan w:val="2"/>
            <w:vMerge w:val="continue"/>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Announced Program</w:t>
            </w:r>
          </w:p>
        </w:tc>
        <w:tc>
          <w:tcPr>
            <w:tcW w:w="120" w:type="dxa"/>
            <w:vAlign w:val="bottom"/>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43"/>
        </w:trPr>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July</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438,287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80.74</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8"/>
              <w:spacing w:after="0"/>
              <w:rPr>
                <w:sz w:val="20"/>
                <w:szCs w:val="20"/>
                <w:color w:val="auto"/>
              </w:rPr>
            </w:pPr>
            <w:r>
              <w:rPr>
                <w:rFonts w:ascii="Arial" w:cs="Arial" w:eastAsia="Arial" w:hAnsi="Arial"/>
                <w:sz w:val="18"/>
                <w:szCs w:val="18"/>
                <w:color w:val="auto"/>
              </w:rPr>
              <w:t>15,315,793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August</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211,732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83.41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15,315,793</w:t>
            </w:r>
          </w:p>
        </w:tc>
        <w:tc>
          <w:tcPr>
            <w:tcW w:w="0" w:type="dxa"/>
            <w:vAlign w:val="bottom"/>
          </w:tcPr>
          <w:p>
            <w:pPr>
              <w:spacing w:after="0"/>
              <w:rPr>
                <w:sz w:val="1"/>
                <w:szCs w:val="1"/>
                <w:color w:val="auto"/>
              </w:rPr>
            </w:pPr>
          </w:p>
        </w:tc>
      </w:tr>
      <w:tr>
        <w:trPr>
          <w:trHeight w:val="243"/>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September</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327,736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85.23</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117,014</w:t>
            </w:r>
          </w:p>
        </w:tc>
        <w:tc>
          <w:tcPr>
            <w:tcW w:w="1920" w:type="dxa"/>
            <w:vAlign w:val="bottom"/>
            <w:gridSpan w:val="2"/>
          </w:tcPr>
          <w:p>
            <w:pPr>
              <w:jc w:val="right"/>
              <w:ind w:right="28"/>
              <w:spacing w:after="0"/>
              <w:rPr>
                <w:sz w:val="20"/>
                <w:szCs w:val="20"/>
                <w:color w:val="auto"/>
              </w:rPr>
            </w:pPr>
            <w:r>
              <w:rPr>
                <w:rFonts w:ascii="Arial" w:cs="Arial" w:eastAsia="Arial" w:hAnsi="Arial"/>
                <w:sz w:val="18"/>
                <w:szCs w:val="18"/>
                <w:color w:val="auto"/>
              </w:rPr>
              <w:t>15,198,779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Total</w:t>
            </w:r>
          </w:p>
        </w:tc>
        <w:tc>
          <w:tcPr>
            <w:tcW w:w="1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977,755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82.82</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117,014</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third quarter of 2017, 860,473 were related to shares surrendered 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420"/>
          </w:cols>
          <w:pgMar w:left="240" w:top="584" w:right="239" w:bottom="1440" w:gutter="0" w:footer="0" w:header="0"/>
        </w:sectPr>
      </w:pPr>
    </w:p>
    <w:bookmarkStart w:id="39" w:name="page40"/>
    <w:bookmarkEnd w:id="39"/>
    <w:p>
      <w:pPr>
        <w:ind w:right="200"/>
        <w:spacing w:after="0" w:line="277" w:lineRule="auto"/>
        <w:rPr>
          <w:sz w:val="20"/>
          <w:szCs w:val="20"/>
          <w:color w:val="auto"/>
        </w:rPr>
      </w:pPr>
      <w:r>
        <w:rPr>
          <w:rFonts w:ascii="Arial" w:cs="Arial" w:eastAsia="Arial" w:hAnsi="Arial"/>
          <w:sz w:val="18"/>
          <w:szCs w:val="18"/>
          <w:color w:val="auto"/>
        </w:rPr>
        <w:t>connection with employee stock option exercises and 268 were related to shares withheld to cover tax withholdings associated with the vesting of restricted stock awards.</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117,014 shares of our common stock were repurchased pursuant to the Board of Directors’ December 10, 2015, publicly announced authorization. The maximum number of shares that may yet be purchased as of September 30, 2017, under the Board of Directors’ December 10, 2015, and December 6, 2016, publicly announced authorizations is 15,198,779.</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October 26, 2017, we issued an earnings release reporting our results of operations for the third quarter of 2017 and first nine months of 2017. A copy of that earnings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 FILINGS.</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make available free of charge through our website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 To obtain any of this information, access our website at troweprice.com. We use our website as a channel of distribution for material company information, including our monthly disclosure of preliminary assets under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Arial" w:cs="Arial" w:eastAsia="Arial" w:hAnsi="Arial"/>
                <w:sz w:val="18"/>
                <w:szCs w:val="18"/>
                <w:color w:val="auto"/>
              </w:rPr>
              <w:t>3(i).1</w:t>
            </w:r>
          </w:p>
        </w:tc>
        <w:tc>
          <w:tcPr>
            <w:tcW w:w="9560" w:type="dxa"/>
            <w:vAlign w:val="bottom"/>
            <w:tcBorders>
              <w:bottom w:val="single" w:sz="8" w:color="auto"/>
            </w:tcBorders>
            <w:gridSpan w:val="16"/>
          </w:tcPr>
          <w:p>
            <w:pPr>
              <w:spacing w:after="0"/>
              <w:rPr>
                <w:rFonts w:ascii="Arial" w:cs="Arial" w:eastAsia="Arial" w:hAnsi="Arial"/>
                <w:sz w:val="18"/>
                <w:szCs w:val="18"/>
                <w:color w:val="auto"/>
                <w:w w:val="91"/>
              </w:rPr>
            </w:pPr>
            <w:hyperlink r:id="rId34">
              <w:r>
                <w:rPr>
                  <w:rFonts w:ascii="Arial" w:cs="Arial" w:eastAsia="Arial" w:hAnsi="Arial"/>
                  <w:sz w:val="18"/>
                  <w:szCs w:val="18"/>
                  <w:color w:val="auto"/>
                  <w:w w:val="91"/>
                </w:rPr>
                <w:t>Charter of T. Rowe Price Group, Inc., as Amended by Articles of Amendment dated April 10, 2008. (Incorporated by reference from</w:t>
              </w:r>
            </w:hyperlink>
          </w:p>
        </w:tc>
      </w:tr>
      <w:tr>
        <w:trPr>
          <w:trHeight w:val="196"/>
        </w:trPr>
        <w:tc>
          <w:tcPr>
            <w:tcW w:w="1720" w:type="dxa"/>
            <w:vAlign w:val="bottom"/>
          </w:tcPr>
          <w:p>
            <w:pPr>
              <w:spacing w:after="0"/>
              <w:rPr>
                <w:sz w:val="17"/>
                <w:szCs w:val="17"/>
                <w:color w:val="auto"/>
              </w:rPr>
            </w:pPr>
          </w:p>
        </w:tc>
        <w:tc>
          <w:tcPr>
            <w:tcW w:w="6520" w:type="dxa"/>
            <w:vAlign w:val="bottom"/>
            <w:tcBorders>
              <w:bottom w:val="single" w:sz="8" w:color="auto"/>
            </w:tcBorders>
            <w:gridSpan w:val="8"/>
          </w:tcPr>
          <w:p>
            <w:pPr>
              <w:spacing w:after="0" w:line="196" w:lineRule="exact"/>
              <w:rPr>
                <w:rFonts w:ascii="Arial" w:cs="Arial" w:eastAsia="Arial" w:hAnsi="Arial"/>
                <w:sz w:val="18"/>
                <w:szCs w:val="18"/>
                <w:color w:val="auto"/>
                <w:w w:val="91"/>
              </w:rPr>
            </w:pPr>
            <w:hyperlink r:id="rId34">
              <w:r>
                <w:rPr>
                  <w:rFonts w:ascii="Arial" w:cs="Arial" w:eastAsia="Arial" w:hAnsi="Arial"/>
                  <w:sz w:val="18"/>
                  <w:szCs w:val="18"/>
                  <w:color w:val="auto"/>
                  <w:w w:val="91"/>
                </w:rPr>
                <w:t>Form 10-Q Report for the quarterly period ended March 31, 2008 filed on April 24, 2008.)</w:t>
              </w:r>
            </w:hyperlink>
          </w:p>
        </w:tc>
        <w:tc>
          <w:tcPr>
            <w:tcW w:w="3040" w:type="dxa"/>
            <w:vAlign w:val="bottom"/>
            <w:gridSpan w:val="8"/>
          </w:tcPr>
          <w:p>
            <w:pPr>
              <w:spacing w:after="0"/>
              <w:rPr>
                <w:sz w:val="17"/>
                <w:szCs w:val="17"/>
                <w:color w:val="auto"/>
              </w:rPr>
            </w:pP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3(ii)</w:t>
            </w:r>
          </w:p>
        </w:tc>
        <w:tc>
          <w:tcPr>
            <w:tcW w:w="9520" w:type="dxa"/>
            <w:vAlign w:val="bottom"/>
            <w:tcBorders>
              <w:bottom w:val="single" w:sz="8" w:color="auto"/>
            </w:tcBorders>
            <w:gridSpan w:val="15"/>
          </w:tcPr>
          <w:p>
            <w:pPr>
              <w:spacing w:after="0"/>
              <w:rPr>
                <w:rFonts w:ascii="Arial" w:cs="Arial" w:eastAsia="Arial" w:hAnsi="Arial"/>
                <w:sz w:val="18"/>
                <w:szCs w:val="18"/>
                <w:color w:val="auto"/>
                <w:w w:val="90"/>
              </w:rPr>
            </w:pPr>
            <w:hyperlink r:id="rId35">
              <w:r>
                <w:rPr>
                  <w:rFonts w:ascii="Arial" w:cs="Arial" w:eastAsia="Arial" w:hAnsi="Arial"/>
                  <w:sz w:val="18"/>
                  <w:szCs w:val="18"/>
                  <w:color w:val="auto"/>
                  <w:w w:val="90"/>
                </w:rPr>
                <w:t>Amended and Restated By-Laws of T. Rowe Price Group, Inc. as of December 10, 2015. (Incorporated by reference from Form 8-K</w:t>
              </w:r>
            </w:hyperlink>
          </w:p>
        </w:tc>
        <w:tc>
          <w:tcPr>
            <w:tcW w:w="40" w:type="dxa"/>
            <w:vAlign w:val="bottom"/>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3240" w:type="dxa"/>
            <w:vAlign w:val="bottom"/>
            <w:tcBorders>
              <w:bottom w:val="single" w:sz="8" w:color="auto"/>
            </w:tcBorders>
            <w:gridSpan w:val="2"/>
          </w:tcPr>
          <w:p>
            <w:pPr>
              <w:spacing w:after="0" w:line="196" w:lineRule="exact"/>
              <w:rPr>
                <w:rFonts w:ascii="Arial" w:cs="Arial" w:eastAsia="Arial" w:hAnsi="Arial"/>
                <w:sz w:val="18"/>
                <w:szCs w:val="18"/>
                <w:color w:val="auto"/>
                <w:w w:val="90"/>
              </w:rPr>
            </w:pPr>
            <w:hyperlink r:id="rId35">
              <w:r>
                <w:rPr>
                  <w:rFonts w:ascii="Arial" w:cs="Arial" w:eastAsia="Arial" w:hAnsi="Arial"/>
                  <w:sz w:val="18"/>
                  <w:szCs w:val="18"/>
                  <w:color w:val="auto"/>
                  <w:w w:val="90"/>
                </w:rPr>
                <w:t>Current Report filed on December 10, 2015.)</w:t>
              </w:r>
            </w:hyperlink>
          </w:p>
        </w:tc>
        <w:tc>
          <w:tcPr>
            <w:tcW w:w="6320" w:type="dxa"/>
            <w:vAlign w:val="bottom"/>
            <w:gridSpan w:val="14"/>
          </w:tcPr>
          <w:p>
            <w:pPr>
              <w:spacing w:after="0"/>
              <w:rPr>
                <w:sz w:val="17"/>
                <w:szCs w:val="17"/>
                <w:color w:val="auto"/>
              </w:rPr>
            </w:pP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10.03</w:t>
            </w:r>
          </w:p>
        </w:tc>
        <w:tc>
          <w:tcPr>
            <w:tcW w:w="9460" w:type="dxa"/>
            <w:vAlign w:val="bottom"/>
            <w:tcBorders>
              <w:bottom w:val="single" w:sz="8" w:color="auto"/>
            </w:tcBorders>
            <w:gridSpan w:val="13"/>
          </w:tcPr>
          <w:p>
            <w:pPr>
              <w:spacing w:after="0"/>
              <w:rPr>
                <w:rFonts w:ascii="Arial" w:cs="Arial" w:eastAsia="Arial" w:hAnsi="Arial"/>
                <w:sz w:val="18"/>
                <w:szCs w:val="18"/>
                <w:color w:val="auto"/>
                <w:w w:val="89"/>
              </w:rPr>
            </w:pPr>
            <w:hyperlink r:id="rId36">
              <w:r>
                <w:rPr>
                  <w:rFonts w:ascii="Arial" w:cs="Arial" w:eastAsia="Arial" w:hAnsi="Arial"/>
                  <w:sz w:val="18"/>
                  <w:szCs w:val="18"/>
                  <w:color w:val="auto"/>
                  <w:w w:val="89"/>
                </w:rPr>
                <w:t>Transfer Agency and Service Agreement as of January 1, 2017, between T. Rowe Price Services, Inc. and the T. Rowe Price Funds.</w:t>
              </w:r>
            </w:hyperlink>
          </w:p>
        </w:tc>
        <w:tc>
          <w:tcPr>
            <w:tcW w:w="100" w:type="dxa"/>
            <w:vAlign w:val="bottom"/>
            <w:gridSpan w:val="3"/>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9560" w:type="dxa"/>
            <w:vAlign w:val="bottom"/>
            <w:gridSpan w:val="16"/>
          </w:tcPr>
          <w:p>
            <w:pPr>
              <w:spacing w:after="0" w:line="196" w:lineRule="exact"/>
              <w:rPr>
                <w:rFonts w:ascii="Arial" w:cs="Arial" w:eastAsia="Arial" w:hAnsi="Arial"/>
                <w:sz w:val="18"/>
                <w:szCs w:val="18"/>
                <w:color w:val="auto"/>
              </w:rPr>
            </w:pPr>
            <w:hyperlink r:id="rId36">
              <w:r>
                <w:rPr>
                  <w:rFonts w:ascii="Arial" w:cs="Arial" w:eastAsia="Arial" w:hAnsi="Arial"/>
                  <w:sz w:val="18"/>
                  <w:szCs w:val="18"/>
                  <w:color w:val="auto"/>
                </w:rPr>
                <w:t>(Incorporated by reference from Form 485BPOS filed on April 27, 2017.)</w:t>
              </w:r>
            </w:hyperlink>
          </w:p>
        </w:tc>
      </w:tr>
      <w:tr>
        <w:trPr>
          <w:trHeight w:val="20"/>
        </w:trPr>
        <w:tc>
          <w:tcPr>
            <w:tcW w:w="17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10.04</w:t>
            </w:r>
          </w:p>
        </w:tc>
        <w:tc>
          <w:tcPr>
            <w:tcW w:w="9260" w:type="dxa"/>
            <w:vAlign w:val="bottom"/>
            <w:tcBorders>
              <w:bottom w:val="single" w:sz="8" w:color="auto"/>
            </w:tcBorders>
            <w:gridSpan w:val="10"/>
          </w:tcPr>
          <w:p>
            <w:pPr>
              <w:spacing w:after="0"/>
              <w:rPr>
                <w:rFonts w:ascii="Arial" w:cs="Arial" w:eastAsia="Arial" w:hAnsi="Arial"/>
                <w:sz w:val="18"/>
                <w:szCs w:val="18"/>
                <w:color w:val="auto"/>
                <w:w w:val="89"/>
              </w:rPr>
            </w:pPr>
            <w:hyperlink r:id="rId37">
              <w:r>
                <w:rPr>
                  <w:rFonts w:ascii="Arial" w:cs="Arial" w:eastAsia="Arial" w:hAnsi="Arial"/>
                  <w:sz w:val="18"/>
                  <w:szCs w:val="18"/>
                  <w:color w:val="auto"/>
                  <w:w w:val="89"/>
                </w:rPr>
                <w:t>Agreement as of January 1, 2017, between T. Rowe Price Retirement Plan Services, Inc. and certain of the T. Rowe Price Funds.</w:t>
              </w:r>
            </w:hyperlink>
          </w:p>
        </w:tc>
        <w:tc>
          <w:tcPr>
            <w:tcW w:w="300" w:type="dxa"/>
            <w:vAlign w:val="bottom"/>
            <w:gridSpan w:val="6"/>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9560" w:type="dxa"/>
            <w:vAlign w:val="bottom"/>
            <w:gridSpan w:val="16"/>
          </w:tcPr>
          <w:p>
            <w:pPr>
              <w:spacing w:after="0" w:line="196" w:lineRule="exact"/>
              <w:rPr>
                <w:rFonts w:ascii="Arial" w:cs="Arial" w:eastAsia="Arial" w:hAnsi="Arial"/>
                <w:sz w:val="18"/>
                <w:szCs w:val="18"/>
                <w:color w:val="auto"/>
              </w:rPr>
            </w:pPr>
            <w:hyperlink r:id="rId37">
              <w:r>
                <w:rPr>
                  <w:rFonts w:ascii="Arial" w:cs="Arial" w:eastAsia="Arial" w:hAnsi="Arial"/>
                  <w:sz w:val="18"/>
                  <w:szCs w:val="18"/>
                  <w:color w:val="auto"/>
                </w:rPr>
                <w:t>(Incorporated by reference from Form 485BPOS filed on April 27, 2017.)</w:t>
              </w:r>
            </w:hyperlink>
          </w:p>
        </w:tc>
      </w:tr>
      <w:tr>
        <w:trPr>
          <w:trHeight w:val="20"/>
        </w:trPr>
        <w:tc>
          <w:tcPr>
            <w:tcW w:w="17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10.05</w:t>
            </w:r>
          </w:p>
        </w:tc>
        <w:tc>
          <w:tcPr>
            <w:tcW w:w="9560" w:type="dxa"/>
            <w:vAlign w:val="bottom"/>
            <w:gridSpan w:val="16"/>
          </w:tcPr>
          <w:p>
            <w:pPr>
              <w:spacing w:after="0"/>
              <w:rPr>
                <w:rFonts w:ascii="Arial" w:cs="Arial" w:eastAsia="Arial" w:hAnsi="Arial"/>
                <w:sz w:val="18"/>
                <w:szCs w:val="18"/>
                <w:color w:val="auto"/>
                <w:w w:val="91"/>
              </w:rPr>
            </w:pPr>
            <w:hyperlink r:id="rId38">
              <w:r>
                <w:rPr>
                  <w:rFonts w:ascii="Arial" w:cs="Arial" w:eastAsia="Arial" w:hAnsi="Arial"/>
                  <w:sz w:val="18"/>
                  <w:szCs w:val="18"/>
                  <w:color w:val="auto"/>
                  <w:w w:val="91"/>
                </w:rPr>
                <w:t>Fund Accounting Services Agreement as of August 1, 2015 between T. Rowe Price Associates, Inc. and the T. Rowe Price Funds.</w:t>
              </w:r>
            </w:hyperlink>
          </w:p>
        </w:tc>
      </w:tr>
      <w:tr>
        <w:trPr>
          <w:trHeight w:val="196"/>
        </w:trPr>
        <w:tc>
          <w:tcPr>
            <w:tcW w:w="1720" w:type="dxa"/>
            <w:vAlign w:val="bottom"/>
          </w:tcPr>
          <w:p>
            <w:pPr>
              <w:spacing w:after="0"/>
              <w:rPr>
                <w:sz w:val="17"/>
                <w:szCs w:val="17"/>
                <w:color w:val="auto"/>
              </w:rPr>
            </w:pPr>
          </w:p>
        </w:tc>
        <w:tc>
          <w:tcPr>
            <w:tcW w:w="9340" w:type="dxa"/>
            <w:vAlign w:val="bottom"/>
            <w:tcBorders>
              <w:top w:val="single" w:sz="8" w:color="auto"/>
            </w:tcBorders>
            <w:gridSpan w:val="11"/>
          </w:tcPr>
          <w:p>
            <w:pPr>
              <w:spacing w:after="0" w:line="196" w:lineRule="exact"/>
              <w:rPr>
                <w:rFonts w:ascii="Arial" w:cs="Arial" w:eastAsia="Arial" w:hAnsi="Arial"/>
                <w:sz w:val="18"/>
                <w:szCs w:val="18"/>
                <w:color w:val="auto"/>
              </w:rPr>
            </w:pPr>
            <w:hyperlink r:id="rId38">
              <w:r>
                <w:rPr>
                  <w:rFonts w:ascii="Arial" w:cs="Arial" w:eastAsia="Arial" w:hAnsi="Arial"/>
                  <w:sz w:val="18"/>
                  <w:szCs w:val="18"/>
                  <w:color w:val="auto"/>
                </w:rPr>
                <w:t>(Incorporated by reference from Form 485BPOS filed on April 27, 2017.)</w:t>
              </w:r>
            </w:hyperlink>
          </w:p>
        </w:tc>
        <w:tc>
          <w:tcPr>
            <w:tcW w:w="220" w:type="dxa"/>
            <w:vAlign w:val="bottom"/>
            <w:gridSpan w:val="5"/>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10.22.1</w:t>
            </w:r>
          </w:p>
        </w:tc>
        <w:tc>
          <w:tcPr>
            <w:tcW w:w="9420" w:type="dxa"/>
            <w:vAlign w:val="bottom"/>
            <w:tcBorders>
              <w:bottom w:val="single" w:sz="8" w:color="auto"/>
            </w:tcBorders>
            <w:gridSpan w:val="12"/>
          </w:tcPr>
          <w:p>
            <w:pPr>
              <w:spacing w:after="0"/>
              <w:rPr>
                <w:rFonts w:ascii="Arial" w:cs="Arial" w:eastAsia="Arial" w:hAnsi="Arial"/>
                <w:sz w:val="18"/>
                <w:szCs w:val="18"/>
                <w:color w:val="auto"/>
                <w:w w:val="90"/>
              </w:rPr>
            </w:pPr>
            <w:hyperlink r:id="rId39">
              <w:r>
                <w:rPr>
                  <w:rFonts w:ascii="Arial" w:cs="Arial" w:eastAsia="Arial" w:hAnsi="Arial"/>
                  <w:sz w:val="18"/>
                  <w:szCs w:val="18"/>
                  <w:color w:val="auto"/>
                  <w:w w:val="90"/>
                </w:rPr>
                <w:t>First amendment to agreement between T. Rowe Price Group, Inc. and Kenneth V. Moreland dated August 21, 2017. (Incorporated</w:t>
              </w:r>
            </w:hyperlink>
          </w:p>
        </w:tc>
        <w:tc>
          <w:tcPr>
            <w:tcW w:w="140" w:type="dxa"/>
            <w:vAlign w:val="bottom"/>
            <w:gridSpan w:val="4"/>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5120" w:type="dxa"/>
            <w:vAlign w:val="bottom"/>
            <w:tcBorders>
              <w:bottom w:val="single" w:sz="8" w:color="auto"/>
            </w:tcBorders>
            <w:gridSpan w:val="5"/>
          </w:tcPr>
          <w:p>
            <w:pPr>
              <w:spacing w:after="0" w:line="196" w:lineRule="exact"/>
              <w:rPr>
                <w:rFonts w:ascii="Arial" w:cs="Arial" w:eastAsia="Arial" w:hAnsi="Arial"/>
                <w:sz w:val="18"/>
                <w:szCs w:val="18"/>
                <w:color w:val="auto"/>
                <w:w w:val="91"/>
              </w:rPr>
            </w:pPr>
            <w:hyperlink r:id="rId39">
              <w:r>
                <w:rPr>
                  <w:rFonts w:ascii="Arial" w:cs="Arial" w:eastAsia="Arial" w:hAnsi="Arial"/>
                  <w:sz w:val="18"/>
                  <w:szCs w:val="18"/>
                  <w:color w:val="auto"/>
                  <w:w w:val="91"/>
                </w:rPr>
                <w:t>by reference from Form 8-K Current Report filed on August 25, 2017.)</w:t>
              </w:r>
            </w:hyperlink>
          </w:p>
        </w:tc>
        <w:tc>
          <w:tcPr>
            <w:tcW w:w="4440" w:type="dxa"/>
            <w:vAlign w:val="bottom"/>
            <w:gridSpan w:val="11"/>
          </w:tcPr>
          <w:p>
            <w:pPr>
              <w:spacing w:after="0"/>
              <w:rPr>
                <w:sz w:val="17"/>
                <w:szCs w:val="17"/>
                <w:color w:val="auto"/>
              </w:rPr>
            </w:pP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10.23</w:t>
            </w:r>
          </w:p>
        </w:tc>
        <w:tc>
          <w:tcPr>
            <w:tcW w:w="9560" w:type="dxa"/>
            <w:vAlign w:val="bottom"/>
            <w:gridSpan w:val="16"/>
          </w:tcPr>
          <w:p>
            <w:pPr>
              <w:spacing w:after="0"/>
              <w:rPr>
                <w:rFonts w:ascii="Arial" w:cs="Arial" w:eastAsia="Arial" w:hAnsi="Arial"/>
                <w:sz w:val="18"/>
                <w:szCs w:val="18"/>
                <w:color w:val="auto"/>
                <w:w w:val="92"/>
              </w:rPr>
            </w:pPr>
            <w:hyperlink r:id="rId40">
              <w:r>
                <w:rPr>
                  <w:rFonts w:ascii="Arial" w:cs="Arial" w:eastAsia="Arial" w:hAnsi="Arial"/>
                  <w:sz w:val="18"/>
                  <w:szCs w:val="18"/>
                  <w:color w:val="auto"/>
                  <w:w w:val="92"/>
                </w:rPr>
                <w:t>2017 Non-Employee Director Equity Plan (Incorporated by reference from Form S-8 registration statement filed on April 27, 2017.)</w:t>
              </w:r>
            </w:hyperlink>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10.23.1</w:t>
            </w:r>
          </w:p>
        </w:tc>
        <w:tc>
          <w:tcPr>
            <w:tcW w:w="9520" w:type="dxa"/>
            <w:vAlign w:val="bottom"/>
            <w:tcBorders>
              <w:top w:val="single" w:sz="8" w:color="auto"/>
            </w:tcBorders>
            <w:gridSpan w:val="15"/>
          </w:tcPr>
          <w:p>
            <w:pPr>
              <w:spacing w:after="0"/>
              <w:rPr>
                <w:rFonts w:ascii="Arial" w:cs="Arial" w:eastAsia="Arial" w:hAnsi="Arial"/>
                <w:sz w:val="18"/>
                <w:szCs w:val="18"/>
                <w:color w:val="auto"/>
                <w:w w:val="90"/>
              </w:rPr>
            </w:pPr>
            <w:hyperlink r:id="rId41">
              <w:r>
                <w:rPr>
                  <w:rFonts w:ascii="Arial" w:cs="Arial" w:eastAsia="Arial" w:hAnsi="Arial"/>
                  <w:sz w:val="18"/>
                  <w:szCs w:val="18"/>
                  <w:color w:val="auto"/>
                  <w:w w:val="90"/>
                </w:rPr>
                <w:t>Statements of additional terms and conditions for awards granted under the 2017 Non-Employee Director Equity Plan (Incorporated</w:t>
              </w:r>
            </w:hyperlink>
          </w:p>
        </w:tc>
        <w:tc>
          <w:tcPr>
            <w:tcW w:w="40" w:type="dxa"/>
            <w:vAlign w:val="bottom"/>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5420" w:type="dxa"/>
            <w:vAlign w:val="bottom"/>
            <w:tcBorders>
              <w:top w:val="single" w:sz="8" w:color="auto"/>
              <w:bottom w:val="single" w:sz="8" w:color="auto"/>
            </w:tcBorders>
            <w:gridSpan w:val="7"/>
          </w:tcPr>
          <w:p>
            <w:pPr>
              <w:spacing w:after="0" w:line="196" w:lineRule="exact"/>
              <w:rPr>
                <w:rFonts w:ascii="Arial" w:cs="Arial" w:eastAsia="Arial" w:hAnsi="Arial"/>
                <w:sz w:val="18"/>
                <w:szCs w:val="18"/>
                <w:color w:val="auto"/>
                <w:w w:val="91"/>
              </w:rPr>
            </w:pPr>
            <w:hyperlink r:id="rId41">
              <w:r>
                <w:rPr>
                  <w:rFonts w:ascii="Arial" w:cs="Arial" w:eastAsia="Arial" w:hAnsi="Arial"/>
                  <w:sz w:val="18"/>
                  <w:szCs w:val="18"/>
                  <w:color w:val="auto"/>
                  <w:w w:val="91"/>
                </w:rPr>
                <w:t>by reference from Form S-8 registration statement filed on April 27, 2017.)</w:t>
              </w:r>
            </w:hyperlink>
          </w:p>
        </w:tc>
        <w:tc>
          <w:tcPr>
            <w:tcW w:w="4080" w:type="dxa"/>
            <w:vAlign w:val="bottom"/>
            <w:tcBorders>
              <w:top w:val="single" w:sz="8" w:color="auto"/>
            </w:tcBorders>
            <w:gridSpan w:val="7"/>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15</w:t>
            </w:r>
          </w:p>
        </w:tc>
        <w:tc>
          <w:tcPr>
            <w:tcW w:w="8300" w:type="dxa"/>
            <w:vAlign w:val="bottom"/>
            <w:tcBorders>
              <w:bottom w:val="single" w:sz="8" w:color="auto"/>
            </w:tcBorders>
            <w:gridSpan w:val="9"/>
          </w:tcPr>
          <w:p>
            <w:pPr>
              <w:spacing w:after="0"/>
              <w:rPr>
                <w:rFonts w:ascii="Arial" w:cs="Arial" w:eastAsia="Arial" w:hAnsi="Arial"/>
                <w:sz w:val="18"/>
                <w:szCs w:val="18"/>
                <w:color w:val="auto"/>
                <w:w w:val="92"/>
              </w:rPr>
            </w:pPr>
            <w:hyperlink w:anchor="page42">
              <w:r>
                <w:rPr>
                  <w:rFonts w:ascii="Arial" w:cs="Arial" w:eastAsia="Arial" w:hAnsi="Arial"/>
                  <w:sz w:val="18"/>
                  <w:szCs w:val="18"/>
                  <w:color w:val="auto"/>
                  <w:w w:val="92"/>
                </w:rPr>
                <w:t>Letter from KPMG LLP, independent registered public accounting firm, re unaudited interim financial information.</w:t>
              </w:r>
            </w:hyperlink>
          </w:p>
        </w:tc>
        <w:tc>
          <w:tcPr>
            <w:tcW w:w="1260" w:type="dxa"/>
            <w:vAlign w:val="bottom"/>
            <w:gridSpan w:val="7"/>
          </w:tcPr>
          <w:p>
            <w:pPr>
              <w:spacing w:after="0"/>
              <w:rPr>
                <w:sz w:val="24"/>
                <w:szCs w:val="24"/>
                <w:color w:val="auto"/>
              </w:rPr>
            </w:pP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31(i).1</w:t>
            </w:r>
          </w:p>
        </w:tc>
        <w:tc>
          <w:tcPr>
            <w:tcW w:w="9560" w:type="dxa"/>
            <w:vAlign w:val="bottom"/>
            <w:gridSpan w:val="16"/>
          </w:tcPr>
          <w:p>
            <w:pPr>
              <w:spacing w:after="0"/>
              <w:rPr>
                <w:rFonts w:ascii="Arial" w:cs="Arial" w:eastAsia="Arial" w:hAnsi="Arial"/>
                <w:sz w:val="18"/>
                <w:szCs w:val="18"/>
                <w:color w:val="auto"/>
              </w:rPr>
            </w:pPr>
            <w:hyperlink w:anchor="page43">
              <w:r>
                <w:rPr>
                  <w:rFonts w:ascii="Arial" w:cs="Arial" w:eastAsia="Arial" w:hAnsi="Arial"/>
                  <w:sz w:val="18"/>
                  <w:szCs w:val="18"/>
                  <w:color w:val="auto"/>
                </w:rPr>
                <w:t>Rule 13a-14(a) Certification of Principal Executive Officer.</w:t>
              </w:r>
            </w:hyperlink>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31(i).2</w:t>
            </w:r>
          </w:p>
        </w:tc>
        <w:tc>
          <w:tcPr>
            <w:tcW w:w="4240" w:type="dxa"/>
            <w:vAlign w:val="bottom"/>
            <w:tcBorders>
              <w:top w:val="single" w:sz="8" w:color="auto"/>
              <w:bottom w:val="single" w:sz="8" w:color="auto"/>
            </w:tcBorders>
            <w:gridSpan w:val="3"/>
          </w:tcPr>
          <w:p>
            <w:pPr>
              <w:spacing w:after="0"/>
              <w:rPr>
                <w:rFonts w:ascii="Arial" w:cs="Arial" w:eastAsia="Arial" w:hAnsi="Arial"/>
                <w:sz w:val="18"/>
                <w:szCs w:val="18"/>
                <w:color w:val="auto"/>
                <w:w w:val="92"/>
              </w:rPr>
            </w:pPr>
            <w:hyperlink w:anchor="page44">
              <w:r>
                <w:rPr>
                  <w:rFonts w:ascii="Arial" w:cs="Arial" w:eastAsia="Arial" w:hAnsi="Arial"/>
                  <w:sz w:val="18"/>
                  <w:szCs w:val="18"/>
                  <w:color w:val="auto"/>
                  <w:w w:val="92"/>
                </w:rPr>
                <w:t>Rule 13a-14(a) Certification of Principal Financial Officer.</w:t>
              </w:r>
            </w:hyperlink>
          </w:p>
        </w:tc>
        <w:tc>
          <w:tcPr>
            <w:tcW w:w="40" w:type="dxa"/>
            <w:vAlign w:val="bottom"/>
            <w:tcBorders>
              <w:top w:val="single" w:sz="8" w:color="auto"/>
            </w:tcBorders>
          </w:tcPr>
          <w:p>
            <w:pPr>
              <w:spacing w:after="0"/>
              <w:rPr>
                <w:sz w:val="24"/>
                <w:szCs w:val="24"/>
                <w:color w:val="auto"/>
              </w:rPr>
            </w:pPr>
          </w:p>
        </w:tc>
        <w:tc>
          <w:tcPr>
            <w:tcW w:w="5280" w:type="dxa"/>
            <w:vAlign w:val="bottom"/>
            <w:gridSpan w:val="12"/>
          </w:tcPr>
          <w:p>
            <w:pPr>
              <w:spacing w:after="0"/>
              <w:rPr>
                <w:sz w:val="24"/>
                <w:szCs w:val="24"/>
                <w:color w:val="auto"/>
              </w:rPr>
            </w:pP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32</w:t>
            </w:r>
          </w:p>
        </w:tc>
        <w:tc>
          <w:tcPr>
            <w:tcW w:w="9560" w:type="dxa"/>
            <w:vAlign w:val="bottom"/>
            <w:gridSpan w:val="16"/>
          </w:tcPr>
          <w:p>
            <w:pPr>
              <w:spacing w:after="0"/>
              <w:rPr>
                <w:rFonts w:ascii="Arial" w:cs="Arial" w:eastAsia="Arial" w:hAnsi="Arial"/>
                <w:sz w:val="18"/>
                <w:szCs w:val="18"/>
                <w:color w:val="auto"/>
              </w:rPr>
            </w:pPr>
            <w:hyperlink w:anchor="page45">
              <w:r>
                <w:rPr>
                  <w:rFonts w:ascii="Arial" w:cs="Arial" w:eastAsia="Arial" w:hAnsi="Arial"/>
                  <w:sz w:val="18"/>
                  <w:szCs w:val="18"/>
                  <w:color w:val="auto"/>
                </w:rPr>
                <w:t>Section 1350 Certifications.</w:t>
              </w:r>
            </w:hyperlink>
          </w:p>
        </w:tc>
      </w:tr>
      <w:tr>
        <w:trPr>
          <w:trHeight w:val="20"/>
        </w:trPr>
        <w:tc>
          <w:tcPr>
            <w:tcW w:w="17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40</w:t>
      </w:r>
    </w:p>
    <w:p>
      <w:pPr>
        <w:sectPr>
          <w:pgSz w:w="11900" w:h="16838" w:orient="portrait"/>
          <w:cols w:equalWidth="0" w:num="1">
            <w:col w:w="11420"/>
          </w:cols>
          <w:pgMar w:left="240" w:top="584" w:right="239" w:bottom="1440" w:gutter="0" w:footer="0" w:header="0"/>
          <w:type w:val="continuous"/>
        </w:sectPr>
      </w:pPr>
    </w:p>
    <w:bookmarkStart w:id="40" w:name="page41"/>
    <w:bookmarkEnd w:id="40"/>
    <w:tbl>
      <w:tblPr>
        <w:tblLayout w:type="fixed"/>
        <w:tblInd w:w="4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9180" w:type="dxa"/>
            <w:vAlign w:val="bottom"/>
            <w:tcBorders>
              <w:bottom w:val="single" w:sz="8" w:color="auto"/>
            </w:tcBorders>
          </w:tcPr>
          <w:p>
            <w:pPr>
              <w:spacing w:after="0"/>
              <w:rPr>
                <w:rFonts w:ascii="Arial" w:cs="Arial" w:eastAsia="Arial" w:hAnsi="Arial"/>
                <w:sz w:val="18"/>
                <w:szCs w:val="18"/>
                <w:color w:val="auto"/>
                <w:w w:val="90"/>
              </w:rPr>
            </w:pPr>
            <w:hyperlink w:anchor="page46">
              <w:r>
                <w:rPr>
                  <w:rFonts w:ascii="Arial" w:cs="Arial" w:eastAsia="Arial" w:hAnsi="Arial"/>
                  <w:sz w:val="18"/>
                  <w:szCs w:val="18"/>
                  <w:color w:val="auto"/>
                  <w:w w:val="90"/>
                </w:rPr>
                <w:t>Earnings release issued October 26, 2017, reporting our results of operations for the third quarter and first nine months of 2017.</w:t>
              </w:r>
            </w:hyperlink>
          </w:p>
        </w:tc>
      </w:tr>
      <w:tr>
        <w:trPr>
          <w:trHeight w:val="426"/>
        </w:trPr>
        <w:tc>
          <w:tcPr>
            <w:tcW w:w="1720" w:type="dxa"/>
            <w:vAlign w:val="bottom"/>
          </w:tcPr>
          <w:p>
            <w:pPr>
              <w:spacing w:after="0"/>
              <w:rPr>
                <w:sz w:val="20"/>
                <w:szCs w:val="20"/>
                <w:color w:val="auto"/>
              </w:rPr>
            </w:pPr>
            <w:r>
              <w:rPr>
                <w:rFonts w:ascii="Arial" w:cs="Arial" w:eastAsia="Arial" w:hAnsi="Arial"/>
                <w:sz w:val="18"/>
                <w:szCs w:val="18"/>
                <w:color w:val="auto"/>
              </w:rPr>
              <w:t>101</w:t>
            </w:r>
          </w:p>
        </w:tc>
        <w:tc>
          <w:tcPr>
            <w:tcW w:w="9180" w:type="dxa"/>
            <w:vAlign w:val="bottom"/>
          </w:tcPr>
          <w:p>
            <w:pPr>
              <w:spacing w:after="0"/>
              <w:rPr>
                <w:sz w:val="20"/>
                <w:szCs w:val="20"/>
                <w:color w:val="auto"/>
              </w:rPr>
            </w:pPr>
            <w:r>
              <w:rPr>
                <w:rFonts w:ascii="Arial" w:cs="Arial" w:eastAsia="Arial" w:hAnsi="Arial"/>
                <w:sz w:val="18"/>
                <w:szCs w:val="18"/>
                <w:color w:val="auto"/>
                <w:w w:val="92"/>
              </w:rPr>
              <w:t>The following series of unaudited XBRL-formatted documents are collectively included herewith as Exhibit 101. The financial</w:t>
            </w:r>
          </w:p>
        </w:tc>
      </w:tr>
    </w:tbl>
    <w:p>
      <w:pPr>
        <w:ind w:left="1760" w:right="60"/>
        <w:spacing w:after="0" w:line="261" w:lineRule="auto"/>
        <w:rPr>
          <w:sz w:val="20"/>
          <w:szCs w:val="20"/>
          <w:color w:val="auto"/>
        </w:rPr>
      </w:pPr>
      <w:r>
        <w:rPr>
          <w:rFonts w:ascii="Arial" w:cs="Arial" w:eastAsia="Arial" w:hAnsi="Arial"/>
          <w:sz w:val="18"/>
          <w:szCs w:val="18"/>
          <w:color w:val="auto"/>
        </w:rPr>
        <w:t>information is extracted from T. Rowe Price Group’s unaudited condensed consolidated interim financial statements and notes that are included in this Form 10-Q Report.</w:t>
      </w:r>
    </w:p>
    <w:p>
      <w:pPr>
        <w:spacing w:after="0" w:line="1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101.INS XBRL Instance Document (File name: trow-20170930.xml).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101.SCH XBRL Taxonomy Extension Schema Document (File name: trow-20170930.xsd).</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101.CAL XBRL Taxonomy Calculation Linkbase Document (File name: trow-20170930_cal.xml).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101.LAB XBRL Taxonomy Label Linkbase Document (File name: trow-20170930_lab.xml).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101.PRE XBRL Taxonomy Presentation Linkbase Document (File name: trow-20170930_pre.xml).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101.DEF XBRL Taxonomy Definition Linkbase Document (File name: trow-20170930_def.xml).</w:t>
      </w:r>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26,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V. Moreland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220"/>
          </w:cols>
          <w:pgMar w:left="240" w:top="729" w:right="439" w:bottom="1440" w:gutter="0" w:footer="0" w:header="0"/>
        </w:sectPr>
      </w:pPr>
    </w:p>
    <w:bookmarkStart w:id="41" w:name="page42"/>
    <w:bookmarkEnd w:id="41"/>
    <w:p>
      <w:pPr>
        <w:ind w:left="4340"/>
        <w:spacing w:after="0"/>
        <w:rPr>
          <w:sz w:val="20"/>
          <w:szCs w:val="20"/>
          <w:color w:val="auto"/>
        </w:rPr>
      </w:pPr>
      <w:r>
        <w:rPr>
          <w:rFonts w:ascii="Arial" w:cs="Arial" w:eastAsia="Arial" w:hAnsi="Arial"/>
          <w:sz w:val="17"/>
          <w:szCs w:val="17"/>
          <w:color w:val="auto"/>
        </w:rPr>
        <w:t>EXHIBIT 15</w:t>
      </w:r>
    </w:p>
    <w:p>
      <w:pPr>
        <w:spacing w:after="0" w:line="20" w:lineRule="exact"/>
        <w:rPr>
          <w:sz w:val="20"/>
          <w:szCs w:val="20"/>
          <w:color w:val="auto"/>
        </w:rPr>
      </w:pPr>
      <w:r>
        <w:rPr>
          <w:sz w:val="20"/>
          <w:szCs w:val="20"/>
          <w:color w:val="auto"/>
        </w:rPr>
        <w:br w:type="column"/>
      </w:r>
    </w:p>
    <w:p>
      <w:pPr>
        <w:jc w:val="right"/>
        <w:spacing w:after="0" w:line="277"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5520" w:space="720"/>
            <w:col w:w="5180"/>
          </w:cols>
          <w:pgMar w:left="240" w:top="584"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200" w:lineRule="exact"/>
        <w:rPr>
          <w:sz w:val="20"/>
          <w:szCs w:val="20"/>
          <w:color w:val="auto"/>
        </w:rPr>
      </w:pPr>
    </w:p>
    <w:p>
      <w:pPr>
        <w:spacing w:after="0" w:line="22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 xml:space="preserve">Re: Registration Statements on Form S-8: No. </w:t>
      </w:r>
      <w:r>
        <w:rPr>
          <w:rFonts w:ascii="Arial" w:cs="Arial" w:eastAsia="Arial" w:hAnsi="Arial"/>
          <w:sz w:val="18"/>
          <w:szCs w:val="18"/>
          <w:b w:val="1"/>
          <w:bCs w:val="1"/>
          <w:color w:val="auto"/>
        </w:rPr>
        <w:t>33-7012</w:t>
      </w:r>
      <w:r>
        <w:rPr>
          <w:rFonts w:ascii="Arial" w:cs="Arial" w:eastAsia="Arial" w:hAnsi="Arial"/>
          <w:sz w:val="18"/>
          <w:szCs w:val="18"/>
          <w:color w:val="auto"/>
        </w:rPr>
        <w:t xml:space="preserve">, No. </w:t>
      </w:r>
      <w:r>
        <w:rPr>
          <w:rFonts w:ascii="Arial" w:cs="Arial" w:eastAsia="Arial" w:hAnsi="Arial"/>
          <w:sz w:val="18"/>
          <w:szCs w:val="18"/>
          <w:b w:val="1"/>
          <w:bCs w:val="1"/>
          <w:color w:val="auto"/>
        </w:rPr>
        <w:t>333-59714</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333-120883</w:t>
      </w:r>
      <w:r>
        <w:rPr>
          <w:rFonts w:ascii="Arial" w:cs="Arial" w:eastAsia="Arial" w:hAnsi="Arial"/>
          <w:sz w:val="18"/>
          <w:szCs w:val="18"/>
          <w:color w:val="auto"/>
        </w:rPr>
        <w:t xml:space="preserve">, No. </w:t>
      </w:r>
      <w:r>
        <w:rPr>
          <w:rFonts w:ascii="Arial" w:cs="Arial" w:eastAsia="Arial" w:hAnsi="Arial"/>
          <w:sz w:val="18"/>
          <w:szCs w:val="18"/>
          <w:b w:val="1"/>
          <w:bCs w:val="1"/>
          <w:color w:val="auto"/>
        </w:rPr>
        <w:t>333-142092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333-167317</w:t>
      </w:r>
      <w:r>
        <w:rPr>
          <w:rFonts w:ascii="Arial" w:cs="Arial" w:eastAsia="Arial" w:hAnsi="Arial"/>
          <w:sz w:val="18"/>
          <w:szCs w:val="18"/>
          <w:color w:val="auto"/>
        </w:rPr>
        <w:t xml:space="preserve">, No. </w:t>
      </w:r>
      <w:r>
        <w:rPr>
          <w:rFonts w:ascii="Arial" w:cs="Arial" w:eastAsia="Arial" w:hAnsi="Arial"/>
          <w:sz w:val="18"/>
          <w:szCs w:val="18"/>
          <w:b w:val="1"/>
          <w:bCs w:val="1"/>
          <w:color w:val="auto"/>
        </w:rPr>
        <w:t>333-180904</w:t>
      </w:r>
      <w:r>
        <w:rPr>
          <w:rFonts w:ascii="Arial" w:cs="Arial" w:eastAsia="Arial" w:hAnsi="Arial"/>
          <w:sz w:val="18"/>
          <w:szCs w:val="18"/>
          <w:color w:val="auto"/>
        </w:rPr>
        <w:t>, No.</w:t>
      </w:r>
      <w:r>
        <w:rPr>
          <w:rFonts w:ascii="Arial" w:cs="Arial" w:eastAsia="Arial" w:hAnsi="Arial"/>
          <w:sz w:val="18"/>
          <w:szCs w:val="18"/>
          <w:b w:val="1"/>
          <w:bCs w:val="1"/>
          <w:color w:val="auto"/>
        </w:rPr>
        <w:t xml:space="preserve"> 333-199560</w:t>
      </w:r>
      <w:r>
        <w:rPr>
          <w:rFonts w:ascii="Arial" w:cs="Arial" w:eastAsia="Arial" w:hAnsi="Arial"/>
          <w:sz w:val="18"/>
          <w:szCs w:val="18"/>
          <w:color w:val="auto"/>
        </w:rPr>
        <w:t>, No.</w:t>
      </w:r>
      <w:r>
        <w:rPr>
          <w:rFonts w:ascii="Arial" w:cs="Arial" w:eastAsia="Arial" w:hAnsi="Arial"/>
          <w:sz w:val="18"/>
          <w:szCs w:val="18"/>
          <w:b w:val="1"/>
          <w:bCs w:val="1"/>
          <w:color w:val="auto"/>
        </w:rPr>
        <w:t xml:space="preserve"> 333-212705 </w:t>
      </w:r>
      <w:r>
        <w:rPr>
          <w:rFonts w:ascii="Arial" w:cs="Arial" w:eastAsia="Arial" w:hAnsi="Arial"/>
          <w:sz w:val="18"/>
          <w:szCs w:val="18"/>
          <w:color w:val="auto"/>
        </w:rPr>
        <w:t>, and</w:t>
      </w:r>
      <w:r>
        <w:rPr>
          <w:rFonts w:ascii="Arial" w:cs="Arial" w:eastAsia="Arial" w:hAnsi="Arial"/>
          <w:sz w:val="18"/>
          <w:szCs w:val="18"/>
          <w:b w:val="1"/>
          <w:bCs w:val="1"/>
          <w:color w:val="auto"/>
        </w:rPr>
        <w:t xml:space="preserve"> 333-217483</w:t>
      </w:r>
      <w:r>
        <w:rPr>
          <w:rFonts w:ascii="Arial" w:cs="Arial" w:eastAsia="Arial" w:hAnsi="Arial"/>
          <w:sz w:val="18"/>
          <w:szCs w:val="18"/>
          <w:color w:val="auto"/>
        </w:rPr>
        <w:t>.</w:t>
      </w:r>
    </w:p>
    <w:p>
      <w:pPr>
        <w:spacing w:after="0" w:line="16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October 26, 2017 related to our review of interim financial information.</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26, 2017</w:t>
      </w:r>
    </w:p>
    <w:p>
      <w:pPr>
        <w:sectPr>
          <w:pgSz w:w="11900" w:h="16838" w:orient="portrait"/>
          <w:cols w:equalWidth="0" w:num="1">
            <w:col w:w="11420"/>
          </w:cols>
          <w:pgMar w:left="240" w:top="584" w:right="239" w:bottom="1440" w:gutter="0" w:footer="0" w:header="0"/>
          <w:type w:val="continuous"/>
        </w:sectPr>
      </w:pPr>
    </w:p>
    <w:bookmarkStart w:id="42" w:name="page43"/>
    <w:bookmarkEnd w:id="42"/>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7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2017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October 26, 2017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665" w:right="279" w:bottom="1440" w:gutter="0" w:footer="0" w:header="0"/>
        </w:sectPr>
      </w:pPr>
    </w:p>
    <w:bookmarkStart w:id="43" w:name="page44"/>
    <w:bookmarkEnd w:id="43"/>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71"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2017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October 26, 2017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65" w:right="279" w:bottom="1440" w:gutter="0" w:footer="0" w:header="0"/>
        </w:sectPr>
      </w:pPr>
    </w:p>
    <w:bookmarkStart w:id="44" w:name="page45"/>
    <w:bookmarkEnd w:id="44"/>
    <w:p>
      <w:pPr>
        <w:spacing w:after="0"/>
        <w:tabs>
          <w:tab w:leader="none" w:pos="27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We certify, to the best of our knowledge, based upon a review of the Form 10-Q Quarterly Report for the quarterly period ended September 30, 2017 of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Rowe Price Group, Inc., that:</w:t>
      </w:r>
    </w:p>
    <w:p>
      <w:pPr>
        <w:spacing w:after="0" w:line="157"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82" w:lineRule="exact"/>
        <w:rPr>
          <w:rFonts w:ascii="Arial" w:cs="Arial" w:eastAsia="Arial" w:hAnsi="Arial"/>
          <w:sz w:val="17"/>
          <w:szCs w:val="17"/>
          <w:color w:val="auto"/>
        </w:rPr>
      </w:pPr>
    </w:p>
    <w:p>
      <w:pPr>
        <w:ind w:right="120" w:firstLine="8"/>
        <w:spacing w:after="0" w:line="277"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October 26, 2017</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665" w:right="299" w:bottom="1440" w:gutter="0" w:footer="0" w:header="0"/>
        </w:sectPr>
      </w:pPr>
    </w:p>
    <w:bookmarkStart w:id="45" w:name="page46"/>
    <w:bookmarkEnd w:id="4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9537700</wp:posOffset>
            </wp:positionV>
            <wp:extent cx="685609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685609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6"/>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34" Type="http://schemas.openxmlformats.org/officeDocument/2006/relationships/hyperlink" Target="http://www.sec.gov/Archives/edgar/data/1113169/000095013308001597/w55353exv3wxiyw1.htm" TargetMode="External"/><Relationship Id="rId35" Type="http://schemas.openxmlformats.org/officeDocument/2006/relationships/hyperlink" Target="http://www.sec.gov/Archives/edgar/data/1113169/000111316915000029/trow-amendedandrestatedbyl.htm" TargetMode="External"/><Relationship Id="rId36" Type="http://schemas.openxmlformats.org/officeDocument/2006/relationships/hyperlink" Target="http://www.sec.gov/Archives/edgar/data/819930/000081993017000005/c2017transferagencyagr-20162.htm" TargetMode="External"/><Relationship Id="rId37" Type="http://schemas.openxmlformats.org/officeDocument/2006/relationships/hyperlink" Target="http://www.sec.gov/Archives/edgar/data/819930/000081993017000005/c2017rpsagreement-20174.htm" TargetMode="External"/><Relationship Id="rId38" Type="http://schemas.openxmlformats.org/officeDocument/2006/relationships/hyperlink" Target="http://www.sec.gov/Archives/edgar/data/819930/000081993017000005/retainedfaagmtre-foraugtoaug.htm" TargetMode="External"/><Relationship Id="rId39" Type="http://schemas.openxmlformats.org/officeDocument/2006/relationships/hyperlink" Target="http://www.sec.gov/Archives/edgar/data/1113169/000111316917000042/agreement.htm" TargetMode="External"/><Relationship Id="rId40" Type="http://schemas.openxmlformats.org/officeDocument/2006/relationships/hyperlink" Target="http://www.sec.gov/Archives/edgar/data/1113169/000111316917000029/exhibit992a2017nedequityplan.htm" TargetMode="External"/><Relationship Id="rId41" Type="http://schemas.openxmlformats.org/officeDocument/2006/relationships/hyperlink" Target="http://www.sec.gov/Archives/edgar/data/1113169/000111316917000029/exhibit993statementofadd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2019-12-29T04:04:04Z</dcterms:created>
  <dcterms:modified xsi:type="dcterms:W3CDTF">2019-12-29T04:04:04Z</dcterms:modified>
</cp:coreProperties>
</file>