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ANNUAL REPORT PURSUANT TO SECTION 13 OF THE SECURITIES EXCHANGE ACT OF 1934</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 ROWE PRICE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39370</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6"/>
          </w:tcPr>
          <w:p>
            <w:pPr>
              <w:spacing w:after="0"/>
              <w:rPr>
                <w:sz w:val="20"/>
                <w:szCs w:val="20"/>
                <w:color w:val="auto"/>
              </w:rPr>
            </w:pPr>
            <w:r>
              <w:rPr>
                <w:rFonts w:ascii="Arial" w:cs="Arial" w:eastAsia="Arial" w:hAnsi="Arial"/>
                <w:sz w:val="18"/>
                <w:szCs w:val="18"/>
                <w:color w:val="auto"/>
              </w:rPr>
              <w:t>State of incorporation Maryland</w:t>
            </w:r>
          </w:p>
        </w:tc>
        <w:tc>
          <w:tcPr>
            <w:tcW w:w="580" w:type="dxa"/>
            <w:vAlign w:val="bottom"/>
          </w:tcPr>
          <w:p>
            <w:pPr>
              <w:spacing w:after="0"/>
              <w:rPr>
                <w:sz w:val="17"/>
                <w:szCs w:val="17"/>
                <w:color w:val="auto"/>
              </w:rPr>
            </w:pPr>
          </w:p>
        </w:tc>
        <w:tc>
          <w:tcPr>
            <w:tcW w:w="5440" w:type="dxa"/>
            <w:vAlign w:val="bottom"/>
            <w:gridSpan w:val="3"/>
          </w:tcPr>
          <w:p>
            <w:pPr>
              <w:ind w:left="2140"/>
              <w:spacing w:after="0"/>
              <w:rPr>
                <w:sz w:val="20"/>
                <w:szCs w:val="20"/>
                <w:color w:val="auto"/>
              </w:rPr>
            </w:pPr>
            <w:r>
              <w:rPr>
                <w:rFonts w:ascii="Arial" w:cs="Arial" w:eastAsia="Arial" w:hAnsi="Arial"/>
                <w:sz w:val="18"/>
                <w:szCs w:val="18"/>
                <w:color w:val="auto"/>
                <w:w w:val="93"/>
              </w:rPr>
              <w:t>IRS Employer Identification No. 52-2264646</w:t>
            </w:r>
          </w:p>
        </w:tc>
      </w:tr>
      <w:tr>
        <w:trPr>
          <w:trHeight w:val="20"/>
        </w:trPr>
        <w:tc>
          <w:tcPr>
            <w:tcW w:w="1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5420" w:type="dxa"/>
            <w:vAlign w:val="bottom"/>
            <w:gridSpan w:val="6"/>
          </w:tcPr>
          <w:p>
            <w:pPr>
              <w:spacing w:after="0"/>
              <w:rPr>
                <w:sz w:val="20"/>
                <w:szCs w:val="20"/>
                <w:color w:val="auto"/>
              </w:rPr>
            </w:pPr>
            <w:r>
              <w:rPr>
                <w:rFonts w:ascii="Arial" w:cs="Arial" w:eastAsia="Arial" w:hAnsi="Arial"/>
                <w:sz w:val="18"/>
                <w:szCs w:val="18"/>
                <w:color w:val="auto"/>
              </w:rPr>
              <w:t>Address, including zip code, of principal executive offices</w:t>
            </w: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
        </w:trPr>
        <w:tc>
          <w:tcPr>
            <w:tcW w:w="3580" w:type="dxa"/>
            <w:vAlign w:val="bottom"/>
            <w:tcBorders>
              <w:bottom w:val="single" w:sz="8" w:color="auto"/>
            </w:tcBorders>
            <w:gridSpan w:val="3"/>
          </w:tcPr>
          <w:p>
            <w:pPr>
              <w:spacing w:after="0" w:line="190" w:lineRule="exact"/>
              <w:rPr>
                <w:sz w:val="20"/>
                <w:szCs w:val="20"/>
                <w:color w:val="auto"/>
              </w:rPr>
            </w:pPr>
            <w:r>
              <w:rPr>
                <w:rFonts w:ascii="Arial" w:cs="Arial" w:eastAsia="Arial" w:hAnsi="Arial"/>
                <w:sz w:val="18"/>
                <w:szCs w:val="18"/>
                <w:color w:val="auto"/>
                <w:w w:val="90"/>
              </w:rPr>
              <w:t>100 East Pratt Street, Baltimore, Maryland 21202</w:t>
            </w:r>
          </w:p>
        </w:tc>
        <w:tc>
          <w:tcPr>
            <w:tcW w:w="184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4"/>
        </w:trPr>
        <w:tc>
          <w:tcPr>
            <w:tcW w:w="5420" w:type="dxa"/>
            <w:vAlign w:val="bottom"/>
            <w:gridSpan w:val="6"/>
          </w:tcPr>
          <w:p>
            <w:pPr>
              <w:spacing w:after="0"/>
              <w:rPr>
                <w:sz w:val="20"/>
                <w:szCs w:val="20"/>
                <w:color w:val="auto"/>
              </w:rPr>
            </w:pPr>
            <w:r>
              <w:rPr>
                <w:rFonts w:ascii="Arial" w:cs="Arial" w:eastAsia="Arial" w:hAnsi="Arial"/>
                <w:sz w:val="18"/>
                <w:szCs w:val="18"/>
                <w:color w:val="auto"/>
              </w:rPr>
              <w:t>Registrant’s telephone number, including area code (410) 345-2000</w:t>
            </w: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740" w:type="dxa"/>
            <w:vAlign w:val="bottom"/>
            <w:gridSpan w:val="4"/>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5"/>
        </w:trPr>
        <w:tc>
          <w:tcPr>
            <w:tcW w:w="542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420" w:type="dxa"/>
            <w:vAlign w:val="bottom"/>
            <w:gridSpan w:val="6"/>
          </w:tcPr>
          <w:p>
            <w:pPr>
              <w:jc w:val="center"/>
              <w:spacing w:after="0"/>
              <w:rPr>
                <w:sz w:val="20"/>
                <w:szCs w:val="20"/>
                <w:color w:val="auto"/>
              </w:rPr>
            </w:pPr>
            <w:r>
              <w:rPr>
                <w:rFonts w:ascii="Arial" w:cs="Arial" w:eastAsia="Arial" w:hAnsi="Arial"/>
                <w:sz w:val="18"/>
                <w:szCs w:val="18"/>
                <w:color w:val="auto"/>
                <w:w w:val="89"/>
              </w:rPr>
              <w:t>Common stock, $.20 par value per share</w:t>
            </w:r>
          </w:p>
        </w:tc>
        <w:tc>
          <w:tcPr>
            <w:tcW w:w="580" w:type="dxa"/>
            <w:vAlign w:val="bottom"/>
          </w:tcPr>
          <w:p>
            <w:pPr>
              <w:spacing w:after="0"/>
              <w:rPr>
                <w:sz w:val="24"/>
                <w:szCs w:val="24"/>
                <w:color w:val="auto"/>
              </w:rPr>
            </w:pPr>
          </w:p>
        </w:tc>
        <w:tc>
          <w:tcPr>
            <w:tcW w:w="5440" w:type="dxa"/>
            <w:vAlign w:val="bottom"/>
            <w:gridSpan w:val="3"/>
          </w:tcPr>
          <w:p>
            <w:pPr>
              <w:jc w:val="center"/>
              <w:ind w:right="40"/>
              <w:spacing w:after="0"/>
              <w:rPr>
                <w:sz w:val="20"/>
                <w:szCs w:val="20"/>
                <w:color w:val="auto"/>
              </w:rPr>
            </w:pPr>
            <w:r>
              <w:rPr>
                <w:rFonts w:ascii="Arial" w:cs="Arial" w:eastAsia="Arial" w:hAnsi="Arial"/>
                <w:sz w:val="18"/>
                <w:szCs w:val="18"/>
                <w:color w:val="auto"/>
                <w:w w:val="95"/>
              </w:rPr>
              <w:t>The NASDAQ Stock Market LLC</w:t>
            </w:r>
          </w:p>
        </w:tc>
      </w:tr>
      <w:tr>
        <w:trPr>
          <w:trHeight w:val="224"/>
        </w:trPr>
        <w:tc>
          <w:tcPr>
            <w:tcW w:w="162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gridSpan w:val="5"/>
          </w:tcPr>
          <w:p>
            <w:pPr>
              <w:jc w:val="center"/>
              <w:ind w:right="1600"/>
              <w:spacing w:after="0"/>
              <w:rPr>
                <w:sz w:val="20"/>
                <w:szCs w:val="20"/>
                <w:color w:val="auto"/>
              </w:rPr>
            </w:pPr>
            <w:r>
              <w:rPr>
                <w:rFonts w:ascii="Arial" w:cs="Arial" w:eastAsia="Arial" w:hAnsi="Arial"/>
                <w:sz w:val="18"/>
                <w:szCs w:val="18"/>
                <w:color w:val="auto"/>
                <w:w w:val="92"/>
              </w:rPr>
              <w:t>(Title of class)</w:t>
            </w:r>
          </w:p>
        </w:tc>
        <w:tc>
          <w:tcPr>
            <w:tcW w:w="580" w:type="dxa"/>
            <w:vAlign w:val="bottom"/>
          </w:tcPr>
          <w:p>
            <w:pPr>
              <w:spacing w:after="0"/>
              <w:rPr>
                <w:sz w:val="19"/>
                <w:szCs w:val="19"/>
                <w:color w:val="auto"/>
              </w:rPr>
            </w:pPr>
          </w:p>
        </w:tc>
        <w:tc>
          <w:tcPr>
            <w:tcW w:w="5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20" w:type="dxa"/>
            <w:vAlign w:val="bottom"/>
          </w:tcPr>
          <w:p>
            <w:pPr>
              <w:spacing w:after="0"/>
              <w:rPr>
                <w:sz w:val="19"/>
                <w:szCs w:val="19"/>
                <w:color w:val="auto"/>
              </w:rPr>
            </w:pPr>
          </w:p>
        </w:tc>
      </w:tr>
    </w:tbl>
    <w:p>
      <w:pPr>
        <w:spacing w:after="0" w:line="60" w:lineRule="exact"/>
        <w:rPr>
          <w:sz w:val="24"/>
          <w:szCs w:val="24"/>
          <w:color w:val="auto"/>
        </w:rPr>
      </w:pPr>
    </w:p>
    <w:p>
      <w:pPr>
        <w:ind w:right="190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 Indicate by check mark if the registrant is not required to file reports pursuant to Section 13 or Section 15(d)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6" w:lineRule="exact"/>
        <w:rPr>
          <w:sz w:val="24"/>
          <w:szCs w:val="24"/>
          <w:color w:val="auto"/>
        </w:rPr>
      </w:pPr>
    </w:p>
    <w:p>
      <w:pPr>
        <w:ind w:right="180"/>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ind w:left="40"/>
        <w:spacing w:after="0" w:line="207" w:lineRule="exact"/>
        <w:tabs>
          <w:tab w:leader="none" w:pos="3400" w:val="left"/>
          <w:tab w:leader="none" w:pos="576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aggregate market value of the common equity (all voting) held by non-affiliates (excludes current executive officers and directors) at January 31, 2009, computed using $56.47 per share (the NASDAQ Official Closing Price on June 30, 2008, the last business day of the registrant’s most recently completed second fiscal quarter) was </w:t>
      </w:r>
      <w:r>
        <w:rPr>
          <w:rFonts w:ascii="Arial" w:cs="Arial" w:eastAsia="Arial" w:hAnsi="Arial"/>
          <w:sz w:val="18"/>
          <w:szCs w:val="18"/>
          <w:u w:val="single" w:color="auto"/>
          <w:color w:val="auto"/>
        </w:rPr>
        <w:t>$13.96 billion</w:t>
      </w:r>
      <w:r>
        <w:rPr>
          <w:rFonts w:ascii="Arial" w:cs="Arial" w:eastAsia="Arial" w:hAnsi="Arial"/>
          <w:sz w:val="18"/>
          <w:szCs w:val="18"/>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The number of shares outstanding of the registrant’s common stock as of the latest practicable date, January 31, 2009, is </w:t>
      </w:r>
      <w:r>
        <w:rPr>
          <w:rFonts w:ascii="Arial" w:cs="Arial" w:eastAsia="Arial" w:hAnsi="Arial"/>
          <w:sz w:val="18"/>
          <w:szCs w:val="18"/>
          <w:u w:val="single" w:color="auto"/>
          <w:color w:val="auto"/>
        </w:rPr>
        <w:t>256,032,330</w:t>
      </w:r>
      <w:r>
        <w:rPr>
          <w:rFonts w:ascii="Arial" w:cs="Arial" w:eastAsia="Arial" w:hAnsi="Arial"/>
          <w:sz w:val="18"/>
          <w:szCs w:val="18"/>
          <w:color w:val="auto"/>
        </w:rPr>
        <w:t>.</w:t>
      </w:r>
    </w:p>
    <w:p>
      <w:pPr>
        <w:spacing w:after="0" w:line="11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2009 Annual Meeting of Stockholders to be filed pursuant to Regulation 14A.</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We operate our investment advisory business through our subsidiary companies, primarily T. Rowe Price Associates, T. Rowe Price International, and T. Rowe Price Global Investment Services. The late Thomas Rowe Price, Jr., began our advisory business in 1937, and the common stock of T. Rowe Price Associates was first offered to the public in 1986. The T. Rowe Price Group corporate holding company structure was established in 2000.</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in the U.S. and other countries.</w:t>
      </w:r>
    </w:p>
    <w:p>
      <w:pPr>
        <w:spacing w:after="0" w:line="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manage a broad range of U.S. and international stock, blended asset, bond, and money market mutual funds and other investment portfolios that are designed to meet the varied and changing needs and objectives of individual and institutional investors. Mutual fund shareholders can exchange balances among mutual funds as permitted when economic and market conditions and their investment needs change.</w:t>
      </w:r>
    </w:p>
    <w:p>
      <w:pPr>
        <w:spacing w:after="0" w:line="5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if we believe that its objective will be useful for investors over a long period. Conversely, we may also limit new investments into a mutual fund in order to maintain the integrity of the fund’s investment strategy and to protect the interests of its existing shareholders. At present, the following funds are closed to all new investors.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Fund</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Date Closed</w:t>
            </w:r>
          </w:p>
        </w:tc>
      </w:tr>
      <w:tr>
        <w:trPr>
          <w:trHeight w:val="195"/>
        </w:trPr>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90"/>
              </w:rPr>
              <w:t>Small-Cap Stock</w:t>
            </w:r>
          </w:p>
        </w:tc>
        <w:tc>
          <w:tcPr>
            <w:tcW w:w="580" w:type="dxa"/>
            <w:vAlign w:val="bottom"/>
          </w:tcPr>
          <w:p>
            <w:pPr>
              <w:spacing w:after="0"/>
              <w:rPr>
                <w:sz w:val="16"/>
                <w:szCs w:val="16"/>
                <w:color w:val="auto"/>
              </w:rPr>
            </w:pPr>
          </w:p>
        </w:tc>
        <w:tc>
          <w:tcPr>
            <w:tcW w:w="5420" w:type="dxa"/>
            <w:vAlign w:val="bottom"/>
          </w:tcPr>
          <w:p>
            <w:pPr>
              <w:jc w:val="center"/>
              <w:spacing w:after="0" w:line="195" w:lineRule="exact"/>
              <w:rPr>
                <w:sz w:val="20"/>
                <w:szCs w:val="20"/>
                <w:color w:val="auto"/>
              </w:rPr>
            </w:pPr>
            <w:r>
              <w:rPr>
                <w:rFonts w:ascii="Arial" w:cs="Arial" w:eastAsia="Arial" w:hAnsi="Arial"/>
                <w:sz w:val="18"/>
                <w:szCs w:val="18"/>
                <w:color w:val="auto"/>
                <w:w w:val="89"/>
              </w:rPr>
              <w:t>February 20, 2004</w:t>
            </w:r>
          </w:p>
        </w:tc>
      </w:tr>
      <w:tr>
        <w:trPr>
          <w:trHeight w:val="216"/>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Institutional Small-Cap Stock</w:t>
            </w:r>
          </w:p>
        </w:tc>
        <w:tc>
          <w:tcPr>
            <w:tcW w:w="5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February 20, 2004</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Mid-Cap Value</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89"/>
              </w:rPr>
              <w:t>February 25, 2005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These funds continue to attract cash inflows from existing fund shareholders and direct rollovers from retirement plans into new IRA accounts that we offer.</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 objectives for our managed investment portfolios, including the Price funds, accommodate a variety of strategies. Investors select from among the mutual funds based on the distinct objective that is described in each fund’s prospectus. Investment management of other client portfolios includes approaches similar to those employed in the Price funds. Equity investment strategies may emphasize large-cap, mid-cap or small-cap investing; growth, value or core investing; and U.S., global, or international investing. We also offer systematic, tax-efficient, and blended equity and asset allocation investment strategies including target retirement-date investment portfolios,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Great Britain with additional staff resident in Argentina, Hong Kong, Japan, and Singapore. We also use research provided by brokerage firms and security analysts in a supportive capacity and information received from private economists, political observers, commentators, government experts, and market analysts. Our stock selection process for some investment portfolios is based on quantitative analyses using computerized data modeling.</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60"/>
        <w:spacing w:after="0" w:line="276" w:lineRule="auto"/>
        <w:rPr>
          <w:sz w:val="20"/>
          <w:szCs w:val="20"/>
          <w:color w:val="auto"/>
        </w:rPr>
      </w:pPr>
      <w:r>
        <w:rPr>
          <w:rFonts w:ascii="Arial" w:cs="Arial" w:eastAsia="Arial" w:hAnsi="Arial"/>
          <w:sz w:val="17"/>
          <w:szCs w:val="17"/>
          <w:color w:val="auto"/>
        </w:rPr>
        <w:t>We also provide certain administrative services as ancillary services to our investment advisory clients. These administrative services are provided by several of our subsidiary companies and include mutual fund transfer agent, accounting, and shareholder services; participant recordkeeping and transfer agent services for defined contribution retirement plans investing in our sponsored mutual funds; discount brokerage; and trust services. More than 90% of our administrative revenues in 2008 were determined based on the recovery of expenses incurred to provide the related services. Changes in our administrative revenues and related expenses, therefore, do not significantly affect our operating or net income.</w:t>
      </w:r>
    </w:p>
    <w:p>
      <w:pPr>
        <w:spacing w:after="0" w:line="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concerning our revenues, results of operations, total assets, and investment assets under our management during the past three years is contained in our consolidated financial statements and in note 2 thereto, which are both included in Item 8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2008 DEVELOPMENTS.</w:t>
      </w:r>
    </w:p>
    <w:p>
      <w:pPr>
        <w:spacing w:after="0" w:line="117"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Total assets under our management decreased $123.7 billion over the course of 2008 and ended the year at $276.3 billion, including nearly $188 billion held in retirement accounts and variable annuity investment portfolios. Our year-end assets under management include $196.9 billion in equity and blended asset investment portfolios and $79.4 billion in fixed income investment portfolios. The investment portfolios that we manage consist of $164.4 billion in the T.</w:t>
      </w:r>
    </w:p>
    <w:p>
      <w:pPr>
        <w:ind w:right="140"/>
        <w:spacing w:after="0" w:line="255" w:lineRule="auto"/>
        <w:rPr>
          <w:sz w:val="20"/>
          <w:szCs w:val="20"/>
          <w:color w:val="auto"/>
        </w:rPr>
      </w:pPr>
      <w:r>
        <w:rPr>
          <w:rFonts w:ascii="Arial" w:cs="Arial" w:eastAsia="Arial" w:hAnsi="Arial"/>
          <w:sz w:val="18"/>
          <w:szCs w:val="18"/>
          <w:color w:val="auto"/>
        </w:rPr>
        <w:t>Rowe Price mutual funds distributed in the United States and $111.9 billion in other investment portfolios, including separately managed accounts, sub-advised funds, and other sponsored investment funds offered to investors outside the U.S. and through variable annuity life insurance plans in the U.S. Non-U.S. dollar denominated securities account for about $37 billion of our year-end assets under management.</w:t>
      </w:r>
    </w:p>
    <w:p>
      <w:pPr>
        <w:spacing w:after="0" w:line="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Five Price funds — Growth Stock, Equity Income, Mid-Cap Growth, Blue Chip Growth, and Capital Appreciation — at December 31, 2008, accounted for nearly 25% of investment advisory revenues in 2008 and 19% of assets under management at December 31, 2008.</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international clients account for nearly 10% of our total assets under management at December 31, 2008, up from 9% at the beginning of the year.</w:t>
      </w:r>
    </w:p>
    <w:p>
      <w:pPr>
        <w:spacing w:after="0" w:line="1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firm’s long-term investment advisory results relative to our peers remain good, with 78% of the T. Rowe Price funds across their share classes surpassing their comparable Lipper averages on a total return basis for the five-year period ended December 31, 2008, at least 67% outperforming the average for the three- and 10-year periods, and 54% outperforming for the one-year period. In addition, T. Rowe Price stock, bond and blended asset funds that ended the quarter with an overall rating of four or five stars from Morningstar account for more than 58% of our rated funds’ assets under management.</w:t>
      </w:r>
    </w:p>
    <w:p>
      <w:pPr>
        <w:spacing w:after="0" w:line="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unsettled financial market environment of 2008, investors entrusted net inflows of $17.1 billion to our management in 2008. During the first half of the year, net inflows were $17.8 billion. The steep financial market downturn and extreme market volatility caused investors to be more cautious in the second half of 2008 and we experienced net outflows of $.7 billion. See the Background section of Management’s Discussion and Analysis of Financial Condition and Results of Operations in Item 7 of this report for more information on the market environment in which we operated during 2008.</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Advisory Services.</w:t>
      </w:r>
      <w:r>
        <w:rPr>
          <w:rFonts w:ascii="Arial" w:cs="Arial" w:eastAsia="Arial" w:hAnsi="Arial"/>
          <w:sz w:val="16"/>
          <w:szCs w:val="16"/>
          <w:color w:val="auto"/>
        </w:rPr>
        <w:t xml:space="preserve"> Investment advisory revenues are determined daily based on the net assets managed in each fund. Additional revenues are earned for advisory-related administrative services as discussed below. Independent directors and trustees of the Price funds regularly review our fee structures.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advisory fee paid monthly by each of the Price funds is generally computed on a daily basis by multiplying a fund’s net assets by a specific fee rate.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majority of the Price funds, the fee is equal to the sum of an individual fund charge that is set based on the fund’s specific investment objective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group charge that is set based on the aggregate net assets of those funds. The individual fund charge for each of our four largest funds — Growth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Equity Income, Mid-Cap Growth, and Blue Chip Growth — is a weighted average determined by applying a 15% reduction for net assets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 billion to the base individual fund rate. The group charge is derived from a tiered fee schedule. The effective group charge when combined net assets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exceed $160 billion is calculated based on a weighted-average fee across pricing tiers of 31.025 basis points for the first $160 billion of net assets, plus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basis points on the next $60 billion of net assets and 28.5 basis points on net assets in excess of $220 billion. To the extent that the combined net assets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funds increase, the group charge component of a fund’s advisory fee rate, and therefore the advisory fee rate paid by each fund, will decrease.</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2008 fee rates determined in the above manner for funds available to individual investors that are not subject to expense limitations vary from a low of 31 basis points for the U.S. Treasury funds to a high of 106 basis points for the Emerging Europe &amp; Mediterranean, Emerging Markets Stock, International Discovery, and Latin America funds. Details of each fund’s fee arrangement are available in its prospectus.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ind w:right="22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bond portfolios.</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Certain of the T. Rowe Price mutual funds also offer Advisor and R classes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Our subsidiary, T. Rowe Price Investment Services, is the principal distributor of the T. Rowe Price mutual funds and enters into agreements with each intermediary. Payment of 12b-1 fees is made by each fund directly to the applicable intermediaries.</w:t>
      </w:r>
    </w:p>
    <w:p>
      <w:pPr>
        <w:spacing w:after="0" w:line="46"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administrative revenue in our consolidated statement of income. We also recognize, as part of our other operating expenses in the consolidated statement of income, the corresponding payment of these fees from each fund to the third-party financial intermediaries. The revenue that we recognize from the funds and the expense that we recognize for the fees paid to third party intermediaries are equal in amount and, therefore, do not impact our net operating income.</w:t>
      </w:r>
    </w:p>
    <w:p>
      <w:pPr>
        <w:spacing w:after="0" w:line="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6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Several of the Price funds have different fee arrangements. The Equity Market Index funds and the Summit funds each have single, all-inclusive fees covering all investment management and operating expenses. Each of the funds in the series of Spectrum Funds and in the series of target-date Retirement Funds invest in a broadly diversified portfolio of other Price funds and have no separate investment advisory fee. However, they indirectly bear the expenses of the funds in which they invest. Mutual funds for institutional investors each have separate advisory fee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enhancements to our web site.</w:t>
      </w:r>
    </w:p>
    <w:p>
      <w:pPr>
        <w:spacing w:after="0" w:line="8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auto"/>
        </w:rPr>
        <w:t>Administrative Services.</w:t>
      </w:r>
      <w:r>
        <w:rPr>
          <w:rFonts w:ascii="Arial" w:cs="Arial" w:eastAsia="Arial" w:hAnsi="Arial"/>
          <w:sz w:val="17"/>
          <w:szCs w:val="17"/>
          <w:color w:val="auto"/>
        </w:rPr>
        <w:t xml:space="preserve">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 T. Rowe Price Trust Company may not accept deposits and cannot make personal or commercial loans. Another subsidiary, T. Rowe Price Savings Bank, issues federally insured certificates of deposit.</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Fund Assets.</w:t>
      </w:r>
      <w:r>
        <w:rPr>
          <w:rFonts w:ascii="Arial" w:cs="Arial" w:eastAsia="Arial" w:hAnsi="Arial"/>
          <w:sz w:val="18"/>
          <w:szCs w:val="18"/>
          <w:color w:val="auto"/>
        </w:rPr>
        <w:t xml:space="preserve"> At December 31, 2008, assets under our management in the Price funds aggregated $164.4 billion, a decrease of 33% or $81.6 billion from the beginning of the year. The following table presents the net assets (in billions) of our largest funds (net assets in excess of $.5 billion at December 31) and the year each fund was started. The Spectrum and Retirement series of funds are not presented in the table because their assets are already included in the underlying funds.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96"/>
        </w:trPr>
        <w:tc>
          <w:tcPr>
            <w:tcW w:w="9280" w:type="dxa"/>
            <w:vAlign w:val="bottom"/>
            <w:shd w:val="clear" w:color="auto" w:fill="CCEEFF"/>
          </w:tcPr>
          <w:p>
            <w:pPr>
              <w:spacing w:after="0"/>
              <w:rPr>
                <w:sz w:val="20"/>
                <w:szCs w:val="20"/>
                <w:color w:val="auto"/>
              </w:rPr>
            </w:pPr>
            <w:r>
              <w:rPr>
                <w:rFonts w:ascii="Arial" w:cs="Arial" w:eastAsia="Arial" w:hAnsi="Arial"/>
                <w:sz w:val="16"/>
                <w:szCs w:val="16"/>
                <w:color w:val="auto"/>
              </w:rPr>
              <w:t>Stock funds: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Balanced (1991)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3.1</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Blue Chip Growth (1993)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Capital Appreciation (1986)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6.7</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Dividend Growth (1992)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Emerging Europe &amp; Mediterranean (2000)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Stock (1995)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Equity Income (1985)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23.3</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13.9</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Index 500 (1990)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European Stock (1990)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Global Stock (1995)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Growth &amp; Income (1982)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Growth Stock (1950)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14.8</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Health Sciences (1995)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Institutional Large-Cap Growth (2001)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Institutional Mid-Cap Equity Growth (1996)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Institutional Small-Cap Stock (2000)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International Discovery (1988)</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 Equity Index (2000)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International Growth &amp; Income (1998)</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International Stock (1980)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Latin America (1993)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Media &amp; Telecommunications (1993)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Mid-Cap Growth (1992)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17.7</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9.8</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Mid-Cap Value (1996)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New America Growth (1985)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Asia (1990)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New Era (1969)</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3.2</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New Horizons (1960)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Overseas Stock (2006)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Personal Strategy Balanced (1994)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Personal Strategy Growth (1994)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Personal Strategy Income (1994)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Real Estate (1997)</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1.6</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Science &amp; Technology (1987)</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Small-Cap Stock (1992)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6.6</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3.8</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Small-Cap Value (1988)</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Total Equity Market Index (1998)</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Value (1994)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5.9</w:t>
            </w:r>
          </w:p>
        </w:tc>
      </w:tr>
      <w:tr>
        <w:trPr>
          <w:trHeight w:val="210"/>
        </w:trPr>
        <w:tc>
          <w:tcPr>
            <w:tcW w:w="9280" w:type="dxa"/>
            <w:vAlign w:val="bottom"/>
          </w:tcPr>
          <w:p>
            <w:pPr>
              <w:ind w:left="220"/>
              <w:spacing w:after="0"/>
              <w:rPr>
                <w:sz w:val="20"/>
                <w:szCs w:val="20"/>
                <w:color w:val="auto"/>
              </w:rPr>
            </w:pPr>
            <w:r>
              <w:rPr>
                <w:rFonts w:ascii="Arial" w:cs="Arial" w:eastAsia="Arial" w:hAnsi="Arial"/>
                <w:sz w:val="16"/>
                <w:szCs w:val="16"/>
                <w:color w:val="auto"/>
              </w:rPr>
              <w:t>Other funds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r>
      <w:tr>
        <w:trPr>
          <w:trHeight w:val="203"/>
        </w:trPr>
        <w:tc>
          <w:tcPr>
            <w:tcW w:w="9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117.9</w:t>
            </w:r>
          </w:p>
        </w:tc>
      </w:tr>
      <w:tr>
        <w:trPr>
          <w:trHeight w:val="207"/>
        </w:trPr>
        <w:tc>
          <w:tcPr>
            <w:tcW w:w="9280" w:type="dxa"/>
            <w:vAlign w:val="bottom"/>
          </w:tcPr>
          <w:p>
            <w:pPr>
              <w:spacing w:after="0"/>
              <w:rPr>
                <w:sz w:val="20"/>
                <w:szCs w:val="20"/>
                <w:color w:val="auto"/>
              </w:rPr>
            </w:pPr>
            <w:r>
              <w:rPr>
                <w:rFonts w:ascii="Arial" w:cs="Arial" w:eastAsia="Arial" w:hAnsi="Arial"/>
                <w:sz w:val="16"/>
                <w:szCs w:val="16"/>
                <w:color w:val="auto"/>
              </w:rPr>
              <w:t>Bond and money market funds:</w:t>
            </w: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 Bond (1994)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GNMA (1985)</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High Yield (1984)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Institutional Floating Rate Fund (2008)</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Institutional High Yield (2002)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International Bond (1986)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Maryland Tax-Free Bond (1987)</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New Income (1973)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6.7</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Prime Reserve (1976)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Short-Term Bond (1984)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Income (2006)</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Summit Cash Reserves (1993)</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6.4</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Summit Municipal Intermediate (1993)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Tax-Exempt Money (1981)</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Tax-Free High Yield (1985)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Tax-Free Income (1976)</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Tax-Free Short-Intermediate (1983)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9280" w:type="dxa"/>
            <w:vAlign w:val="bottom"/>
          </w:tcPr>
          <w:p>
            <w:pPr>
              <w:ind w:left="220"/>
              <w:spacing w:after="0"/>
              <w:rPr>
                <w:sz w:val="20"/>
                <w:szCs w:val="20"/>
                <w:color w:val="auto"/>
              </w:rPr>
            </w:pPr>
            <w:r>
              <w:rPr>
                <w:rFonts w:ascii="Arial" w:cs="Arial" w:eastAsia="Arial" w:hAnsi="Arial"/>
                <w:sz w:val="16"/>
                <w:szCs w:val="16"/>
                <w:color w:val="auto"/>
              </w:rPr>
              <w:t>U.S. Treasury Money (1982)</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r>
      <w:tr>
        <w:trPr>
          <w:trHeight w:val="203"/>
        </w:trPr>
        <w:tc>
          <w:tcPr>
            <w:tcW w:w="9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Virginia Tax-Free Bond (1991)</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10"/>
        </w:trPr>
        <w:tc>
          <w:tcPr>
            <w:tcW w:w="9280" w:type="dxa"/>
            <w:vAlign w:val="bottom"/>
          </w:tcPr>
          <w:p>
            <w:pPr>
              <w:ind w:left="220"/>
              <w:spacing w:after="0"/>
              <w:rPr>
                <w:sz w:val="20"/>
                <w:szCs w:val="20"/>
                <w:color w:val="auto"/>
              </w:rPr>
            </w:pPr>
            <w:r>
              <w:rPr>
                <w:rFonts w:ascii="Arial" w:cs="Arial" w:eastAsia="Arial" w:hAnsi="Arial"/>
                <w:sz w:val="16"/>
                <w:szCs w:val="16"/>
                <w:color w:val="auto"/>
              </w:rPr>
              <w:t>Other funds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r>
      <w:tr>
        <w:trPr>
          <w:trHeight w:val="203"/>
        </w:trPr>
        <w:tc>
          <w:tcPr>
            <w:tcW w:w="9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6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7"/>
                <w:szCs w:val="17"/>
                <w:color w:val="auto"/>
              </w:rPr>
            </w:pPr>
          </w:p>
        </w:tc>
      </w:tr>
      <w:tr>
        <w:trPr>
          <w:trHeight w:val="207"/>
        </w:trPr>
        <w:tc>
          <w:tcPr>
            <w:tcW w:w="9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246.0</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164.4</w:t>
            </w:r>
          </w:p>
        </w:tc>
      </w:tr>
      <w:tr>
        <w:trPr>
          <w:trHeight w:val="20"/>
        </w:trPr>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We invest in many of the T. Rowe Price funds through our operating subsidiaries and our investments holding company subsidiary, TRP Finance.</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INVESTMENT PORTFOLIOS. We managed $111.9 billion at December 31, 2008, in other client investment portfolios, down $42.1 billion from the beginning of the year. We provide investment advisory services to these clients through our subsidiaries on a separately managed or sub-advised account basis and through sponsored investment portfolios, such as common trust funds, Luxembourg-based mutual funds, and variable annuity life insurance plans. At December 31, these portfolios included the following investment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U.S. stocks</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International stocks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Bonds and money market securities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7"/>
        </w:trPr>
        <w:tc>
          <w:tcPr>
            <w:tcW w:w="5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0"/>
        </w:trPr>
        <w:tc>
          <w:tcPr>
            <w:tcW w:w="5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fees for managing these investment portfolios are computed using the value of assets under our management. In 2008, over 50% of these advisory fees were recognized based on daily valuations. The balance of these managed investment portfolios are generally billed quarterly, with end of billing period values accounting for 30% of our 2008 revenues. Average month-end valuations account for about 15% of revenues while beginning of period values were the basis for less than 5% of our fees.</w:t>
      </w:r>
    </w:p>
    <w:p>
      <w:pPr>
        <w:spacing w:after="0" w:line="7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largest client account relationship outside the T. Rowe Price funds is with a third-party financial intermediary that accounted for 4% of our investment advisory revenues in 2008.</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REGULATION. T. Rowe Price Associates, T. Rowe Price International, T. Rowe Price Global Investment Services, T. Rowe Price (Canada), and T. Rowe Price Advisory Services are registered with the SEC as investment advisers under the Investment Advisers Act of 1940. T. Rowe Price Global Investment Services and T. Rowe Price International are regulated by the Financial Services Authority (FSA) in Great Britain and, in certain cases, by other foreign regulators.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 T. Rowe Price (Canada) is also registered with several of the provincial securities commissions in Canada.</w:t>
      </w:r>
    </w:p>
    <w:p>
      <w:pPr>
        <w:spacing w:after="0" w:line="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discount brokerage services through this subsidiary primarily to complement the other services provided to shareholders of the Price funds. Pershing, a third-party clearing broker and affiliate of the Bank of New York, maintains our discount brokerage’s customer accounts and clears all transactions.</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foreign regulatory agencies. Our subsidiaries’ net capital, as defined, meets or exceeds all minimum requirements.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COMPETITION. 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40"/>
        <w:spacing w:after="0" w:line="342" w:lineRule="auto"/>
        <w:rPr>
          <w:sz w:val="20"/>
          <w:szCs w:val="20"/>
          <w:color w:val="auto"/>
        </w:rPr>
      </w:pPr>
      <w:r>
        <w:rPr>
          <w:rFonts w:ascii="Arial" w:cs="Arial" w:eastAsia="Arial" w:hAnsi="Arial"/>
          <w:sz w:val="16"/>
          <w:szCs w:val="16"/>
          <w:color w:val="auto"/>
        </w:rPr>
        <w:t>EMPLOYEES. At December 31, 2008, we employed 5,385 associates, up 6% from the end of 2007. We may add additional temporary and part-time personnel to our staff from time to time to meet periodic and special project demands, primarily for technology and mutual fund administrative services.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SEC FILINGS. We make available free of charge through our Internet web site our annual report on Form 10-K, quarterly reports on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t>
      </w:r>
      <w:r>
        <w:rPr>
          <w:rFonts w:ascii="Arial" w:cs="Arial" w:eastAsia="Arial" w:hAnsi="Arial"/>
          <w:sz w:val="18"/>
          <w:szCs w:val="18"/>
          <w:u w:val="single" w:color="auto"/>
          <w:color w:val="auto"/>
        </w:rPr>
        <w:t>http://trow.client.shareholder.com/financials.cfm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time-to-time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in the T. Rowe Price mutual funds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8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30" w:lineRule="exact"/>
        <w:rPr>
          <w:rFonts w:ascii="Arial" w:cs="Arial" w:eastAsia="Arial" w:hAnsi="Arial"/>
          <w:sz w:val="18"/>
          <w:szCs w:val="18"/>
          <w:b w:val="1"/>
          <w:bCs w:val="1"/>
          <w:color w:val="auto"/>
        </w:rPr>
      </w:pPr>
    </w:p>
    <w:p>
      <w:pPr>
        <w:ind w:left="460" w:right="140" w:hanging="452"/>
        <w:spacing w:after="0" w:line="286" w:lineRule="auto"/>
        <w:tabs>
          <w:tab w:leader="none" w:pos="460" w:val="left"/>
        </w:tabs>
        <w:numPr>
          <w:ilvl w:val="0"/>
          <w:numId w:val="1"/>
        </w:numPr>
        <w:rPr>
          <w:rFonts w:ascii="Arial" w:cs="Arial" w:eastAsia="Arial" w:hAnsi="Arial"/>
          <w:sz w:val="17"/>
          <w:szCs w:val="17"/>
          <w:b w:val="1"/>
          <w:bCs w:val="1"/>
          <w:color w:val="auto"/>
        </w:rPr>
      </w:pPr>
      <w:r>
        <w:rPr>
          <w:rFonts w:ascii="Arial" w:cs="Arial" w:eastAsia="Arial" w:hAnsi="Arial"/>
          <w:sz w:val="17"/>
          <w:szCs w:val="17"/>
          <w:color w:val="auto"/>
        </w:rPr>
        <w:t>General Market Declines. A downturn in stock or bond prices (such as that ongoing since the last half of 2008 characterized by recessionary concerns, unemployment and lack of available credit) would cause the value of assets under our management to decrease, and may also cause investors to withdraw their investments, thereby further decreasing the level of assets under our management.</w:t>
      </w:r>
    </w:p>
    <w:p>
      <w:pPr>
        <w:spacing w:after="0" w:line="70" w:lineRule="exact"/>
        <w:rPr>
          <w:rFonts w:ascii="Arial" w:cs="Arial" w:eastAsia="Arial" w:hAnsi="Arial"/>
          <w:sz w:val="17"/>
          <w:szCs w:val="17"/>
          <w:b w:val="1"/>
          <w:bCs w:val="1"/>
          <w:color w:val="auto"/>
        </w:rPr>
      </w:pPr>
    </w:p>
    <w:p>
      <w:pPr>
        <w:ind w:left="460" w:right="340" w:hanging="452"/>
        <w:spacing w:after="0" w:line="259"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92" w:lineRule="exact"/>
        <w:rPr>
          <w:rFonts w:ascii="Arial" w:cs="Arial" w:eastAsia="Arial" w:hAnsi="Arial"/>
          <w:sz w:val="18"/>
          <w:szCs w:val="18"/>
          <w:b w:val="1"/>
          <w:bCs w:val="1"/>
          <w:color w:val="auto"/>
        </w:rPr>
      </w:pPr>
    </w:p>
    <w:p>
      <w:pPr>
        <w:ind w:left="460" w:right="240" w:hanging="452"/>
        <w:spacing w:after="0" w:line="277"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Global Economies. National and international political and economic events may cause financial market declines that lower the value of assets under our management, and may cause investors to withdraw funds.</w:t>
      </w:r>
    </w:p>
    <w:p>
      <w:pPr>
        <w:spacing w:after="0" w:line="75" w:lineRule="exact"/>
        <w:rPr>
          <w:rFonts w:ascii="Arial" w:cs="Arial" w:eastAsia="Arial" w:hAnsi="Arial"/>
          <w:sz w:val="18"/>
          <w:szCs w:val="18"/>
          <w:b w:val="1"/>
          <w:bCs w:val="1"/>
          <w:color w:val="auto"/>
        </w:rPr>
      </w:pPr>
    </w:p>
    <w:p>
      <w:pPr>
        <w:ind w:left="460" w:right="160" w:hanging="452"/>
        <w:spacing w:after="0" w:line="277"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Investing Trends. Changes in investing trends and, in particular, retirement savings trends, including the prevalence of defined contribution retirement plans, may reduce interest in our funds and portfolios and may alter our mix of assets under management.</w:t>
      </w:r>
    </w:p>
    <w:p>
      <w:pPr>
        <w:spacing w:after="0" w:line="75" w:lineRule="exact"/>
        <w:rPr>
          <w:rFonts w:ascii="Arial" w:cs="Arial" w:eastAsia="Arial" w:hAnsi="Arial"/>
          <w:sz w:val="18"/>
          <w:szCs w:val="18"/>
          <w:b w:val="1"/>
          <w:bCs w:val="1"/>
          <w:color w:val="auto"/>
        </w:rPr>
      </w:pPr>
    </w:p>
    <w:p>
      <w:pPr>
        <w:ind w:left="460" w:right="360" w:hanging="452"/>
        <w:spacing w:after="0" w:line="277"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75" w:lineRule="exact"/>
        <w:rPr>
          <w:rFonts w:ascii="Arial" w:cs="Arial" w:eastAsia="Arial" w:hAnsi="Arial"/>
          <w:sz w:val="18"/>
          <w:szCs w:val="18"/>
          <w:b w:val="1"/>
          <w:bCs w:val="1"/>
          <w:color w:val="auto"/>
        </w:rPr>
      </w:pPr>
    </w:p>
    <w:p>
      <w:pPr>
        <w:ind w:left="460" w:right="420" w:hanging="452"/>
        <w:spacing w:after="0" w:line="259"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8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 notice. If a Price fund seeks to lower the fees that we receive or terminate its contract with us, we would experience a decline in fees earned from the Price funds, which could have a material adverse effect on our revenues and net income.</w:t>
      </w:r>
    </w:p>
    <w:p>
      <w:pPr>
        <w:spacing w:after="0" w:line="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117"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asset management firms,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mutual fund companies,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commercial banks and thrift institutions,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hedge funds,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exchange traded funds,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brokerage and investment banking firms,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We believe that competition within the investment management industry will increase as a result of consolidation and acquisition activity and because new competitors face few barriers to entry. Most of our investment portfolios are available without sales or redemption fees, which means that investors may be more willing to transfer assets to competing funds.</w:t>
      </w:r>
    </w:p>
    <w:p>
      <w:pPr>
        <w:spacing w:after="0" w:line="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current or potential customers decide to use one of our competitors, we could face a significant decline in market share, assets under management, revenues, and net income. If we are required to lower our fees in order to remain competitive, our net income could be significantly reduced because some of our expenses are fixed, especially over shorter periods of time, and others may not decrease in proportion to the decrease in revenues.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Certain of the Price funds and other investment portfolios are vulnerable to market-specific risks that could adversely affect investment performance, our reputation and our revenues.</w:t>
      </w:r>
    </w:p>
    <w:p>
      <w:pPr>
        <w:spacing w:after="0" w:line="6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Several of the Price funds and investment portfolios (for example, emerging market investments) are subject to political and economic instability, wide exchange-rate fluctuations, illiquid and highly volatile markets, and other risks that could materially decrease the investment returns available in foreign markets. A significant decrease in the investment return or net asset value of any Price fund or investment portfolio could harm our reputation and cause a decrease in assets under management, including client asset withdrawals. The result could be a material decline in our revenues and net income.</w:t>
      </w:r>
    </w:p>
    <w:p>
      <w:pPr>
        <w:spacing w:after="0" w:line="4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performance of our money market funds is dependent on the income from the underlying securities exceeding the operating costs of the fund. When interest rates are at the historic lows that presently exist, the operating costs of the funds will absorb a greater portion of the portfolio’s income and reduce the yield of the funds to very low levels. In this environment, bank deposits may become more attractive to investors and our money market funds could suffer redemptions. Client losses would decrease our revenues and net income.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4" w:right="259" w:bottom="1440" w:gutter="0" w:footer="0" w:header="0"/>
        </w:sectPr>
      </w:pPr>
    </w:p>
    <w:bookmarkStart w:id="8" w:name="page9"/>
    <w:bookmarkEnd w:id="8"/>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affect on our reputation and subject us to regulatory sanctions, fines, penalties, and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117" w:lineRule="exact"/>
        <w:rPr>
          <w:sz w:val="20"/>
          <w:szCs w:val="20"/>
          <w:color w:val="auto"/>
        </w:rPr>
      </w:pPr>
    </w:p>
    <w:p>
      <w:pPr>
        <w:ind w:left="460" w:right="48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86" w:lineRule="exact"/>
        <w:rPr>
          <w:rFonts w:ascii="Arial" w:cs="Arial" w:eastAsia="Arial" w:hAnsi="Arial"/>
          <w:sz w:val="18"/>
          <w:szCs w:val="18"/>
          <w:b w:val="1"/>
          <w:bCs w:val="1"/>
          <w:color w:val="auto"/>
        </w:rPr>
      </w:pPr>
    </w:p>
    <w:p>
      <w:pPr>
        <w:ind w:left="460" w:right="400" w:hanging="452"/>
        <w:spacing w:after="0" w:line="277"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properly perform transfer agent and participant recordkeeping responsibilities, including transaction processing, tax reporting and record retention; and failure to identify excessive trading in mutual funds by our customers or plan participants;</w:t>
      </w:r>
    </w:p>
    <w:p>
      <w:pPr>
        <w:spacing w:after="0" w:line="75" w:lineRule="exact"/>
        <w:rPr>
          <w:rFonts w:ascii="Arial" w:cs="Arial" w:eastAsia="Arial" w:hAnsi="Arial"/>
          <w:sz w:val="18"/>
          <w:szCs w:val="18"/>
          <w:b w:val="1"/>
          <w:bCs w:val="1"/>
          <w:color w:val="auto"/>
        </w:rPr>
      </w:pPr>
    </w:p>
    <w:p>
      <w:pPr>
        <w:jc w:val="both"/>
        <w:ind w:left="460" w:right="4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117" w:lineRule="exact"/>
        <w:rPr>
          <w:sz w:val="20"/>
          <w:szCs w:val="20"/>
          <w:color w:val="auto"/>
        </w:rPr>
      </w:pPr>
    </w:p>
    <w:p>
      <w:pPr>
        <w:ind w:left="460" w:right="40" w:hanging="452"/>
        <w:spacing w:after="0" w:line="277"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changes in the level of our advertising expenses, including the costs of expanding investment advisory services to investors outside of the United States and further penetrating U.S. distribution channels,</w:t>
      </w:r>
    </w:p>
    <w:p>
      <w:pPr>
        <w:spacing w:after="0" w:line="75" w:lineRule="exact"/>
        <w:rPr>
          <w:rFonts w:ascii="Arial" w:cs="Arial" w:eastAsia="Arial" w:hAnsi="Arial"/>
          <w:sz w:val="18"/>
          <w:szCs w:val="18"/>
          <w:b w:val="1"/>
          <w:bCs w:val="1"/>
          <w:color w:val="auto"/>
        </w:rPr>
      </w:pPr>
    </w:p>
    <w:p>
      <w:pPr>
        <w:ind w:left="460" w:right="40" w:hanging="452"/>
        <w:spacing w:after="0" w:line="342"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29" w:lineRule="exact"/>
        <w:rPr>
          <w:rFonts w:ascii="Arial" w:cs="Arial" w:eastAsia="Arial" w:hAnsi="Arial"/>
          <w:sz w:val="16"/>
          <w:szCs w:val="16"/>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 future impairment of goodwill that is recognized in our balance sheet,</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material fluctuation in foreign currency exchange rates applicable to the costs of our operations abroad,</w:t>
      </w:r>
    </w:p>
    <w:p>
      <w:pPr>
        <w:spacing w:after="0" w:line="130" w:lineRule="exact"/>
        <w:rPr>
          <w:rFonts w:ascii="Arial" w:cs="Arial" w:eastAsia="Arial" w:hAnsi="Arial"/>
          <w:sz w:val="18"/>
          <w:szCs w:val="18"/>
          <w:b w:val="1"/>
          <w:bCs w:val="1"/>
          <w:color w:val="auto"/>
        </w:rPr>
      </w:pPr>
    </w:p>
    <w:p>
      <w:pPr>
        <w:ind w:left="460" w:right="620" w:hanging="452"/>
        <w:spacing w:after="0" w:line="277"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expenses and capital costs incurred to enhance our administrative and operating services infrastructure, such as technology assets, depreciation, amortization, and research and development,</w:t>
      </w:r>
    </w:p>
    <w:p>
      <w:pPr>
        <w:spacing w:after="0" w:line="75"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unanticipated costs incurred to protect investor accounts and client goodwill,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and such relationships may not be available or profitable to us in the future.</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than 30% of our assets under management are sourced from our largest distribution channel, third-party financial intermediaries that distribute our managed investment portfolios in the U.S. and abroad. These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 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 party intermediaries. The presence of any of the adverse conditions discussed above would reduce revenues and net income, possibly by material amounts.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Armed conflict, terrorist attacks, power failures, and natural disasters could adversely affect our revenues, expenses and net income by:</w:t>
      </w:r>
    </w:p>
    <w:p>
      <w:pPr>
        <w:spacing w:after="0" w:line="11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decreasing investment valuations in, and returns on, the investment portfolios that we manage,</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42" w:lineRule="exact"/>
        <w:rPr>
          <w:rFonts w:ascii="Arial" w:cs="Arial" w:eastAsia="Arial" w:hAnsi="Arial"/>
          <w:sz w:val="17"/>
          <w:szCs w:val="17"/>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inflicting losses in human capital,</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interrupting our business operations,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triggering technology delays or failures,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requiring substantial capital expenditures and operating expenses to remediate damage, replace our facilities, and restore our operations.</w:t>
      </w:r>
    </w:p>
    <w:p>
      <w:pPr>
        <w:spacing w:after="0" w:line="1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any employees, or if we are unable to respond adequately to such an event in a timely manner, we may be unable to continue our business operations, which could lead to a tarnished reputation and loss of customers that results in a decrease in assets under management, lower revenues and materially reduced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currently have a substantial portion of our assets invested in our stock, blended asset and bond mutual funds. All of these investments are subject to investment market risk and our non-operating investment income could be adversely affected by the realization of losses upon the disposition of our investments or the recognition of significant other-than-temporary impairments like those recognized in the fourth quarter of 2008.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can be expected to occur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investment performance of our savings bank subsidiary could adversely affect our assets and results of operations.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a savings bank subsidiary that accepts time deposits from customers, pays a fixed rate of interest to them, and invests in asset-backed debt securities. Although we generally hold these investments to maturity, which generally correlates to the maturities of our customer deposits, fluctuations in credit risk could result in other-than-temporary impairments among the fixed income investments and, in turn, could result in a mismatch between the return on our investment portfolio and the interest paid on our customer deposits. To the extent that this occurs, our assets and results of operations could be adversely affected.</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We may elect to pursue growth in the United States and abroad through acquisitions or joint ventures, which exposes us to risks inherent in assimilating new operations and in expanding into new jurisdictions.</w:t>
      </w:r>
    </w:p>
    <w:p>
      <w:pPr>
        <w:spacing w:after="0" w:line="62"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In order to maintain and enhance our competitive position, we may review and pursue acquisition and venture opportunities. We cannot assure that we will identify and consummate any such transactions on acceptable terms or have sufficient resources to accomplish such a strategy. In addition, 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are subject to extensive regulation by foreign and domestic governments, regulatory agencies such as the SEC in the United States and the FSA in Great Britain, and self-regulatory organizations such as FINRA. The conduct of our business is in large part dictated by adherence to such regulation, including federal laws such as the Sarbanes-Oxley Act of 2002, the USA Patriot Act of 2001, the Employee Retirement Income Security Act of 1974 (ERISA), regulations relating to the mutual fund industry specifically and securities laws generally, accounting standards, and banking and tax laws. Compliance with these complex regulations and our disclosure and financial reporting obligations requires significant investments of time and money and could limit our ability to enter into new lines of business. Further, the regulations imposed by one jurisdiction may conflict with the regulations imposed by another, and these differences may be difficult or impossible to reconcile.</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10" w:name="page11"/>
    <w:bookmarkEnd w:id="10"/>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cause a loss of mutual fund investors, and reduce our revenues.</w:t>
      </w:r>
    </w:p>
    <w:p>
      <w:pPr>
        <w:spacing w:after="0" w:line="62"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Because of the recent exposure of trading abuses and fraudulent investment activities, the collapse of the independent investment banking industry in the U.S., and massive government investment in the U.S. banking and financial system, regulators have shown increasing interest in the oversight of the broad financial and investment industry. Federal agencies have adopted regulations designed to strengthen controls and restore investor confidence and more oversight and rules can be expected in the future that could place greater compliance and administrative burdens on us, which likely would increase our expenses without increasing revenues. In addition, new regulations could require the Price funds to reduce the level of certain mutual fund fees paid to us or require us to bear additional expenses, which would affect our operating results. Further, adverse results of regulatory investigations of mutual fund, investment advisory and financial services firms could tarnish the reputation of the financial services industry generally and mutual funds and investment advisers more specifically, causing investors to avoid further fund investments or redeem their balances. Redemptions would decrease the assets under our management, which would reduce our advisory revenues and net income.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increased incidence of litigation and regulatory investigations in the financial services industry in recent years, including customer claims and class action suits alleging substantial monetary damages.</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assure that our insurance will cover most liabilities and losses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subsidiaries are subject to net capital requirements imposed by various federal, state, and foreign authorities. Our subsidiaries’ net capital meets or exceeds all minimum requirements; however, a significant operating or investment loss or an extraordinary charge against net capital could adversely affect the ability of our subsidiaries to expand or even maintain their operations if we were unable to make additional investments in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117"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securities analysis,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securities trading,</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portfolio management,</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customer service,</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accounting and internal financial processes and controls,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regulatory compliance and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hacking,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 exposing us to disciplinary action and to liability to our customers.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technology. If we are unable to upgrade our technology in a timely fashion, we might lose customers and fail to maintain regulatory compliance, which could affect our results of operations and severely damage our reputation.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As part of our normal operations, we maintain and transmit confidential information about our clients as well as proprietary information relating to our business operations. Our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seriously damage our reputation,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allow competitors access to our proprietary business information,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subject us to liability for a failure to safeguard client data,</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result in the termination of contracts by our existing customers,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subject us to regulatory action,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require significant capital and operating expenditures to investigate and remediate the breach.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operating and servicing activities are largely conducted at owned facilities in campus settings comprising 294,000 square feet in Colorado Springs, Colorado, and 822,000 square feet on three parcels of land in close proximity in Owings Mills, Maryland. We are presently constructing two buildings at the largest Owings Mills site with an additional 336,000 square feet of space that will not be completed until 2010. Our campus sites will also accommodate additional future development.</w:t>
      </w:r>
    </w:p>
    <w:p>
      <w:pPr>
        <w:spacing w:after="0" w:line="79"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presently maintain investor centers for walk-in traffic and investor meetings in leased facilities located in the Baltimore; Boca Raton, Florida; Boston (Wellesley, Massachusetts); Chicago (Oak Brook and Northbrook, Illinois); Los Angeles (Century City, California);</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New York City/New Jersey (Garden City, New York, and Paramus and Short Hills, New Jersey); San Francisco (Walnut Creek, California); Tampa, Florida; and Washington (Washington, D.C. and McLean, Virginia) areas. We also have investor centers in our owned facilities in Colorado Springs and Owings Mills. These investor centers allow us to be available in person to meet with a large number of our individual investors.</w:t>
      </w:r>
    </w:p>
    <w:p>
      <w:pPr>
        <w:spacing w:after="0" w:line="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corporate offices include 425,000 square feet under lease until mid-2017 at 100 East Pratt Street in Baltimore. We lease our other offices, including those in London, our business recovery site in Maryland, and our customer service call center in Tampa.</w:t>
      </w:r>
    </w:p>
    <w:p>
      <w:pPr>
        <w:spacing w:after="0" w:line="62"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Information concerning our anticipated capital expenditures in 2009 and our future minimum rental payments under noncancelable operating leases at December 31, 2008,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during the fourth quarter of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six individuals are members of our management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(55), Chief Executive Officer and President since 2007. Mr. Kennedy was previously a Vice President from 1981-2006.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(53), Chairman since 2007 and a Vice President since 1985.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(52), Vice Chairman since 2007 and a Vice President since 1989.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Mary J. Miller (53), a Vice President since 1986.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(48), a Vice President since 1990.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David J.L. Warren (51), a Vice President since 2000. Mr. Warren intends to retire on March 31, 2009, and then will be succeeded by Christopher D. Alderson (46), a Vice President since 2002.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(52), Chief Financial Officer and a Vice President since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Wayne D. O’Melia (56), a Vice President since 1987.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Joseph P. Croteau (54), Treasurer (Principal Accounting Officer) since 2000 and a Vice President since 1987.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333"/>
              <w:spacing w:after="0"/>
              <w:rPr>
                <w:sz w:val="20"/>
                <w:szCs w:val="20"/>
                <w:color w:val="auto"/>
              </w:rPr>
            </w:pPr>
            <w:r>
              <w:rPr>
                <w:rFonts w:ascii="Arial" w:cs="Arial" w:eastAsia="Arial" w:hAnsi="Arial"/>
                <w:sz w:val="14"/>
                <w:szCs w:val="14"/>
                <w:color w:val="auto"/>
              </w:rPr>
              <w:t>1st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2nd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3rd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4th</w:t>
            </w:r>
          </w:p>
        </w:tc>
      </w:tr>
      <w:tr>
        <w:trPr>
          <w:trHeight w:val="167"/>
        </w:trPr>
        <w:tc>
          <w:tcPr>
            <w:tcW w:w="58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2007 — High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50.03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55.21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57.45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65.46</w:t>
            </w:r>
          </w:p>
        </w:tc>
      </w:tr>
      <w:tr>
        <w:trPr>
          <w:trHeight w:val="216"/>
        </w:trPr>
        <w:tc>
          <w:tcPr>
            <w:tcW w:w="5800" w:type="dxa"/>
            <w:vAlign w:val="bottom"/>
          </w:tcPr>
          <w:p>
            <w:pPr>
              <w:ind w:left="620"/>
              <w:spacing w:after="0"/>
              <w:rPr>
                <w:sz w:val="20"/>
                <w:szCs w:val="20"/>
                <w:color w:val="auto"/>
              </w:rPr>
            </w:pPr>
            <w:r>
              <w:rPr>
                <w:rFonts w:ascii="Arial" w:cs="Arial" w:eastAsia="Arial" w:hAnsi="Arial"/>
                <w:sz w:val="18"/>
                <w:szCs w:val="18"/>
                <w:color w:val="auto"/>
              </w:rPr>
              <w:t>Low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44.59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46.81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45.27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53.54</w:t>
            </w:r>
          </w:p>
        </w:tc>
      </w:tr>
      <w:tr>
        <w:trPr>
          <w:trHeight w:val="216"/>
        </w:trPr>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Cash dividends declared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.24</w:t>
            </w:r>
          </w:p>
        </w:tc>
      </w:tr>
      <w:tr>
        <w:trPr>
          <w:trHeight w:val="432"/>
        </w:trPr>
        <w:tc>
          <w:tcPr>
            <w:tcW w:w="5800" w:type="dxa"/>
            <w:vAlign w:val="bottom"/>
          </w:tcPr>
          <w:p>
            <w:pPr>
              <w:spacing w:after="0"/>
              <w:rPr>
                <w:sz w:val="20"/>
                <w:szCs w:val="20"/>
                <w:color w:val="auto"/>
              </w:rPr>
            </w:pPr>
            <w:r>
              <w:rPr>
                <w:rFonts w:ascii="Arial" w:cs="Arial" w:eastAsia="Arial" w:hAnsi="Arial"/>
                <w:sz w:val="18"/>
                <w:szCs w:val="18"/>
                <w:color w:val="auto"/>
              </w:rPr>
              <w:t>2008 — High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60.42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63.70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70.20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58.00</w:t>
            </w:r>
          </w:p>
        </w:tc>
      </w:tr>
      <w:tr>
        <w:trPr>
          <w:trHeight w:val="216"/>
        </w:trPr>
        <w:tc>
          <w:tcPr>
            <w:tcW w:w="58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Low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43.00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49.95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46.18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24.26</w:t>
            </w:r>
          </w:p>
        </w:tc>
      </w:tr>
      <w:tr>
        <w:trPr>
          <w:trHeight w:val="230"/>
        </w:trPr>
        <w:tc>
          <w:tcPr>
            <w:tcW w:w="5800" w:type="dxa"/>
            <w:vAlign w:val="bottom"/>
          </w:tcPr>
          <w:p>
            <w:pPr>
              <w:ind w:left="62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.24</w:t>
            </w:r>
          </w:p>
        </w:tc>
      </w:tr>
    </w:tbl>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presently plan to declare and pay quarterly cash dividends in 2009 that, taken together, will exceed the $.96 per share declared and paid for 2008. Our annual dividends per share have increased every year since we became a public company in 1986; however, there can be no assurance that we will continue to pay dividends at increasing rates or at all.</w:t>
      </w:r>
    </w:p>
    <w:p>
      <w:pPr>
        <w:spacing w:after="0" w:line="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common stockholders have approved all of our equity compensation plans. These plans provide for the issuance of up to 60,010,739 shares of our common stock at December 31, 2008, including 39,037,741 shares that may be issued upon the exercise of outstanding stock options at a weighted average price of $36.52, and 241,034 shares that may be issued in conjunction with outstanding stock units. Additionally, 20,731,964 shares remain available for future issuances. Under the terms of the 2004 Stock Incentive Plan, the number of shares provided and available for future issuance will increase as we repurchase common stock in the future from the proceeds of stock option exercises.</w:t>
      </w:r>
    </w:p>
    <w:p>
      <w:pPr>
        <w:spacing w:after="0" w:line="6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2008, we repurchased 12,948,037 shares of our common stock pursuant to resolutions of our Board of Directors. Repurchase activity during the fourth quarter of 2008 was conducted under the Board of Directors’ authorizations of February 15, 2007, and June 5, 2008,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40" w:type="dxa"/>
            <w:vAlign w:val="bottom"/>
            <w:gridSpan w:val="2"/>
          </w:tcPr>
          <w:p>
            <w:pPr>
              <w:jc w:val="center"/>
              <w:ind w:right="780"/>
              <w:spacing w:after="0"/>
              <w:rPr>
                <w:sz w:val="20"/>
                <w:szCs w:val="20"/>
                <w:color w:val="auto"/>
              </w:rPr>
            </w:pPr>
            <w:r>
              <w:rPr>
                <w:rFonts w:ascii="Arial" w:cs="Arial" w:eastAsia="Arial" w:hAnsi="Arial"/>
                <w:sz w:val="14"/>
                <w:szCs w:val="14"/>
                <w:color w:val="auto"/>
                <w:w w:val="92"/>
              </w:rPr>
              <w:t>Total Number of Shares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0"/>
              </w:rPr>
              <w:t>Purchased as Part of</w:t>
            </w:r>
          </w:p>
        </w:tc>
        <w:tc>
          <w:tcPr>
            <w:tcW w:w="15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3"/>
          </w:tcPr>
          <w:p>
            <w:pPr>
              <w:jc w:val="center"/>
              <w:ind w:right="780"/>
              <w:spacing w:after="0" w:line="149" w:lineRule="exact"/>
              <w:rPr>
                <w:sz w:val="20"/>
                <w:szCs w:val="20"/>
                <w:color w:val="auto"/>
              </w:rPr>
            </w:pPr>
            <w:r>
              <w:rPr>
                <w:rFonts w:ascii="Arial" w:cs="Arial" w:eastAsia="Arial" w:hAnsi="Arial"/>
                <w:sz w:val="14"/>
                <w:szCs w:val="14"/>
                <w:color w:val="auto"/>
                <w:w w:val="93"/>
              </w:rPr>
              <w:t>Total Number of</w:t>
            </w: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Average Price Paid</w:t>
            </w:r>
          </w:p>
        </w:tc>
        <w:tc>
          <w:tcPr>
            <w:tcW w:w="780" w:type="dxa"/>
            <w:vAlign w:val="bottom"/>
          </w:tcPr>
          <w:p>
            <w:pPr>
              <w:spacing w:after="0"/>
              <w:rPr>
                <w:sz w:val="12"/>
                <w:szCs w:val="12"/>
                <w:color w:val="auto"/>
              </w:rPr>
            </w:pPr>
          </w:p>
        </w:tc>
        <w:tc>
          <w:tcPr>
            <w:tcW w:w="224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5"/>
              </w:rPr>
              <w:t>Publicly Announced</w:t>
            </w: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Be Purchased Under</w:t>
            </w:r>
          </w:p>
        </w:tc>
        <w:tc>
          <w:tcPr>
            <w:tcW w:w="0" w:type="dxa"/>
            <w:vAlign w:val="bottom"/>
          </w:tcPr>
          <w:p>
            <w:pPr>
              <w:spacing w:after="0"/>
              <w:rPr>
                <w:sz w:val="1"/>
                <w:szCs w:val="1"/>
                <w:color w:val="auto"/>
              </w:rPr>
            </w:pPr>
          </w:p>
        </w:tc>
      </w:tr>
      <w:tr>
        <w:trPr>
          <w:trHeight w:val="167"/>
        </w:trPr>
        <w:tc>
          <w:tcPr>
            <w:tcW w:w="3240" w:type="dxa"/>
            <w:vAlign w:val="bottom"/>
            <w:gridSpan w:val="2"/>
          </w:tcPr>
          <w:p>
            <w:pPr>
              <w:spacing w:after="0"/>
              <w:rPr>
                <w:sz w:val="20"/>
                <w:szCs w:val="20"/>
                <w:color w:val="auto"/>
              </w:rPr>
            </w:pPr>
            <w:r>
              <w:rPr>
                <w:rFonts w:ascii="Arial" w:cs="Arial" w:eastAsia="Arial" w:hAnsi="Arial"/>
                <w:sz w:val="14"/>
                <w:szCs w:val="14"/>
                <w:color w:val="auto"/>
              </w:rPr>
              <w:t>Month</w:t>
            </w:r>
          </w:p>
        </w:tc>
        <w:tc>
          <w:tcPr>
            <w:tcW w:w="640" w:type="dxa"/>
            <w:vAlign w:val="bottom"/>
          </w:tcPr>
          <w:p>
            <w:pPr>
              <w:spacing w:after="0"/>
              <w:rPr>
                <w:sz w:val="14"/>
                <w:szCs w:val="14"/>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4"/>
                <w:szCs w:val="14"/>
                <w:color w:val="auto"/>
                <w:w w:val="88"/>
              </w:rPr>
              <w:t>Shares Purchased</w:t>
            </w:r>
          </w:p>
        </w:tc>
        <w:tc>
          <w:tcPr>
            <w:tcW w:w="20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4"/>
                <w:szCs w:val="14"/>
                <w:color w:val="auto"/>
              </w:rPr>
              <w:t>per Share</w:t>
            </w:r>
          </w:p>
        </w:tc>
        <w:tc>
          <w:tcPr>
            <w:tcW w:w="780" w:type="dxa"/>
            <w:vAlign w:val="bottom"/>
          </w:tcPr>
          <w:p>
            <w:pPr>
              <w:spacing w:after="0"/>
              <w:rPr>
                <w:sz w:val="14"/>
                <w:szCs w:val="14"/>
                <w:color w:val="auto"/>
              </w:rPr>
            </w:pPr>
          </w:p>
        </w:tc>
        <w:tc>
          <w:tcPr>
            <w:tcW w:w="2240" w:type="dxa"/>
            <w:vAlign w:val="bottom"/>
            <w:gridSpan w:val="2"/>
          </w:tcPr>
          <w:p>
            <w:pPr>
              <w:jc w:val="center"/>
              <w:ind w:right="760"/>
              <w:spacing w:after="0"/>
              <w:rPr>
                <w:sz w:val="20"/>
                <w:szCs w:val="20"/>
                <w:color w:val="auto"/>
              </w:rPr>
            </w:pPr>
            <w:r>
              <w:rPr>
                <w:rFonts w:ascii="Arial" w:cs="Arial" w:eastAsia="Arial" w:hAnsi="Arial"/>
                <w:sz w:val="14"/>
                <w:szCs w:val="14"/>
                <w:color w:val="auto"/>
                <w:w w:val="92"/>
              </w:rPr>
              <w:t>Programs</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color w:val="auto"/>
                <w:w w:val="90"/>
              </w:rPr>
              <w:t>the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October</w:t>
            </w: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2,369,732</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7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2,369,732</w:t>
            </w:r>
          </w:p>
        </w:tc>
        <w:tc>
          <w:tcPr>
            <w:tcW w:w="7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16,507,630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November</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1,700,000</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33.78</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1,700,000</w:t>
            </w:r>
          </w:p>
        </w:tc>
        <w:tc>
          <w:tcPr>
            <w:tcW w:w="7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14,807,630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128,200</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30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128,200</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14,679,430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20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4,197,932</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37.18</w:t>
            </w:r>
          </w:p>
        </w:tc>
        <w:tc>
          <w:tcPr>
            <w:tcW w:w="78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4,197,932</w:t>
            </w:r>
          </w:p>
        </w:tc>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143,000 beneficial stockholder accounts holding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color w:val="auto"/>
              </w:rPr>
              <w:t>2004</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2005</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2007</w:t>
            </w:r>
          </w:p>
        </w:tc>
        <w:tc>
          <w:tcPr>
            <w:tcW w:w="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80" w:type="dxa"/>
            <w:vAlign w:val="bottom"/>
            <w:gridSpan w:val="7"/>
          </w:tcPr>
          <w:p>
            <w:pPr>
              <w:ind w:left="40"/>
              <w:spacing w:after="0" w:line="142" w:lineRule="exact"/>
              <w:rPr>
                <w:sz w:val="20"/>
                <w:szCs w:val="20"/>
                <w:color w:val="auto"/>
              </w:rPr>
            </w:pPr>
            <w:r>
              <w:rPr>
                <w:rFonts w:ascii="Arial" w:cs="Arial" w:eastAsia="Arial" w:hAnsi="Arial"/>
                <w:sz w:val="14"/>
                <w:szCs w:val="14"/>
                <w:color w:val="auto"/>
                <w:w w:val="94"/>
              </w:rPr>
              <w:t>(in millions, except per-share data)</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3"/>
            <w:shd w:val="clear" w:color="auto" w:fill="CCEEFF"/>
          </w:tcPr>
          <w:p>
            <w:pPr>
              <w:jc w:val="right"/>
              <w:ind w:right="193"/>
              <w:spacing w:after="0"/>
              <w:rPr>
                <w:sz w:val="20"/>
                <w:szCs w:val="20"/>
                <w:color w:val="auto"/>
              </w:rPr>
            </w:pPr>
            <w:r>
              <w:rPr>
                <w:rFonts w:ascii="Arial" w:cs="Arial" w:eastAsia="Arial" w:hAnsi="Arial"/>
                <w:sz w:val="18"/>
                <w:szCs w:val="18"/>
                <w:color w:val="auto"/>
              </w:rPr>
              <w:t>$1,277</w:t>
            </w:r>
          </w:p>
        </w:tc>
        <w:tc>
          <w:tcPr>
            <w:tcW w:w="1500" w:type="dxa"/>
            <w:vAlign w:val="bottom"/>
            <w:gridSpan w:val="5"/>
            <w:shd w:val="clear" w:color="auto" w:fill="CCEEFF"/>
          </w:tcPr>
          <w:p>
            <w:pPr>
              <w:jc w:val="right"/>
              <w:ind w:right="213"/>
              <w:spacing w:after="0"/>
              <w:rPr>
                <w:sz w:val="20"/>
                <w:szCs w:val="20"/>
                <w:color w:val="auto"/>
              </w:rPr>
            </w:pPr>
            <w:r>
              <w:rPr>
                <w:rFonts w:ascii="Arial" w:cs="Arial" w:eastAsia="Arial" w:hAnsi="Arial"/>
                <w:sz w:val="18"/>
                <w:szCs w:val="18"/>
                <w:color w:val="auto"/>
              </w:rPr>
              <w:t>$1,512</w:t>
            </w:r>
          </w:p>
        </w:tc>
        <w:tc>
          <w:tcPr>
            <w:tcW w:w="1560" w:type="dxa"/>
            <w:vAlign w:val="bottom"/>
            <w:gridSpan w:val="5"/>
            <w:shd w:val="clear" w:color="auto" w:fill="CCEEFF"/>
          </w:tcPr>
          <w:p>
            <w:pPr>
              <w:jc w:val="right"/>
              <w:ind w:right="234"/>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2,228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operating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525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655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787</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996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337</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431</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671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374</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540</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758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Per-share information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1.32</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1.65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2.53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1.26</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1.58</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2.40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rPr>
              <w:t>.40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3"/>
              <w:spacing w:after="0"/>
              <w:rPr>
                <w:sz w:val="20"/>
                <w:szCs w:val="20"/>
                <w:color w:val="auto"/>
              </w:rPr>
            </w:pPr>
            <w:r>
              <w:rPr>
                <w:rFonts w:ascii="Arial" w:cs="Arial" w:eastAsia="Arial" w:hAnsi="Arial"/>
                <w:sz w:val="18"/>
                <w:szCs w:val="18"/>
                <w:color w:val="auto"/>
              </w:rPr>
              <w:t>.485</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4"/>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4"/>
              </w:rPr>
              <w:t>254.8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8"/>
              </w:rPr>
              <w:t>260.5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84"/>
              </w:rPr>
              <w:t>263.8</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264.8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assuming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dilution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268.2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273.2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34"/>
              <w:spacing w:after="0"/>
              <w:rPr>
                <w:sz w:val="20"/>
                <w:szCs w:val="20"/>
                <w:color w:val="auto"/>
              </w:rPr>
            </w:pPr>
            <w:r>
              <w:rPr>
                <w:rFonts w:ascii="Arial" w:cs="Arial" w:eastAsia="Arial" w:hAnsi="Arial"/>
                <w:sz w:val="18"/>
                <w:szCs w:val="18"/>
                <w:color w:val="auto"/>
                <w:w w:val="84"/>
              </w:rPr>
              <w:t>278.7</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279.2</w:t>
            </w: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270.1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December 31,</w:t>
            </w: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2004</w:t>
            </w:r>
          </w:p>
        </w:tc>
        <w:tc>
          <w:tcPr>
            <w:tcW w:w="1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2005</w:t>
            </w:r>
          </w:p>
        </w:tc>
        <w:tc>
          <w:tcPr>
            <w:tcW w:w="12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2006</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2007</w:t>
            </w:r>
          </w:p>
        </w:tc>
        <w:tc>
          <w:tcPr>
            <w:tcW w:w="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 (in millions)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w w:val="90"/>
              </w:rPr>
              <w:t>$1,929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w w:val="94"/>
              </w:rPr>
              <w:t>$2,311</w:t>
            </w:r>
          </w:p>
        </w:tc>
        <w:tc>
          <w:tcPr>
            <w:tcW w:w="1560" w:type="dxa"/>
            <w:vAlign w:val="bottom"/>
            <w:gridSpan w:val="5"/>
          </w:tcPr>
          <w:p>
            <w:pPr>
              <w:jc w:val="right"/>
              <w:ind w:right="154"/>
              <w:spacing w:after="0"/>
              <w:rPr>
                <w:sz w:val="20"/>
                <w:szCs w:val="20"/>
                <w:color w:val="auto"/>
              </w:rPr>
            </w:pPr>
            <w:r>
              <w:rPr>
                <w:rFonts w:ascii="Arial" w:cs="Arial" w:eastAsia="Arial" w:hAnsi="Arial"/>
                <w:sz w:val="18"/>
                <w:szCs w:val="18"/>
                <w:color w:val="auto"/>
              </w:rPr>
              <w:t>$2,765</w:t>
            </w: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3,177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0"/>
              </w:rPr>
              <w:t>$1,697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4"/>
              </w:rPr>
              <w:t>$2,036</w:t>
            </w:r>
          </w:p>
        </w:tc>
        <w:tc>
          <w:tcPr>
            <w:tcW w:w="1560" w:type="dxa"/>
            <w:vAlign w:val="bottom"/>
            <w:gridSpan w:val="5"/>
            <w:shd w:val="clear" w:color="auto" w:fill="CCEEFF"/>
          </w:tcPr>
          <w:p>
            <w:pPr>
              <w:jc w:val="right"/>
              <w:ind w:right="154"/>
              <w:spacing w:after="0"/>
              <w:rPr>
                <w:sz w:val="20"/>
                <w:szCs w:val="20"/>
                <w:color w:val="auto"/>
              </w:rPr>
            </w:pPr>
            <w:r>
              <w:rPr>
                <w:rFonts w:ascii="Arial" w:cs="Arial" w:eastAsia="Arial" w:hAnsi="Arial"/>
                <w:sz w:val="18"/>
                <w:szCs w:val="18"/>
                <w:color w:val="auto"/>
              </w:rPr>
              <w:t>$2,427</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2,777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2,489</w:t>
            </w: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Assets under management (in billions)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73"/>
              <w:spacing w:after="0"/>
              <w:rPr>
                <w:sz w:val="20"/>
                <w:szCs w:val="20"/>
                <w:color w:val="auto"/>
              </w:rPr>
            </w:pPr>
            <w:r>
              <w:rPr>
                <w:rFonts w:ascii="Arial" w:cs="Arial" w:eastAsia="Arial" w:hAnsi="Arial"/>
                <w:sz w:val="18"/>
                <w:szCs w:val="18"/>
                <w:color w:val="auto"/>
                <w:w w:val="90"/>
              </w:rPr>
              <w:t>$235.2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w w:val="94"/>
              </w:rPr>
              <w:t>$269.5</w:t>
            </w:r>
          </w:p>
        </w:tc>
        <w:tc>
          <w:tcPr>
            <w:tcW w:w="1560" w:type="dxa"/>
            <w:vAlign w:val="bottom"/>
            <w:gridSpan w:val="5"/>
          </w:tcPr>
          <w:p>
            <w:pPr>
              <w:jc w:val="right"/>
              <w:ind w:right="154"/>
              <w:spacing w:after="0"/>
              <w:rPr>
                <w:sz w:val="20"/>
                <w:szCs w:val="20"/>
                <w:color w:val="auto"/>
              </w:rPr>
            </w:pPr>
            <w:r>
              <w:rPr>
                <w:rFonts w:ascii="Arial" w:cs="Arial" w:eastAsia="Arial" w:hAnsi="Arial"/>
                <w:sz w:val="18"/>
                <w:szCs w:val="18"/>
                <w:color w:val="auto"/>
              </w:rPr>
              <w:t>$334.7</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400.0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276.3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nearly 10% of our assets under management at December 31, 2008.</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Neither our clients nor we could escape the severe downturn in global financial markets during 2008. Although we have not experienced a fundamental change in our business model like many other financial services companies, the collateral damage from the global economic woes significantly reduced our assets under management, related advisory revenues, and the value of our corporate mutual fund investments in 2008. In response, we have been vigilant about our expense levels and started a series of expense-reduction initiatives, accelerating those efforts as the market dramatically declined in the fourth quarter of 2008. Ultimately, our actual 2008 expenses were well below the levels originally planned. As we continue to rein in expenses, we presently expect that our 2009 operating expenses will fall below those of 2007.</w:t>
      </w:r>
    </w:p>
    <w:p>
      <w:pPr>
        <w:spacing w:after="0" w:line="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remain debt-free with substantial liquidity and resources that are available to help us ride through the current market crises while prudently managing the firm for the long-term. Our financial stability allows us to take advantage of attractive growth opportunities, invest in key capabilities including investment professionals and technologies and, most importantly, provide our clients with strong investment management expertise and service. While we believe 2009 will be a tough year for consumers and investors alike around the world, we think the investment environment will improve as we move into the latter half of the year and efforts to get the global economy back on track gain traction.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aftermath of the subprime mortgage market implosion in 2007 and the continuing credit crisis have significantly affected financial markets. At the beginning of 2008, equities declined dramatically around the world. In the United States, economic growth in the first quarter was low, and the downside risks in the economic outlook increased. The Federal Reserve responded with a substantial further easing of U.S. monetary policy that reduced the federal funds rate by 225 basis points to 2% by the end of April. The Federal government also acted with a fiscal stimulus package for American households, and the Federal Reserve initiated a series of actions intended to increase liquidity, among not only the large commercial banks but also large non-bank securities dealers.</w:t>
      </w:r>
    </w:p>
    <w:p>
      <w:pPr>
        <w:spacing w:after="0" w:line="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Early July saw further financial market declines as many major indexes fell 20% below their most recent highs in October 2007. As summer progressed, the continuing severe downturn in the housing sector and the restraining effect of writedowns on bank capital and in turn credit availability, further pressured the markets. In early September, the U.S. Government acted to take control of the government-sponsored mortgage enterprises, Fannie Mae and Freddie Mac, and took numerous other largely unprecedented actions to seek to stabilize the financial services industry. The investment banking industry in the U.S. was transformed almost overnight as a merger, a bankruptcy and two conversions to bank holding companies either eliminated or reorganized the four largest independent firms. Subsequently, a large unrelated institutional money market mutual fund “broke the buck” and went into liquidation. Also, mortgage and other asset quality concerns continued to weaken both larger and smaller commercial banks, some of which experienced FDIC takeovers, further government assistance and additional mergers.</w:t>
      </w:r>
    </w:p>
    <w:p>
      <w:pPr>
        <w:spacing w:after="0" w:line="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the midst of this turmoil in the U.S. markets, global equity markets declined dramatically, and banking and credit market conditions deteriorated throughout the world. In September and October, central banks and governments acted, sometimes jointly, to shore up financial institutions and markets by injecting liquidity and capital directly into the global banking system and easing monetary policy further. In the U.S., the Federal Reserve reduced the target federal funds rate to 1% by the end of October and Congress enacted an extraordinary $700 billion support package that sought to stabilize the financial system. Most of the first half of this package, authorized to be spent before year end, went to large banks in exchange for preferred shares and warrants; however, the program also extended debt and equity financing to the automotive industry and a large insurance company. At year-end, credit markets were still tight and equity markets remained volatile with significant daily swings in valuations. Fears of recession and an uncertain timeframe for economic recovery weighed on investors. Given the uncertain outlook and lower demand, energy prices had weakened, with oil falling more than $100 below its record high in July 2008. In mid-December, the Federal Reserve reduced the target funds rate to a range of 0% to .25%, the lowest in history. In doing so, it noted that “...weak economic conditions are likely to warrant exceptionally low levels of the federal funds rate for some time.”</w:t>
      </w:r>
    </w:p>
    <w:p>
      <w:pPr>
        <w:spacing w:after="0" w:line="61"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With the ongoing global recession now acknowledged, expectations for the economy’s performance in 2009 are generally low. Markdowns in scheduled production and significant employee layoffs have been announced as businesses aggressively cut costs and households reduce spending. Financial markets remain strained, and equity prices declined further in January. In addition to the remaining $350 billion from the $700 billion fall package, the new U.S. Administration has proposed a substantial further stimulus package that would include more than $800 billion of tax cuts and federal spending to turn the economy around. We are hopeful that this package, building on the monetary and fiscal actions already taken, will eventually provide the necessary foundation for a restoration of confidence in financial markets and a resumption of economic growth.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right="120"/>
        <w:spacing w:after="0" w:line="276" w:lineRule="auto"/>
        <w:rPr>
          <w:sz w:val="20"/>
          <w:szCs w:val="20"/>
          <w:color w:val="auto"/>
        </w:rPr>
      </w:pPr>
      <w:r>
        <w:rPr>
          <w:rFonts w:ascii="Arial" w:cs="Arial" w:eastAsia="Arial" w:hAnsi="Arial"/>
          <w:sz w:val="17"/>
          <w:szCs w:val="17"/>
          <w:color w:val="auto"/>
        </w:rPr>
        <w:t>In the stressful and volatile financial markets of 2008, U.S. stock indexes produced significant negative results. The broad S&amp;P 500 Index of large-cap companies in leading industries of the U.S. economy registered a 37.0% loss while the NASDAQ Composite Index, which is heavily weighted with technology companies, was down 40.5% (excluding dividends). Performance of stocks outside the United States was worse, with a strengthening U.S. dollar increasing the magnitude of losses in dollar terms. The MSCI EAFE Index, which measures the performance of mostly large-cap stocks in Europe, Australasia and the Far East, produced a 43.1% loss while the MSCI Emerging Markets Index had an even larger loss of 53.2% for 2008.</w:t>
      </w:r>
    </w:p>
    <w:p>
      <w:pPr>
        <w:spacing w:after="0" w:line="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U.S. Treasury yields declined sharply across the maturity spectrum over the course of 2008, with shorter maturities experiencing the greatest movement as investors sought the safest short-term instruments and liquidity. The yield on the benchmark 10-year U.S. Treasuries was 2.25% at December 31, 2008, down 179 basis points from the end of 2007. On the shortest side of the yield curve, both the one- and three-month yields were only .11% at year-end 2008, down 265 and 325 basis points, respectively, from the beginning of the year.</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flight to credit quality amid the economic and financial turmoil of 2008 led other debt securities to record widely disparate returns with liquidity and credit quality driving the results. The Barclays Capital U.S. Aggregate Index, a broad measure of the taxable domestic investment-grade bond market, returned 5.24%. The Barclays Capital Municipal Bond Index lost 2.47% as the municipal market suffered from forced selling from leveraged investors and concerns about the condition of state finances. The Credit Suisse High Yield Index lost 26.17% as investors anticipated a wave of defaults among high-yield bonds and the asset-backed segment suffered from worries over consumer debt. Bonds from developed markets overseas enjoyed a small gain largely because of currency exchange movements over the year, and the Barclays Capital Global Aggregate Ex-U.S. Dollar Bond Index returned 4.39%.</w:t>
      </w:r>
    </w:p>
    <w:p>
      <w:pPr>
        <w:spacing w:after="0" w:line="5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this unsettled environment, investors entrusted net inflows of $17.1 billion to our management in 2008. During the first half of the year, net inflows were $17.8 billion. The steep financial market downturn and extreme market volatility caused investors to be more cautious in the second half of 2008 and we experienced net outflows of $.7 billion. Total assets under our management ended 2008 at $276.3 billion, down 30.9% from the end of 2007 and up only 2.5% over the last three years from December 31, 2005. During this period, our assets under management (in billions) have changed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year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Sponsored mutual funds in the U.S., including $.8 billion in 2006 from mutual fund mergers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Other portfolios, including $.1 billion in separate accounts acquired in 2006</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market gains (losses) and income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(140.3)</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Mutual fund distributions not reinvested</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Increase (decrease) during year</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end of year</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Over the last three years, our net cash inflows have been sourced most significantly from third-party financial intermediaries and from institutional investors around the world. Our relative investment performance over much of this period and brand awareness contributed significantly to attracting net inflows across each of our four distribution channels.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Assets under management at December 31, 2008, include $196.9 billion in equity and blended asset investment portfolios and $79.4 billion in fixed income investment portfolios. The investment portfolios that we manage consist of $164.4 billion in the T. Rowe Price mutual funds distributed in the United States and $111.9 billion in other investment portfolios, including separately managed accounts, sub-advised funds, and other sponsored investment funds offered to investors outside the U.S. and through variable annuity life insurance plans.</w:t>
      </w:r>
    </w:p>
    <w:p>
      <w:pPr>
        <w:spacing w:after="0" w:line="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$513.5 million portfolio of investments in sponsored mutual funds at December 31, 2008, includes unrealized losses of $40.3 million that are considered temporary and, accordingly, are recognized in accumulated other comprehensive losses in stockholders’ equity. This unrealized loss is comprised of</w:t>
      </w:r>
    </w:p>
    <w:p>
      <w:pPr>
        <w:ind w:right="100"/>
        <w:spacing w:after="0" w:line="277" w:lineRule="auto"/>
        <w:rPr>
          <w:sz w:val="20"/>
          <w:szCs w:val="20"/>
          <w:color w:val="auto"/>
        </w:rPr>
      </w:pPr>
      <w:r>
        <w:rPr>
          <w:rFonts w:ascii="Arial" w:cs="Arial" w:eastAsia="Arial" w:hAnsi="Arial"/>
          <w:sz w:val="17"/>
          <w:szCs w:val="17"/>
          <w:color w:val="auto"/>
        </w:rPr>
        <w:t>$30.1 million attributable to investments valued at $115.9 million that have been temporarily impaired on a continuous basis from September 30, 2008, and $10.2 million arising in the fourth quarter of 2008 on fund investments valued at $79.3 million. See Item 7A, Quantitative and Qualitative Disclosures About Market Risk, in this report for further discussion about the recognition of impairments to our investments in sponsored mutual funds.</w:t>
      </w:r>
    </w:p>
    <w:p>
      <w:pPr>
        <w:spacing w:after="0" w:line="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may often involve costs that precede any future revenues that we may recognize from increases to our assets under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u w:val="single" w:color="auto"/>
          <w:color w:val="auto"/>
        </w:rPr>
        <w:t>2008 versus 2007</w:t>
      </w:r>
      <w:r>
        <w:rPr>
          <w:rFonts w:ascii="Arial" w:cs="Arial" w:eastAsia="Arial" w:hAnsi="Arial"/>
          <w:sz w:val="17"/>
          <w:szCs w:val="17"/>
          <w:color w:val="auto"/>
        </w:rPr>
        <w:t>. Investment advisory revenues decreased 6.3%, or $118 million, to $1.76 billion in 2008 as average assets under our management decreased $16 billion to $358.2 billion. The average annualized fee rate earned on our assets under management was 49.2 basis points in 2008, down from the 50.2 basis points earned in 2007, as lower equity market valuations resulted in a greater percentage of our assets under management being attributable to lower fee fixed income portfolios. Continuing stress on the financial markets and resulting lower equity valuations in subsequent quarters will result in lower average assets under our management, lower investment advisory fees and lower net income as compared to prior periods.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40"/>
        <w:spacing w:after="0" w:line="288" w:lineRule="auto"/>
        <w:rPr>
          <w:sz w:val="20"/>
          <w:szCs w:val="20"/>
          <w:color w:val="auto"/>
        </w:rPr>
      </w:pPr>
      <w:r>
        <w:rPr>
          <w:rFonts w:ascii="Arial" w:cs="Arial" w:eastAsia="Arial" w:hAnsi="Arial"/>
          <w:sz w:val="16"/>
          <w:szCs w:val="16"/>
          <w:color w:val="auto"/>
        </w:rPr>
        <w:t>Net revenues decreased 5%, or $112 million, to $2.12 billion. Operating expenses were $1.27 billion in 2008, up 2.9% or $36 million from 2007. Net operating income for 2008 decreased $147.9 million, or 14.8%, to $848.5 million. Higher operating expenses in 2008 and decreased market valuations during the latter half of 2008, which lowered our assets under management and advisory revenues, resulted in our 2008 operating margin declining to 40.1% from</w:t>
      </w:r>
    </w:p>
    <w:p>
      <w:pPr>
        <w:ind w:right="20"/>
        <w:spacing w:after="0" w:line="273" w:lineRule="auto"/>
        <w:rPr>
          <w:sz w:val="20"/>
          <w:szCs w:val="20"/>
          <w:color w:val="auto"/>
        </w:rPr>
      </w:pPr>
      <w:r>
        <w:rPr>
          <w:rFonts w:ascii="Arial" w:cs="Arial" w:eastAsia="Arial" w:hAnsi="Arial"/>
          <w:sz w:val="17"/>
          <w:szCs w:val="17"/>
          <w:color w:val="auto"/>
        </w:rPr>
        <w:t>44.7% in 2007. Non-operating investment losses in 2008 were $52.3 million as compared to investment income of $80.4 million in 2007. Investment losses in 2008 include non-cash charges of $91.3 million for the other than temporary impairment of certain of the firm’s investments in sponsored mutual funds. Net income in 2008 fell 27% or nearly $180 million from 2007. Diluted earnings per share also decreased to $1.82, down $.58 or 24.2% from last year. The non-operating charge to recognize other than temporary impairments reduced diluted earnings per share by $.21 in 2008.</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decreased 8.5%, or $114.5 million, to</w:t>
      </w:r>
    </w:p>
    <w:p>
      <w:pPr>
        <w:spacing w:after="0" w:line="3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$1.24 billion. Average mutual fund assets were $216.1 billion in 2008, down $16.7 billion from 2007. Mutual fund assets at December 31, 2008, were $164.4 billion, down $81.6 billion from the end of 2007.</w:t>
      </w:r>
    </w:p>
    <w:p>
      <w:pPr>
        <w:spacing w:after="0" w:line="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inflows to the mutual funds during 2008 were $3.9 billion, including $1.9 billion to the money funds, $1.1 billion to the bond funds, and $.9 billion to the stock funds. The Value, Equity Index 500, and Emerging Markets stock funds combined to add $4.1 billion, while the Mid-Cap Growth and Equity Income stock funds had net redemptions of $2.2 billion. Net fund inflows of $6.2 billion originated in our target-date Retirement Funds, which in turn invest in other T. Rowe Price funds. Fund net inflow amounts in 2008 are presented net of $1.3 billion that was transferred to target-date trusts from the Retirement Funds during the year. Decreases in market valuations and income not reinvested lowered our mutual fund assets under management by $85.5 billion during 2008.</w:t>
      </w:r>
    </w:p>
    <w:p>
      <w:pPr>
        <w:spacing w:after="0" w:line="5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Investment advisory revenues earned on the other investment portfolios that we manage decreased $3.6 million to $522.2 million. Average assets in these portfolios were $142.1 billion during 2008, up slightly from $141.4 billion in 2007. These minor changes, each less than 1%, are attributable to the timing of declining equity market valuations and cash flows among our separate account and sub-advised portfolios. Net inflows, primarily from institutional investors, were $13.2 billion during 2008, including the $1.3 billion transferred from the Retirement Funds to target-date trusts. Decreases in market valuations, net of income, lowered our assets under management in these portfolios by $55.3 billion during 2008.</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Administrative fees increased $5.8 million to $353.9 million, primarily from increased costs of servicing activities for the mutual funds and their investors. Changes in administrative fees are generally offset by similar changes in related operating expenses that are incurred to provide services to the funds and their investors.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largest expense, compensation and related costs, increased $18.4 million or 2.3% from 2007. This increase includes $37.2 million in salaries resulting from an 8.4% increase in our average staff count and an increase of our associates’ base salaries at the beginning of the year. At December 31, 2008, we employed 5,385 associates, up 6.0% from the end of 2007, primarily to add capabilities and support increased volume-related activities and other growth over the past few years. Over the course of 2008, we slowed the growth of our associate base from earlier plans and the prior year. We do not expect the number of our associates to increase in 2009. We also reduced our annual bonuses $27.6 million versus the 2007 year in response to recent and ongoing unfavorable financial market conditions that negatively impacted our operating results. The balance of the increase is attributable to higher employee benefits and employment-related expenses, including an increase of $5.7 million in stock-based compensation. Entering 2009, we did not increase the salaries of our highest paid associates.</w:t>
      </w:r>
    </w:p>
    <w:p>
      <w:pPr>
        <w:spacing w:after="0" w:line="7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After higher spending during the first quarter of 2008 versus 2007, investor sentiment in the uncertain and volatile market environment caused us to reduce advertising and promotion spending, which for the year was down $3.8 million from 2007. We expect to reduce these expenditures for 2009 versus 2008, and estimate that spending in the first quarter of 2009 will be down about $5 million from the fourth quarter of 2008. We vary our level of spending based on market conditions and investor demand as well as our efforts to expand our investor base in the United States and abroad.</w:t>
      </w:r>
    </w:p>
    <w:p>
      <w:pPr>
        <w:spacing w:after="0" w:line="6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$18 million, or 12% compared to 2007. We have been expanding and renovating our facilities to accommodate the growth in our associates to meet business demands.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operating expenses were up $3.3 million from 2007. We increased our spending $9.8 million, primarily for professional fees and information and other third-party services. Reductions in travel and charitable contributions partially offset these increases.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non-operating investment activity resulted in a net loss of $52.3 million in 2008 as compared to a net gain of $80.4 million in 2007. This change of</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$132.7 million is primarily attributable to losses recognized in 2008 on our investments in sponsored mutual funds, which resulted from declines in financial market values during the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Capital gain distributions received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than temporary impairments recognized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realized on fund 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gain (loss) recognized on fund holdings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recognized other than temporary impairments of our investments in sponsored mutual funds because of declines in fair value below cost for an extended period. The significant declines in fair value below cost that occurred in 2008 were generally attributable to the adverse and ongoing market conditions discussed in the Background section above. See also the discussion below of Critical Accounting Policies for other than temporary impairments of available-for-sale securities.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In addition, income from money market and bond fund holdings was $19.3 million lower than in 2007 due to the significantly lower interest rate environment of 2008. Lower interest rates also led to substantial capital appreciation on our $40 million holding of U.S. Treasury Notes that we sold in December 2008 at a $2.6 million gain.</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2008 provision for income taxes as a percentage of pretax income is 38.4%, up from 37.7% in 2007, primarily to reflect changes in state income tax rates and regulations and certain adjustments made prospectively based on our annual income tax return filings for 2007. We currently estimate that our 2009 effective tax rate will be similar to the 2008 effective rate.</w:t>
      </w:r>
    </w:p>
    <w:p>
      <w:pPr>
        <w:spacing w:after="0" w:line="73"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2007 versus 2006</w:t>
      </w:r>
      <w:r>
        <w:rPr>
          <w:rFonts w:ascii="Arial" w:cs="Arial" w:eastAsia="Arial" w:hAnsi="Arial"/>
          <w:sz w:val="18"/>
          <w:szCs w:val="18"/>
          <w:color w:val="auto"/>
        </w:rPr>
        <w:t>. Investment advisory revenues were up 25%, or $370.6 million, to nearly $1.9 billion as average assets under our management increased $74.5 billion to $374.2 billion. The average annualized fee rate earned on our assets under management was 50.2 basis points during 2007, virtually unchanged from the 50.3 basis points earned during 2006.</w:t>
      </w:r>
    </w:p>
    <w:p>
      <w:pPr>
        <w:spacing w:after="0" w:line="73"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Net revenues increased 23%, or $413.3 million, to $2.2 billion. Operating expenses were $1.2 billion in 2007, up 20% or $203.8 million from 2006. Overall, net operating income for 2007 increased $209.5 million, or almost 27%, to $996.4 million. Our operating margin was 44.7% in 2007, up from 43.4% in 2006. Net income increased $141.0 million, or almost 27%, to $670.6 million for 2007, boosting diluted earnings per share more than 26% from $1.90 to $2.40.</w:t>
      </w:r>
    </w:p>
    <w:p>
      <w:pPr>
        <w:spacing w:after="0" w:line="3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24%, or $260.2 million, to more than $1.3 billion. Average mutual fund assets were $232.8 billion in 2007, an increase of 24% over the average for 2006. Mutual fund assets increased $39.5 billion during 2007.</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Net inflows to the mutual funds were $20.2 billion during 2007. Our U.S. stock and blended asset funds had net inflows of $9.9 billion, our bond funds added $4.2 billion, our international and global stock funds added $4.7 billion, and our money market funds added $1.4 billion. Seven funds each added more than $1.4 billion and, in total, account for $15.6 billion of the net inflows. The Growth Stock Fund added more than $4.8 billion, the New Income and Equity Index 500 funds together added $4.6 billion, and the Blue Chip Growth, Value, Overseas Stock, and New Asia funds together attracted net inflows of</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$6.2 billion. Higher market valuations and income, net of dividends not reinvested, increased fund assets by $19.3 billion. Net fund inflows of $10.7 billion originated in our target-date Retirement Funds, which in turn invest in other T. Rowe Price funds.</w:t>
      </w:r>
    </w:p>
    <w:p>
      <w:pPr>
        <w:spacing w:after="0" w:line="7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$110.4 million, or almost 27%, to $525.8 million. Average assets in these portfolios were $141.4 billion in 2007, up 26% from the 2006 average. Other investment portfolio assets increased $25.8 billion during 2007, including more than $13.6 billion of net inflows from U.S. and international institutional investors and third-party financial intermediaries, and $12.2 billion from market gains and income.</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Administrative fees increased $42.7 million to $348.1 million. The change in these revenues includes $10.4 million from 12b-1 distribution fees recognized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Our largest expense, compensation and related costs, increased $138.8 million, or 21%, over 2006. The largest part of the increase is attributable to a</w:t>
      </w:r>
    </w:p>
    <w:p>
      <w:pPr>
        <w:spacing w:after="0" w:line="3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$55.3 million increase in our annual bonus compensation, which is based on our operating results and considers our relative and risk-adjusted investment performance, our growth in assets under management and net investor inflows, and the high quality of our investor services. The 2007 costs also include an increase of $37.5 million in salaries, which results from a 9% increase in our average staff size coupled with an increase of our associates’ base salaries at the beginning of the year. At December 31, 2007, we employed 5,081 associates, up 10.3% from the beginning of 2007 and 4.3% from the 2007 average, primarily to handle increased volume-related activities and other growth. Other employee benefits and employment expenses, including an increase of $18.8 million in non-cash stock-based compensation, account for the remainder of the change in our compensation and related costs.</w:t>
      </w:r>
    </w:p>
    <w:p>
      <w:pPr>
        <w:spacing w:after="0" w:line="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Advertising and promotion expenditures increased $10.6 million from 2006 in response to greater investor interest. Occupancy and facility costs together with depreciation expense increased $16.5 million. We are expanding and renovating our facilities to accommodate additional associates to meet greater business demands.</w:t>
      </w:r>
    </w:p>
    <w:p>
      <w:pPr>
        <w:spacing w:after="0" w:line="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Other operating expenses were up $37.9 million, or 26%, including $10.4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 Additionally, consulting and professional fees, travel, information services, and other costs rose in 2007 to meet increased business demands.</w:t>
      </w:r>
    </w:p>
    <w:p>
      <w:pPr>
        <w:spacing w:after="0" w:line="63"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Our non-operating income, which includes interest income as well as the recognition of investment gains and losses, increased $9.0 million. Our larger mutual fund investments added $20.4 million in 2007, including $13.4 million of increased capital gain distributions from the funds. Additionally, 2006 included a gain of $12.2 million upon the liquidation of a sponsored collateralized bond obligation that did not recur.</w:t>
      </w:r>
    </w:p>
    <w:p>
      <w:pPr>
        <w:spacing w:after="0" w:line="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2007 provision for income taxes as a percentage of pretax income was recognized using a rate of 37.7%, down slightly from the 38.3% rate for the year 2006 that included provisions of .6% for the anticipated settlement of prior years’ taxes.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During 2008, stockholders’ equity decreased from nearly $2.8 billion to about $2.5 billion. We repurchased $.6 billion of our common stock during the year. Tangible book value is $1.8 billion at December 31, 2008, and cash and mutual fund investments exceed $1.1 billion. Given the availability of these financial resources, we do not maintain an available external source of liquidity.</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Operating activities during 2008 provided cash flows of nearly $742 million, down $16 million from 2007. Reconciling items include lower net income of almost $180 million that was offset by timing differences of about $59 million in the cash settlement of our operating receivables and payables. Other than temporary impairments of our sponsored mutual fund investments totaling $91 million, greater depreciation expense on our increased property and equipment of $8 million, and nearly $6 million of additional stock-based compensation account for the remainder of the difference between 2007 and 2008.</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totaled $125 million in 2008, down $220 million from 2007. In 2007, we invested a net of $175.5 million in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sponsored mutual funds from our available cash resources. On a net basis, we added only $2.6 million to our fund holdings in 2008; however, we made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$95 million of changes to the composition of our portfolio of mutual fund holdings in light of market conditions during the year. Because of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savings bank deposits, we also increased our investment in debt securities held by the savings bank by $41 million in 2008. While we made other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$23 million in 2007, we made only $10 million of other investments in 2008. We also received proceeds of $42.6 million on the sales, and $30 million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our $70 million U.S. Treasury Notes portfolio.</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used in financing activities was $783 million in 2008, up $382 million from 2007. Our strong cash position allowed us to increase our common stock repurchases by $302 million in 2008 versus 2007. Our cash outflows for dividends paid increased $132 million. During the first quarter of 2008, we changed our policy regarding the timing of dividend payments such that our quarterly dividends are now declared and paid in the same quarter. Accordingly, our cash outflows for 2008 include the payout of dividends for the fourth quarter 2007 and all four quarters of 2008. Additionally, we increased the quarterly dividend payment from $.17 per share made in each of the four 2007 quarters to $.24 per share beginning with the payment made in January 2008. Lastly, deposits at our savings bank subsidiary increased nearly $44 million in 2008 as depositors sought the security of FDIC-backed accounts.</w:t>
      </w:r>
    </w:p>
    <w:p>
      <w:pPr>
        <w:spacing w:after="0" w:line="5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Operating activities during 2007 provided cash flows of $758 million, up $165 million from 2006, including increased net income of $141 million and non-cash stock-based compensation expense of $19 million. Net cash used in investing activities totaled $345 million, down nearly $77 million from 2006. Our investments in mutual funds and other securities made from our larger available cash balances was $214 million in 2007, down $112 million from 2006. Increased capital spending for property and equipment was $146 million in 2007, up $51 million versus 2006. Net cash used in financing activities was</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$401 million in 2007, up $199 million from 2006. We increased our expenditures for common stock repurchases by $141 million and our dividends paid to stockholders by $33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expenditures in 2009 are anticipated to be about $190 million and are expected to be funded from cash balances.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2008.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2009 and future years. The information also excludes the $6 million of unrecognized tax benefits discussed in Note 9 to our consolidated financial statements because it is not possible to estimate the time period in which a payment might be made to the tax authorities.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2010-11</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9"/>
              </w:rPr>
              <w:t>2012-13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Later</w:t>
            </w:r>
          </w:p>
        </w:tc>
        <w:tc>
          <w:tcPr>
            <w:tcW w:w="10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0"/>
        </w:trPr>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also have outstanding commitments to fund additional investments totaling $31.5 million at December 31, 2008.</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2008 Annual Report. In the following discussion, we highlight and explain further certain of those policies that are most critical to the preparation and understanding of our financial statements.</w:t>
      </w:r>
    </w:p>
    <w:p>
      <w:pPr>
        <w:spacing w:after="0" w:line="7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Other than temporary impairments of available-for-sale securities</w:t>
      </w:r>
      <w:r>
        <w:rPr>
          <w:rFonts w:ascii="Arial" w:cs="Arial" w:eastAsia="Arial" w:hAnsi="Arial"/>
          <w:sz w:val="18"/>
          <w:szCs w:val="18"/>
          <w:color w:val="auto"/>
        </w:rPr>
        <w:t>. We generally classify our investment holdings in sponsored mutual funds and the debt securities held for investment by our savings bank subsidiary as available-for-sale. At the end of each quarter, we mark the carrying amount of each investment holding to fair value and recognize an unrealized gain or loss as a component of comprehensive income (loss) within the statement of stockholders’ equity. We next review each individual security position that has an unrealized loss or impairment to determine if that impairment is other than temporary.</w:t>
      </w:r>
    </w:p>
    <w:p>
      <w:pPr>
        <w:spacing w:after="0" w:line="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mutual fund holding with an impairment that has persisted daily throughout the six months between quarter-ends is generally presumed to have an other than temporary impairment and a loss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w:t>
      </w:r>
    </w:p>
    <w:p>
      <w:pPr>
        <w:spacing w:after="0" w:line="6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An impaired debt security held by our savings bank subsidiary is considered to have an other than temporary loss that we recognize in our statement of income if we determine that we will probably not collect all contractual amounts due under the terms of the security. Any determination of this type would consider the issuer’s financial condition and our ability and intent to hold the investment until its fair value recovers, which may mean until maturity, and to collect all contractual cash flows. Minor impairments of 5% or less that arise from changes in interest rates and not credit quality are generally considered temporary.</w:t>
      </w:r>
    </w:p>
    <w:p>
      <w:pPr>
        <w:spacing w:after="0" w:line="8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evaluate the carrying amount of goodwill in our balance sheet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exceeds our carrying amount (basically, our stockholders’ equity) and, therefore, that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balance sheet, $665.7 million.</w:t>
      </w:r>
    </w:p>
    <w:p>
      <w:pPr>
        <w:spacing w:after="0" w:line="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 of income using a fair value based method. Fair value methods use a valuation model for shorter-term, market-traded financial instruments to theoretically value stock option grants even though they are not available for trading purposes and are of longer duration. The Black-Scholes option 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5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u w:val="single" w:color="auto"/>
          <w:color w:val="auto"/>
        </w:rPr>
        <w:t>Provision for income taxes</w:t>
      </w:r>
      <w:r>
        <w:rPr>
          <w:rFonts w:ascii="Arial" w:cs="Arial" w:eastAsia="Arial" w:hAnsi="Arial"/>
          <w:sz w:val="17"/>
          <w:szCs w:val="17"/>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determinations of our annual provisions are subject to judgments and estimates, it is likely that actual results will vary from those recognized in our financial statements. As a result, additions to, or reductions of, income tax expense will occur each year for prior reporting periods as our estimates change and actual tax returns and tax audits are settled. We recognize any such prior year adjustment in the discrete quarterly period in which it is determined.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NEWLY ISSUED BUT NOT YET ADOPTED ACCOUNTING STANDARDS.</w:t>
      </w:r>
    </w:p>
    <w:p>
      <w:pPr>
        <w:spacing w:after="0" w:line="117"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Each reporting period we consider all newly issued but not yet adopted standards applicable to our operations and the preparation of our consolidated statements. We do not believe that any issued standard that we have not yet adopted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net income and earnings per share; changes in the amount and composition of our assets under management; our expense levels;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revenues and net income are based primarily on the value of assets under our management. Accordingly, declines in financial market values like those experienced since September 2008 directly and negatively impact our investment advisory revenues, as well as our investment income and net income.</w:t>
      </w:r>
    </w:p>
    <w:p>
      <w:pPr>
        <w:spacing w:after="0" w:line="1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invest in our sponsored mutual funds, which are market risk sensitive financial instruments, primarily for purposes other than trading; we do not invest in derivative financial or commodity instruments. Mutual fund investments have inherent market risk in the form of equity price risk; that is, the potential future loss of value that would result from a decline in the fair values of mutual fund shares. Each fund and its underlying net assets are also subject to market risk, which may arise from changes in equity prices, credit ratings, foreign currency exchange rates, and interest rates.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40"/>
        <w:spacing w:after="0" w:line="297" w:lineRule="auto"/>
        <w:rPr>
          <w:sz w:val="20"/>
          <w:szCs w:val="20"/>
          <w:color w:val="auto"/>
        </w:rPr>
      </w:pPr>
      <w:r>
        <w:rPr>
          <w:rFonts w:ascii="Arial" w:cs="Arial" w:eastAsia="Arial" w:hAnsi="Arial"/>
          <w:sz w:val="16"/>
          <w:szCs w:val="16"/>
          <w:color w:val="auto"/>
        </w:rPr>
        <w:t>The following table (in millions) presents the equity price risk from investments in sponsored mutual funds that are accounted for as available-for-sale securities by assuming a hypothetical decline in the fair values of mutual fund shares. This potential future loss of value, before any income tax benefits, reflects the valuation of mutual fund investments at year end using each fund’s lowest net asset value per share during 2008. In considering this presentation, it is important to note that: not all funds experienced their lowest net asset value per share on the same day; it is likely that the composition of the mutual fund investment portfolio would be changed if adverse market conditions persisted; and we could experience future losses in excess of those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color w:val="auto"/>
                <w:w w:val="94"/>
              </w:rPr>
              <w:t>Fair value</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color w:val="auto"/>
                <w:w w:val="91"/>
              </w:rPr>
              <w:t>Potential</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at</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rPr>
              <w:t>lower</w:t>
            </w:r>
          </w:p>
        </w:tc>
        <w:tc>
          <w:tcPr>
            <w:tcW w:w="1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of</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Potential</w:t>
            </w:r>
          </w:p>
        </w:tc>
      </w:tr>
      <w:tr>
        <w:trPr>
          <w:trHeight w:val="167"/>
        </w:trPr>
        <w:tc>
          <w:tcPr>
            <w:tcW w:w="37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12/31/2008</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Portfolio</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800"/>
              <w:spacing w:after="0"/>
              <w:rPr>
                <w:sz w:val="20"/>
                <w:szCs w:val="20"/>
                <w:color w:val="auto"/>
              </w:rPr>
            </w:pPr>
            <w:r>
              <w:rPr>
                <w:rFonts w:ascii="Arial" w:cs="Arial" w:eastAsia="Arial" w:hAnsi="Arial"/>
                <w:sz w:val="14"/>
                <w:szCs w:val="14"/>
                <w:color w:val="auto"/>
                <w:w w:val="89"/>
              </w:rPr>
              <w:t>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Portfolio</w:t>
            </w:r>
          </w:p>
        </w:tc>
        <w:tc>
          <w:tcPr>
            <w:tcW w:w="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17"/>
              <w:spacing w:after="0"/>
              <w:rPr>
                <w:sz w:val="20"/>
                <w:szCs w:val="20"/>
                <w:color w:val="auto"/>
              </w:rPr>
            </w:pPr>
            <w:r>
              <w:rPr>
                <w:rFonts w:ascii="Arial" w:cs="Arial" w:eastAsia="Arial" w:hAnsi="Arial"/>
                <w:sz w:val="14"/>
                <w:szCs w:val="14"/>
                <w:color w:val="auto"/>
                <w:w w:val="88"/>
              </w:rPr>
              <w:t>loss</w:t>
            </w:r>
          </w:p>
        </w:tc>
        <w:tc>
          <w:tcPr>
            <w:tcW w:w="1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265.2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Bond funds</w:t>
            </w:r>
          </w:p>
        </w:tc>
        <w:tc>
          <w:tcPr>
            <w:tcW w:w="20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88"/>
              </w:rPr>
              <w:t>198.7</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186.8</w:t>
            </w: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r>
      <w:tr>
        <w:trPr>
          <w:trHeight w:val="27"/>
        </w:trPr>
        <w:tc>
          <w:tcPr>
            <w:tcW w:w="3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513.5</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452.0</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r>
              <w:rPr>
                <w:rFonts w:ascii="Arial" w:cs="Arial" w:eastAsia="Arial" w:hAnsi="Arial"/>
                <w:sz w:val="18"/>
                <w:szCs w:val="18"/>
                <w:u w:val="single" w:color="auto"/>
                <w:color w:val="auto"/>
              </w:rPr>
              <w:t>5</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comparable potential loss of value presented in our 2007 annual report was $67.8 million on sponsored mutual fund investments of $771.2 million that included a net unrealized gain of $147 million at December 31, 2007. During 2008, we actually experienced net losses of $254.7 million, including $91.3 million of other than temporary impairments recognized in our non-operating investment income (loss).</w:t>
      </w:r>
    </w:p>
    <w:p>
      <w:pPr>
        <w:spacing w:after="0" w:line="7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Financial market conditions have recently been extremely volatile and financial security valuations have declined. Similarly, our portfolio of investments in sponsored mutual funds at December 31, 2008, includes a net unrealized loss of $17.5 million, including gross unrealized losses totaling $40.3 million. Unrealized losses incurred in the second half of 2008 totaling $30.1 million on investments valued at $115.9 million at December 31, 2008, have been temporarily impaired on a continuous basis from September 30, 2008. The remaining unrealized losses totaling $10.2 million were incurred in the fourth quarter of 2008 on fund investments valued at $79.3 million.</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our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 end, to overcome that presumption. It is possible that we will determine at March 31, 2009, or at a subsequent quarter end, that unrealized losses in one or more of our mutual fund investments have become other-than-temporary impairments. We could also sell our fund positions before a subsequent quarter-end reporting date and recognize in our income statement previously unrealized losses. The amount and timing of any subsequent charge will be dependent on future market performance.</w:t>
      </w:r>
    </w:p>
    <w:p>
      <w:pPr>
        <w:spacing w:after="0" w:line="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also hold other investments of $41.9 million at December 31, 2008, that we are at risk for loss up to our carrying amount should market conditions deteriorate.</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operate in several foreign countries, most prominent among which is Great Britain. We incur operating expenses and have foreign currency-denominated assets and liabilities associated with these operations, though our revenues are predominately realized in U.S. dollars. We do not believe that foreign currency fluctuations materially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800" w:type="dxa"/>
            <w:vAlign w:val="bottom"/>
            <w:vMerge w:val="restart"/>
          </w:tcPr>
          <w:p>
            <w:pPr>
              <w:spacing w:after="0"/>
              <w:rPr>
                <w:sz w:val="20"/>
                <w:szCs w:val="20"/>
                <w:color w:val="auto"/>
              </w:rPr>
            </w:pPr>
            <w:r>
              <w:rPr>
                <w:rFonts w:ascii="Arial" w:cs="Arial" w:eastAsia="Arial" w:hAnsi="Arial"/>
                <w:sz w:val="18"/>
                <w:szCs w:val="18"/>
                <w:color w:val="auto"/>
              </w:rPr>
              <w:t>Index to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Page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8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80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2007 and 2008</w:t>
            </w: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tcPr>
          <w:p>
            <w:pPr>
              <w:ind w:left="22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2008</w:t>
            </w: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2008</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2008</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tcPr>
          <w:p>
            <w:pPr>
              <w:ind w:left="220"/>
              <w:spacing w:after="0"/>
              <w:rPr>
                <w:sz w:val="20"/>
                <w:szCs w:val="20"/>
                <w:color w:val="auto"/>
              </w:rPr>
            </w:pPr>
            <w:r>
              <w:rPr>
                <w:rFonts w:ascii="Arial" w:cs="Arial" w:eastAsia="Arial" w:hAnsi="Arial"/>
                <w:sz w:val="18"/>
                <w:szCs w:val="18"/>
                <w:color w:val="auto"/>
              </w:rPr>
              <w:t>Summary of Significant Accounting Policies</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including Supplementary Quarterly Financial Data</w:t>
            </w: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800" w:type="dxa"/>
            <w:vAlign w:val="bottom"/>
          </w:tcPr>
          <w:p>
            <w:pPr>
              <w:ind w:left="5560"/>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8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12/31/2007</w:t>
            </w:r>
          </w:p>
        </w:tc>
        <w:tc>
          <w:tcPr>
            <w:tcW w:w="340" w:type="dxa"/>
            <w:vAlign w:val="bottom"/>
          </w:tcPr>
          <w:p>
            <w:pPr>
              <w:spacing w:after="0"/>
              <w:rPr>
                <w:sz w:val="14"/>
                <w:szCs w:val="1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(Notes 1 and 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785.1</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 (Note 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Investments in sponsored mutual funds (Notes 3 and 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(Notes 4 and 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investments (Notes 5 and 6)</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(Note 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(Note 8 and 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3,177.3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2,819.4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(Note 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(Note 9)</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 (Note 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400.2</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5, 7 and 12)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Stockholders’ equity (Notes 10, 11 and 12)</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ind w:left="200"/>
              <w:spacing w:after="0" w:line="201" w:lineRule="exact"/>
              <w:rPr>
                <w:sz w:val="20"/>
                <w:szCs w:val="20"/>
                <w:color w:val="auto"/>
              </w:rPr>
            </w:pPr>
            <w:r>
              <w:rPr>
                <w:rFonts w:ascii="Arial" w:cs="Arial" w:eastAsia="Arial" w:hAnsi="Arial"/>
                <w:sz w:val="18"/>
                <w:szCs w:val="18"/>
                <w:color w:val="auto"/>
                <w:w w:val="94"/>
              </w:rPr>
              <w:t>Common stock, $.20 par value — authorized 500,000,000 shares in 2007 and 750,000,000 shares in 2008; issued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264,605,000 shares in 2007 and 256,856,000 shares in 2008</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52.9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2,333.4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2,777.1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3,177.3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2,819.4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accompanying summary of significant accounting policies and notes to</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consolidated financial statements are an integral part of these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advisory fees (Note 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1,508.5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1,879.1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1,761.0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1,819.3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2,233.1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1,815.0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2,228.3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2,116.3</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 (Notes 7, 10 and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Occupancy and facility costs (Note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1,028.1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1,231.9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786.9</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0"/>
        </w:trPr>
        <w:tc>
          <w:tcPr>
            <w:tcW w:w="7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Other net investment income (loss) (Notes 1, 3, 5 and 11)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 (Note 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Net non-operating income (loss)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71.4</w:t>
            </w:r>
          </w:p>
        </w:tc>
        <w:tc>
          <w:tcPr>
            <w:tcW w:w="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80.4</w:t>
            </w:r>
          </w:p>
        </w:tc>
        <w:tc>
          <w:tcPr>
            <w:tcW w:w="5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858.3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1,076.8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328.7</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406.2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01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90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summary of significant accounting policies and notes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 are an integral part of these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auto"/>
                <w:w w:val="90"/>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2006</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529.6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670.6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Changes in accounts receivable and accrued revenue</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payables and accrued liabilities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758.0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741.8</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debt securities by savings bank subsidiary</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made</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Proceeds from other investments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(421.2)</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(344.7)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(401.2)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439"/>
        </w:trPr>
        <w:tc>
          <w:tcPr>
            <w:tcW w:w="6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during year</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803.6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773.0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year</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773.0</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785.1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accompanying summary of significant accounting policies and notes to</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consolidated financial statements are an integral part of these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color w:val="auto"/>
                <w:w w:val="91"/>
              </w:rPr>
              <w:t>Deferred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4"/>
              </w:rPr>
              <w:t>capital in</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other</w:t>
            </w: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0"/>
              </w:rPr>
              <w:t>stock-based</w:t>
            </w:r>
          </w:p>
        </w:tc>
        <w:tc>
          <w:tcPr>
            <w:tcW w:w="1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5"/>
              </w:rPr>
              <w:t>shares</w:t>
            </w:r>
          </w:p>
        </w:tc>
        <w:tc>
          <w:tcPr>
            <w:tcW w:w="7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87"/>
              </w:rPr>
              <w:t>excess of</w:t>
            </w:r>
          </w:p>
        </w:tc>
        <w:tc>
          <w:tcPr>
            <w:tcW w:w="6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Retained</w:t>
            </w: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comprehensive</w:t>
            </w:r>
          </w:p>
        </w:tc>
        <w:tc>
          <w:tcPr>
            <w:tcW w:w="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1"/>
              </w:rPr>
              <w:t>compensation</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stockholders’</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outstanding</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1"/>
              </w:rPr>
              <w:t>stock</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0"/>
              </w:rPr>
              <w:t>par value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1"/>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6"/>
              </w:rPr>
              <w:t>expense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color w:val="auto"/>
                <w:w w:val="96"/>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279.7</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$1,683.3</w:t>
            </w:r>
          </w:p>
        </w:tc>
        <w:tc>
          <w:tcPr>
            <w:tcW w:w="26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Reclassification at adoption of SFAS 123R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stock-based compensation plans activity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Shares issued upon option exercises</w:t>
            </w:r>
          </w:p>
        </w:tc>
        <w:tc>
          <w:tcPr>
            <w:tcW w:w="940" w:type="dxa"/>
            <w:vAlign w:val="bottom"/>
          </w:tcPr>
          <w:p>
            <w:pPr>
              <w:jc w:val="right"/>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Forfeiture of restricted awards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(117.4)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in 2-for-1 split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131,547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Balances after split on June 23, 2006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263,094</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stock-based compensation plans activity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Shares issued upon option exercises</w:t>
            </w:r>
          </w:p>
        </w:tc>
        <w:tc>
          <w:tcPr>
            <w:tcW w:w="940" w:type="dxa"/>
            <w:vAlign w:val="bottom"/>
          </w:tcPr>
          <w:p>
            <w:pPr>
              <w:jc w:val="right"/>
              <w:spacing w:after="0"/>
              <w:rPr>
                <w:sz w:val="20"/>
                <w:szCs w:val="20"/>
                <w:color w:val="auto"/>
              </w:rPr>
            </w:pPr>
            <w:r>
              <w:rPr>
                <w:rFonts w:ascii="Arial" w:cs="Arial" w:eastAsia="Arial" w:hAnsi="Arial"/>
                <w:sz w:val="18"/>
                <w:szCs w:val="18"/>
                <w:color w:val="auto"/>
              </w:rPr>
              <w:t>3,227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shares issued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Income tax benefit at vesting of restricted shares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529.6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security holding gains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Balances at December 31, 2006</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264,960</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stock-based compensation plans activity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Shares issued upon option exercises</w:t>
            </w:r>
          </w:p>
        </w:tc>
        <w:tc>
          <w:tcPr>
            <w:tcW w:w="940" w:type="dxa"/>
            <w:vAlign w:val="bottom"/>
          </w:tcPr>
          <w:p>
            <w:pPr>
              <w:jc w:val="right"/>
              <w:spacing w:after="0"/>
              <w:rPr>
                <w:sz w:val="20"/>
                <w:szCs w:val="20"/>
                <w:color w:val="auto"/>
              </w:rPr>
            </w:pPr>
            <w:r>
              <w:rPr>
                <w:rFonts w:ascii="Arial" w:cs="Arial" w:eastAsia="Arial" w:hAnsi="Arial"/>
                <w:sz w:val="18"/>
                <w:szCs w:val="18"/>
                <w:color w:val="auto"/>
              </w:rPr>
              <w:t>5,508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vesting of restricted stock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Restricted shares issued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Shares withheld and tax effects at vesting of restricted</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Forfeiture of restricted awards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(6,163)</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(124.0)</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(195.5)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670.6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net unrealized security holding gains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related tax benefits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(198.8)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Balances at December 31, 2007</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264,605</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stock-based compensation plans activity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Shares issued upon option exercises</w:t>
            </w:r>
          </w:p>
        </w:tc>
        <w:tc>
          <w:tcPr>
            <w:tcW w:w="940" w:type="dxa"/>
            <w:vAlign w:val="bottom"/>
          </w:tcPr>
          <w:p>
            <w:pPr>
              <w:jc w:val="right"/>
              <w:spacing w:after="0"/>
              <w:rPr>
                <w:sz w:val="20"/>
                <w:szCs w:val="20"/>
                <w:color w:val="auto"/>
              </w:rPr>
            </w:pPr>
            <w:r>
              <w:rPr>
                <w:rFonts w:ascii="Arial" w:cs="Arial" w:eastAsia="Arial" w:hAnsi="Arial"/>
                <w:sz w:val="18"/>
                <w:szCs w:val="18"/>
                <w:color w:val="auto"/>
              </w:rPr>
              <w:t>4,895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issued upon vesting of restricted stock units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Restricted shares issued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Shares withheld and tax effects at vesting of restricted</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Forfeiture of restricted awards</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(12,948)</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(118.5)</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(488.5)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490.8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Change in net unrealized security holding gains (losses)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Total comprehensive income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related tax benefits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(248.9)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Balances at December 31, 2008</w:t>
            </w: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256,856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w:t>
            </w:r>
            <w:r>
              <w:rPr>
                <w:rFonts w:ascii="Arial" w:cs="Arial" w:eastAsia="Arial" w:hAnsi="Arial"/>
                <w:sz w:val="18"/>
                <w:szCs w:val="18"/>
                <w:u w:val="single" w:color="auto"/>
                <w:color w:val="auto"/>
              </w:rPr>
              <w:t>4</w:t>
            </w:r>
          </w:p>
        </w:tc>
        <w:tc>
          <w:tcPr>
            <w:tcW w:w="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363.</w:t>
            </w:r>
            <w:r>
              <w:rPr>
                <w:rFonts w:ascii="Arial" w:cs="Arial" w:eastAsia="Arial" w:hAnsi="Arial"/>
                <w:sz w:val="18"/>
                <w:szCs w:val="18"/>
                <w:u w:val="single" w:color="auto"/>
                <w:color w:val="auto"/>
              </w:rPr>
              <w:t>7</w:t>
            </w:r>
          </w:p>
        </w:tc>
        <w:tc>
          <w:tcPr>
            <w:tcW w:w="12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2,086.8</w:t>
            </w: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2,488.</w:t>
            </w:r>
            <w:r>
              <w:rPr>
                <w:rFonts w:ascii="Arial" w:cs="Arial" w:eastAsia="Arial" w:hAnsi="Arial"/>
                <w:sz w:val="18"/>
                <w:szCs w:val="18"/>
                <w:u w:val="single" w:color="auto"/>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The accompanying summary of significant accounting policies and notes to</w:t>
      </w:r>
    </w:p>
    <w:p>
      <w:pPr>
        <w:spacing w:after="0" w:line="2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consolidated financial statements are an integral part of these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SUMMARY OF SIGNIFICANT ACCOUNTING POLICIES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nearly 10% of our assets under management at December 31, 2008.</w:t>
      </w:r>
    </w:p>
    <w:p>
      <w:pPr>
        <w:spacing w:after="0" w:line="5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These consolidated financial statements have been prepared by our management in accordance with accounting principles generally accepted in the United States, which require the use of estimates. Actual results may vary from our estimates. We have reclassified certain prior-year amounts to be comparative with and conform to the presentation of our 2008 financial statements.</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All material intercompany accounts and transactions are eliminated in consolidation.</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not the primary beneficiary, and do not consolidate the accounts, of a high-yield collateralized bond obligation (CBO) that held assets of $20 million at December 31, 2008. This variable interest entity is a non-recourse, limited liability company for which we are the collateral manager and receive related investment advisory fees. We recognized the full impairment of this CBO investment in our 2002 statement of income and do not expect to recognize any future gains or losses from this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SPLIT.</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At the close of business on June 23, 2006, we effected a two-for-one split of our common stock by issuing additional $.20 par value shares and reclassifying the par value of the additional shares issued among our paid-in stockholders’ equity accounts. All per-share and share data in the accompanying consolidated statements of income, in these significant accounting policies, and in the accompanying notes have been adjusted to give retroactive effect to this stock split.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 and generally classify these holdings as available-for-sale.</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investments in marketable debt securities, including mortgage- and other asset-backed securities held by our savings bank subsidiary, are also classified as available-for-sale and reported at fair value. These debt securities are generally traded in the over-the-counter market. Securities with original maturities of one year or more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original maturities of less than one year generally are valued at amortized cost, which approximates fair value; however, if amortized cost is deemed not to reflect fair value, such securities are valued by us based generally on prices furnished by dealers who make markets in such securities or by an independent pricing service. Our investment valuation policies, methods and sources are the same as those employed by the sponsored mutual funds to price similar investment holdings.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Changes in net unrealized security holding gains (losses) on available-for-sale securities are recognized in accumulated other comprehensive income (loss).</w:t>
      </w:r>
    </w:p>
    <w:p>
      <w:pPr>
        <w:spacing w:after="0" w:line="14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classify marketable equity securities other than sponsored mutual funds and some investments in sponsored mutual funds made at fund formation as trading because they are expected to be held for only a short period of time. Other investments are recognized using the cost or equity methods of accounting, as appropriate.</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We review the carrying amount of each investment on a quarterly basis and recognize an impairment charge in non-operating investment income</w:t>
      </w:r>
    </w:p>
    <w:p>
      <w:pPr>
        <w:spacing w:after="0" w:line="3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 end, to overcome that presumption. We may also recognize an other than temporary charge if particular circumstances do not warrant our belief that a near-term recovery is possible.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CONCENTRATIONS OF RISK.</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3.5 years; buildings, 32.6 years; leasehold improvements, 9.1 years; furniture and other equipment, 6.6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evaluate the carrying amount of goodwill in our balance sheet for possible impairment on an annual basis in the third quarter of each year using a fair value approach. Our evaluations have indicated that no impairment exists.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Fees for investment advisory services, which are based on assets under management, and related administrative services that we provide to investment advisory clients are recognized in the period that our services are provided. Taxes billed to our clients based on our fees for services rendered are not included in revenues. Administrative revenues from distribution of our sponsored mutual funds’ Advisor and R class shares, and the corresponding operating expense for payments to third-party financial intermediaries that distribute those share classes, are recognized in the period that they are earned, which is the same period that the related mutual funds recognize their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Basic earnings per share does not include the dilutive effect of outstanding stock options, nonvested restricted common shares, and outstanding stock units, and is computed by dividing net income by the weighted average common shares outstanding of 263.8 million in 2006, 264.8 million in 2007, and</w:t>
      </w:r>
    </w:p>
    <w:p>
      <w:pPr>
        <w:ind w:right="440"/>
        <w:spacing w:after="0" w:line="302" w:lineRule="auto"/>
        <w:rPr>
          <w:sz w:val="20"/>
          <w:szCs w:val="20"/>
          <w:color w:val="auto"/>
        </w:rPr>
      </w:pPr>
      <w:r>
        <w:rPr>
          <w:rFonts w:ascii="Arial" w:cs="Arial" w:eastAsia="Arial" w:hAnsi="Arial"/>
          <w:sz w:val="16"/>
          <w:szCs w:val="16"/>
          <w:color w:val="auto"/>
        </w:rPr>
        <w:t>259.3 million in 2008. Diluted earnings per share reflects the potential dilution that could occur if outstanding stock options were exercised, restricted common shares vest, and stock units are converted to common shares. It is computed by increasing the denominator of the basic calculation by potential dilutive common shares, determined using the treasury stock method, of 14.9 million in 2006, 14.4 million in 2007, and 10.8 million in 2008.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comprehensive income is reported in our consolidated statements of stockholders’ equity and includes net income and the change in net unrealized security holding gains (losses), after income taxes (tax benefits).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STOCK AWARDS AND OPTIONS.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stockholders have approved the 2001 and 2004 Stock Incentive Plans under which we have issued restricted shares and restricted stock units that convert to shares after vesting. These employee awards have been issued at the grant date fair value and vest over graded schedules of up to four years.</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2001 and 2004 Stock Incentive Plans and six other stockholder approved plans (the 1990, 1993 and 1996 Stock Incentive Plans and the 1995, 1998 and 2007 plans for non-employee directors), we have granted qualified incentive and nonqualified fixed stock options with a maximum term of 10 years to employees and directors. Vesting of our annual employee option grants is based solely on the individual continuing to render service and generally occurs over a five-year graded schedule. The exercise price of each option granted is equivalent to the market price of the common stock at the date of grant. Under the 2007 Non-Employee Director Equity Plan, we also grant restricted shares and restricted stock units that vest over one year. Vested stock units are issued as dividend-equivalents on stock units held by non-employee directors.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ind w:right="320"/>
        <w:spacing w:after="0" w:line="286" w:lineRule="auto"/>
        <w:rPr>
          <w:sz w:val="20"/>
          <w:szCs w:val="20"/>
          <w:color w:val="auto"/>
        </w:rPr>
      </w:pPr>
      <w:r>
        <w:rPr>
          <w:rFonts w:ascii="Arial" w:cs="Arial" w:eastAsia="Arial" w:hAnsi="Arial"/>
          <w:sz w:val="17"/>
          <w:szCs w:val="17"/>
          <w:color w:val="auto"/>
        </w:rPr>
        <w:t>Net income includes a charge for stock option-based compensation expense of $59.2 million in 2006, $71.8 million in 2007, and $71.7 million in 2008, including $6.1 million, $8.6 million, and $5.6 million, respectively, for reload option grants. In recognizing stock option-based compensation expense, we used the Black-Scholes option-pricing model to estimate the fair value of each option grant, including reloads,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Weighted-average</w:t>
            </w:r>
          </w:p>
        </w:tc>
        <w:tc>
          <w:tcPr>
            <w:tcW w:w="11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560" w:type="dxa"/>
            <w:vAlign w:val="bottom"/>
          </w:tcPr>
          <w:p>
            <w:pPr>
              <w:jc w:val="right"/>
              <w:ind w:right="513"/>
              <w:spacing w:after="0"/>
              <w:rPr>
                <w:sz w:val="20"/>
                <w:szCs w:val="20"/>
                <w:color w:val="auto"/>
              </w:rPr>
            </w:pPr>
            <w:r>
              <w:rPr>
                <w:rFonts w:ascii="Arial" w:cs="Arial" w:eastAsia="Arial" w:hAnsi="Arial"/>
                <w:sz w:val="14"/>
                <w:szCs w:val="14"/>
                <w:color w:val="auto"/>
              </w:rPr>
              <w:t>Range</w:t>
            </w:r>
          </w:p>
        </w:tc>
      </w:tr>
      <w:tr>
        <w:trPr>
          <w:trHeight w:val="142"/>
        </w:trPr>
        <w:tc>
          <w:tcPr>
            <w:tcW w:w="5400" w:type="dxa"/>
            <w:vAlign w:val="bottom"/>
          </w:tcPr>
          <w:p>
            <w:pPr>
              <w:spacing w:after="0"/>
              <w:rPr>
                <w:sz w:val="12"/>
                <w:szCs w:val="12"/>
                <w:color w:val="auto"/>
              </w:rPr>
            </w:pPr>
          </w:p>
        </w:tc>
        <w:tc>
          <w:tcPr>
            <w:tcW w:w="1160" w:type="dxa"/>
            <w:vAlign w:val="bottom"/>
          </w:tcPr>
          <w:p>
            <w:pPr>
              <w:jc w:val="right"/>
              <w:ind w:right="433"/>
              <w:spacing w:after="0" w:line="142" w:lineRule="exact"/>
              <w:rPr>
                <w:sz w:val="20"/>
                <w:szCs w:val="20"/>
                <w:color w:val="auto"/>
              </w:rPr>
            </w:pPr>
            <w:r>
              <w:rPr>
                <w:rFonts w:ascii="Arial" w:cs="Arial" w:eastAsia="Arial" w:hAnsi="Arial"/>
                <w:sz w:val="14"/>
                <w:szCs w:val="14"/>
                <w:color w:val="auto"/>
              </w:rPr>
              <w:t>2006</w:t>
            </w:r>
          </w:p>
        </w:tc>
        <w:tc>
          <w:tcPr>
            <w:tcW w:w="1680" w:type="dxa"/>
            <w:vAlign w:val="bottom"/>
          </w:tcPr>
          <w:p>
            <w:pPr>
              <w:jc w:val="right"/>
              <w:ind w:right="615"/>
              <w:spacing w:after="0" w:line="142" w:lineRule="exact"/>
              <w:rPr>
                <w:sz w:val="20"/>
                <w:szCs w:val="20"/>
                <w:color w:val="auto"/>
              </w:rPr>
            </w:pPr>
            <w:r>
              <w:rPr>
                <w:rFonts w:ascii="Arial" w:cs="Arial" w:eastAsia="Arial" w:hAnsi="Arial"/>
                <w:sz w:val="14"/>
                <w:szCs w:val="14"/>
                <w:color w:val="auto"/>
              </w:rPr>
              <w:t>2007</w:t>
            </w:r>
          </w:p>
        </w:tc>
        <w:tc>
          <w:tcPr>
            <w:tcW w:w="1140" w:type="dxa"/>
            <w:vAlign w:val="bottom"/>
          </w:tcPr>
          <w:p>
            <w:pPr>
              <w:jc w:val="right"/>
              <w:ind w:right="273"/>
              <w:spacing w:after="0" w:line="142" w:lineRule="exact"/>
              <w:rPr>
                <w:sz w:val="20"/>
                <w:szCs w:val="20"/>
                <w:color w:val="auto"/>
              </w:rPr>
            </w:pPr>
            <w:r>
              <w:rPr>
                <w:rFonts w:ascii="Arial" w:cs="Arial" w:eastAsia="Arial" w:hAnsi="Arial"/>
                <w:sz w:val="14"/>
                <w:szCs w:val="14"/>
                <w:color w:val="auto"/>
              </w:rPr>
              <w:t>2008</w:t>
            </w:r>
          </w:p>
        </w:tc>
        <w:tc>
          <w:tcPr>
            <w:tcW w:w="2040" w:type="dxa"/>
            <w:vAlign w:val="bottom"/>
            <w:gridSpan w:val="2"/>
          </w:tcPr>
          <w:p>
            <w:pPr>
              <w:jc w:val="right"/>
              <w:ind w:right="553"/>
              <w:spacing w:after="0" w:line="142" w:lineRule="exact"/>
              <w:rPr>
                <w:sz w:val="20"/>
                <w:szCs w:val="20"/>
                <w:color w:val="auto"/>
              </w:rPr>
            </w:pPr>
            <w:r>
              <w:rPr>
                <w:rFonts w:ascii="Arial" w:cs="Arial" w:eastAsia="Arial" w:hAnsi="Arial"/>
                <w:sz w:val="14"/>
                <w:szCs w:val="14"/>
                <w:color w:val="auto"/>
              </w:rPr>
              <w:t>2008</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per option awarded, including reload grants</w:t>
            </w:r>
          </w:p>
        </w:tc>
        <w:tc>
          <w:tcPr>
            <w:tcW w:w="116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$12.42</w:t>
            </w:r>
          </w:p>
        </w:tc>
        <w:tc>
          <w:tcPr>
            <w:tcW w:w="1680" w:type="dxa"/>
            <w:vAlign w:val="bottom"/>
            <w:tcBorders>
              <w:top w:val="single" w:sz="8" w:color="auto"/>
            </w:tcBorders>
            <w:shd w:val="clear" w:color="auto" w:fill="CCEEFF"/>
          </w:tcPr>
          <w:p>
            <w:pPr>
              <w:jc w:val="right"/>
              <w:ind w:right="575"/>
              <w:spacing w:after="0"/>
              <w:rPr>
                <w:sz w:val="20"/>
                <w:szCs w:val="20"/>
                <w:color w:val="auto"/>
              </w:rPr>
            </w:pPr>
            <w:r>
              <w:rPr>
                <w:rFonts w:ascii="Arial" w:cs="Arial" w:eastAsia="Arial" w:hAnsi="Arial"/>
                <w:sz w:val="18"/>
                <w:szCs w:val="18"/>
                <w:color w:val="auto"/>
              </w:rPr>
              <w:t>$12.31</w:t>
            </w:r>
          </w:p>
        </w:tc>
        <w:tc>
          <w:tcPr>
            <w:tcW w:w="114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$13.51</w:t>
            </w:r>
          </w:p>
        </w:tc>
        <w:tc>
          <w:tcPr>
            <w:tcW w:w="48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$2.36 to 20.08</w:t>
            </w: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Assumptions used:</w:t>
            </w: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in years</w:t>
            </w:r>
          </w:p>
        </w:tc>
        <w:tc>
          <w:tcPr>
            <w:tcW w:w="116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5.5</w:t>
            </w:r>
          </w:p>
        </w:tc>
        <w:tc>
          <w:tcPr>
            <w:tcW w:w="168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5.4</w:t>
            </w:r>
          </w:p>
        </w:tc>
        <w:tc>
          <w:tcPr>
            <w:tcW w:w="11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5.9</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.3 to 8.6</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26%</w:t>
            </w:r>
          </w:p>
        </w:tc>
        <w:tc>
          <w:tcPr>
            <w:tcW w:w="1680" w:type="dxa"/>
            <w:vAlign w:val="bottom"/>
          </w:tcPr>
          <w:p>
            <w:pPr>
              <w:jc w:val="right"/>
              <w:ind w:right="415"/>
              <w:spacing w:after="0"/>
              <w:rPr>
                <w:sz w:val="20"/>
                <w:szCs w:val="20"/>
                <w:color w:val="auto"/>
              </w:rPr>
            </w:pPr>
            <w:r>
              <w:rPr>
                <w:rFonts w:ascii="Arial" w:cs="Arial" w:eastAsia="Arial" w:hAnsi="Arial"/>
                <w:sz w:val="18"/>
                <w:szCs w:val="18"/>
                <w:color w:val="auto"/>
              </w:rPr>
              <w:t>23%</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19 to 41%</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1.7%</w:t>
            </w:r>
          </w:p>
        </w:tc>
        <w:tc>
          <w:tcPr>
            <w:tcW w:w="168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1.7%</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 to 2.5%</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jc w:val="right"/>
              <w:ind w:right="233"/>
              <w:spacing w:after="0"/>
              <w:rPr>
                <w:sz w:val="20"/>
                <w:szCs w:val="20"/>
                <w:color w:val="auto"/>
              </w:rPr>
            </w:pPr>
            <w:r>
              <w:rPr>
                <w:rFonts w:ascii="Arial" w:cs="Arial" w:eastAsia="Arial" w:hAnsi="Arial"/>
                <w:sz w:val="18"/>
                <w:szCs w:val="18"/>
                <w:color w:val="auto"/>
              </w:rPr>
              <w:t>4.6%</w:t>
            </w:r>
          </w:p>
        </w:tc>
        <w:tc>
          <w:tcPr>
            <w:tcW w:w="1680" w:type="dxa"/>
            <w:vAlign w:val="bottom"/>
          </w:tcPr>
          <w:p>
            <w:pPr>
              <w:jc w:val="right"/>
              <w:ind w:right="415"/>
              <w:spacing w:after="0"/>
              <w:rPr>
                <w:sz w:val="20"/>
                <w:szCs w:val="20"/>
                <w:color w:val="auto"/>
              </w:rPr>
            </w:pPr>
            <w:r>
              <w:rPr>
                <w:rFonts w:ascii="Arial" w:cs="Arial" w:eastAsia="Arial" w:hAnsi="Arial"/>
                <w:sz w:val="18"/>
                <w:szCs w:val="18"/>
                <w:color w:val="auto"/>
              </w:rPr>
              <w:t>4.3%</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0"/>
                <w:szCs w:val="20"/>
                <w:color w:val="auto"/>
              </w:rPr>
            </w:pPr>
          </w:p>
        </w:tc>
        <w:tc>
          <w:tcPr>
            <w:tcW w:w="1560" w:type="dxa"/>
            <w:vAlign w:val="bottom"/>
          </w:tcPr>
          <w:p>
            <w:pPr>
              <w:jc w:val="right"/>
              <w:ind w:right="73"/>
              <w:spacing w:after="0"/>
              <w:rPr>
                <w:sz w:val="20"/>
                <w:szCs w:val="20"/>
                <w:color w:val="auto"/>
              </w:rPr>
            </w:pPr>
            <w:r>
              <w:rPr>
                <w:rFonts w:ascii="Arial" w:cs="Arial" w:eastAsia="Arial" w:hAnsi="Arial"/>
                <w:sz w:val="18"/>
                <w:szCs w:val="18"/>
                <w:color w:val="auto"/>
              </w:rPr>
              <w:t>.8 to 3.8%</w:t>
            </w:r>
          </w:p>
        </w:tc>
      </w:tr>
    </w:tbl>
    <w:p>
      <w:pPr>
        <w:spacing w:after="0" w:line="7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expected life assumptions are based on the vesting period for each option grant and our historical experience with respect to the average holding period from vesting to option exercise. The assumptions for expected volatility and dividend yield are based on recent historical experience over the same periods as our expected lives. Risk-free interest rates are set using grant-date U.S. Treasury yield curves for the same periods as our expected lives.</w:t>
      </w:r>
    </w:p>
    <w:p>
      <w:pPr>
        <w:spacing w:after="0" w:line="3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recognized compensation expense for stock-based awards other than stock options of $1.8 million in 2006, $8.0 million in 2007, and $13.8 million in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117"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Cash equivalent investments in our sponsored money market mutual funds aggregate $710.0 million at December 31, 2007, and $555.6 million at December 31, 2008. Dividends earned on these investments totaled $35.4 million in 2006, $38.0 million in 2007, and $17.5 million in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$144.6 million at December 31, 2007, and $95.0 million at December 31, 2008.</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investment advisory services provided under agreements with our sponsored mutual funds and other investment clients include: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1020" w:type="dxa"/>
            <w:vAlign w:val="bottom"/>
            <w:gridSpan w:val="2"/>
          </w:tcPr>
          <w:p>
            <w:pPr>
              <w:jc w:val="right"/>
              <w:ind w:right="11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937.5</w:t>
            </w:r>
          </w:p>
        </w:tc>
        <w:tc>
          <w:tcPr>
            <w:tcW w:w="6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$ 1,168.7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$ 1,031.4</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r>
      <w:tr>
        <w:trPr>
          <w:trHeight w:val="223"/>
        </w:trPr>
        <w:tc>
          <w:tcPr>
            <w:tcW w:w="7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1,093.1</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415.4</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522.2</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1,508.5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$ 1,879.1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$ 1,761.0</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Average during</w:t>
            </w:r>
          </w:p>
        </w:tc>
        <w:tc>
          <w:tcPr>
            <w:tcW w:w="11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color w:val="auto"/>
                <w:w w:val="95"/>
              </w:rPr>
              <w:t>December 31,</w:t>
            </w:r>
          </w:p>
        </w:tc>
      </w:tr>
      <w:tr>
        <w:trPr>
          <w:trHeight w:val="142"/>
        </w:trPr>
        <w:tc>
          <w:tcPr>
            <w:tcW w:w="4440" w:type="dxa"/>
            <w:vAlign w:val="bottom"/>
          </w:tcPr>
          <w:p>
            <w:pPr>
              <w:spacing w:after="0"/>
              <w:rPr>
                <w:sz w:val="12"/>
                <w:szCs w:val="12"/>
                <w:color w:val="auto"/>
              </w:rPr>
            </w:pPr>
          </w:p>
        </w:tc>
        <w:tc>
          <w:tcPr>
            <w:tcW w:w="11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2006</w:t>
            </w:r>
          </w:p>
        </w:tc>
        <w:tc>
          <w:tcPr>
            <w:tcW w:w="170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color w:val="auto"/>
              </w:rPr>
              <w:t>2007</w:t>
            </w:r>
          </w:p>
        </w:tc>
        <w:tc>
          <w:tcPr>
            <w:tcW w:w="11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2008</w:t>
            </w:r>
          </w:p>
        </w:tc>
        <w:tc>
          <w:tcPr>
            <w:tcW w:w="480" w:type="dxa"/>
            <w:vAlign w:val="bottom"/>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2007</w:t>
            </w:r>
          </w:p>
        </w:tc>
        <w:tc>
          <w:tcPr>
            <w:tcW w:w="17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color w:val="auto"/>
              </w:rPr>
              <w:t>2008</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44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$152.2</w:t>
            </w:r>
          </w:p>
        </w:tc>
        <w:tc>
          <w:tcPr>
            <w:tcW w:w="1700" w:type="dxa"/>
            <w:vAlign w:val="bottom"/>
          </w:tcPr>
          <w:p>
            <w:pPr>
              <w:jc w:val="right"/>
              <w:ind w:right="555"/>
              <w:spacing w:after="0"/>
              <w:rPr>
                <w:sz w:val="20"/>
                <w:szCs w:val="20"/>
                <w:color w:val="auto"/>
              </w:rPr>
            </w:pPr>
            <w:r>
              <w:rPr>
                <w:rFonts w:ascii="Arial" w:cs="Arial" w:eastAsia="Arial" w:hAnsi="Arial"/>
                <w:sz w:val="18"/>
                <w:szCs w:val="18"/>
                <w:color w:val="auto"/>
              </w:rPr>
              <w:t>$191.1</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$168.6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720" w:type="dxa"/>
            <w:vAlign w:val="bottom"/>
          </w:tcPr>
          <w:p>
            <w:pPr>
              <w:jc w:val="right"/>
              <w:ind w:right="215"/>
              <w:spacing w:after="0"/>
              <w:rPr>
                <w:sz w:val="20"/>
                <w:szCs w:val="20"/>
                <w:color w:val="auto"/>
              </w:rPr>
            </w:pPr>
            <w:r>
              <w:rPr>
                <w:rFonts w:ascii="Arial" w:cs="Arial" w:eastAsia="Arial" w:hAnsi="Arial"/>
                <w:sz w:val="18"/>
                <w:szCs w:val="18"/>
                <w:color w:val="auto"/>
              </w:rPr>
              <w:t>$117.9</w:t>
            </w:r>
          </w:p>
        </w:tc>
      </w:tr>
      <w:tr>
        <w:trPr>
          <w:trHeight w:val="216"/>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35.4</w:t>
            </w:r>
          </w:p>
        </w:tc>
        <w:tc>
          <w:tcPr>
            <w:tcW w:w="17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41.7</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47.5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7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46.5</w:t>
            </w:r>
          </w:p>
        </w:tc>
      </w:tr>
      <w:tr>
        <w:trPr>
          <w:trHeight w:val="223"/>
        </w:trPr>
        <w:tc>
          <w:tcPr>
            <w:tcW w:w="4440" w:type="dxa"/>
            <w:vAlign w:val="bottom"/>
          </w:tcPr>
          <w:p>
            <w:pPr>
              <w:spacing w:after="0"/>
              <w:rPr>
                <w:sz w:val="19"/>
                <w:szCs w:val="19"/>
                <w:color w:val="auto"/>
              </w:rPr>
            </w:pPr>
          </w:p>
        </w:tc>
        <w:tc>
          <w:tcPr>
            <w:tcW w:w="1120" w:type="dxa"/>
            <w:vAlign w:val="bottom"/>
            <w:tcBorders>
              <w:top w:val="single" w:sz="8" w:color="auto"/>
            </w:tcBorders>
          </w:tcPr>
          <w:p>
            <w:pPr>
              <w:jc w:val="right"/>
              <w:ind w:right="333"/>
              <w:spacing w:after="0"/>
              <w:rPr>
                <w:sz w:val="20"/>
                <w:szCs w:val="20"/>
                <w:color w:val="auto"/>
              </w:rPr>
            </w:pPr>
            <w:r>
              <w:rPr>
                <w:rFonts w:ascii="Arial" w:cs="Arial" w:eastAsia="Arial" w:hAnsi="Arial"/>
                <w:sz w:val="18"/>
                <w:szCs w:val="18"/>
                <w:color w:val="auto"/>
              </w:rPr>
              <w:t>187.6</w:t>
            </w:r>
          </w:p>
        </w:tc>
        <w:tc>
          <w:tcPr>
            <w:tcW w:w="170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232.8</w:t>
            </w:r>
          </w:p>
        </w:tc>
        <w:tc>
          <w:tcPr>
            <w:tcW w:w="116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216.1</w:t>
            </w:r>
          </w:p>
        </w:tc>
        <w:tc>
          <w:tcPr>
            <w:tcW w:w="4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72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164.4</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112.1</w:t>
            </w:r>
          </w:p>
        </w:tc>
        <w:tc>
          <w:tcPr>
            <w:tcW w:w="17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141.4</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7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111.9</w:t>
            </w:r>
          </w:p>
        </w:tc>
      </w:tr>
      <w:tr>
        <w:trPr>
          <w:trHeight w:val="223"/>
        </w:trPr>
        <w:tc>
          <w:tcPr>
            <w:tcW w:w="44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$299.7</w:t>
            </w:r>
          </w:p>
        </w:tc>
        <w:tc>
          <w:tcPr>
            <w:tcW w:w="17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rPr>
              <w:t>$374.2</w:t>
            </w:r>
          </w:p>
        </w:tc>
        <w:tc>
          <w:tcPr>
            <w:tcW w:w="11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rPr>
              <w:t>$358.2</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7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8"/>
                <w:szCs w:val="18"/>
                <w:color w:val="auto"/>
              </w:rPr>
              <w:t>$276.3</w:t>
            </w:r>
          </w:p>
        </w:tc>
      </w:tr>
      <w:tr>
        <w:trPr>
          <w:trHeight w:val="20"/>
        </w:trPr>
        <w:tc>
          <w:tcPr>
            <w:tcW w:w="4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Fees for advisory-related administrative services provided to our sponsored mutual funds were $239.9 million in 2006, $273.9 million in 2007, and</w:t>
      </w:r>
    </w:p>
    <w:p>
      <w:pPr>
        <w:spacing w:after="0" w:line="35"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$282.6 million in 2008. We provide all services to the sponsored U.S. mutual funds under contracts that are subject to periodic review and approval by each of the funds’ boards. Regulations require that the funds’ shareholders also approve material changes to investment advisory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vMerge w:val="restart"/>
          </w:tcPr>
          <w:p>
            <w:pPr>
              <w:jc w:val="right"/>
              <w:ind w:right="740"/>
              <w:spacing w:after="0"/>
              <w:rPr>
                <w:sz w:val="20"/>
                <w:szCs w:val="20"/>
                <w:color w:val="auto"/>
              </w:rPr>
            </w:pPr>
            <w:r>
              <w:rPr>
                <w:rFonts w:ascii="Arial" w:cs="Arial" w:eastAsia="Arial" w:hAnsi="Arial"/>
                <w:sz w:val="14"/>
                <w:szCs w:val="14"/>
                <w:color w:val="auto"/>
              </w:rPr>
              <w:t>Unrealized holding</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0"/>
              </w:rPr>
              <w:t>Losses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114.7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Unrealized holding losses are considered temporary and are attributable to fund holdings with an aggregate fair value of $7.5 million at December 31, 2007, and $195.2 million at December 31, 2008. Unrealized losses incurred in the second half of 2008 totaling $30.1 million on investments valued at</w:t>
      </w:r>
    </w:p>
    <w:p>
      <w:pPr>
        <w:ind w:right="460"/>
        <w:spacing w:after="0" w:line="255" w:lineRule="auto"/>
        <w:rPr>
          <w:sz w:val="20"/>
          <w:szCs w:val="20"/>
          <w:color w:val="auto"/>
        </w:rPr>
      </w:pPr>
      <w:r>
        <w:rPr>
          <w:rFonts w:ascii="Arial" w:cs="Arial" w:eastAsia="Arial" w:hAnsi="Arial"/>
          <w:sz w:val="18"/>
          <w:szCs w:val="18"/>
          <w:color w:val="auto"/>
        </w:rPr>
        <w:t>$115.9 million at December 31, 2008, have been temporarily impaired on a continuous basis from September 30, 2008. The remaining unrealized losses totaling $10.2 million were incurred in the fourth quarter of 2008 on fund investments valued at $79.3 million. See Note 11 for information regarding investment gains (losses) during the last three years.</w:t>
      </w:r>
    </w:p>
    <w:p>
      <w:pPr>
        <w:spacing w:after="0" w:line="8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$3.7 million in 2006, $8.3 million in 2007, and $10.4 million in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year end.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2008</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9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ind w:left="20"/>
              <w:spacing w:after="0" w:line="123" w:lineRule="exact"/>
              <w:rPr>
                <w:sz w:val="20"/>
                <w:szCs w:val="20"/>
                <w:color w:val="auto"/>
              </w:rPr>
            </w:pPr>
            <w:r>
              <w:rPr>
                <w:rFonts w:ascii="Arial" w:cs="Arial" w:eastAsia="Arial" w:hAnsi="Arial"/>
                <w:sz w:val="14"/>
                <w:szCs w:val="14"/>
                <w:color w:val="auto"/>
                <w:w w:val="95"/>
              </w:rPr>
              <w:t>Unrealized</w:t>
            </w:r>
          </w:p>
        </w:tc>
        <w:tc>
          <w:tcPr>
            <w:tcW w:w="100" w:type="dxa"/>
            <w:vAlign w:val="bottom"/>
          </w:tcPr>
          <w:p>
            <w:pPr>
              <w:spacing w:after="0"/>
              <w:rPr>
                <w:sz w:val="10"/>
                <w:szCs w:val="10"/>
                <w:color w:val="auto"/>
              </w:rPr>
            </w:pPr>
          </w:p>
        </w:tc>
      </w:tr>
      <w:tr>
        <w:trPr>
          <w:trHeight w:val="149"/>
        </w:trPr>
        <w:tc>
          <w:tcPr>
            <w:tcW w:w="4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Fair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gain</w:t>
            </w: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Fair</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gain</w:t>
            </w:r>
          </w:p>
        </w:tc>
      </w:tr>
      <w:tr>
        <w:trPr>
          <w:trHeight w:val="167"/>
        </w:trPr>
        <w:tc>
          <w:tcPr>
            <w:tcW w:w="4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value</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40"/>
              <w:spacing w:after="0"/>
              <w:rPr>
                <w:sz w:val="20"/>
                <w:szCs w:val="20"/>
                <w:color w:val="auto"/>
              </w:rPr>
            </w:pPr>
            <w:r>
              <w:rPr>
                <w:rFonts w:ascii="Arial" w:cs="Arial" w:eastAsia="Arial" w:hAnsi="Arial"/>
                <w:sz w:val="14"/>
                <w:szCs w:val="14"/>
                <w:color w:val="auto"/>
              </w:rPr>
              <w:t>(loss)</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(loss)</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of</w:t>
            </w:r>
          </w:p>
        </w:tc>
        <w:tc>
          <w:tcPr>
            <w:tcW w:w="16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Less than 12 months (59 securities in 2008)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 (32 securities in 2008)</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4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16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have the ability and intent to hold these securities to their maturities, which generally correlate to the maturities of our customer deposits, and to collect all contractual cash flows. Accordingly, impairment of these investments is considered temporary.</w:t>
      </w:r>
    </w:p>
    <w:p>
      <w:pPr>
        <w:spacing w:after="0" w:line="73"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$115.8 million at December 31, 2007, and $162.3 million at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02"/>
        </w:trPr>
        <w:tc>
          <w:tcPr>
            <w:tcW w:w="9280" w:type="dxa"/>
            <w:vAlign w:val="bottom"/>
          </w:tcPr>
          <w:p>
            <w:pPr>
              <w:spacing w:after="0" w:line="201" w:lineRule="exact"/>
              <w:rPr>
                <w:sz w:val="20"/>
                <w:szCs w:val="20"/>
                <w:color w:val="auto"/>
              </w:rPr>
            </w:pPr>
            <w:r>
              <w:rPr>
                <w:rFonts w:ascii="Arial" w:cs="Arial" w:eastAsia="Arial" w:hAnsi="Arial"/>
                <w:sz w:val="18"/>
                <w:szCs w:val="18"/>
                <w:color w:val="auto"/>
                <w:w w:val="99"/>
              </w:rPr>
              <w:t>U.S. Treasury Notes accounted for as held-to-maturity, $70 million face amount, $72.5 million fair value, at amortized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280" w:type="dxa"/>
            <w:vAlign w:val="bottom"/>
          </w:tcPr>
          <w:p>
            <w:pPr>
              <w:ind w:left="220"/>
              <w:spacing w:after="0"/>
              <w:rPr>
                <w:sz w:val="20"/>
                <w:szCs w:val="20"/>
                <w:color w:val="auto"/>
              </w:rPr>
            </w:pPr>
            <w:r>
              <w:rPr>
                <w:rFonts w:ascii="Arial" w:cs="Arial" w:eastAsia="Arial" w:hAnsi="Arial"/>
                <w:sz w:val="18"/>
                <w:szCs w:val="18"/>
                <w:color w:val="auto"/>
              </w:rPr>
              <w:t>cost plus accrued interest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70.6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marketable equity securities held as trading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other investments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9</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U.S. Treasury Notes totaling $30 million matured during 2008. The historically low interest rate environment of late 2008 resulted in substantial capital appreciation on our remaining U.S. Treasury Note holdings of $40 million, which we sold in December 2008 at a $2.6 million gain.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had outstanding commitments to fund additional investments totaling $31.5 million at December 31,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determine the fair value of our investments using three broad levels of inputs as defined in Statement of Financial Accounting Standards (SFAS) No. 157,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6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the investments. The following table summarizes our investments (in millions) at December 31, 2008, that are recognized in our balance sheet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5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7"/>
              </w:rPr>
              <w:t>Level 1</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w w:val="97"/>
              </w:rPr>
              <w:t>Level 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 as available-for-sale</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220"/>
              <w:spacing w:after="0"/>
              <w:rPr>
                <w:sz w:val="20"/>
                <w:szCs w:val="20"/>
                <w:color w:val="auto"/>
              </w:rPr>
            </w:pPr>
            <w:r>
              <w:rPr>
                <w:rFonts w:ascii="Arial" w:cs="Arial" w:eastAsia="Arial" w:hAnsi="Arial"/>
                <w:sz w:val="18"/>
                <w:szCs w:val="18"/>
                <w:color w:val="auto"/>
              </w:rPr>
              <w:t>Held as trading</w:t>
            </w:r>
          </w:p>
        </w:tc>
        <w:tc>
          <w:tcPr>
            <w:tcW w:w="4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1,070.4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4780" w:type="dxa"/>
            <w:vAlign w:val="bottom"/>
            <w:vMerge w:val="restart"/>
          </w:tcPr>
          <w:p>
            <w:pPr>
              <w:jc w:val="right"/>
              <w:ind w:right="33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0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500" w:type="dxa"/>
            <w:vAlign w:val="bottom"/>
            <w:tcBorders>
              <w:bottom w:val="single" w:sz="8" w:color="808080"/>
            </w:tcBorders>
          </w:tcPr>
          <w:p>
            <w:pPr>
              <w:spacing w:after="0"/>
              <w:rPr>
                <w:sz w:val="19"/>
                <w:szCs w:val="19"/>
                <w:color w:val="auto"/>
              </w:rPr>
            </w:pPr>
          </w:p>
        </w:tc>
        <w:tc>
          <w:tcPr>
            <w:tcW w:w="4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NOTE 7 — 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(in millions) at December 31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communications software and equipment</w:t>
            </w: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204.2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272.8</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Furniture and other equipment</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97.0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Leased land</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291.8</w:t>
            </w:r>
          </w:p>
        </w:tc>
      </w:tr>
      <w:tr>
        <w:trPr>
          <w:trHeight w:val="27"/>
        </w:trPr>
        <w:tc>
          <w:tcPr>
            <w:tcW w:w="66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w:t>
            </w:r>
          </w:p>
        </w:tc>
      </w:tr>
      <w:tr>
        <w:trPr>
          <w:trHeight w:val="20"/>
        </w:trPr>
        <w:tc>
          <w:tcPr>
            <w:tcW w:w="6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$7.7 million in 2006, $8.9 million in 2007, and $10.9 million in 2008 have been capitalized.</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rent computer and other equipment under noncancelable operating leases. Related rental expense was $24.1 million in 2006, $25.6 million in 2007, and $27.0 million in 2008. Future minimum payments under these leases aggregate $25.7 million in 2009, $24.6 million in 2010, $23.7 million in 2011, $22.1 million in 2012, $19.9 million in 2013, and $80.9 million in later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INTANGIBLE ASSETS.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Other assets include the unamortized cost of customer-relationship intangible assets totaling $3.1 million at December 31, 2007, and $2.5 million at December 31, 2008. In 2006, we acquired customer relationships with assets under management of $.1 billion in separate accounts, and $.8 billion in mutual fund accounts from two fund groups that merged into our sponsored mutual funds. We paid $4.1 million as part of these three transactions and recognized the related intangible assets, which are amortized on a straight-line basis over 2.5 years for the acquired separate account customer relationships and over 8 years for the acquired mutual fund customer relationships.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9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0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U.S. federal and foreign</w:t>
            </w:r>
          </w:p>
        </w:tc>
        <w:tc>
          <w:tcPr>
            <w:tcW w:w="3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301.9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368.6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299.5</w:t>
            </w: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2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Deferred income tax benefits</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(19.0)</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r>
      <w:tr>
        <w:trPr>
          <w:trHeight w:val="27"/>
        </w:trPr>
        <w:tc>
          <w:tcPr>
            <w:tcW w:w="50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305.4</w:t>
            </w:r>
          </w:p>
        </w:tc>
      </w:tr>
      <w:tr>
        <w:trPr>
          <w:trHeight w:val="20"/>
        </w:trPr>
        <w:tc>
          <w:tcPr>
            <w:tcW w:w="50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accounting policy with respect to interest and penalties arising from income tax settlements is to recognize them as part of our provision for income taxes.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Deferred income taxes arise from temporary differences between taxable income for financial statement and income tax return purposes. Deferred tax benefits include $17.8 million in 2006, $24.9 million in 2007, and $21.4 million in 2008 relating to the recognition of stock option-based compensation expense. Deferred tax benefits of $31.4 million in 2008 are attributable to investment income (loss) recognition differences, primarily related to other than temporary impairments recognized on our sponsored mutual fund investments. Partially offsetting the deferred tax benefits in 2007 were deferred taxes of $8.1 million from the reversal of temporary differences related to property and equipment and the use of foreign net operating loss carryforwards. In 2008, deferred taxes of $17.9 million relating to property and equipment partially offset deferred tax benefits.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net deferred tax asset recognized in our balance sheet in other assets includes the following (in millions)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Arising from net unrealized holding gains</w:t>
            </w:r>
          </w:p>
        </w:tc>
        <w:tc>
          <w:tcPr>
            <w:tcW w:w="3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property and equipment</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Other</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0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stock-based compensation</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Related to investment income (loss)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property and equipment</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Related to accrued compensation</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Arising from net unrealized holding losses</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Foreign net operating loss carryforwards</w:t>
            </w:r>
          </w:p>
        </w:tc>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3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r>
              <w:rPr>
                <w:rFonts w:ascii="Arial" w:cs="Arial" w:eastAsia="Arial" w:hAnsi="Arial"/>
                <w:sz w:val="18"/>
                <w:szCs w:val="18"/>
                <w:u w:val="single" w:color="auto"/>
                <w:color w:val="auto"/>
              </w:rPr>
              <w:t>6</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Other assets also includes tax refund receivables of $41.7 million at December 31, 2007, and $46.2 million at December 31,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$272.8 million in 2006, $329.6 million in 2007, and $289.9 million in 2008.</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operating activities include income tax benefits of $66.8 million in 2006, $96.9 million in 2007, and $70.3 million in 2008 arising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plans activity that reduced the amount of income taxes that would have otherwise been payable. Operating cash outflows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payables and accrued liabilities and financing cash inflows from common share issuances under stock-based compensation plans include tax benefits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$65.7 million in 2006, $94.9 million in 2007, and $68.7 million in 2008. These tax benefits have been recognized in stockholders’ equity as additional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excess of par value.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38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3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2007</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2008</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9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13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980" w:type="dxa"/>
            <w:vAlign w:val="bottom"/>
            <w:gridSpan w:val="3"/>
          </w:tcPr>
          <w:p>
            <w:pPr>
              <w:jc w:val="right"/>
              <w:ind w:right="230"/>
              <w:spacing w:after="0"/>
              <w:rPr>
                <w:sz w:val="20"/>
                <w:szCs w:val="20"/>
                <w:color w:val="auto"/>
              </w:rPr>
            </w:pPr>
            <w:r>
              <w:rPr>
                <w:rFonts w:ascii="Arial" w:cs="Arial" w:eastAsia="Arial" w:hAnsi="Arial"/>
                <w:sz w:val="18"/>
                <w:szCs w:val="18"/>
                <w:color w:val="auto"/>
              </w:rPr>
              <w:t>2.7</w:t>
            </w:r>
          </w:p>
        </w:tc>
        <w:tc>
          <w:tcPr>
            <w:tcW w:w="1360" w:type="dxa"/>
            <w:vAlign w:val="bottom"/>
            <w:gridSpan w:val="6"/>
          </w:tcPr>
          <w:p>
            <w:pPr>
              <w:jc w:val="right"/>
              <w:ind w:right="7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98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.6</w:t>
            </w:r>
          </w:p>
        </w:tc>
        <w:tc>
          <w:tcPr>
            <w:tcW w:w="1360" w:type="dxa"/>
            <w:vAlign w:val="bottom"/>
            <w:gridSpan w:val="6"/>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38.3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880" w:type="dxa"/>
            <w:vAlign w:val="bottom"/>
            <w:gridSpan w:val="2"/>
          </w:tcPr>
          <w:p>
            <w:pPr>
              <w:spacing w:after="0"/>
              <w:rPr>
                <w:sz w:val="19"/>
                <w:szCs w:val="19"/>
                <w:color w:val="auto"/>
              </w:rPr>
            </w:pPr>
          </w:p>
        </w:tc>
        <w:tc>
          <w:tcPr>
            <w:tcW w:w="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37.7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38.4</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The following table reconciles our unrecognized tax benefits (in millions) during the year:</w:t>
            </w: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4"/>
          </w:tcPr>
          <w:p>
            <w:pPr>
              <w:spacing w:after="0"/>
              <w:rPr>
                <w:sz w:val="24"/>
                <w:szCs w:val="24"/>
                <w:color w:val="auto"/>
              </w:rPr>
            </w:pPr>
          </w:p>
        </w:tc>
        <w:tc>
          <w:tcPr>
            <w:tcW w:w="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color w:val="auto"/>
              </w:rPr>
              <w:t>2007</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3.0</w:t>
            </w: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Additions for tax positions related to</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80" w:type="dxa"/>
            <w:vAlign w:val="bottom"/>
          </w:tcPr>
          <w:p>
            <w:pPr>
              <w:ind w:left="220"/>
              <w:spacing w:after="0"/>
              <w:rPr>
                <w:sz w:val="20"/>
                <w:szCs w:val="20"/>
                <w:color w:val="auto"/>
              </w:rPr>
            </w:pPr>
            <w:r>
              <w:rPr>
                <w:rFonts w:ascii="Arial" w:cs="Arial" w:eastAsia="Arial" w:hAnsi="Arial"/>
                <w:sz w:val="18"/>
                <w:szCs w:val="18"/>
                <w:color w:val="auto"/>
              </w:rPr>
              <w:t>2007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1.5</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2006 and prior years</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Balance at year end</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4.8</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2008 and prior years will significantly change in 2009. Our United States federal tax obligations have been settled through the year 2000. Net interest recoverable recognized in our balance sheets was $3.1 million at December 31, 2007, and $3.5 million at December 31, 2008. Interest recognized as part of our provision for income taxes was not material in 2007 or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AND STOCK-BASED COMPENSATION 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AUTHORIZED SHARES.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At our annual meeting in April 2008, our stockholders approved a charter amendment increasing our authorized common shares from 500 million to 750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Accounts payable and accrued expenses includes $8.6 million at December 31, 2007, and $4.0 million at December 31, 2008, representing the unsettled liability for common stock repurchases made prior to year end.</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Board of Directors has authorized the future repurchase of up to 14,679,430 common shares as of December 31, 2008. Subsequently, we repurchased 1.02 million of our common shares for $29.1 million through February 4,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dividends declared per share were $.59 in 2006, $.75 in 2007, and $.96 in 2008. In March 2008, we began paying our quarterly dividend before quarter end instead of in the following month.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At December 31, 2008, 60,010,739 shares of unissued common stock were reserved for issuance under our stock-based compensation plans. Additionally, 3,360,000 shares are reserved for issuance under a plan whereby substantially all employees may acquire common stock through payroll deductions at prevailing market prices. We believe that our stock-based compensation programs align the interests of our employees and directors with those of our common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Weighted-</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6"/>
              </w:rPr>
              <w:t>term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2008</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41,030,175</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$24.59</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5,153,300</w:t>
            </w:r>
          </w:p>
        </w:tc>
        <w:tc>
          <w:tcPr>
            <w:tcW w:w="30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$57.08</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New hire and non-employee director grants</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9,800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$48.83</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Reload grants</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792,645</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$54.50</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(6,873,638)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$20.88</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3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(1,074,541)</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$44.00</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2008</w:t>
            </w: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39,037,741</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$36.52</w:t>
            </w:r>
          </w:p>
        </w:tc>
        <w:tc>
          <w:tcPr>
            <w:tcW w:w="14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6.2</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2008</w:t>
            </w:r>
          </w:p>
        </w:tc>
        <w:tc>
          <w:tcPr>
            <w:tcW w:w="1420" w:type="dxa"/>
            <w:vAlign w:val="bottom"/>
            <w:gridSpan w:val="3"/>
          </w:tcPr>
          <w:p>
            <w:pPr>
              <w:spacing w:after="0" w:line="20" w:lineRule="exact"/>
              <w:rPr>
                <w:sz w:val="1"/>
                <w:szCs w:val="1"/>
                <w:color w:val="auto"/>
              </w:rPr>
            </w:pPr>
          </w:p>
        </w:tc>
        <w:tc>
          <w:tcPr>
            <w:tcW w:w="1600" w:type="dxa"/>
            <w:vAlign w:val="bottom"/>
            <w:gridSpan w:val="2"/>
            <w:vMerge w:val="restart"/>
          </w:tcPr>
          <w:p>
            <w:pPr>
              <w:ind w:left="760"/>
              <w:spacing w:after="0"/>
              <w:rPr>
                <w:sz w:val="20"/>
                <w:szCs w:val="20"/>
                <w:color w:val="auto"/>
              </w:rPr>
            </w:pPr>
            <w:r>
              <w:rPr>
                <w:rFonts w:ascii="Arial" w:cs="Arial" w:eastAsia="Arial" w:hAnsi="Arial"/>
                <w:sz w:val="18"/>
                <w:szCs w:val="18"/>
                <w:color w:val="auto"/>
              </w:rPr>
              <w:t>$29.04</w:t>
            </w:r>
          </w:p>
        </w:tc>
        <w:tc>
          <w:tcPr>
            <w:tcW w:w="1420" w:type="dxa"/>
            <w:vAlign w:val="bottom"/>
            <w:gridSpan w:val="2"/>
            <w:vMerge w:val="restart"/>
          </w:tcPr>
          <w:p>
            <w:pPr>
              <w:jc w:val="center"/>
              <w:ind w:left="430"/>
              <w:spacing w:after="0"/>
              <w:rPr>
                <w:sz w:val="20"/>
                <w:szCs w:val="20"/>
                <w:color w:val="auto"/>
              </w:rPr>
            </w:pPr>
            <w:r>
              <w:rPr>
                <w:rFonts w:ascii="Arial" w:cs="Arial" w:eastAsia="Arial" w:hAnsi="Arial"/>
                <w:sz w:val="18"/>
                <w:szCs w:val="18"/>
                <w:color w:val="auto"/>
                <w:w w:val="87"/>
              </w:rPr>
              <w:t>4.7</w:t>
            </w:r>
          </w:p>
        </w:tc>
        <w:tc>
          <w:tcPr>
            <w:tcW w:w="0" w:type="dxa"/>
            <w:vAlign w:val="bottom"/>
          </w:tcPr>
          <w:p>
            <w:pPr>
              <w:spacing w:after="0" w:line="20" w:lineRule="exact"/>
              <w:rPr>
                <w:sz w:val="1"/>
                <w:szCs w:val="1"/>
                <w:color w:val="auto"/>
              </w:rPr>
            </w:pPr>
          </w:p>
        </w:tc>
      </w:tr>
      <w:tr>
        <w:trPr>
          <w:trHeight w:val="211"/>
        </w:trPr>
        <w:tc>
          <w:tcPr>
            <w:tcW w:w="6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23,402,781</w:t>
            </w:r>
          </w:p>
        </w:tc>
        <w:tc>
          <w:tcPr>
            <w:tcW w:w="3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total intrinsic value of options exercised was $213.1 million in 2006, $300.1 million in 2007, and $230.4 million in 2008. At December 31, 2008, the aggregate intrinsic value of in-the-money options outstanding was $231.7 million and of options exercisable was $220.1 million. There were 17.5 million outstanding options at an average exercise price of $51.05 that were out-of-the money at December 31,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2008.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6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95"/>
              </w:rPr>
              <w:t>Restricted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1"/>
              </w:rPr>
              <w:t>Restricted</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67"/>
        </w:trPr>
        <w:tc>
          <w:tcPr>
            <w:tcW w:w="68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stock units</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2008</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319,300</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140,250</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$50.23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Granted to employees</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270,250</w:t>
            </w:r>
          </w:p>
        </w:tc>
        <w:tc>
          <w:tcPr>
            <w:tcW w:w="3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143,300</w:t>
            </w:r>
          </w:p>
        </w:tc>
        <w:tc>
          <w:tcPr>
            <w:tcW w:w="320" w:type="dxa"/>
            <w:vAlign w:val="bottom"/>
          </w:tcPr>
          <w:p>
            <w:pPr>
              <w:spacing w:after="0"/>
              <w:rPr>
                <w:sz w:val="18"/>
                <w:szCs w:val="18"/>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$56.91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Granted to non-employee directors</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4,800</w:t>
            </w:r>
          </w:p>
        </w:tc>
        <w:tc>
          <w:tcPr>
            <w:tcW w:w="3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$48.54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Vested (value at vest date was $5.9 million)</w:t>
            </w:r>
          </w:p>
        </w:tc>
        <w:tc>
          <w:tcPr>
            <w:tcW w:w="1260" w:type="dxa"/>
            <w:vAlign w:val="bottom"/>
            <w:gridSpan w:val="4"/>
          </w:tcPr>
          <w:p>
            <w:pPr>
              <w:jc w:val="right"/>
              <w:ind w:right="260"/>
              <w:spacing w:after="0"/>
              <w:rPr>
                <w:sz w:val="20"/>
                <w:szCs w:val="20"/>
                <w:color w:val="auto"/>
              </w:rPr>
            </w:pPr>
            <w:r>
              <w:rPr>
                <w:rFonts w:ascii="Arial" w:cs="Arial" w:eastAsia="Arial" w:hAnsi="Arial"/>
                <w:sz w:val="18"/>
                <w:szCs w:val="18"/>
                <w:color w:val="auto"/>
              </w:rPr>
              <w:t>(110,168)</w:t>
            </w:r>
          </w:p>
        </w:tc>
        <w:tc>
          <w:tcPr>
            <w:tcW w:w="1700" w:type="dxa"/>
            <w:vAlign w:val="bottom"/>
            <w:gridSpan w:val="4"/>
          </w:tcPr>
          <w:p>
            <w:pPr>
              <w:jc w:val="right"/>
              <w:ind w:right="260"/>
              <w:spacing w:after="0"/>
              <w:rPr>
                <w:sz w:val="20"/>
                <w:szCs w:val="20"/>
                <w:color w:val="auto"/>
              </w:rPr>
            </w:pPr>
            <w:r>
              <w:rPr>
                <w:rFonts w:ascii="Arial" w:cs="Arial" w:eastAsia="Arial" w:hAnsi="Arial"/>
                <w:sz w:val="18"/>
                <w:szCs w:val="18"/>
                <w:color w:val="auto"/>
              </w:rPr>
              <w:t>(54,711)</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$49.48</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(8,988)</w:t>
            </w:r>
          </w:p>
        </w:tc>
        <w:tc>
          <w:tcPr>
            <w:tcW w:w="1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(2,500)</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$49.52</w:t>
            </w: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Nonvested at end of 2008</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475,194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233,539</w:t>
            </w:r>
          </w:p>
        </w:tc>
        <w:tc>
          <w:tcPr>
            <w:tcW w:w="320" w:type="dxa"/>
            <w:vAlign w:val="bottom"/>
          </w:tcPr>
          <w:p>
            <w:pPr>
              <w:spacing w:after="0"/>
              <w:rPr>
                <w:sz w:val="19"/>
                <w:szCs w:val="19"/>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$54.28</w:t>
            </w:r>
          </w:p>
        </w:tc>
      </w:tr>
      <w:tr>
        <w:trPr>
          <w:trHeight w:val="20"/>
        </w:trPr>
        <w:tc>
          <w:tcPr>
            <w:tcW w:w="6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2008, non-employee directors hold 7,495 vested stock units that will convert to common shares upon their separation from the board.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separate vesting periods of the 15,634,960 nonvested options and 708,733 restricted shares and restricted stock units outstanding at December 31, 2008.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2009</w:t>
            </w:r>
          </w:p>
        </w:tc>
        <w:tc>
          <w:tcPr>
            <w:tcW w:w="7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Second quarter 2009</w:t>
            </w:r>
          </w:p>
        </w:tc>
        <w:tc>
          <w:tcPr>
            <w:tcW w:w="7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2009</w:t>
            </w:r>
          </w:p>
        </w:tc>
        <w:tc>
          <w:tcPr>
            <w:tcW w:w="7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Fourth quarter 2009</w:t>
            </w:r>
          </w:p>
        </w:tc>
        <w:tc>
          <w:tcPr>
            <w:tcW w:w="7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2009</w:t>
            </w:r>
          </w:p>
        </w:tc>
        <w:tc>
          <w:tcPr>
            <w:tcW w:w="7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2010 through 2013</w:t>
            </w:r>
          </w:p>
        </w:tc>
        <w:tc>
          <w:tcPr>
            <w:tcW w:w="7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100" w:type="dxa"/>
            <w:vAlign w:val="bottom"/>
            <w:vMerge w:val="restart"/>
          </w:tcPr>
          <w:p>
            <w:pPr>
              <w:jc w:val="right"/>
              <w:ind w:right="4690"/>
              <w:spacing w:after="0"/>
              <w:rPr>
                <w:sz w:val="20"/>
                <w:szCs w:val="20"/>
                <w:color w:val="auto"/>
              </w:rPr>
            </w:pPr>
            <w:r>
              <w:rPr>
                <w:rFonts w:ascii="Arial" w:cs="Arial" w:eastAsia="Arial" w:hAnsi="Arial"/>
                <w:sz w:val="18"/>
                <w:szCs w:val="18"/>
                <w:color w:val="auto"/>
              </w:rPr>
              <w:t>-33-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 11 — INVESTMENT GAINS (LOSSES) AND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our net unrealized investment holding gains and losses (in millions) to that recognized in other comprehensive income (loss).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2006</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(losses) on investments in sponsored mutual funds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66.0</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Reconciling amounts recognized in other investment income (loss)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gain distributions received</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Other than temporary impairments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losses (gains) realized on dispositions, determined using average cost</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unrealized holding gains (losses) recognized in other comprehensive income (loss) on</w:t>
            </w:r>
          </w:p>
        </w:tc>
        <w:tc>
          <w:tcPr>
            <w:tcW w:w="7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(losses)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Deferred tax benefits (income taxes)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recognized in other comprehensive income (loss)</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25.7</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7900" w:type="dxa"/>
            <w:vAlign w:val="bottom"/>
            <w:gridSpan w:val="3"/>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80" w:type="dxa"/>
            <w:vAlign w:val="bottom"/>
            <w:gridSpan w:val="6"/>
          </w:tcPr>
          <w:p>
            <w:pPr>
              <w:spacing w:after="0"/>
              <w:rPr>
                <w:sz w:val="20"/>
                <w:szCs w:val="20"/>
                <w:color w:val="auto"/>
              </w:rPr>
            </w:pPr>
            <w:r>
              <w:rPr>
                <w:rFonts w:ascii="Arial" w:cs="Arial" w:eastAsia="Arial" w:hAnsi="Arial"/>
                <w:sz w:val="18"/>
                <w:szCs w:val="18"/>
                <w:color w:val="auto"/>
                <w:w w:val="99"/>
              </w:rPr>
              <w:t>The components of accumulated other comprehensive loss (in millions) at December 31, 2008, are presented below.</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losses 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12 — OTHER DISCLOSURES.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consolidated stockholders’ equity at December 31, 2008, includes about $55 million that is restricted as to use by various regulations and agreements arising in the ordinary course of our business.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recognized for our defined contribution retirement plans was $38.8 million in 2006, $44.1 million in 2007, and $43.6 million in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2006, we voluntarily terminated our $300 million bank-syndicated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13 — SUPPLEMENTARY 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Basic</w:t>
            </w:r>
          </w:p>
        </w:tc>
        <w:tc>
          <w:tcPr>
            <w:tcW w:w="54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auto"/>
              </w:rPr>
              <w:t>Diluted</w:t>
            </w:r>
          </w:p>
        </w:tc>
      </w:tr>
      <w:tr>
        <w:trPr>
          <w:trHeight w:val="149"/>
        </w:trPr>
        <w:tc>
          <w:tcPr>
            <w:tcW w:w="5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earnings</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earnings</w:t>
            </w:r>
          </w:p>
        </w:tc>
      </w:tr>
      <w:tr>
        <w:trPr>
          <w:trHeight w:val="149"/>
        </w:trPr>
        <w:tc>
          <w:tcPr>
            <w:tcW w:w="5940" w:type="dxa"/>
            <w:vAlign w:val="bottom"/>
          </w:tcPr>
          <w:p>
            <w:pPr>
              <w:spacing w:after="0"/>
              <w:rPr>
                <w:sz w:val="12"/>
                <w:szCs w:val="12"/>
                <w:color w:val="auto"/>
              </w:rPr>
            </w:pPr>
          </w:p>
        </w:tc>
        <w:tc>
          <w:tcPr>
            <w:tcW w:w="8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Net</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r>
      <w:tr>
        <w:trPr>
          <w:trHeight w:val="167"/>
        </w:trPr>
        <w:tc>
          <w:tcPr>
            <w:tcW w:w="59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income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r>
      <w:tr>
        <w:trPr>
          <w:trHeight w:val="142"/>
        </w:trPr>
        <w:tc>
          <w:tcPr>
            <w:tcW w:w="5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gridSpan w:val="3"/>
          </w:tcPr>
          <w:p>
            <w:pPr>
              <w:jc w:val="right"/>
              <w:ind w:right="148"/>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1st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$508.4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142.9</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$.54</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$.51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$551.1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162.2</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$.61</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$.58</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3rd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$571.0</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174.8</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$.66</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$.63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$597.8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190.7</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$.72</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$.68</w:t>
            </w:r>
          </w:p>
        </w:tc>
      </w:tr>
      <w:tr>
        <w:trPr>
          <w:trHeight w:val="216"/>
        </w:trPr>
        <w:tc>
          <w:tcPr>
            <w:tcW w:w="5940" w:type="dxa"/>
            <w:vAlign w:val="bottom"/>
          </w:tcPr>
          <w:p>
            <w:pPr>
              <w:ind w:left="220"/>
              <w:spacing w:after="0"/>
              <w:rPr>
                <w:sz w:val="20"/>
                <w:szCs w:val="20"/>
                <w:color w:val="auto"/>
              </w:rPr>
            </w:pPr>
            <w:r>
              <w:rPr>
                <w:rFonts w:ascii="Arial" w:cs="Arial" w:eastAsia="Arial" w:hAnsi="Arial"/>
                <w:sz w:val="18"/>
                <w:szCs w:val="18"/>
                <w:color w:val="auto"/>
              </w:rPr>
              <w:t>2008</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$559.1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151.5</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$.58</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2nd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$586.5</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162.2</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$.62</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$.60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$554.8</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152.8</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$.59</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$.56</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4th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$415.9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rPr>
              <w:t>24.3</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$.09</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$.09</w:t>
            </w:r>
          </w:p>
        </w:tc>
      </w:tr>
    </w:tbl>
    <w:p>
      <w:pPr>
        <w:spacing w:after="0" w:line="7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sums of quarterly earnings per share for 2008 are less than annual earnings per share for the year 2008 because the computations are done independently.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T. Rowe Price Group, Inc. and subsidiaries (“the Company”) as of December 31, 2008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2007, and the related consolidated statements of income, stockholders’ equity, and cash flows for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These consolidated financial statements are the responsibility of the Company’s management. Our responsibility is to express an opinion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these consolidated financial statements based on our audits.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2008 and 2007, and the results of their operations and their cash flows for each of the years in the three-year period ended December 31, 2008, in conformity with U.S. generally accepted accounting principles.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5, 2009,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2008. Based on that evaluation, our principal executive and principal financial officers have concluded that our disclosure controls and procedures as of December 31, 2008,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2008, and has concluded that there was no change during the fourth quarter of 2008 that has materially affected, or is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Report of Management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2008,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2008.</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2008,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2008 and 2007, and the related consolidated statements of income, stockholders’ equity, and cash flows for each of the years in the three-year period ended December 31, 2008, and our report dated February 5, 2009,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68"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2009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2009 Annual Meeting of our stockholders.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7"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30" w:lineRule="exact"/>
        <w:rPr>
          <w:rFonts w:ascii="Arial" w:cs="Arial" w:eastAsia="Arial" w:hAnsi="Arial"/>
          <w:sz w:val="18"/>
          <w:szCs w:val="18"/>
          <w:color w:val="auto"/>
        </w:rPr>
      </w:pPr>
    </w:p>
    <w:p>
      <w:pPr>
        <w:ind w:left="660" w:right="320" w:hanging="43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10.06 through 10.21.</w:t>
      </w:r>
    </w:p>
    <w:p>
      <w:pPr>
        <w:spacing w:after="0" w:line="62" w:lineRule="exact"/>
        <w:rPr>
          <w:rFonts w:ascii="Arial" w:cs="Arial" w:eastAsia="Arial" w:hAnsi="Arial"/>
          <w:sz w:val="18"/>
          <w:szCs w:val="18"/>
          <w:color w:val="auto"/>
        </w:rPr>
      </w:pPr>
    </w:p>
    <w:p>
      <w:pPr>
        <w:ind w:left="1360" w:right="60" w:hanging="675"/>
        <w:spacing w:after="0" w:line="277" w:lineRule="auto"/>
        <w:rPr>
          <w:rFonts w:ascii="Arial" w:cs="Arial" w:eastAsia="Arial" w:hAnsi="Arial"/>
          <w:sz w:val="18"/>
          <w:szCs w:val="18"/>
          <w:color w:val="auto"/>
        </w:rPr>
      </w:pPr>
      <w:r>
        <w:rPr>
          <w:rFonts w:ascii="Arial" w:cs="Arial" w:eastAsia="Arial" w:hAnsi="Arial"/>
          <w:sz w:val="18"/>
          <w:szCs w:val="18"/>
          <w:color w:val="auto"/>
        </w:rPr>
        <w:t>3(i)Charter of T. Rowe Price Group, Inc., as Amended by Articles of Amendment dated April 10, 2008. (Incorporated by reference from Form 10-Q Report for the quarterly period ended March 31, 2008; Accession No. 0000950133-08-001597.)</w:t>
      </w:r>
    </w:p>
    <w:p>
      <w:pPr>
        <w:sectPr>
          <w:pgSz w:w="11900" w:h="16838" w:orient="portrait"/>
          <w:cols w:equalWidth="0" w:num="1">
            <w:col w:w="11400"/>
          </w:cols>
          <w:pgMar w:left="240" w:top="931" w:right="259" w:bottom="1440" w:gutter="0" w:footer="0" w:header="0"/>
        </w:sectPr>
      </w:pPr>
    </w:p>
    <w:p>
      <w:pPr>
        <w:spacing w:after="0" w:line="7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3(ii)</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Amended and Restated By-Laws of T. Rowe Price Group, Inc. as of December 13, 2007. (Incorporated by reference from Form 8-K Current Report as of December 13, 2007; Accession No. 0000950133-07-005002.)</w:t>
      </w:r>
    </w:p>
    <w:p>
      <w:pPr>
        <w:spacing w:after="0" w:line="76" w:lineRule="exact"/>
        <w:rPr>
          <w:sz w:val="20"/>
          <w:szCs w:val="20"/>
          <w:color w:val="auto"/>
        </w:rPr>
      </w:pPr>
    </w:p>
    <w:p>
      <w:pPr>
        <w:sectPr>
          <w:pgSz w:w="11900" w:h="16838" w:orient="portrait"/>
          <w:cols w:equalWidth="0" w:num="2">
            <w:col w:w="1000" w:space="360"/>
            <w:col w:w="10040"/>
          </w:cols>
          <w:pgMar w:left="240" w:top="931" w:right="259" w:bottom="1440" w:gutter="0" w:footer="0" w:header="0"/>
          <w:type w:val="continuous"/>
        </w:sectPr>
      </w:pPr>
    </w:p>
    <w:p>
      <w:pPr>
        <w:ind w:left="1360" w:right="620" w:hanging="674"/>
        <w:spacing w:after="0" w:line="277" w:lineRule="auto"/>
        <w:rPr>
          <w:sz w:val="20"/>
          <w:szCs w:val="20"/>
          <w:color w:val="auto"/>
        </w:rPr>
      </w:pPr>
      <w:r>
        <w:rPr>
          <w:rFonts w:ascii="Arial" w:cs="Arial" w:eastAsia="Arial" w:hAnsi="Arial"/>
          <w:sz w:val="18"/>
          <w:szCs w:val="18"/>
          <w:color w:val="auto"/>
        </w:rPr>
        <w:t>10.01.1 Representative Investment Management Agreement with most of the T. Rowe Price mutual funds. (Incorporated by reference from Form 485BPOS; Accession No. 0000216907-05-000006.)</w:t>
      </w:r>
    </w:p>
    <w:p>
      <w:pPr>
        <w:spacing w:after="0" w:line="76" w:lineRule="exact"/>
        <w:rPr>
          <w:sz w:val="20"/>
          <w:szCs w:val="20"/>
          <w:color w:val="auto"/>
        </w:rPr>
      </w:pPr>
    </w:p>
    <w:p>
      <w:pPr>
        <w:ind w:left="1360" w:right="660" w:hanging="674"/>
        <w:spacing w:after="0" w:line="277" w:lineRule="auto"/>
        <w:rPr>
          <w:sz w:val="20"/>
          <w:szCs w:val="20"/>
          <w:color w:val="auto"/>
        </w:rPr>
      </w:pPr>
      <w:r>
        <w:rPr>
          <w:rFonts w:ascii="Arial" w:cs="Arial" w:eastAsia="Arial" w:hAnsi="Arial"/>
          <w:sz w:val="18"/>
          <w:szCs w:val="18"/>
          <w:color w:val="auto"/>
        </w:rPr>
        <w:t>10.01.2 Amendment to representative Investment Management Agreement with most of the T. Rowe Price mutual funds. (Incorporated by reference from Form 485BPOS; Accession No. 0001267862-05-000006.)</w:t>
      </w:r>
    </w:p>
    <w:p>
      <w:pPr>
        <w:spacing w:after="0" w:line="76" w:lineRule="exact"/>
        <w:rPr>
          <w:sz w:val="20"/>
          <w:szCs w:val="20"/>
          <w:color w:val="auto"/>
        </w:rPr>
      </w:pPr>
    </w:p>
    <w:p>
      <w:pPr>
        <w:ind w:left="1360" w:right="20" w:hanging="674"/>
        <w:spacing w:after="0" w:line="277" w:lineRule="auto"/>
        <w:tabs>
          <w:tab w:leader="none" w:pos="1340" w:val="left"/>
        </w:tabs>
        <w:rPr>
          <w:sz w:val="20"/>
          <w:szCs w:val="20"/>
          <w:color w:val="auto"/>
        </w:rPr>
      </w:pPr>
      <w:r>
        <w:rPr>
          <w:rFonts w:ascii="Arial" w:cs="Arial" w:eastAsia="Arial" w:hAnsi="Arial"/>
          <w:sz w:val="18"/>
          <w:szCs w:val="18"/>
          <w:color w:val="auto"/>
        </w:rPr>
        <w:t>10.02</w:t>
        <w:tab/>
        <w:t>Representative Underwriting Agreement between a T. Rowe Price mutual funds and T. Rowe Price Investment Services, Inc. (Incorporated by reference from Form N-1A/A; Accession No. 0001368135-06-000014.)</w:t>
      </w:r>
    </w:p>
    <w:p>
      <w:pPr>
        <w:spacing w:after="0" w:line="76" w:lineRule="exact"/>
        <w:rPr>
          <w:sz w:val="20"/>
          <w:szCs w:val="20"/>
          <w:color w:val="auto"/>
        </w:rPr>
      </w:pPr>
    </w:p>
    <w:p>
      <w:pPr>
        <w:ind w:left="1360" w:right="580" w:hanging="674"/>
        <w:spacing w:after="0" w:line="277" w:lineRule="auto"/>
        <w:tabs>
          <w:tab w:leader="none" w:pos="1340" w:val="left"/>
        </w:tabs>
        <w:rPr>
          <w:sz w:val="20"/>
          <w:szCs w:val="20"/>
          <w:color w:val="auto"/>
        </w:rPr>
      </w:pPr>
      <w:r>
        <w:rPr>
          <w:rFonts w:ascii="Arial" w:cs="Arial" w:eastAsia="Arial" w:hAnsi="Arial"/>
          <w:sz w:val="18"/>
          <w:szCs w:val="18"/>
          <w:color w:val="auto"/>
        </w:rPr>
        <w:t>10.03</w:t>
        <w:tab/>
        <w:t>Transfer Agency and Service Agreement as of January 1, 2008, between T. Rowe Price Services, Inc. and the T. Rowe Price Funds. (Incorporated by reference from Form 485BPOS; Accession No. 0000871839-08-000081.)</w:t>
      </w:r>
    </w:p>
    <w:p>
      <w:pPr>
        <w:spacing w:after="0" w:line="76" w:lineRule="exact"/>
        <w:rPr>
          <w:sz w:val="20"/>
          <w:szCs w:val="20"/>
          <w:color w:val="auto"/>
        </w:rPr>
      </w:pPr>
    </w:p>
    <w:p>
      <w:pPr>
        <w:ind w:left="1360" w:right="780" w:hanging="674"/>
        <w:spacing w:after="0" w:line="277" w:lineRule="auto"/>
        <w:tabs>
          <w:tab w:leader="none" w:pos="1340" w:val="left"/>
        </w:tabs>
        <w:rPr>
          <w:sz w:val="20"/>
          <w:szCs w:val="20"/>
          <w:color w:val="auto"/>
        </w:rPr>
      </w:pPr>
      <w:r>
        <w:rPr>
          <w:rFonts w:ascii="Arial" w:cs="Arial" w:eastAsia="Arial" w:hAnsi="Arial"/>
          <w:sz w:val="18"/>
          <w:szCs w:val="18"/>
          <w:color w:val="auto"/>
        </w:rPr>
        <w:t>10.04</w:t>
        <w:tab/>
        <w:t>Agreement as of January 1, 2008, between T. Rowe Price Retirement Plan Services, Inc. and certain of the T. Rowe Price Funds. (Incorporated by reference from Form 485BPOS; Accession No. 0000871839-08-000081.)</w:t>
      </w:r>
    </w:p>
    <w:p>
      <w:pPr>
        <w:spacing w:after="0" w:line="76" w:lineRule="exact"/>
        <w:rPr>
          <w:sz w:val="20"/>
          <w:szCs w:val="20"/>
          <w:color w:val="auto"/>
        </w:rPr>
      </w:pPr>
    </w:p>
    <w:p>
      <w:pPr>
        <w:ind w:left="1360" w:right="300" w:hanging="674"/>
        <w:spacing w:after="0" w:line="264" w:lineRule="auto"/>
        <w:tabs>
          <w:tab w:leader="none" w:pos="1340" w:val="left"/>
        </w:tabs>
        <w:rPr>
          <w:sz w:val="20"/>
          <w:szCs w:val="20"/>
          <w:color w:val="auto"/>
        </w:rPr>
      </w:pPr>
      <w:r>
        <w:rPr>
          <w:rFonts w:ascii="Arial" w:cs="Arial" w:eastAsia="Arial" w:hAnsi="Arial"/>
          <w:sz w:val="18"/>
          <w:szCs w:val="18"/>
          <w:color w:val="auto"/>
        </w:rPr>
        <w:t>10.05</w:t>
        <w:tab/>
        <w:t>Second Amended, Restated and Consolidated Lease Agreement dated November 9, 2004, between East Pratt Street Associates Limited Partnership and T. Rowe Price Associates, Inc. (Incorporated by reference from Form 10-K for 2004; Accession No. 0000950133-05-000815.)</w:t>
      </w:r>
    </w:p>
    <w:p>
      <w:pPr>
        <w:spacing w:after="0" w:line="87"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10.06</w:t>
      </w:r>
      <w:r>
        <w:rPr>
          <w:sz w:val="20"/>
          <w:szCs w:val="20"/>
          <w:color w:val="auto"/>
        </w:rPr>
        <w:tab/>
      </w:r>
      <w:r>
        <w:rPr>
          <w:rFonts w:ascii="Arial" w:cs="Arial" w:eastAsia="Arial" w:hAnsi="Arial"/>
          <w:sz w:val="16"/>
          <w:szCs w:val="16"/>
          <w:color w:val="auto"/>
        </w:rPr>
        <w:t>1995 Director Stock Option Plan. (Incorporated by reference from Form DEF 14A; Accession No. 0000933259-95-000009.)</w:t>
      </w:r>
    </w:p>
    <w:p>
      <w:pPr>
        <w:spacing w:after="0" w:line="131" w:lineRule="exact"/>
        <w:rPr>
          <w:sz w:val="20"/>
          <w:szCs w:val="20"/>
          <w:color w:val="auto"/>
        </w:rPr>
      </w:pPr>
    </w:p>
    <w:p>
      <w:pPr>
        <w:ind w:left="1360" w:right="740" w:hanging="674"/>
        <w:spacing w:after="0" w:line="277" w:lineRule="auto"/>
        <w:tabs>
          <w:tab w:leader="none" w:pos="1340" w:val="left"/>
        </w:tabs>
        <w:rPr>
          <w:sz w:val="20"/>
          <w:szCs w:val="20"/>
          <w:color w:val="auto"/>
        </w:rPr>
      </w:pPr>
      <w:r>
        <w:rPr>
          <w:rFonts w:ascii="Arial" w:cs="Arial" w:eastAsia="Arial" w:hAnsi="Arial"/>
          <w:sz w:val="18"/>
          <w:szCs w:val="18"/>
          <w:color w:val="auto"/>
        </w:rPr>
        <w:t>10.07</w:t>
        <w:tab/>
        <w:t>1998 Director Stock Option Plan, as Amended and Restated effective December 16, 2004, including forms of option agreements. (Incorporated by reference from Form 10-K for 2004; Accession No. 0000950133-05-000815.)</w:t>
      </w:r>
    </w:p>
    <w:p>
      <w:pPr>
        <w:spacing w:after="0" w:line="76" w:lineRule="exact"/>
        <w:rPr>
          <w:sz w:val="20"/>
          <w:szCs w:val="20"/>
          <w:color w:val="auto"/>
        </w:rPr>
      </w:pPr>
    </w:p>
    <w:p>
      <w:pPr>
        <w:ind w:left="680"/>
        <w:spacing w:after="0"/>
        <w:tabs>
          <w:tab w:leader="none" w:pos="1340"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6"/>
          <w:szCs w:val="16"/>
          <w:color w:val="auto"/>
        </w:rPr>
        <w:t>2007 Non-Employee Director Equity Plan. (Incorporated by reference from Form DEF 14A; Accession No. 0001113169-07-000018.)</w:t>
      </w:r>
    </w:p>
    <w:p>
      <w:pPr>
        <w:spacing w:after="0" w:line="131" w:lineRule="exact"/>
        <w:rPr>
          <w:sz w:val="20"/>
          <w:szCs w:val="20"/>
          <w:color w:val="auto"/>
        </w:rPr>
      </w:pPr>
    </w:p>
    <w:p>
      <w:pPr>
        <w:ind w:left="1360" w:hanging="674"/>
        <w:spacing w:after="0" w:line="277" w:lineRule="auto"/>
        <w:tabs>
          <w:tab w:leader="none" w:pos="1340" w:val="left"/>
        </w:tabs>
        <w:rPr>
          <w:sz w:val="20"/>
          <w:szCs w:val="20"/>
          <w:color w:val="auto"/>
        </w:rPr>
      </w:pPr>
      <w:r>
        <w:rPr>
          <w:rFonts w:ascii="Arial" w:cs="Arial" w:eastAsia="Arial" w:hAnsi="Arial"/>
          <w:sz w:val="18"/>
          <w:szCs w:val="18"/>
          <w:color w:val="auto"/>
        </w:rPr>
        <w:t>10.09</w:t>
        <w:tab/>
        <w:t>Form of option agreement available for awards issued under the 2007 Non-Employee Director Equity Plan (Incorporated by reference from Form S-8; Accession No. 0000950133-07-001664.)</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type w:val="continuous"/>
        </w:sectPr>
      </w:pPr>
    </w:p>
    <w:bookmarkStart w:id="39" w:name="page40"/>
    <w:bookmarkEnd w:id="39"/>
    <w:p>
      <w:pPr>
        <w:ind w:left="680" w:right="480" w:hanging="674"/>
        <w:spacing w:after="0" w:line="277" w:lineRule="auto"/>
        <w:tabs>
          <w:tab w:leader="none" w:pos="660" w:val="left"/>
        </w:tabs>
        <w:rPr>
          <w:sz w:val="20"/>
          <w:szCs w:val="20"/>
          <w:color w:val="auto"/>
        </w:rPr>
      </w:pPr>
      <w:r>
        <w:rPr>
          <w:rFonts w:ascii="Arial" w:cs="Arial" w:eastAsia="Arial" w:hAnsi="Arial"/>
          <w:sz w:val="18"/>
          <w:szCs w:val="18"/>
          <w:color w:val="auto"/>
        </w:rPr>
        <w:t>10.10</w:t>
        <w:tab/>
        <w:t>Form of restricted stock agreement available for awards issued under the 2007 Non-Employee Director Equity Plan (Incorporated by reference from Form S-8; Accession No. 0000950133-07-001664.)</w:t>
      </w:r>
    </w:p>
    <w:p>
      <w:pPr>
        <w:spacing w:after="0" w:line="76"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10.11</w:t>
        <w:tab/>
        <w:t>Form of restricted stock units agreement available for awards issued under the 2007 Non-Employee Director Equity Plan (Incorporated by reference from Form S-8; Accession No. 0000950133-07-001664.)</w:t>
      </w:r>
    </w:p>
    <w:p>
      <w:pPr>
        <w:spacing w:after="0" w:line="76" w:lineRule="exact"/>
        <w:rPr>
          <w:sz w:val="20"/>
          <w:szCs w:val="20"/>
          <w:color w:val="auto"/>
        </w:rPr>
      </w:pPr>
    </w:p>
    <w:p>
      <w:pPr>
        <w:ind w:left="680" w:right="520" w:hanging="674"/>
        <w:spacing w:after="0" w:line="277" w:lineRule="auto"/>
        <w:tabs>
          <w:tab w:leader="none" w:pos="660" w:val="left"/>
        </w:tabs>
        <w:rPr>
          <w:sz w:val="20"/>
          <w:szCs w:val="20"/>
          <w:color w:val="auto"/>
        </w:rPr>
      </w:pPr>
      <w:r>
        <w:rPr>
          <w:rFonts w:ascii="Arial" w:cs="Arial" w:eastAsia="Arial" w:hAnsi="Arial"/>
          <w:sz w:val="18"/>
          <w:szCs w:val="18"/>
          <w:color w:val="auto"/>
        </w:rPr>
        <w:t>10.12</w:t>
        <w:tab/>
        <w:t>Schedule of Non-Employee Director Compensation, as amended April 12, 2007. (Incorporated by reference from Form 10-Q for the quarterly period ended March 31, 2007; Accession No. 0000950133-07-001865.)</w:t>
      </w:r>
    </w:p>
    <w:p>
      <w:pPr>
        <w:spacing w:after="0" w:line="76" w:lineRule="exact"/>
        <w:rPr>
          <w:sz w:val="20"/>
          <w:szCs w:val="20"/>
          <w:color w:val="auto"/>
        </w:rPr>
      </w:pPr>
    </w:p>
    <w:p>
      <w:pPr>
        <w:ind w:left="680" w:right="760" w:hanging="674"/>
        <w:spacing w:after="0" w:line="277" w:lineRule="auto"/>
        <w:tabs>
          <w:tab w:leader="none" w:pos="660" w:val="left"/>
        </w:tabs>
        <w:rPr>
          <w:sz w:val="20"/>
          <w:szCs w:val="20"/>
          <w:color w:val="auto"/>
        </w:rPr>
      </w:pPr>
      <w:r>
        <w:rPr>
          <w:rFonts w:ascii="Arial" w:cs="Arial" w:eastAsia="Arial" w:hAnsi="Arial"/>
          <w:sz w:val="18"/>
          <w:szCs w:val="18"/>
          <w:color w:val="auto"/>
        </w:rPr>
        <w:t>10.13</w:t>
        <w:tab/>
        <w:t>T. Rowe Price Group, Inc. Outside Directors Deferred Compensation Plan. (Incorporated by reference from Form 10-K for 2004; Accession No. 0000950133-05-000815.)</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1993 Stock Incentive Plan. (Incorporated by reference from Form S-8 Registration Statement [File No. 33-72568].)</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1996 Stock Incentive Plan. (Incorporated by reference from Form DEF 14A; Accession No. 0001006199-96-000031.)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10.16.1  2001 Stock Incentive Plan. (Incorporated by reference from Form DEF 14A; Accession No. 0001113169-01-000002.)</w:t>
      </w:r>
    </w:p>
    <w:p>
      <w:pPr>
        <w:spacing w:after="0" w:line="131" w:lineRule="exact"/>
        <w:rPr>
          <w:sz w:val="20"/>
          <w:szCs w:val="20"/>
          <w:color w:val="auto"/>
        </w:rPr>
      </w:pPr>
    </w:p>
    <w:p>
      <w:pPr>
        <w:ind w:left="680" w:right="820" w:hanging="674"/>
        <w:spacing w:after="0" w:line="277" w:lineRule="auto"/>
        <w:rPr>
          <w:sz w:val="20"/>
          <w:szCs w:val="20"/>
          <w:color w:val="auto"/>
        </w:rPr>
      </w:pPr>
      <w:r>
        <w:rPr>
          <w:rFonts w:ascii="Arial" w:cs="Arial" w:eastAsia="Arial" w:hAnsi="Arial"/>
          <w:sz w:val="18"/>
          <w:szCs w:val="18"/>
          <w:color w:val="auto"/>
        </w:rPr>
        <w:t>10.16.2 First Amendment to 2001 Stock Incentive Plan dated April 8, 2004. (Incorporated by reference from Form DEF 14A; Accession No. 0001113169-04-000023.)</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2004 Stock Incentive Plan. (Incorporated by reference from Form 10-K for 2007; Accession No. 0000950133-08-000389.)</w:t>
      </w:r>
    </w:p>
    <w:p>
      <w:pPr>
        <w:spacing w:after="0" w:line="131"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10.18</w:t>
        <w:tab/>
        <w:t>Forms of agreements available for stock-based awards issued under the 2001 and 2004 Stock Incentive Plans. (Incorporated by reference from Form 10-K for 2007; Accession No. 0000950133-08-000389.)</w:t>
      </w:r>
    </w:p>
    <w:p>
      <w:pPr>
        <w:spacing w:after="0" w:line="76" w:lineRule="exact"/>
        <w:rPr>
          <w:sz w:val="20"/>
          <w:szCs w:val="20"/>
          <w:color w:val="auto"/>
        </w:rPr>
      </w:pPr>
    </w:p>
    <w:p>
      <w:pPr>
        <w:ind w:left="680" w:right="2940" w:hanging="674"/>
        <w:spacing w:after="0" w:line="277" w:lineRule="auto"/>
        <w:tabs>
          <w:tab w:leader="none" w:pos="660" w:val="left"/>
        </w:tabs>
        <w:rPr>
          <w:sz w:val="20"/>
          <w:szCs w:val="20"/>
          <w:color w:val="auto"/>
        </w:rPr>
      </w:pPr>
      <w:r>
        <w:rPr>
          <w:rFonts w:ascii="Arial" w:cs="Arial" w:eastAsia="Arial" w:hAnsi="Arial"/>
          <w:sz w:val="18"/>
          <w:szCs w:val="18"/>
          <w:color w:val="auto"/>
        </w:rPr>
        <w:t>10.19</w:t>
        <w:tab/>
        <w:t>Annual Incentive Compensation Pool. (Incorporated by reference from Form DEF 14A; Accession No. 0001113169-03-000001.)</w:t>
      </w:r>
    </w:p>
    <w:p>
      <w:pPr>
        <w:spacing w:after="0" w:line="76" w:lineRule="exact"/>
        <w:rPr>
          <w:sz w:val="20"/>
          <w:szCs w:val="20"/>
          <w:color w:val="auto"/>
        </w:rPr>
      </w:pPr>
    </w:p>
    <w:p>
      <w:pPr>
        <w:ind w:left="680" w:right="480" w:hanging="674"/>
        <w:spacing w:after="0" w:line="277" w:lineRule="auto"/>
        <w:tabs>
          <w:tab w:leader="none" w:pos="660" w:val="left"/>
        </w:tabs>
        <w:rPr>
          <w:sz w:val="20"/>
          <w:szCs w:val="20"/>
          <w:color w:val="auto"/>
        </w:rPr>
      </w:pPr>
      <w:r>
        <w:rPr>
          <w:rFonts w:ascii="Arial" w:cs="Arial" w:eastAsia="Arial" w:hAnsi="Arial"/>
          <w:sz w:val="18"/>
          <w:szCs w:val="18"/>
          <w:color w:val="auto"/>
        </w:rPr>
        <w:t>10.20</w:t>
        <w:tab/>
        <w:t>Consulting Agreement dated January 31, 2006, with James S. Riepe. (Incorporated by reference from Form 8-K Current Report as of January 31, 2006; Accession No. 0000950133-06-000434.)</w:t>
      </w:r>
    </w:p>
    <w:p>
      <w:pPr>
        <w:spacing w:after="0" w:line="76" w:lineRule="exact"/>
        <w:rPr>
          <w:sz w:val="20"/>
          <w:szCs w:val="20"/>
          <w:color w:val="auto"/>
        </w:rPr>
      </w:pPr>
    </w:p>
    <w:p>
      <w:pPr>
        <w:ind w:left="680" w:right="320" w:hanging="674"/>
        <w:spacing w:after="0" w:line="277" w:lineRule="auto"/>
        <w:tabs>
          <w:tab w:leader="none" w:pos="660" w:val="left"/>
        </w:tabs>
        <w:rPr>
          <w:sz w:val="20"/>
          <w:szCs w:val="20"/>
          <w:color w:val="auto"/>
        </w:rPr>
      </w:pPr>
      <w:r>
        <w:rPr>
          <w:rFonts w:ascii="Arial" w:cs="Arial" w:eastAsia="Arial" w:hAnsi="Arial"/>
          <w:sz w:val="18"/>
          <w:szCs w:val="18"/>
          <w:color w:val="auto"/>
        </w:rPr>
        <w:t>10.21</w:t>
        <w:tab/>
        <w:t>Consulting Agreement dated January 23, 2007, with George A. Roche. (Incorporated by reference from Form 8-K Current Report as of January 23, 2007; Accession No. 0000950133-07-000205.)</w:t>
      </w:r>
    </w:p>
    <w:p>
      <w:pPr>
        <w:spacing w:after="0" w:line="76" w:lineRule="exact"/>
        <w:rPr>
          <w:sz w:val="20"/>
          <w:szCs w:val="20"/>
          <w:color w:val="auto"/>
        </w:rPr>
      </w:pPr>
    </w:p>
    <w:p>
      <w:pPr>
        <w:ind w:left="680" w:hanging="677"/>
        <w:spacing w:after="0" w:line="277" w:lineRule="auto"/>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of Ethics for Principal Executive Officer and Senior Financial Officers of T. Rowe Price Group, Inc. under the Sarbanes-Oxley Act of 2002. (Incorporated by reference from Form 10-K for 2007; Accession No. 0000950133-08-000389.)</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 Rowe Price Group, Inc.</w:t>
      </w:r>
    </w:p>
    <w:p>
      <w:pPr>
        <w:spacing w:after="0" w:line="131" w:lineRule="exact"/>
        <w:rPr>
          <w:sz w:val="20"/>
          <w:szCs w:val="20"/>
          <w:color w:val="auto"/>
        </w:rPr>
      </w:pPr>
    </w:p>
    <w:p>
      <w:pPr>
        <w:ind w:right="4740" w:firstLine="3"/>
        <w:spacing w:after="0" w:line="414" w:lineRule="auto"/>
        <w:tabs>
          <w:tab w:leader="none" w:pos="675"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KPMG LLP. 31(i).1 Rule 13a-14(a) Certification of Principal Executive Officer.</w:t>
      </w:r>
    </w:p>
    <w:p>
      <w:pPr>
        <w:spacing w:after="0"/>
        <w:rPr>
          <w:rFonts w:ascii="Arial" w:cs="Arial" w:eastAsia="Arial" w:hAnsi="Arial"/>
          <w:sz w:val="17"/>
          <w:szCs w:val="17"/>
          <w:color w:val="auto"/>
        </w:rPr>
      </w:pPr>
      <w:r>
        <w:rPr>
          <w:rFonts w:ascii="Arial" w:cs="Arial" w:eastAsia="Arial" w:hAnsi="Arial"/>
          <w:sz w:val="18"/>
          <w:szCs w:val="18"/>
          <w:color w:val="auto"/>
        </w:rPr>
        <w:t>31(i).2  Rule 13a-14(a) Certification of Principal Financial Officer.</w:t>
      </w:r>
    </w:p>
    <w:p>
      <w:pPr>
        <w:spacing w:after="0" w:line="130" w:lineRule="exact"/>
        <w:rPr>
          <w:rFonts w:ascii="Arial" w:cs="Arial" w:eastAsia="Arial" w:hAnsi="Arial"/>
          <w:sz w:val="17"/>
          <w:szCs w:val="17"/>
          <w:color w:val="auto"/>
        </w:rPr>
      </w:pPr>
    </w:p>
    <w:p>
      <w:pPr>
        <w:ind w:left="680" w:hanging="677"/>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1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920" w:top="935" w:right="239" w:bottom="1440" w:gutter="0" w:footer="0" w:header="0"/>
        </w:sectPr>
      </w:pPr>
    </w:p>
    <w:bookmarkStart w:id="40" w:name="page41"/>
    <w:bookmarkEnd w:id="40"/>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6,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5469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6, 2009.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Joseph P. Croteau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959" w:right="3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SUBSIDIARIES OF T. ROWE PRICE GROUP, INC.</w:t>
            </w:r>
          </w:p>
        </w:tc>
        <w:tc>
          <w:tcPr>
            <w:tcW w:w="3660" w:type="dxa"/>
            <w:vAlign w:val="bottom"/>
          </w:tcPr>
          <w:p>
            <w:pPr>
              <w:jc w:val="right"/>
              <w:spacing w:after="0"/>
              <w:rPr>
                <w:sz w:val="20"/>
                <w:szCs w:val="20"/>
                <w:color w:val="auto"/>
              </w:rPr>
            </w:pPr>
            <w:r>
              <w:rPr>
                <w:rFonts w:ascii="Arial" w:cs="Arial" w:eastAsia="Arial" w:hAnsi="Arial"/>
                <w:sz w:val="18"/>
                <w:szCs w:val="18"/>
                <w:color w:val="auto"/>
              </w:rPr>
              <w:t>EXHIBIT 21</w:t>
            </w: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3660" w:type="dxa"/>
            <w:vAlign w:val="bottom"/>
          </w:tcPr>
          <w:p>
            <w:pPr>
              <w:spacing w:after="0"/>
              <w:rPr>
                <w:sz w:val="20"/>
                <w:szCs w:val="20"/>
                <w:color w:val="auto"/>
              </w:rPr>
            </w:pPr>
          </w:p>
        </w:tc>
      </w:tr>
      <w:tr>
        <w:trPr>
          <w:trHeight w:val="372"/>
        </w:trPr>
        <w:tc>
          <w:tcPr>
            <w:tcW w:w="7760" w:type="dxa"/>
            <w:vAlign w:val="bottom"/>
            <w:gridSpan w:val="2"/>
          </w:tcPr>
          <w:p>
            <w:pPr>
              <w:spacing w:after="0"/>
              <w:rPr>
                <w:sz w:val="20"/>
                <w:szCs w:val="20"/>
                <w:color w:val="auto"/>
              </w:rPr>
            </w:pPr>
            <w:r>
              <w:rPr>
                <w:rFonts w:ascii="Arial" w:cs="Arial" w:eastAsia="Arial" w:hAnsi="Arial"/>
                <w:sz w:val="14"/>
                <w:szCs w:val="14"/>
                <w:color w:val="auto"/>
              </w:rPr>
              <w:t>Subsidiary companies and place of incorporation</w:t>
            </w:r>
          </w:p>
        </w:tc>
        <w:tc>
          <w:tcPr>
            <w:tcW w:w="3660" w:type="dxa"/>
            <w:vAlign w:val="bottom"/>
          </w:tcPr>
          <w:p>
            <w:pPr>
              <w:jc w:val="right"/>
              <w:spacing w:after="0"/>
              <w:rPr>
                <w:sz w:val="20"/>
                <w:szCs w:val="20"/>
                <w:color w:val="auto"/>
              </w:rPr>
            </w:pPr>
            <w:r>
              <w:rPr>
                <w:rFonts w:ascii="Arial" w:cs="Arial" w:eastAsia="Arial" w:hAnsi="Arial"/>
                <w:sz w:val="14"/>
                <w:szCs w:val="14"/>
                <w:color w:val="auto"/>
              </w:rPr>
              <w:t>Ownership</w:t>
            </w:r>
          </w:p>
        </w:tc>
      </w:tr>
      <w:tr>
        <w:trPr>
          <w:trHeight w:val="216"/>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 Rowe Price Advisory Services, Inc. (Maryland)</w:t>
            </w:r>
          </w:p>
        </w:tc>
        <w:tc>
          <w:tcPr>
            <w:tcW w:w="36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 Rowe Price Associates, Inc. (Maryland)</w:t>
            </w:r>
          </w:p>
        </w:tc>
        <w:tc>
          <w:tcPr>
            <w:tcW w:w="366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(Canada), Inc. (Maryland)</w:t>
            </w:r>
          </w:p>
        </w:tc>
        <w:tc>
          <w:tcPr>
            <w:tcW w:w="3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T. Rowe Price Investment Services, Inc. (Maryland)</w:t>
            </w:r>
          </w:p>
        </w:tc>
        <w:tc>
          <w:tcPr>
            <w:tcW w:w="366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Retirement Plan Services, Inc. (Maryland)</w:t>
            </w:r>
          </w:p>
        </w:tc>
        <w:tc>
          <w:tcPr>
            <w:tcW w:w="3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T. Rowe Price Savings Bank (Maryland)</w:t>
            </w:r>
          </w:p>
        </w:tc>
        <w:tc>
          <w:tcPr>
            <w:tcW w:w="366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 Rowe Price Services, Inc. (Maryland)</w:t>
            </w:r>
          </w:p>
        </w:tc>
        <w:tc>
          <w:tcPr>
            <w:tcW w:w="3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tcPr>
          <w:p>
            <w:pPr>
              <w:ind w:left="200"/>
              <w:spacing w:after="0"/>
              <w:rPr>
                <w:sz w:val="20"/>
                <w:szCs w:val="20"/>
                <w:color w:val="auto"/>
              </w:rPr>
            </w:pPr>
            <w:r>
              <w:rPr>
                <w:rFonts w:ascii="Arial" w:cs="Arial" w:eastAsia="Arial" w:hAnsi="Arial"/>
                <w:sz w:val="18"/>
                <w:szCs w:val="18"/>
                <w:color w:val="auto"/>
              </w:rPr>
              <w:t>TRP Finance, Inc. (Delaware)</w:t>
            </w:r>
          </w:p>
        </w:tc>
        <w:tc>
          <w:tcPr>
            <w:tcW w:w="3660" w:type="dxa"/>
            <w:vAlign w:val="bottom"/>
          </w:tcPr>
          <w:p>
            <w:pPr>
              <w:jc w:val="right"/>
              <w:ind w:right="31"/>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 Rowe Price International, Inc. (Maryland)</w:t>
            </w:r>
          </w:p>
        </w:tc>
        <w:tc>
          <w:tcPr>
            <w:tcW w:w="3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 Rowe Price Global Investment Services Limited (United Kingdom)</w:t>
            </w:r>
          </w:p>
        </w:tc>
        <w:tc>
          <w:tcPr>
            <w:tcW w:w="3660" w:type="dxa"/>
            <w:vAlign w:val="bottom"/>
          </w:tcPr>
          <w:p>
            <w:pPr>
              <w:jc w:val="right"/>
              <w:ind w:right="31"/>
              <w:spacing w:after="0"/>
              <w:rPr>
                <w:sz w:val="20"/>
                <w:szCs w:val="20"/>
                <w:color w:val="auto"/>
              </w:rPr>
            </w:pPr>
            <w:r>
              <w:rPr>
                <w:rFonts w:ascii="Arial" w:cs="Arial" w:eastAsia="Arial" w:hAnsi="Arial"/>
                <w:sz w:val="18"/>
                <w:szCs w:val="18"/>
                <w:color w:val="auto"/>
              </w:rPr>
              <w:t>100%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on Form S-8 (No. 33-7012, No. 33-72568, No. 33-58749, No. 333-20333,</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No. 333-90967, No. 333-59714, No. 333-120882, No. 333-120883 and No. 333-142092) of T. Rowe Price Group, Inc. of our reports dated February 5, 2009, with respect to the consolidated balance sheets of T. Rowe Price Group, Inc. and subsidiaries as of December 31, 2008 and 2007, and the related consolidated statements of income, stockholders’ equity and cash flows for each of the years in the three-year period ended December 31, 2008, and the effectiveness of internal control over financial reporting as of December 31, 2008, which reports appear in the December 31, 2008, Annual Report on Form 10-K of T. Rowe Price Group,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ectPr>
          <w:pgSz w:w="11900" w:h="16838" w:orient="portrait"/>
          <w:cols w:equalWidth="0" w:num="1">
            <w:col w:w="11420"/>
          </w:cols>
          <w:pgMar w:left="240" w:top="125" w:right="239" w:bottom="1440" w:gutter="0" w:footer="0" w:header="0"/>
        </w:sectPr>
      </w:pPr>
    </w:p>
    <w:bookmarkStart w:id="43" w:name="page44"/>
    <w:bookmarkEnd w:id="43"/>
    <w:p>
      <w:pPr>
        <w:spacing w:after="0"/>
        <w:tabs>
          <w:tab w:leader="none" w:pos="714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2008 of T. Rowe Price Group,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spacing w:after="0"/>
        <w:tabs>
          <w:tab w:leader="none" w:pos="720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2008 of T. Rowe Price Group, Inc.;</w:t>
      </w:r>
    </w:p>
    <w:p>
      <w:pPr>
        <w:spacing w:after="0" w:line="130"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587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tabs>
          <w:tab w:leader="none" w:pos="94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2008 of T. Rowe Price Group, Inc., that:</w:t>
      </w:r>
    </w:p>
    <w:p>
      <w:pPr>
        <w:spacing w:after="0" w:line="62"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40" w:firstLine="8"/>
        <w:spacing w:after="0" w:line="277" w:lineRule="auto"/>
        <w:tabs>
          <w:tab w:leader="none" w:pos="25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416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416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4"/>
    </w:lvl>
  </w:abstractNum>
  <w:abstractNum w:abstractNumId="9">
    <w:nsid w:val="66EF438D"/>
    <w:multiLevelType w:val="hybridMultilevel"/>
    <w:lvl w:ilvl="0">
      <w:lvlJc w:val="left"/>
      <w:lvlText w:val="%1"/>
      <w:numFmt w:val="decimal"/>
      <w:start w:val="23"/>
    </w:lvl>
  </w:abstractNum>
  <w:abstractNum w:abstractNumId="10">
    <w:nsid w:val="140E0F76"/>
    <w:multiLevelType w:val="hybridMultilevel"/>
    <w:lvl w:ilvl="0">
      <w:lvlJc w:val="left"/>
      <w:lvlText w:val="%1"/>
      <w:numFmt w:val="decimal"/>
      <w:start w:val="32"/>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2019-12-10T19:47:10Z</dcterms:created>
  <dcterms:modified xsi:type="dcterms:W3CDTF">2019-12-10T19:47:10Z</dcterms:modified>
</cp:coreProperties>
</file>