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620395</wp:posOffset>
            </wp:positionV>
            <wp:extent cx="7169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534670</wp:posOffset>
            </wp:positionV>
            <wp:extent cx="7169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52"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8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 ROWE PRICE GROUP,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60"/>
          </w:cols>
          <w:pgMar w:left="240" w:top="1012" w:right="299" w:bottom="1440" w:gutter="0" w:footer="0" w:header="0"/>
        </w:sectPr>
      </w:pPr>
    </w:p>
    <w:p>
      <w:pPr>
        <w:spacing w:after="0" w:line="151"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380" w:space="720"/>
            <w:col w:w="3260"/>
          </w:cols>
          <w:pgMar w:left="240" w:top="1012" w:right="299" w:bottom="1440" w:gutter="0" w:footer="0" w:header="0"/>
          <w:type w:val="continuous"/>
        </w:sectPr>
      </w:pPr>
    </w:p>
    <w:p>
      <w:pPr>
        <w:ind w:left="200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720" w:space="720"/>
            <w:col w:w="3920"/>
          </w:cols>
          <w:pgMar w:left="240" w:top="1012"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7" w:lineRule="exact"/>
        <w:rPr>
          <w:sz w:val="24"/>
          <w:szCs w:val="24"/>
          <w:color w:val="auto"/>
        </w:rPr>
      </w:pPr>
    </w:p>
    <w:p>
      <w:pPr>
        <w:ind w:left="4340"/>
        <w:spacing w:after="0"/>
        <w:rPr>
          <w:sz w:val="20"/>
          <w:szCs w:val="20"/>
          <w:color w:val="auto"/>
        </w:rPr>
      </w:pPr>
      <w:r>
        <w:rPr>
          <w:rFonts w:ascii="Arial" w:cs="Arial" w:eastAsia="Arial" w:hAnsi="Arial"/>
          <w:sz w:val="14"/>
          <w:szCs w:val="14"/>
          <w:color w:val="auto"/>
        </w:rPr>
        <w:t>______________________________________</w:t>
      </w:r>
    </w:p>
    <w:p>
      <w:pPr>
        <w:spacing w:after="0" w:line="73"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60"/>
          </w:cols>
          <w:pgMar w:left="240" w:top="1012" w:right="299" w:bottom="1440" w:gutter="0" w:footer="0" w:header="0"/>
          <w:type w:val="continuous"/>
        </w:sectPr>
      </w:pPr>
    </w:p>
    <w:p>
      <w:pPr>
        <w:spacing w:after="0" w:line="12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40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00" w:space="720"/>
            <w:col w:w="5440"/>
          </w:cols>
          <w:pgMar w:left="240" w:top="1012" w:right="299" w:bottom="1440" w:gutter="0" w:footer="0" w:header="0"/>
          <w:type w:val="continuous"/>
        </w:sectPr>
      </w:pPr>
    </w:p>
    <w:p>
      <w:pPr>
        <w:ind w:left="59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1">
            <w:col w:w="11360"/>
          </w:cols>
          <w:pgMar w:left="240" w:top="1012" w:right="299" w:bottom="1440" w:gutter="0" w:footer="0" w:header="0"/>
          <w:type w:val="continuous"/>
        </w:sectPr>
      </w:pPr>
    </w:p>
    <w:p>
      <w:pPr>
        <w:spacing w:after="0" w:line="86"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9" w:lineRule="exact"/>
        <w:rPr>
          <w:sz w:val="24"/>
          <w:szCs w:val="24"/>
          <w:color w:val="auto"/>
        </w:rPr>
      </w:pPr>
    </w:p>
    <w:p>
      <w:pPr>
        <w:sectPr>
          <w:pgSz w:w="11900" w:h="16838" w:orient="portrait"/>
          <w:cols w:equalWidth="0" w:num="3">
            <w:col w:w="1760" w:space="60"/>
            <w:col w:w="3380" w:space="720"/>
            <w:col w:w="5440"/>
          </w:cols>
          <w:pgMar w:left="240" w:top="1012" w:right="299" w:bottom="1440" w:gutter="0" w:footer="0" w:header="0"/>
          <w:type w:val="continuous"/>
        </w:sectPr>
      </w:pPr>
    </w:p>
    <w:p>
      <w:pPr>
        <w:spacing w:after="0" w:line="2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issuer’s common stock ($.20 par value), as of the latest practicable date, July 21, 2017, is 240,357,961.</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69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69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360"/>
          </w:cols>
          <w:pgMar w:left="240" w:top="1012"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12/31/2016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6/30/2017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488.7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1,333.7</w:t>
            </w:r>
          </w:p>
        </w:tc>
      </w:tr>
      <w:tr>
        <w:trPr>
          <w:trHeight w:val="229"/>
        </w:trPr>
        <w:tc>
          <w:tcPr>
            <w:tcW w:w="8580" w:type="dxa"/>
            <w:vAlign w:val="bottom"/>
          </w:tcPr>
          <w:p>
            <w:pPr>
              <w:ind w:left="40"/>
              <w:spacing w:after="0"/>
              <w:rPr>
                <w:sz w:val="20"/>
                <w:szCs w:val="20"/>
                <w:color w:val="auto"/>
              </w:rPr>
            </w:pPr>
            <w:r>
              <w:rPr>
                <w:rFonts w:ascii="Arial" w:cs="Arial" w:eastAsia="Arial" w:hAnsi="Arial"/>
                <w:sz w:val="18"/>
                <w:szCs w:val="18"/>
                <w:color w:val="auto"/>
              </w:rPr>
              <w:t>Assets of consolidated sponsored investment portfolios ($1,446.1 million at December 31, 2016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$1,412.6 million at June 30, 2017, related to 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1,604.0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274.0</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6,225.0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6,532.6</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Liabilities of consolidated sponsored investment portfolios ($56.8 million at December 31, 2016, and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$44.2 million at June 30, 2017, related to variable interest entities)</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736.4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627.6</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rPr>
              <w:t>Common stock, $.20 par value—authorized 750,000,000; issued 244,784,000 shares at December 31,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2016, and 240,262,000 at June 30, 2017</w:t>
            </w: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4,293.6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4,477.6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permanent stockholders’ equity</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5,168.6</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6,225.0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6,532.6</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4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6/30/2016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6/30/2017</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920.6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1,043.9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1,791.4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2,035.0</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2,285.2</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801.2</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92.2</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w:t>
            </w:r>
          </w:p>
        </w:tc>
      </w:tr>
      <w:tr>
        <w:trPr>
          <w:trHeight w:val="229"/>
        </w:trPr>
        <w:tc>
          <w:tcPr>
            <w:tcW w:w="5980" w:type="dxa"/>
            <w:vAlign w:val="bottom"/>
            <w:gridSpan w:val="3"/>
          </w:tcPr>
          <w:p>
            <w:pPr>
              <w:ind w:left="180"/>
              <w:spacing w:after="0"/>
              <w:rPr>
                <w:sz w:val="20"/>
                <w:szCs w:val="20"/>
                <w:color w:val="auto"/>
              </w:rPr>
            </w:pPr>
            <w:r>
              <w:rPr>
                <w:rFonts w:ascii="Arial" w:cs="Arial" w:eastAsia="Arial" w:hAnsi="Arial"/>
                <w:sz w:val="18"/>
                <w:szCs w:val="18"/>
                <w:color w:val="auto"/>
                <w:w w:val="97"/>
              </w:rPr>
              <w:t>Nonrecurring charge (insurance recoveries) related to Dell appraisal rights</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420" w:type="dxa"/>
            <w:vAlign w:val="bottom"/>
          </w:tcPr>
          <w:p>
            <w:pPr>
              <w:ind w:left="180"/>
              <w:spacing w:after="0"/>
              <w:rPr>
                <w:sz w:val="20"/>
                <w:szCs w:val="20"/>
                <w:color w:val="auto"/>
              </w:rPr>
            </w:pPr>
            <w:r>
              <w:rPr>
                <w:rFonts w:ascii="Arial" w:cs="Arial" w:eastAsia="Arial" w:hAnsi="Arial"/>
                <w:sz w:val="18"/>
                <w:szCs w:val="18"/>
                <w:color w:val="auto"/>
              </w:rPr>
              <w:t>matter</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1,255.9</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1,029.3</w:t>
            </w:r>
          </w:p>
        </w:tc>
      </w:tr>
      <w:tr>
        <w:trPr>
          <w:trHeight w:val="324"/>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Net investment income on investments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136.2</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Net investment income on consolidated sponsored investment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w:t>
            </w:r>
          </w:p>
        </w:tc>
      </w:tr>
      <w:tr>
        <w:trPr>
          <w:trHeight w:val="318"/>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1,256.3</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465.9</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790.4</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w w:val="95"/>
              </w:rPr>
              <w:t>Less: net income attributable to redeemable non-controlling interests</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30.6</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759.8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w:t>
            </w:r>
          </w:p>
        </w:tc>
      </w:tr>
      <w:tr>
        <w:trPr>
          <w:trHeight w:val="251"/>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8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4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1"/>
              </w:rPr>
              <w:t>Page 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34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640" w:type="dxa"/>
            <w:vAlign w:val="bottom"/>
            <w:gridSpan w:val="5"/>
            <w:shd w:val="clear" w:color="auto" w:fill="CCEEFF"/>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22"/>
                <w:szCs w:val="22"/>
                <w:color w:val="auto"/>
              </w:rPr>
            </w:pPr>
          </w:p>
        </w:tc>
        <w:tc>
          <w:tcPr>
            <w:tcW w:w="2540" w:type="dxa"/>
            <w:vAlign w:val="bottom"/>
            <w:gridSpan w:val="4"/>
            <w:shd w:val="clear" w:color="auto" w:fill="CCEEFF"/>
          </w:tcPr>
          <w:p>
            <w:pPr>
              <w:jc w:val="right"/>
              <w:ind w:right="7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4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6/30/2017</w:t>
            </w: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790.4</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unrealized holding gains (losses) on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w w:val="99"/>
              </w:rPr>
              <w:t>Reclassification adjustments recognized in non-operating income: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8"/>
              </w:rPr>
              <w:t>Net gains realized on dispositions determined using average cost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Net unrealized gains recognized upon the transfer to trading</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unrealized holding gains (losses) recognized in other</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5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10"/>
        </w:trPr>
        <w:tc>
          <w:tcPr>
            <w:tcW w:w="5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Consolidated sponsored investment portfolios - variable interest</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entities</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37.0</w:t>
            </w: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r>
      <w:tr>
        <w:trPr>
          <w:trHeight w:val="237"/>
        </w:trPr>
        <w:tc>
          <w:tcPr>
            <w:tcW w:w="5420" w:type="dxa"/>
            <w:vAlign w:val="bottom"/>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40.5</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5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Other comprehensive loss before income taxes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5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776.9</w:t>
            </w: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Less: comprehensive income (loss) attributable to redeemable non-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w:t>
            </w:r>
          </w:p>
        </w:tc>
      </w:tr>
      <w:tr>
        <w:trPr>
          <w:trHeight w:val="257"/>
        </w:trPr>
        <w:tc>
          <w:tcPr>
            <w:tcW w:w="5420" w:type="dxa"/>
            <w:vAlign w:val="bottom"/>
          </w:tcPr>
          <w:p>
            <w:pPr>
              <w:ind w:left="40"/>
              <w:spacing w:after="0"/>
              <w:rPr>
                <w:sz w:val="20"/>
                <w:szCs w:val="20"/>
                <w:color w:val="auto"/>
              </w:rPr>
            </w:pPr>
            <w:r>
              <w:rPr>
                <w:rFonts w:ascii="Arial" w:cs="Arial" w:eastAsia="Arial" w:hAnsi="Arial"/>
                <w:sz w:val="18"/>
                <w:szCs w:val="18"/>
                <w:color w:val="auto"/>
              </w:rPr>
              <w:t>Comprehensive income attributable to T. Rowe Price Group</w:t>
            </w: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736.7</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100"/>
          </w:cols>
          <w:pgMar w:left="240" w:top="580"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CONDENSED CONSOLIDATED STATEMENTS OF CASH FLOWS</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b w:val="1"/>
          <w:bCs w:val="1"/>
          <w:color w:val="auto"/>
        </w:rPr>
        <w:t>(in millions)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6/30/2017</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Realized gains on 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Gains recognized upon transfer of an available-for-sale sponsored investment portfolio to sponsored investment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portfolios held as trading</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gains recognized on other investments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Investments in sponsored investment portfolios held as trading to economically hedge supplemental savings plan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liability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available-for-sale sponsored investment portfolios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of available-for-sale sponsored investment portfolios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of sponsored investment portfolios on consolidation (deconsolidation)</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to common stockholders of T. Rowe Price Group</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Effect of exchange rate changes on cash and cash equivalents of consolidated sponsored investment portfolios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Cash and cash equivalents at end of period, including $107.4 million at June 30, 2016 and $73.7 million at June 30,</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1,382.6</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1,615.9</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held by consolidated sponsored investment portfolios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See note 12 for a supplementary consolidating cash flow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-181610</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29"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3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capital in</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Total</w:t>
            </w:r>
          </w:p>
        </w:tc>
        <w:tc>
          <w:tcPr>
            <w:tcW w:w="3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334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b w:val="1"/>
                <w:bCs w:val="1"/>
                <w:color w:val="auto"/>
                <w:w w:val="81"/>
              </w:rPr>
              <w:t>shares</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77"/>
              </w:rPr>
              <w:t>excess of</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stockholders’</w:t>
            </w:r>
          </w:p>
        </w:tc>
        <w:tc>
          <w:tcPr>
            <w:tcW w:w="1140" w:type="dxa"/>
            <w:vAlign w:val="bottom"/>
            <w:gridSpan w:val="2"/>
            <w:shd w:val="clear" w:color="auto" w:fill="CCEEFF"/>
          </w:tcPr>
          <w:p>
            <w:pPr>
              <w:jc w:val="right"/>
              <w:ind w:right="10"/>
              <w:spacing w:after="0" w:line="135" w:lineRule="exact"/>
              <w:rPr>
                <w:sz w:val="20"/>
                <w:szCs w:val="20"/>
                <w:color w:val="auto"/>
              </w:rPr>
            </w:pPr>
            <w:r>
              <w:rPr>
                <w:rFonts w:ascii="Arial" w:cs="Arial" w:eastAsia="Arial" w:hAnsi="Arial"/>
                <w:sz w:val="13"/>
                <w:szCs w:val="13"/>
                <w:b w:val="1"/>
                <w:bCs w:val="1"/>
                <w:color w:val="auto"/>
                <w:w w:val="94"/>
              </w:rPr>
              <w:t>Redeemable non-</w:t>
            </w:r>
          </w:p>
        </w:tc>
      </w:tr>
      <w:tr>
        <w:trPr>
          <w:trHeight w:val="174"/>
        </w:trPr>
        <w:tc>
          <w:tcPr>
            <w:tcW w:w="3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b w:val="1"/>
                <w:bCs w:val="1"/>
                <w:color w:val="auto"/>
                <w:w w:val="83"/>
              </w:rPr>
              <w:t>outstanding</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82"/>
              </w:rPr>
              <w:t>stock</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7"/>
              </w:rPr>
              <w:t>par value</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3"/>
              </w:rPr>
              <w:t>income (loss)</w:t>
            </w: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w w:val="86"/>
              </w:rPr>
              <w:t>controlling interests</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2016</w:t>
            </w:r>
          </w:p>
        </w:tc>
        <w:tc>
          <w:tcPr>
            <w:tcW w:w="10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244,784</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4,293.6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5,008.6</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687.2</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Other comprehensive income (loss), net of</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tax</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withheld for taxes</w:t>
            </w:r>
          </w:p>
        </w:tc>
        <w:tc>
          <w:tcPr>
            <w:tcW w:w="1040" w:type="dxa"/>
            <w:vAlign w:val="bottom"/>
          </w:tcPr>
          <w:p>
            <w:pPr>
              <w:jc w:val="right"/>
              <w:ind w:right="55"/>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Shares issued upon vesting of restricted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stock units, net of shares withheld for taxes</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6"/>
              </w:rPr>
              <w:t>Restricted stock units issued as dividend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equivalents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repurchased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2"/>
              </w:rPr>
              <w:t>Net subscriptions into sponsored investment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687.4</w:t>
            </w:r>
          </w:p>
        </w:tc>
      </w:tr>
      <w:tr>
        <w:trPr>
          <w:trHeight w:val="27"/>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deconsolidations of sponsored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Balances at June 30, 2017</w:t>
            </w:r>
          </w:p>
        </w:tc>
        <w:tc>
          <w:tcPr>
            <w:tcW w:w="10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240,262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4,477.6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5,168.6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627.6</w:t>
            </w: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 Rowe Price Group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 Certain prior year amounts have been reclassified to conform to the 2017 presentation.</w:t>
      </w:r>
    </w:p>
    <w:p>
      <w:pPr>
        <w:spacing w:after="0" w:line="18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2016 Annual Report.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GUIDANCE</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early adopted Accounting Standards Update No. 2016-09 — Compensation-Stock Compensation (Topic 718): Improvements to Employee Share-Based Payment Accounting on July 1, 2016, which changed the accounting for certain aspects of stock-based compensation awards, including the accounting for income taxes upon settlement of awards, the classification of cash flows associated with awards, the accounting for award forfeitures, and the treatment of hypothetical tax benefits when calculating weighted-average shares outstanding assuming dilution. The guidance required adjustments to be reflected as of January 1, 2016, so we recognized adjustments related to the first and second quarter of 2016 in our condensed consolidated financial statement results for the nine months ended September 30, 2016. As such, we have revised the three- and six-months ended June 30, 2016 financial statements reported in these statements to reflect the impact of the new guidance.</w:t>
      </w:r>
    </w:p>
    <w:p>
      <w:pPr>
        <w:spacing w:after="0" w:line="18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the three and six months ended June 30, 2016, the recognition of net tax benefits on exercised options and vested restricted stock relative to the stock-based compensation expense reduced our previously reported income tax provisions by $8 million and $16.9 million, respectively. The impact (in millions) on our condensed consolidated statement of income and earnings per share on common stock data three- and six-months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2740" w:type="dxa"/>
            <w:vAlign w:val="bottom"/>
            <w:tcBorders>
              <w:bottom w:val="single" w:sz="8" w:color="auto"/>
            </w:tcBorders>
            <w:gridSpan w:val="4"/>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Three months ended 6/30/2016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572"/>
              <w:spacing w:after="0"/>
              <w:rPr>
                <w:sz w:val="20"/>
                <w:szCs w:val="20"/>
                <w:color w:val="auto"/>
              </w:rPr>
            </w:pPr>
            <w:r>
              <w:rPr>
                <w:rFonts w:ascii="Arial" w:cs="Arial" w:eastAsia="Arial" w:hAnsi="Arial"/>
                <w:sz w:val="14"/>
                <w:szCs w:val="14"/>
                <w:b w:val="1"/>
                <w:bCs w:val="1"/>
                <w:color w:val="auto"/>
              </w:rPr>
              <w:t>Six months ended 6/30/2016</w:t>
            </w:r>
          </w:p>
        </w:tc>
      </w:tr>
      <w:tr>
        <w:trPr>
          <w:trHeight w:val="264"/>
        </w:trPr>
        <w:tc>
          <w:tcPr>
            <w:tcW w:w="5160" w:type="dxa"/>
            <w:vAlign w:val="bottom"/>
          </w:tcPr>
          <w:p>
            <w:pPr>
              <w:spacing w:after="0"/>
              <w:rPr>
                <w:sz w:val="22"/>
                <w:szCs w:val="22"/>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previously reported</w:t>
            </w:r>
          </w:p>
        </w:tc>
        <w:tc>
          <w:tcPr>
            <w:tcW w:w="14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reported herein</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As previously reported</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As reported herein</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296.5</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3"/>
              </w:rPr>
              <w:t>Less: net income attributable to redeemable non-controlling interests</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T. Rowe Price Group</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507.4</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unit holders</w:t>
            </w:r>
          </w:p>
        </w:tc>
        <w:tc>
          <w:tcPr>
            <w:tcW w:w="3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allocated to common stockholders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481.1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497.6</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80"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Earnings per share on common stock of T. Rowe Price Group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0"/>
        </w:trPr>
        <w:tc>
          <w:tcPr>
            <w:tcW w:w="5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246.8</w:t>
            </w: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252.2</w:t>
            </w:r>
          </w:p>
        </w:tc>
      </w:tr>
      <w:tr>
        <w:trPr>
          <w:trHeight w:val="20"/>
        </w:trPr>
        <w:tc>
          <w:tcPr>
            <w:tcW w:w="5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impact (in millions) of reporting excess tax benefits from stock-based compensation as an operating activity rather than a financing activity in the consolidated statements of cash flows for the six months ended June 30, 2016,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60" w:type="dxa"/>
            <w:vAlign w:val="bottom"/>
            <w:shd w:val="clear" w:color="auto" w:fill="CCEEFF"/>
          </w:tcPr>
          <w:p>
            <w:pPr>
              <w:spacing w:after="0"/>
              <w:rPr>
                <w:sz w:val="22"/>
                <w:szCs w:val="22"/>
                <w:color w:val="auto"/>
              </w:rPr>
            </w:pPr>
          </w:p>
        </w:tc>
        <w:tc>
          <w:tcPr>
            <w:tcW w:w="168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As previously reported</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36"/>
              <w:spacing w:after="0"/>
              <w:rPr>
                <w:sz w:val="20"/>
                <w:szCs w:val="20"/>
                <w:color w:val="auto"/>
              </w:rPr>
            </w:pPr>
            <w:r>
              <w:rPr>
                <w:rFonts w:ascii="Arial" w:cs="Arial" w:eastAsia="Arial" w:hAnsi="Arial"/>
                <w:sz w:val="14"/>
                <w:szCs w:val="14"/>
                <w:b w:val="1"/>
                <w:bCs w:val="1"/>
                <w:color w:val="auto"/>
                <w:w w:val="94"/>
              </w:rPr>
              <w:t>As reported herein</w:t>
            </w:r>
          </w:p>
        </w:tc>
      </w:tr>
      <w:tr>
        <w:trPr>
          <w:trHeight w:val="303"/>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(14.2)</w:t>
            </w:r>
          </w:p>
        </w:tc>
      </w:tr>
      <w:tr>
        <w:trPr>
          <w:trHeight w:val="251"/>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83.8</w:t>
            </w:r>
          </w:p>
        </w:tc>
      </w:tr>
      <w:tr>
        <w:trPr>
          <w:trHeight w:val="20"/>
        </w:trPr>
        <w:tc>
          <w:tcPr>
            <w:tcW w:w="8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Accounts receivable from our sponsored investment portfolios, including our U.S. mutual funds, for advisory fees and advisory-related administrative services aggregate $303.1 million at December 31, 2016, and $320.7 million at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U.S.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gridSpan w:val="4"/>
            <w:shd w:val="clear" w:color="auto" w:fill="CCEEFF"/>
          </w:tcPr>
          <w:p>
            <w:pPr>
              <w:jc w:val="right"/>
              <w:ind w:right="77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gridSpan w:val="4"/>
            <w:shd w:val="clear" w:color="auto" w:fill="CCEEFF"/>
          </w:tcPr>
          <w:p>
            <w:pPr>
              <w:jc w:val="right"/>
              <w:ind w:right="872"/>
              <w:spacing w:after="0"/>
              <w:rPr>
                <w:sz w:val="20"/>
                <w:szCs w:val="20"/>
                <w:color w:val="auto"/>
              </w:rPr>
            </w:pPr>
            <w:r>
              <w:rPr>
                <w:rFonts w:ascii="Arial" w:cs="Arial" w:eastAsia="Arial" w:hAnsi="Arial"/>
                <w:sz w:val="14"/>
                <w:szCs w:val="14"/>
                <w:b w:val="1"/>
                <w:bCs w:val="1"/>
                <w:color w:val="auto"/>
              </w:rPr>
              <w:t>Six months ended</w:t>
            </w:r>
          </w:p>
        </w:tc>
      </w:tr>
      <w:tr>
        <w:trPr>
          <w:trHeight w:val="258"/>
        </w:trPr>
        <w:tc>
          <w:tcPr>
            <w:tcW w:w="52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6/30/2016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6/30/2017</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6/30/2017</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551.1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628.6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1,070.6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1,222.7</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247.4</w:t>
            </w:r>
          </w:p>
        </w:tc>
      </w:tr>
      <w:tr>
        <w:trPr>
          <w:trHeight w:val="237"/>
        </w:trPr>
        <w:tc>
          <w:tcPr>
            <w:tcW w:w="5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1,470.1</w:t>
            </w:r>
          </w:p>
        </w:tc>
      </w:tr>
      <w:tr>
        <w:trPr>
          <w:trHeight w:val="27"/>
        </w:trPr>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240.3</w:t>
            </w:r>
          </w:p>
        </w:tc>
        <w:tc>
          <w:tcPr>
            <w:tcW w:w="3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468.2</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96.7</w:t>
            </w:r>
          </w:p>
        </w:tc>
      </w:tr>
      <w:tr>
        <w:trPr>
          <w:trHeight w:val="237"/>
        </w:trPr>
        <w:tc>
          <w:tcPr>
            <w:tcW w:w="5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564.9</w:t>
            </w:r>
          </w:p>
        </w:tc>
      </w:tr>
      <w:tr>
        <w:trPr>
          <w:trHeight w:val="27"/>
        </w:trPr>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2,035.0</w:t>
            </w: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investment portfolios include advisory revenues of $94.0 million and $108.6 million for the three months ended June 30, 2016 and 2017, respectively, that were earned from other sponsored investment portfolios. Fees earned during the six months ended June 30, 2016 and 2017, total $182.2 million and $214.7 million respectively.</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voluntarily waived $3.3 million and $7.3 million in money market related fees, including advisory fees and fund expenses, during the three and six months ended June 30, 2016 respectively, in order to maintain a positive yield for investors. We did not waive any money market related fees during 2017.</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2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60" w:type="dxa"/>
            <w:vAlign w:val="bottom"/>
            <w:gridSpan w:val="3"/>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Average during</w:t>
            </w: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Average during</w:t>
            </w:r>
          </w:p>
        </w:tc>
        <w:tc>
          <w:tcPr>
            <w:tcW w:w="1040" w:type="dxa"/>
            <w:vAlign w:val="bottom"/>
            <w:shd w:val="clear" w:color="auto" w:fill="CCEEFF"/>
          </w:tcPr>
          <w:p>
            <w:pPr>
              <w:spacing w:after="0"/>
              <w:rPr>
                <w:sz w:val="23"/>
                <w:szCs w:val="23"/>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second quarter of</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the first half of</w:t>
            </w:r>
          </w:p>
        </w:tc>
        <w:tc>
          <w:tcPr>
            <w:tcW w:w="1040" w:type="dxa"/>
            <w:vAlign w:val="bottom"/>
            <w:tcBorders>
              <w:bottom w:val="single" w:sz="8" w:color="auto"/>
            </w:tcBorders>
          </w:tcPr>
          <w:p>
            <w:pPr>
              <w:spacing w:after="0"/>
              <w:rPr>
                <w:sz w:val="22"/>
                <w:szCs w:val="22"/>
                <w:color w:val="auto"/>
              </w:rPr>
            </w:pPr>
          </w:p>
        </w:tc>
      </w:tr>
      <w:tr>
        <w:trPr>
          <w:trHeight w:val="270"/>
        </w:trPr>
        <w:tc>
          <w:tcPr>
            <w:tcW w:w="51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6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117.8</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492.1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317.2</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772.7</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885.9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865.6</w:t>
            </w:r>
          </w:p>
        </w:tc>
      </w:tr>
      <w:tr>
        <w:trPr>
          <w:trHeight w:val="311"/>
        </w:trPr>
        <w:tc>
          <w:tcPr>
            <w:tcW w:w="5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tcBorders>
              <w:bottom w:val="single" w:sz="8" w:color="auto"/>
            </w:tcBorders>
          </w:tcPr>
          <w:p>
            <w:pPr>
              <w:spacing w:after="0"/>
              <w:rPr>
                <w:sz w:val="22"/>
                <w:szCs w:val="22"/>
                <w:color w:val="auto"/>
              </w:rPr>
            </w:pPr>
          </w:p>
        </w:tc>
      </w:tr>
      <w:tr>
        <w:trPr>
          <w:trHeight w:val="270"/>
        </w:trPr>
        <w:tc>
          <w:tcPr>
            <w:tcW w:w="5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w w:val="93"/>
              </w:rPr>
              <w:t>6/30/2017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6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445.5</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903.6</w:t>
            </w:r>
          </w:p>
        </w:tc>
      </w:tr>
      <w:tr>
        <w:trPr>
          <w:trHeight w:val="20"/>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4.7% and 4.9% of our assets under management at December 31, 2016, and June 30,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fees (in millions) we earn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20" w:type="dxa"/>
            <w:vAlign w:val="bottom"/>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87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6/30/2017</w:t>
            </w:r>
          </w:p>
        </w:tc>
        <w:tc>
          <w:tcPr>
            <w:tcW w:w="4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6/30/2017</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71.9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35.6</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36.4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71.6</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investments (in millions) we do not consolidate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12/31/2016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6/30/2017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524.4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Sponsored investment portfolios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317.8</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Investment partnerships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77.1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1,257.5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1,333.7</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During the first six months of 2016 and 2017, certain sponsored investment portfolios in which we provided initial seed capital at the time of formation were deconsolidated, as we no longer had a controlling interest. Additionally, during the first six months of 2016 and 2017, certain sponsored investment portfolios that were being accounted for as equity method investments were consolidated, as we regained a controlling interest. The net impact of these changes on our condensed consolidated balance sheets and income statements as of the dates the portfolios were deconsolidated or reconsolidated is detailed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60" w:type="dxa"/>
            <w:vAlign w:val="bottom"/>
            <w:gridSpan w:val="3"/>
            <w:shd w:val="clear" w:color="auto" w:fill="CCEEFF"/>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17"/>
                <w:szCs w:val="17"/>
                <w:color w:val="auto"/>
              </w:rPr>
            </w:pPr>
          </w:p>
        </w:tc>
        <w:tc>
          <w:tcPr>
            <w:tcW w:w="2400" w:type="dxa"/>
            <w:vAlign w:val="bottom"/>
            <w:gridSpan w:val="3"/>
            <w:shd w:val="clear" w:color="auto" w:fill="CCEEFF"/>
          </w:tcPr>
          <w:p>
            <w:pPr>
              <w:jc w:val="right"/>
              <w:ind w:right="674"/>
              <w:spacing w:after="0"/>
              <w:rPr>
                <w:sz w:val="20"/>
                <w:szCs w:val="20"/>
                <w:color w:val="auto"/>
              </w:rPr>
            </w:pPr>
            <w:r>
              <w:rPr>
                <w:rFonts w:ascii="Arial" w:cs="Arial" w:eastAsia="Arial" w:hAnsi="Arial"/>
                <w:sz w:val="14"/>
                <w:szCs w:val="14"/>
                <w:b w:val="1"/>
                <w:bCs w:val="1"/>
                <w:color w:val="auto"/>
              </w:rPr>
              <w:t>Six months ended</w:t>
            </w:r>
          </w:p>
        </w:tc>
      </w:tr>
      <w:tr>
        <w:trPr>
          <w:trHeight w:val="64"/>
        </w:trPr>
        <w:tc>
          <w:tcPr>
            <w:tcW w:w="606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r>
      <w:tr>
        <w:trPr>
          <w:trHeight w:val="258"/>
        </w:trPr>
        <w:tc>
          <w:tcPr>
            <w:tcW w:w="60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6/30/2016</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6/30/2017</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6/30/2016</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6/30/2017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assets of consolidated sponsored investment portfolios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decrease in liabilities of consolidated sponsored investment portfolios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redeemable non-controlling interests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(161.3)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(787.2)</w:t>
            </w:r>
          </w:p>
        </w:tc>
      </w:tr>
      <w:tr>
        <w:trPr>
          <w:trHeight w:val="32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recognized upon deconsolidation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did not recognize any additional gain or loss in our consolidated statements of income upon deconsolidation as the sponsored investment portfolios’ functional currencies were U.S. dollars and were carried at fair value. Depending on our ownership interest, we are now reporting our residual interests in these sponsored investment portfolios as either equity method or available-for-sale investments.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SPONSORED INVESTMENT PORTFOLIOS.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available-for-sale sponsored investment portfolios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20" w:type="dxa"/>
            <w:vAlign w:val="bottom"/>
            <w:gridSpan w:val="3"/>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Unrealized holding</w:t>
            </w: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vMerge w:val="restart"/>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vMerge w:val="restart"/>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90"/>
              </w:rPr>
              <w:t>Aggregate cost</w:t>
            </w: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b w:val="1"/>
                <w:bCs w:val="1"/>
                <w:color w:val="auto"/>
              </w:rPr>
              <w:t>gains</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losses</w:t>
            </w: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0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626.2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June 30, 2017</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106.0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57"/>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511.6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580" w:right="239" w:bottom="1440" w:gutter="0" w:footer="0" w:header="0"/>
        </w:sectPr>
      </w:pPr>
    </w:p>
    <w:bookmarkStart w:id="10" w:name="page11"/>
    <w:bookmarkEnd w:id="10"/>
    <w:p>
      <w:pPr>
        <w:ind w:right="380"/>
        <w:spacing w:after="0" w:line="308" w:lineRule="auto"/>
        <w:rPr>
          <w:sz w:val="20"/>
          <w:szCs w:val="20"/>
          <w:color w:val="auto"/>
        </w:rPr>
      </w:pPr>
      <w:r>
        <w:rPr>
          <w:rFonts w:ascii="Arial" w:cs="Arial" w:eastAsia="Arial" w:hAnsi="Arial"/>
          <w:sz w:val="17"/>
          <w:szCs w:val="17"/>
          <w:color w:val="auto"/>
        </w:rPr>
        <w:t>The following table details the number of holdings, the unrealized holding losses, and the aggregate fair value of available-for-sale sponsored investment portfolios with unrealized losses categorized by the length of time they have been in a continuous unrealized loss position: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76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left="228"/>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Unrealized</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Aggregate</w:t>
            </w:r>
          </w:p>
        </w:tc>
      </w:tr>
      <w:tr>
        <w:trPr>
          <w:trHeight w:val="192"/>
        </w:trPr>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7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left="228"/>
              <w:spacing w:after="0"/>
              <w:rPr>
                <w:sz w:val="20"/>
                <w:szCs w:val="20"/>
                <w:color w:val="auto"/>
              </w:rPr>
            </w:pPr>
            <w:r>
              <w:rPr>
                <w:rFonts w:ascii="Arial" w:cs="Arial" w:eastAsia="Arial" w:hAnsi="Arial"/>
                <w:sz w:val="14"/>
                <w:szCs w:val="14"/>
                <w:b w:val="1"/>
                <w:bCs w:val="1"/>
                <w:color w:val="auto"/>
                <w:w w:val="89"/>
              </w:rPr>
              <w:t>holdings</w:t>
            </w: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b w:val="1"/>
                <w:bCs w:val="1"/>
                <w:color w:val="auto"/>
                <w:w w:val="93"/>
              </w:rPr>
              <w:t>holding losses</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202"/>
        </w:trPr>
        <w:tc>
          <w:tcPr>
            <w:tcW w:w="81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December 31, 2016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5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8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328.1</w:t>
            </w:r>
          </w:p>
        </w:tc>
      </w:tr>
      <w:tr>
        <w:trPr>
          <w:trHeight w:val="243"/>
        </w:trPr>
        <w:tc>
          <w:tcPr>
            <w:tcW w:w="8180" w:type="dxa"/>
            <w:vAlign w:val="bottom"/>
            <w:gridSpan w:val="5"/>
          </w:tcPr>
          <w:p>
            <w:pPr>
              <w:ind w:left="40"/>
              <w:spacing w:after="0"/>
              <w:rPr>
                <w:sz w:val="20"/>
                <w:szCs w:val="20"/>
                <w:color w:val="auto"/>
              </w:rPr>
            </w:pPr>
            <w:r>
              <w:rPr>
                <w:rFonts w:ascii="Arial" w:cs="Arial" w:eastAsia="Arial" w:hAnsi="Arial"/>
                <w:sz w:val="18"/>
                <w:szCs w:val="18"/>
                <w:color w:val="auto"/>
              </w:rPr>
              <w:t>12 months or more</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169.5</w:t>
            </w:r>
          </w:p>
        </w:tc>
      </w:tr>
      <w:tr>
        <w:trPr>
          <w:trHeight w:val="27"/>
        </w:trPr>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497.6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81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June 30, 2017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57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8180" w:type="dxa"/>
            <w:vAlign w:val="bottom"/>
            <w:gridSpan w:val="5"/>
          </w:tcPr>
          <w:p>
            <w:pPr>
              <w:ind w:left="40"/>
              <w:spacing w:after="0"/>
              <w:rPr>
                <w:sz w:val="20"/>
                <w:szCs w:val="20"/>
                <w:color w:val="auto"/>
              </w:rPr>
            </w:pPr>
            <w:r>
              <w:rPr>
                <w:rFonts w:ascii="Arial" w:cs="Arial" w:eastAsia="Arial" w:hAnsi="Arial"/>
                <w:sz w:val="18"/>
                <w:szCs w:val="18"/>
                <w:color w:val="auto"/>
              </w:rPr>
              <w:t>Less than 12 months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24.5</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12 months or more</w:t>
            </w: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w:t>
            </w:r>
          </w:p>
        </w:tc>
      </w:tr>
      <w:tr>
        <w:trPr>
          <w:trHeight w:val="257"/>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192.8</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duration of the impairments, we reviewed the severity of the impairment as well as our intent and ability to hold the investments for a period of time sufficient for an anticipated recovery in fair value. Accordingly, impairment of these investment holdings is considered temporary at December 31, 2016 and June 30,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investments at December 31, 2016 and June 30, 2017, include interests in variable interest entities that we do not consolidate as we are not deemed the primary beneficiary. Our maximum risk of loss (in millions)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b w:val="1"/>
                <w:bCs w:val="1"/>
                <w:color w:val="auto"/>
              </w:rPr>
              <w:t>12/31/2016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6/30/2017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116.4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unfunded capital commitments totaling $45.7 million relate primarily to investment partnerships in which we have an existing investment. In addition to such amounts, a percentage of prior distributions may be called under certain circumstances.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84" w:right="239" w:bottom="1440" w:gutter="0" w:footer="0" w:header="0"/>
        </w:sectPr>
      </w:pPr>
    </w:p>
    <w:bookmarkStart w:id="11" w:name="page12"/>
    <w:bookmarkEnd w:id="11"/>
    <w:p>
      <w:pPr>
        <w:jc w:val="both"/>
        <w:ind w:right="2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3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80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97"/>
        </w:trPr>
        <w:tc>
          <w:tcPr>
            <w:tcW w:w="880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1,821.6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r>
      <w:tr>
        <w:trPr>
          <w:trHeight w:val="284"/>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03"/>
        </w:trPr>
        <w:tc>
          <w:tcPr>
            <w:tcW w:w="8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June 30, 2017</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Available-for-sale sponsored investment portfolios</w:t>
            </w: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Sponsored investment portfolios held as trading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r>
      <w:tr>
        <w:trPr>
          <w:trHeight w:val="257"/>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2,087.5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17.6</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above excludes investments held by consolidated sponsored investment portfolios which are presented separately on our condensed consolidated balance sheets and are detailed in Note 5.</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SPONSORED INVESTMENT PORTFOLIOS.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sponsored investment portfolios that we consolidate in our condensed consolidated financial statements are generally those products we provided initial seed capital at the time of their formation and have a controlling interest. Our U.S. sponsored investment portfolios are considered voting interest entities, while those regulated outside the U.S. are considered variable interest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sponsored investment portfolios: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December 31, 2016</w:t>
            </w: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June 30, 2017</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Voting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tcPr>
          <w:p>
            <w:pPr>
              <w:spacing w:after="0"/>
              <w:rPr>
                <w:sz w:val="13"/>
                <w:szCs w:val="13"/>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Variable</w:t>
            </w:r>
          </w:p>
        </w:tc>
        <w:tc>
          <w:tcPr>
            <w:tcW w:w="240" w:type="dxa"/>
            <w:vAlign w:val="bottom"/>
          </w:tcPr>
          <w:p>
            <w:pPr>
              <w:spacing w:after="0"/>
              <w:rPr>
                <w:sz w:val="13"/>
                <w:szCs w:val="13"/>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interest entities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1,559.9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1,325.6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1,505.4</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1,412.6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1,389.3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1,614.9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1,368.4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69.5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617.7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1,389.3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1,614.9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1,368.4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17145</wp:posOffset>
            </wp:positionV>
            <wp:extent cx="4271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Cash and cash equivalents includes $8.8 million and $5.9 million at December 31, 2016 and June 30, 2017, respectively, of investments in sponsored money market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-98425</wp:posOffset>
            </wp:positionV>
            <wp:extent cx="4271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Investments includes $4.2 million and $9.0 million at December 31, 2016 and June 30, 2017, respectively, of investments in sponsored portfolios.</w:t>
      </w:r>
    </w:p>
    <w:p>
      <w:pPr>
        <w:spacing w:after="0" w:line="210"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Since third party investors in these investment funds have no recourse to our credit, our overall risk related to the net assets of consolidated sponsored investment portfolios is limited to valuation changes associated with our net interest. We, however, are</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ind w:right="200"/>
        <w:spacing w:after="0" w:line="308" w:lineRule="auto"/>
        <w:rPr>
          <w:sz w:val="20"/>
          <w:szCs w:val="20"/>
          <w:color w:val="auto"/>
        </w:rPr>
      </w:pPr>
      <w:r>
        <w:rPr>
          <w:rFonts w:ascii="Arial" w:cs="Arial" w:eastAsia="Arial" w:hAnsi="Arial"/>
          <w:sz w:val="17"/>
          <w:szCs w:val="17"/>
          <w:color w:val="auto"/>
        </w:rPr>
        <w:t>required to recognize the valuation changes associated with all underlying investments held by these portfolios in our condensed consolidated statements of income, and disclose the portion attributable to third party investors as net income attributable to redeemable non-controlling interests.</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operating results (in millions) of the consolidated sponsored investment portfolios for the three- and six- months ended June 30, 2016 and 2017, are reflected in our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6/30/2016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36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redeemable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40" w:type="dxa"/>
            <w:vAlign w:val="bottom"/>
            <w:gridSpan w:val="5"/>
            <w:shd w:val="clear" w:color="auto" w:fill="CCEEFF"/>
          </w:tcPr>
          <w:p>
            <w:pPr>
              <w:ind w:left="3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47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3"/>
              </w:rPr>
              <w:t>6/30/2016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36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Net income attributable to redeemable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operating expenses of these consolidated portfolios are reflected in other operating expenses. In preparing our condensed consolidated financial statements, we eliminated operating expenses of $1.8 million and $1.0 million for the three months ended June 30, 2016 and 2017, respectively, against the investment advisory and administrative fees earned from these portfolios. Operating expenses eliminated for the six months ended June 30, 2016 and 2017, were $3.1 million and $1.8 million, respectively. The net investment income reflected in non-operating income includes dividend and interest income and realized and unrealized gains and losses on the underlying securities held by the consolidated sponsored investment portfolios.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584" w:right="239" w:bottom="1440" w:gutter="0" w:footer="0" w:header="0"/>
        </w:sectPr>
      </w:pPr>
    </w:p>
    <w:bookmarkStart w:id="13" w:name="page14"/>
    <w:bookmarkEnd w:id="13"/>
    <w:p>
      <w:pPr>
        <w:ind w:right="100"/>
        <w:spacing w:after="0" w:line="277" w:lineRule="auto"/>
        <w:rPr>
          <w:sz w:val="20"/>
          <w:szCs w:val="20"/>
          <w:color w:val="auto"/>
        </w:rPr>
      </w:pPr>
      <w:r>
        <w:rPr>
          <w:rFonts w:ascii="Arial" w:cs="Arial" w:eastAsia="Arial" w:hAnsi="Arial"/>
          <w:sz w:val="18"/>
          <w:szCs w:val="18"/>
          <w:color w:val="auto"/>
        </w:rPr>
        <w:t>The table below details the impact of these consolidated investment portfolios on the individual lines of our condensed consolidated statements of cash flows (in millions) for the six months ended June 30, 2016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7"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42710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June 30, 2016</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 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8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Variable</w:t>
            </w:r>
          </w:p>
        </w:tc>
        <w:tc>
          <w:tcPr>
            <w:tcW w:w="2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(632.4)</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706.1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775.5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784.4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Effect of exchange rate changes on cash and cash equivalents of</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sponsored investment portfolios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net cash provided by financing activities during the first half of 2016 and 2017 includes 193.7 million and $66.7 million, respectively, of net subscriptions we made into the consolidated sponsored investment portfolios, net of dividends received. These cash flows were eliminated in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determine the fair value of investments held by consolidated sponsored investment portfolios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660" w:right="480" w:hanging="647"/>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The following table summarizes the investment holdings held by our consolidated sponsored investment portfolios (in millions)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78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Level 2</w:t>
            </w:r>
          </w:p>
        </w:tc>
      </w:tr>
      <w:tr>
        <w:trPr>
          <w:trHeight w:val="196"/>
        </w:trPr>
        <w:tc>
          <w:tcPr>
            <w:tcW w:w="926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7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8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325.3</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14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918.1</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w:t>
            </w: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1,278.5</w:t>
            </w:r>
          </w:p>
        </w:tc>
      </w:tr>
      <w:tr>
        <w:trPr>
          <w:trHeight w:val="67"/>
        </w:trPr>
        <w:tc>
          <w:tcPr>
            <w:tcW w:w="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7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7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304"/>
        </w:trPr>
        <w:tc>
          <w:tcPr>
            <w:tcW w:w="92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84"/>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7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13"/>
              <w:spacing w:after="0"/>
              <w:rPr>
                <w:sz w:val="20"/>
                <w:szCs w:val="20"/>
                <w:color w:val="auto"/>
              </w:rPr>
            </w:pPr>
            <w:r>
              <w:rPr>
                <w:rFonts w:ascii="Arial" w:cs="Arial" w:eastAsia="Arial" w:hAnsi="Arial"/>
                <w:sz w:val="14"/>
                <w:szCs w:val="14"/>
                <w:b w:val="1"/>
                <w:bCs w:val="1"/>
                <w:color w:val="auto"/>
              </w:rPr>
              <w:t>Level 2</w:t>
            </w:r>
          </w:p>
        </w:tc>
      </w:tr>
      <w:tr>
        <w:trPr>
          <w:trHeight w:val="196"/>
        </w:trPr>
        <w:tc>
          <w:tcPr>
            <w:tcW w:w="926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June 30, 2017</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8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8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356.2</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80"/>
              <w:spacing w:after="0"/>
              <w:rPr>
                <w:sz w:val="20"/>
                <w:szCs w:val="20"/>
                <w:color w:val="auto"/>
              </w:rPr>
            </w:pPr>
            <w:r>
              <w:rPr>
                <w:rFonts w:ascii="Arial" w:cs="Arial" w:eastAsia="Arial" w:hAnsi="Arial"/>
                <w:sz w:val="18"/>
                <w:szCs w:val="18"/>
                <w:color w:val="auto"/>
              </w:rPr>
              <w:t>Fixed income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731.9</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1,099.4</w:t>
            </w:r>
          </w:p>
        </w:tc>
      </w:tr>
      <w:tr>
        <w:trPr>
          <w:trHeight w:val="67"/>
        </w:trPr>
        <w:tc>
          <w:tcPr>
            <w:tcW w:w="4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82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78"/>
        </w:trPr>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Regular cash dividends declared per share during the first six months of 2016 and 2017 were $1.08 and $1.14,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June 30, 2017, a liability of $.1 million is included in accounts payable and accrued expenses for common stock repurchases that settled by July 5,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first half of 2017.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right="137"/>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92"/>
        </w:trPr>
        <w:tc>
          <w:tcPr>
            <w:tcW w:w="8800" w:type="dxa"/>
            <w:vAlign w:val="bottom"/>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24,364,322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(2,676,181)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(29,237)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76.06</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June 30, 2017</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21,619,273</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2017</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14,847,765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half of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b w:val="1"/>
                <w:bCs w:val="1"/>
                <w:color w:val="auto"/>
              </w:rPr>
              <w:t>Restricted</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Weighted-average</w:t>
            </w:r>
          </w:p>
        </w:tc>
        <w:tc>
          <w:tcPr>
            <w:tcW w:w="0" w:type="dxa"/>
            <w:vAlign w:val="bottom"/>
          </w:tcPr>
          <w:p>
            <w:pPr>
              <w:spacing w:after="0"/>
              <w:rPr>
                <w:sz w:val="1"/>
                <w:szCs w:val="1"/>
                <w:color w:val="auto"/>
              </w:rPr>
            </w:pPr>
          </w:p>
        </w:tc>
      </w:tr>
      <w:tr>
        <w:trPr>
          <w:trHeight w:val="149"/>
        </w:trPr>
        <w:tc>
          <w:tcPr>
            <w:tcW w:w="744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2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44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December 31, 2016</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931,508</w:t>
            </w:r>
          </w:p>
        </w:tc>
        <w:tc>
          <w:tcPr>
            <w:tcW w:w="1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4,634,461</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17,022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72,547</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Vested</w:t>
            </w:r>
          </w:p>
        </w:tc>
        <w:tc>
          <w:tcPr>
            <w:tcW w:w="1260" w:type="dxa"/>
            <w:vAlign w:val="bottom"/>
          </w:tcPr>
          <w:p>
            <w:pPr>
              <w:jc w:val="right"/>
              <w:spacing w:after="0"/>
              <w:rPr>
                <w:sz w:val="20"/>
                <w:szCs w:val="20"/>
                <w:color w:val="auto"/>
              </w:rPr>
            </w:pPr>
            <w:r>
              <w:rPr>
                <w:rFonts w:ascii="Arial" w:cs="Arial" w:eastAsia="Arial" w:hAnsi="Arial"/>
                <w:sz w:val="18"/>
                <w:szCs w:val="18"/>
                <w:color w:val="auto"/>
              </w:rPr>
              <w:t>(9,018)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(20,379)</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(27,556)</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Nonvested at June 30, 2017</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935,106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4,659,073</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72.13</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Nonvested at June 30, 2017, includes 14,400 performance-based restricted shares and 401,138 performance-based restricted stock units. These performance-based restricted shares and units include 14,400 restricted shares and 342,049 restricted stock units for which the performance period has lapsed and the performance threshold has been met.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73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June 30, 2017. Estimated future compensation expense will change to reflect future awards of restricted stock awards and units, future option grants, changes in the probability of performance thresholds being met, and adjustments for actual forfeitures.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 2017</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Fourth quarter 2017</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2019 through 2022</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73.4</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232.8</w:t>
            </w:r>
          </w:p>
        </w:tc>
      </w:tr>
      <w:tr>
        <w:trPr>
          <w:trHeight w:val="20"/>
        </w:trPr>
        <w:tc>
          <w:tcPr>
            <w:tcW w:w="10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following table presents the reconciliation (in millions) of net income attributable to T. Rowe Price Group to net income allocated to our common stockholders and the weighted-average shares (in millions)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20" w:type="dxa"/>
            <w:vAlign w:val="bottom"/>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2"/>
                <w:szCs w:val="22"/>
                <w:color w:val="auto"/>
              </w:rPr>
            </w:pPr>
          </w:p>
        </w:tc>
        <w:tc>
          <w:tcPr>
            <w:tcW w:w="2400" w:type="dxa"/>
            <w:vAlign w:val="bottom"/>
            <w:gridSpan w:val="4"/>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6/30/2016</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 unit holders</w:t>
            </w: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17.2</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497.6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742.6</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30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240.9</w:t>
            </w:r>
          </w:p>
        </w:tc>
      </w:tr>
      <w:tr>
        <w:trPr>
          <w:trHeight w:val="251"/>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244.2</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760" w:type="dxa"/>
            <w:vAlign w:val="bottom"/>
            <w:gridSpan w:val="4"/>
            <w:shd w:val="clear" w:color="auto" w:fill="CCEEFF"/>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3"/>
            <w:shd w:val="clear" w:color="auto" w:fill="CCEEFF"/>
          </w:tcPr>
          <w:p>
            <w:pPr>
              <w:jc w:val="right"/>
              <w:ind w:right="65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6/30/2016</w:t>
            </w:r>
          </w:p>
        </w:tc>
        <w:tc>
          <w:tcPr>
            <w:tcW w:w="120" w:type="dxa"/>
            <w:vAlign w:val="bottom"/>
            <w:tcBorders>
              <w:top w:val="single" w:sz="8" w:color="auto"/>
              <w:bottom w:val="single" w:sz="8" w:color="CCEEFF"/>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6/30/2016</w:t>
            </w:r>
          </w:p>
        </w:tc>
        <w:tc>
          <w:tcPr>
            <w:tcW w:w="12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6/30/2017</w:t>
            </w:r>
          </w:p>
        </w:tc>
      </w:tr>
      <w:tr>
        <w:trPr>
          <w:trHeight w:val="26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9.0</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520" w:type="dxa"/>
            <w:vAlign w:val="bottom"/>
            <w:tcBorders>
              <w:bottom w:val="single" w:sz="8" w:color="auto"/>
            </w:tcBorders>
            <w:gridSpan w:val="5"/>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shd w:val="clear" w:color="auto" w:fill="CCEEFF"/>
          </w:tcPr>
          <w:p>
            <w:pPr>
              <w:spacing w:after="0"/>
              <w:rPr>
                <w:sz w:val="22"/>
                <w:szCs w:val="22"/>
                <w:color w:val="auto"/>
              </w:rPr>
            </w:pPr>
          </w:p>
        </w:tc>
        <w:tc>
          <w:tcPr>
            <w:tcW w:w="2400" w:type="dxa"/>
            <w:vAlign w:val="bottom"/>
            <w:tcBorders>
              <w:bottom w:val="single" w:sz="8" w:color="auto"/>
            </w:tcBorders>
            <w:gridSpan w:val="4"/>
            <w:shd w:val="clear" w:color="auto" w:fill="CCEEFF"/>
          </w:tcPr>
          <w:p>
            <w:pPr>
              <w:jc w:val="right"/>
              <w:ind w:right="6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6/30/2016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Reclassification adjustments recognized in the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8"/>
                <w:szCs w:val="18"/>
                <w:color w:val="auto"/>
              </w:rPr>
              <w:t>Net gains realized on dispositions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recognized upon transfer to trading</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w w:val="92"/>
              </w:rPr>
              <w:t>Net deferred tax benefits (income taxes) on net unrealized holding gains or losses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deferred tax benefits (income taxes) on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 net deferred tax benefits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15.3</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(loss), including reclassification adjustments for the first half of 2017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0"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Total currency</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Equity method</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portfolios -</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variable interest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300" w:type="dxa"/>
            <w:vAlign w:val="bottom"/>
          </w:tcPr>
          <w:p>
            <w:pPr>
              <w:spacing w:after="0"/>
              <w:rPr>
                <w:sz w:val="12"/>
                <w:szCs w:val="12"/>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entities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adjustments recognized in non-operating</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June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DELL APPRAISAL RIGHTS MATTER.</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w:t>
      </w:r>
    </w:p>
    <w:p>
      <w:pPr>
        <w:spacing w:after="0" w:line="12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634" w:right="239" w:bottom="1440" w:gutter="0" w:footer="0" w:header="0"/>
        </w:sectPr>
      </w:pPr>
    </w:p>
    <w:bookmarkStart w:id="17" w:name="page18"/>
    <w:bookmarkEnd w:id="17"/>
    <w:p>
      <w:pPr>
        <w:spacing w:after="0" w:line="257" w:lineRule="auto"/>
        <w:rPr>
          <w:sz w:val="20"/>
          <w:szCs w:val="20"/>
          <w:color w:val="auto"/>
        </w:rPr>
      </w:pPr>
      <w:r>
        <w:rPr>
          <w:rFonts w:ascii="Arial" w:cs="Arial" w:eastAsia="Arial" w:hAnsi="Arial"/>
          <w:sz w:val="18"/>
          <w:szCs w:val="18"/>
          <w:color w:val="auto"/>
        </w:rPr>
        <w:t>On December 30, 2016, we signed a settlement agreement with our insurance carrier for insurance proceeds totaling $100.0 million related to this matter. We recognized the proceeds as a reduction to the $166.2 million nonrecurring charge that we recognized in the second quarter of 2016 and as a receivable in other assets at December 31, 2016. We received the insurance proceeds on January 24, 2017. In the first quarter of 2017, we recognized a reduction in operating expenses from insurance recoveries from other insurance carriers totaling an additional $50 million, of which $40 million was paid during the first quarter and the remaining $10 million was paid during the second quarter.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plaintiff is a former employee who alleges breaches of ERISA’s fiduciary duty and prohibited transaction provisions on behalf of a class of all participants and beneficiaries of the T. Rowe Price 401(k) Plan from February 14, 2011, to the time of judgment. The plaintiff is seeking certification of the complaint as a class action. T. Rowe Price believes the claims are without merit and intends to vigorously defend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intends to vigorously defend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12 - SUPPLEMENTARY CONSOLIDATING CASH FLOW STATEMENT.</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tables summarize the cash flows (in millions) for the six months ended June 30, 2016 and 2017, that are attributable to T. Rowe Price Group, our consolidated sponsored investment portfolios and the related eliminations required in preparing the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520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169"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23495</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6/30/2016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6/30/2017</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Cash flow</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Cash flow</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0"/>
              </w:rPr>
              <w:t>Cash flow</w:t>
            </w:r>
          </w:p>
        </w:tc>
        <w:tc>
          <w:tcPr>
            <w:tcW w:w="11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0"/>
              </w:rPr>
              <w:t>Cash flow</w:t>
            </w:r>
          </w:p>
        </w:tc>
        <w:tc>
          <w:tcPr>
            <w:tcW w:w="11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consolidated</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sponsored</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sponsored</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 Rowe Price</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02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 Rowe Price</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00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Eliminations</w:t>
            </w:r>
          </w:p>
        </w:tc>
        <w:tc>
          <w:tcPr>
            <w:tcW w:w="8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94"/>
              </w:rPr>
              <w:t>As reported</w:t>
            </w:r>
          </w:p>
        </w:tc>
        <w:tc>
          <w:tcPr>
            <w:tcW w:w="0" w:type="dxa"/>
            <w:vAlign w:val="bottom"/>
          </w:tcPr>
          <w:p>
            <w:pPr>
              <w:spacing w:after="0"/>
              <w:rPr>
                <w:sz w:val="1"/>
                <w:szCs w:val="1"/>
                <w:color w:val="auto"/>
              </w:rPr>
            </w:pPr>
          </w:p>
        </w:tc>
      </w:tr>
      <w:tr>
        <w:trPr>
          <w:trHeight w:val="198"/>
        </w:trPr>
        <w:tc>
          <w:tcPr>
            <w:tcW w:w="3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2"/>
              </w:rPr>
              <w:t>portfolios</w:t>
            </w:r>
          </w:p>
        </w:tc>
        <w:tc>
          <w:tcPr>
            <w:tcW w:w="1020" w:type="dxa"/>
            <w:vAlign w:val="bottom"/>
            <w:gridSpan w:val="3"/>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2"/>
              </w:rPr>
              <w:t>portfolios</w:t>
            </w:r>
          </w:p>
        </w:tc>
        <w:tc>
          <w:tcPr>
            <w:tcW w:w="1000" w:type="dxa"/>
            <w:vAlign w:val="bottom"/>
            <w:gridSpan w:val="3"/>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6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29"/>
        </w:trPr>
        <w:tc>
          <w:tcPr>
            <w:tcW w:w="3060" w:type="dxa"/>
            <w:vAlign w:val="bottom"/>
          </w:tcPr>
          <w:p>
            <w:pPr>
              <w:ind w:left="180"/>
              <w:spacing w:after="0"/>
              <w:rPr>
                <w:sz w:val="20"/>
                <w:szCs w:val="20"/>
                <w:color w:val="auto"/>
              </w:rPr>
            </w:pPr>
            <w:r>
              <w:rPr>
                <w:rFonts w:ascii="Arial" w:cs="Arial" w:eastAsia="Arial" w:hAnsi="Arial"/>
                <w:sz w:val="18"/>
                <w:szCs w:val="18"/>
                <w:color w:val="auto"/>
                <w:w w:val="92"/>
              </w:rPr>
              <w:t>Adjustments to reconcile net income to</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80"/>
              <w:spacing w:after="0"/>
              <w:rPr>
                <w:sz w:val="20"/>
                <w:szCs w:val="20"/>
                <w:color w:val="auto"/>
              </w:rPr>
            </w:pPr>
            <w:r>
              <w:rPr>
                <w:rFonts w:ascii="Arial" w:cs="Arial" w:eastAsia="Arial" w:hAnsi="Arial"/>
                <w:sz w:val="18"/>
                <w:szCs w:val="18"/>
                <w:color w:val="auto"/>
              </w:rPr>
              <w:t>net cash provided by (used in)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3060" w:type="dxa"/>
            <w:vAlign w:val="bottom"/>
          </w:tcPr>
          <w:p>
            <w:pPr>
              <w:ind w:left="280"/>
              <w:spacing w:after="0"/>
              <w:rPr>
                <w:sz w:val="20"/>
                <w:szCs w:val="20"/>
                <w:color w:val="auto"/>
              </w:rPr>
            </w:pPr>
            <w:r>
              <w:rPr>
                <w:rFonts w:ascii="Arial" w:cs="Arial" w:eastAsia="Arial" w:hAnsi="Arial"/>
                <w:sz w:val="18"/>
                <w:szCs w:val="18"/>
                <w:color w:val="auto"/>
                <w:w w:val="95"/>
              </w:rPr>
              <w:t>Stock-based compensation expense</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Realized gains on dispositions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available-for-sale sponsored</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portfolios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3060" w:type="dxa"/>
            <w:vAlign w:val="bottom"/>
          </w:tcPr>
          <w:p>
            <w:pPr>
              <w:ind w:left="280"/>
              <w:spacing w:after="0"/>
              <w:rPr>
                <w:sz w:val="20"/>
                <w:szCs w:val="20"/>
                <w:color w:val="auto"/>
              </w:rPr>
            </w:pPr>
            <w:r>
              <w:rPr>
                <w:rFonts w:ascii="Arial" w:cs="Arial" w:eastAsia="Arial" w:hAnsi="Arial"/>
                <w:sz w:val="18"/>
                <w:szCs w:val="18"/>
                <w:color w:val="auto"/>
                <w:w w:val="93"/>
              </w:rPr>
              <w:t>Gains recognized upon transfer of an</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available-for-sale sponsored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investment portfolio to sponsored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80"/>
              <w:spacing w:after="0"/>
              <w:rPr>
                <w:sz w:val="20"/>
                <w:szCs w:val="20"/>
                <w:color w:val="auto"/>
              </w:rPr>
            </w:pPr>
            <w:r>
              <w:rPr>
                <w:rFonts w:ascii="Arial" w:cs="Arial" w:eastAsia="Arial" w:hAnsi="Arial"/>
                <w:sz w:val="18"/>
                <w:szCs w:val="18"/>
                <w:color w:val="auto"/>
                <w:w w:val="95"/>
              </w:rPr>
              <w:t>investment portfolios held as trading</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Net gains recognized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3060" w:type="dxa"/>
            <w:vAlign w:val="bottom"/>
          </w:tcPr>
          <w:p>
            <w:pPr>
              <w:ind w:left="280"/>
              <w:spacing w:after="0"/>
              <w:rPr>
                <w:sz w:val="20"/>
                <w:szCs w:val="20"/>
                <w:color w:val="auto"/>
              </w:rPr>
            </w:pPr>
            <w:r>
              <w:rPr>
                <w:rFonts w:ascii="Arial" w:cs="Arial" w:eastAsia="Arial" w:hAnsi="Arial"/>
                <w:sz w:val="18"/>
                <w:szCs w:val="18"/>
                <w:color w:val="auto"/>
                <w:w w:val="92"/>
              </w:rPr>
              <w:t>Investments in sponsored investment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portfolios held as trading to</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80"/>
              <w:spacing w:after="0"/>
              <w:rPr>
                <w:sz w:val="20"/>
                <w:szCs w:val="20"/>
                <w:color w:val="auto"/>
              </w:rPr>
            </w:pPr>
            <w:r>
              <w:rPr>
                <w:rFonts w:ascii="Arial" w:cs="Arial" w:eastAsia="Arial" w:hAnsi="Arial"/>
                <w:sz w:val="18"/>
                <w:szCs w:val="18"/>
                <w:color w:val="auto"/>
              </w:rPr>
              <w:t>economically hedge supplemental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80"/>
              <w:spacing w:after="0"/>
              <w:rPr>
                <w:sz w:val="20"/>
                <w:szCs w:val="20"/>
                <w:color w:val="auto"/>
              </w:rPr>
            </w:pPr>
            <w:r>
              <w:rPr>
                <w:rFonts w:ascii="Arial" w:cs="Arial" w:eastAsia="Arial" w:hAnsi="Arial"/>
                <w:sz w:val="18"/>
                <w:szCs w:val="18"/>
                <w:color w:val="auto"/>
              </w:rPr>
              <w:t>savings plan liability</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change in trading securities held</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by consolidated sponsored investment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portfolios</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43"/>
        </w:trPr>
        <w:tc>
          <w:tcPr>
            <w:tcW w:w="3060" w:type="dxa"/>
            <w:vAlign w:val="bottom"/>
          </w:tcPr>
          <w:p>
            <w:pPr>
              <w:ind w:left="280"/>
              <w:spacing w:after="0"/>
              <w:rPr>
                <w:sz w:val="20"/>
                <w:szCs w:val="20"/>
                <w:color w:val="auto"/>
              </w:rPr>
            </w:pPr>
            <w:r>
              <w:rPr>
                <w:rFonts w:ascii="Arial" w:cs="Arial" w:eastAsia="Arial" w:hAnsi="Arial"/>
                <w:sz w:val="18"/>
                <w:szCs w:val="18"/>
                <w:color w:val="auto"/>
                <w:w w:val="91"/>
              </w:rPr>
              <w:t>Other changes in assets and liabilities</w:t>
            </w:r>
          </w:p>
        </w:tc>
        <w:tc>
          <w:tcPr>
            <w:tcW w:w="1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cash (used in) provided by operating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w w:val="93"/>
              </w:rPr>
              <w:t>Net cash provided by investing activities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9"/>
        </w:trPr>
        <w:tc>
          <w:tcPr>
            <w:tcW w:w="3060" w:type="dxa"/>
            <w:vAlign w:val="bottom"/>
          </w:tcPr>
          <w:p>
            <w:pPr>
              <w:ind w:left="40"/>
              <w:spacing w:after="0"/>
              <w:rPr>
                <w:sz w:val="20"/>
                <w:szCs w:val="20"/>
                <w:color w:val="auto"/>
              </w:rPr>
            </w:pPr>
            <w:r>
              <w:rPr>
                <w:rFonts w:ascii="Arial" w:cs="Arial" w:eastAsia="Arial" w:hAnsi="Arial"/>
                <w:sz w:val="18"/>
                <w:szCs w:val="18"/>
                <w:color w:val="auto"/>
                <w:w w:val="91"/>
              </w:rPr>
              <w:t>Effect of exchange rate changes on cash</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40"/>
              <w:spacing w:after="0"/>
              <w:rPr>
                <w:sz w:val="20"/>
                <w:szCs w:val="20"/>
                <w:color w:val="auto"/>
              </w:rPr>
            </w:pPr>
            <w:r>
              <w:rPr>
                <w:rFonts w:ascii="Arial" w:cs="Arial" w:eastAsia="Arial" w:hAnsi="Arial"/>
                <w:sz w:val="18"/>
                <w:szCs w:val="18"/>
                <w:color w:val="auto"/>
              </w:rPr>
              <w:t>and cash equivalents of consolidated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40"/>
              <w:spacing w:after="0"/>
              <w:rPr>
                <w:sz w:val="20"/>
                <w:szCs w:val="20"/>
                <w:color w:val="auto"/>
              </w:rPr>
            </w:pPr>
            <w:r>
              <w:rPr>
                <w:rFonts w:ascii="Arial" w:cs="Arial" w:eastAsia="Arial" w:hAnsi="Arial"/>
                <w:sz w:val="18"/>
                <w:szCs w:val="18"/>
                <w:color w:val="auto"/>
              </w:rPr>
              <w:t>sponsored investment portfolios</w:t>
            </w: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Net change in cash and cash equivalents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during period</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29"/>
        </w:trPr>
        <w:tc>
          <w:tcPr>
            <w:tcW w:w="3060" w:type="dxa"/>
            <w:vAlign w:val="bottom"/>
          </w:tcPr>
          <w:p>
            <w:pPr>
              <w:ind w:left="40"/>
              <w:spacing w:after="0"/>
              <w:rPr>
                <w:sz w:val="20"/>
                <w:szCs w:val="20"/>
                <w:color w:val="auto"/>
              </w:rPr>
            </w:pPr>
            <w:r>
              <w:rPr>
                <w:rFonts w:ascii="Arial" w:cs="Arial" w:eastAsia="Arial" w:hAnsi="Arial"/>
                <w:sz w:val="18"/>
                <w:szCs w:val="18"/>
                <w:color w:val="auto"/>
                <w:w w:val="93"/>
              </w:rPr>
              <w:t>Cash and cash equivalents at beginning</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40"/>
              <w:spacing w:after="0"/>
              <w:rPr>
                <w:sz w:val="20"/>
                <w:szCs w:val="20"/>
                <w:color w:val="auto"/>
              </w:rPr>
            </w:pPr>
            <w:r>
              <w:rPr>
                <w:rFonts w:ascii="Arial" w:cs="Arial" w:eastAsia="Arial" w:hAnsi="Arial"/>
                <w:sz w:val="18"/>
                <w:szCs w:val="18"/>
                <w:color w:val="auto"/>
              </w:rPr>
              <w:t>of year</w:t>
            </w:r>
          </w:p>
        </w:tc>
        <w:tc>
          <w:tcPr>
            <w:tcW w:w="16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89"/>
              </w:rPr>
              <w:t>1,172.3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1,204.9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6"/>
              </w:rPr>
              <w:t>1,270.5</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1,275.2</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9"/>
              </w:rPr>
              <w:t>1,382.6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1,542.2</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6"/>
              </w:rPr>
              <w:t>1,615.9</w:t>
            </w:r>
          </w:p>
        </w:tc>
        <w:tc>
          <w:tcPr>
            <w:tcW w:w="0" w:type="dxa"/>
            <w:vAlign w:val="bottom"/>
          </w:tcPr>
          <w:p>
            <w:pPr>
              <w:spacing w:after="0"/>
              <w:rPr>
                <w:sz w:val="1"/>
                <w:szCs w:val="1"/>
                <w:color w:val="auto"/>
              </w:rPr>
            </w:pPr>
          </w:p>
        </w:tc>
      </w:tr>
      <w:tr>
        <w:trPr>
          <w:trHeight w:val="237"/>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80"/>
          </w:cols>
          <w:pgMar w:left="240" w:top="580"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June 30, 2017, the related condensed consolidated statements of income and comprehensive income for the three- and six- month periods ended June 30, 2017 and 2016, the related condensed consolidated statements of cash flows for the six-month periods ended June 30, 2017 and 2016, and the related condensed consolidated statement of stockholders’ equity for the six-month period ended June 30, 2017.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2016, and the related consolidated statements of income, comprehensive income, stockholders’ equity, and cash flows for the year then ended (not presented herein); and in our report dated February 7, 2017, we expressed an unqualified opinion on those consolidated financial statements. In our opinion, the information set forth in the accompanying condensed consolidated balance sheet as of December 31, 2016,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25,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open-ended investment products offered to investors outside the U.S., and portfolios offered through variable annuity life insurance plans in the U.S. Investment advisory clients domiciled outside the U.S. account for nearly 5% of our assets under management at June 30, 2017.</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remain debt-free with ample liquidity and resources that allow us to take advantage of attractive growth opportunities; invest in key capabilities, including investment professionals, technologies, and new product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expect to sustain our current pace of spending on a series of key strategic priorities to address evolving client needs and to grow and further diversify our business. Based on these planned initiatives, we currently expect that our planned operating expenses, excluding the operating expense impact of the Dell appraisal rights matter, will grow about 10% in 2017 versus 2016. For 2018, we currently expect our operating expenses could grow by up to 7% over 2017 levels. We could elect to moderate the pace of spending on our planned initiatives should markets decline significantly. In addition, other events not currently planned or expected could impact our expense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Major U.S. stock indexes rose, and many reached all-time highs, during the second quarter of 2017. Large-cap shares outperformed their smaller peers, and growth stocks surpassed value stocks across all market capitalizations. Strong first-quarter corporate earnings outweighed negative factors such as mediocre first-quarter economic growth, a mid-June interest rate increase from the Federal Reserve, domestic political controversies, and increased global geopolitical tensions.</w:t>
      </w:r>
    </w:p>
    <w:p>
      <w:pPr>
        <w:spacing w:after="0" w:line="5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Stocks in developed non-U.S. markets outperformed U.S. shares, as returns to U.S. investors were boosted by a weaker dollar versus most major non-U.S. currencies. Japan and most other developed Asian markets produced positive returns in U.S. dollar terms. European equity markets were broadly higher, buoyed by signs of a pickup in economic growth and continued central bank stimulus efforts. UK market generally lagged.</w:t>
      </w:r>
    </w:p>
    <w:p>
      <w:pPr>
        <w:spacing w:after="0" w:line="3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Emerging markets equities performed in line with developed markets, helped by a generally improving growth backdrop. In dollar terms, markets in Asia strongly outperformed other regions. Major Latin American markets were mixed. Several emerging European markets rose sharply, but Russian shares skidded almost 10%, as oil prices and the ruble declined.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three- and six-month periods ended June 30,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w w:val="94"/>
              </w:rPr>
              <w:t>Six months ended</w:t>
            </w:r>
          </w:p>
        </w:tc>
        <w:tc>
          <w:tcPr>
            <w:tcW w:w="0" w:type="dxa"/>
            <w:vAlign w:val="bottom"/>
          </w:tcPr>
          <w:p>
            <w:pPr>
              <w:spacing w:after="0"/>
              <w:rPr>
                <w:sz w:val="1"/>
                <w:szCs w:val="1"/>
                <w:color w:val="auto"/>
              </w:rPr>
            </w:pPr>
          </w:p>
        </w:tc>
      </w:tr>
      <w:tr>
        <w:trPr>
          <w:trHeight w:val="198"/>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7"/>
              </w:rPr>
              <w:t>ended</w:t>
            </w: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6/30/2017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6/30/2017</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9.3%</w:t>
            </w:r>
          </w:p>
        </w:tc>
        <w:tc>
          <w:tcPr>
            <w:tcW w:w="0" w:type="dxa"/>
            <w:vAlign w:val="bottom"/>
          </w:tcPr>
          <w:p>
            <w:pPr>
              <w:spacing w:after="0"/>
              <w:rPr>
                <w:sz w:val="1"/>
                <w:szCs w:val="1"/>
                <w:color w:val="auto"/>
              </w:rPr>
            </w:pPr>
          </w:p>
        </w:tc>
      </w:tr>
      <w:tr>
        <w:trPr>
          <w:trHeight w:val="270"/>
        </w:trPr>
        <w:tc>
          <w:tcPr>
            <w:tcW w:w="88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3.9%</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14.1%</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6.4%</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14.2%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18.6%</w:t>
            </w:r>
          </w:p>
        </w:tc>
        <w:tc>
          <w:tcPr>
            <w:tcW w:w="0" w:type="dxa"/>
            <w:vAlign w:val="bottom"/>
          </w:tcPr>
          <w:p>
            <w:pPr>
              <w:spacing w:after="0"/>
              <w:rPr>
                <w:sz w:val="1"/>
                <w:szCs w:val="1"/>
                <w:color w:val="auto"/>
              </w:rPr>
            </w:pPr>
          </w:p>
        </w:tc>
      </w:tr>
      <w:tr>
        <w:trPr>
          <w:trHeight w:val="329"/>
        </w:trPr>
        <w:tc>
          <w:tcPr>
            <w:tcW w:w="882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20"/>
          </w:cols>
          <w:pgMar w:left="240" w:top="580" w:right="239" w:bottom="1440" w:gutter="0" w:footer="0" w:header="0"/>
        </w:sectPr>
      </w:pPr>
    </w:p>
    <w:bookmarkStart w:id="21" w:name="page22"/>
    <w:bookmarkEnd w:id="21"/>
    <w:p>
      <w:pPr>
        <w:ind w:right="20"/>
        <w:spacing w:after="0" w:line="297" w:lineRule="auto"/>
        <w:rPr>
          <w:sz w:val="20"/>
          <w:szCs w:val="20"/>
          <w:color w:val="auto"/>
        </w:rPr>
      </w:pPr>
      <w:r>
        <w:rPr>
          <w:rFonts w:ascii="Arial" w:cs="Arial" w:eastAsia="Arial" w:hAnsi="Arial"/>
          <w:sz w:val="16"/>
          <w:szCs w:val="16"/>
          <w:color w:val="auto"/>
        </w:rPr>
        <w:t>Global bond returns were broadly positive in the second quarter of 2017. In the U.S., investment-grade bond prices rose as long-term interest rates declined, even though the Fed raised short-term rates again in June. Fed officials also provided some details of their plan to begin reducing the size of the central bank’s balance sheet-possibly later this year. The 10-year Treasury note yield slipped from 2.4% to 2.3% during the second quarter of 2017. Among high-quality taxable bonds, long-term Treasuries and corporate bonds performed best. Municipal bonds surpassed taxable fixed income securities, helped by steady demand and limited supply. High yield issues generally outperformed investment-grade issues, as investors continued to seek attractive yields.</w:t>
      </w:r>
    </w:p>
    <w:p>
      <w:pPr>
        <w:spacing w:after="0" w:line="15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Bonds in developed non-U.S. markets produced good returns in dollar terms, helped by stronger European currencies. Near the end of the quarter, UK and eurozone bond prices fell and yields spiked as comments from central bank officials raised expectations that the Bank of England and the European Central Bank would begin to reduce their accommodative monetary policies in the months ahead. Japanese bond yields remained very low, as the Bank of Japan’s bond purchases kept the 10-year Japanese government bond yield near 0%. Emerging markets bonds produced positive returns in dollar terms, with local currency bonds faring better than dollar-denominated issues. Major emerging markets currencies were mixed.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six-month periods ended June 30, 2017,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124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w w:val="94"/>
              </w:rPr>
              <w:t>Six months ended</w:t>
            </w:r>
          </w:p>
        </w:tc>
        <w:tc>
          <w:tcPr>
            <w:tcW w:w="0" w:type="dxa"/>
            <w:vAlign w:val="bottom"/>
          </w:tcPr>
          <w:p>
            <w:pPr>
              <w:spacing w:after="0"/>
              <w:rPr>
                <w:sz w:val="1"/>
                <w:szCs w:val="1"/>
                <w:color w:val="auto"/>
              </w:rPr>
            </w:pPr>
          </w:p>
        </w:tc>
      </w:tr>
      <w:tr>
        <w:trPr>
          <w:trHeight w:val="198"/>
        </w:trPr>
        <w:tc>
          <w:tcPr>
            <w:tcW w:w="8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7"/>
              </w:rPr>
              <w:t>ended</w:t>
            </w: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6/30/2017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6/30/2017</w:t>
            </w: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JPMorgan Global High Yield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43"/>
        </w:trPr>
        <w:tc>
          <w:tcPr>
            <w:tcW w:w="8820" w:type="dxa"/>
            <w:vAlign w:val="bottom"/>
            <w:gridSpan w:val="2"/>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171"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Assets under management ended the second quarter of 2017 at $903.6 billion, an increase of $42.0 billion from March 31, 2017 and $92.8 billion from December 31, 2016. We had net cash inflows of $3.7 billion in the second quarter of 2017 and $4.4 billion for the first half of 2017. The following table presents our assets under management (in billions) at December 31, 2016, and June 30, 2017, by investment portfolio and asset class.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shd w:val="clear" w:color="auto" w:fill="CCEEFF"/>
          </w:tcPr>
          <w:p>
            <w:pPr>
              <w:spacing w:after="0"/>
              <w:rPr>
                <w:sz w:val="22"/>
                <w:szCs w:val="22"/>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6/30/2017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566.5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337.1</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903.6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2"/>
        </w:trPr>
        <w:tc>
          <w:tcPr>
            <w:tcW w:w="8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gridSpan w:val="3"/>
          </w:tcPr>
          <w:p>
            <w:pPr>
              <w:spacing w:after="0"/>
              <w:rPr>
                <w:sz w:val="10"/>
                <w:szCs w:val="10"/>
                <w:color w:val="auto"/>
              </w:rPr>
            </w:pPr>
          </w:p>
        </w:tc>
        <w:tc>
          <w:tcPr>
            <w:tcW w:w="1020" w:type="dxa"/>
            <w:vAlign w:val="bottom"/>
          </w:tcPr>
          <w:p>
            <w:pPr>
              <w:spacing w:after="0"/>
              <w:rPr>
                <w:sz w:val="10"/>
                <w:szCs w:val="10"/>
                <w:color w:val="auto"/>
              </w:rPr>
            </w:pPr>
          </w:p>
        </w:tc>
      </w:tr>
      <w:tr>
        <w:trPr>
          <w:trHeight w:val="264"/>
        </w:trPr>
        <w:tc>
          <w:tcPr>
            <w:tcW w:w="88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shd w:val="clear" w:color="auto" w:fill="CCEEFF"/>
          </w:tcPr>
          <w:p>
            <w:pPr>
              <w:spacing w:after="0"/>
              <w:rPr>
                <w:sz w:val="22"/>
                <w:szCs w:val="22"/>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6/30/2017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125.4</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allocation</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assets under management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903.6</w:t>
            </w: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target date retirement portfolios, which invest in a broadly diversified portfolio of other T. Rowe Price funds or T. Rowe Price collective investment trusts and automatically rebalance to maintain their specific asset allocation weightings, continue to be a significant part of our assets under management. Assets under management at June 30, 2017, in these target date portfolios totaled $213.8 billion, including $164.9 billion in target date retirement funds and $48.9 billion in target date retirement trusts.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800"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 following table details the changes in our assets under management (in billions) during the three- and six-month periods ended June 30,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6"/>
            <w:shd w:val="clear" w:color="auto" w:fill="CCEEFF"/>
          </w:tcPr>
          <w:p>
            <w:pPr>
              <w:jc w:val="center"/>
              <w:ind w:left="494"/>
              <w:spacing w:after="0"/>
              <w:rPr>
                <w:sz w:val="20"/>
                <w:szCs w:val="20"/>
                <w:color w:val="auto"/>
              </w:rPr>
            </w:pPr>
            <w:r>
              <w:rPr>
                <w:rFonts w:ascii="Arial" w:cs="Arial" w:eastAsia="Arial" w:hAnsi="Arial"/>
                <w:sz w:val="14"/>
                <w:szCs w:val="14"/>
                <w:b w:val="1"/>
                <w:bCs w:val="1"/>
                <w:color w:val="auto"/>
                <w:w w:val="92"/>
              </w:rPr>
              <w:t>Three months ended 6/30/2017</w:t>
            </w: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6"/>
            <w:shd w:val="clear" w:color="auto" w:fill="CCEEFF"/>
          </w:tcPr>
          <w:p>
            <w:pPr>
              <w:jc w:val="center"/>
              <w:ind w:left="352"/>
              <w:spacing w:after="0"/>
              <w:rPr>
                <w:sz w:val="20"/>
                <w:szCs w:val="20"/>
                <w:color w:val="auto"/>
              </w:rPr>
            </w:pPr>
            <w:r>
              <w:rPr>
                <w:rFonts w:ascii="Arial" w:cs="Arial" w:eastAsia="Arial" w:hAnsi="Arial"/>
                <w:sz w:val="14"/>
                <w:szCs w:val="14"/>
                <w:b w:val="1"/>
                <w:bCs w:val="1"/>
                <w:color w:val="auto"/>
                <w:w w:val="91"/>
              </w:rPr>
              <w:t>Six months ended 6/30/2017</w:t>
            </w:r>
          </w:p>
        </w:tc>
        <w:tc>
          <w:tcPr>
            <w:tcW w:w="720" w:type="dxa"/>
            <w:vAlign w:val="bottom"/>
            <w:tcBorders>
              <w:bottom w:val="single" w:sz="8" w:color="auto"/>
            </w:tcBorders>
            <w:shd w:val="clear" w:color="auto" w:fill="CCEEFF"/>
          </w:tcPr>
          <w:p>
            <w:pPr>
              <w:spacing w:after="0"/>
              <w:rPr>
                <w:sz w:val="22"/>
                <w:szCs w:val="22"/>
                <w:color w:val="auto"/>
              </w:rPr>
            </w:pPr>
          </w:p>
        </w:tc>
      </w:tr>
      <w:tr>
        <w:trPr>
          <w:trHeight w:val="155"/>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9"/>
        </w:trPr>
        <w:tc>
          <w:tcPr>
            <w:tcW w:w="47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00" w:type="dxa"/>
            <w:vAlign w:val="bottom"/>
          </w:tcPr>
          <w:p>
            <w:pPr>
              <w:spacing w:after="0"/>
              <w:rPr>
                <w:sz w:val="16"/>
                <w:szCs w:val="16"/>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313.3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810.8</w:t>
            </w:r>
          </w:p>
        </w:tc>
      </w:tr>
      <w:tr>
        <w:trPr>
          <w:trHeight w:val="277"/>
        </w:trPr>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market appreciation and income</w:t>
            </w: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88.4</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w:t>
            </w:r>
          </w:p>
        </w:tc>
      </w:tr>
      <w:tr>
        <w:trPr>
          <w:trHeight w:val="277"/>
        </w:trPr>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June 30,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337.1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566.5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337.1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903.6</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client transfers from mutual funds to other investment portfolios noted in the table above were primarily transfers from the target date retirement funds to target date retirement trusts.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net cash flows (in billions) during the three- and six-month periods ended June 30, 2017,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Three months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center"/>
              <w:ind w:right="79"/>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9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ended</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92"/>
        </w:trPr>
        <w:tc>
          <w:tcPr>
            <w:tcW w:w="9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3"/>
              </w:rPr>
              <w:t>6/30/2017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4"/>
                <w:szCs w:val="14"/>
                <w:b w:val="1"/>
                <w:bCs w:val="1"/>
                <w:color w:val="auto"/>
                <w:w w:val="93"/>
              </w:rPr>
              <w:t>6/30/2017</w:t>
            </w:r>
          </w:p>
        </w:tc>
      </w:tr>
      <w:tr>
        <w:trPr>
          <w:trHeight w:val="297"/>
        </w:trPr>
        <w:tc>
          <w:tcPr>
            <w:tcW w:w="9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Stock and blended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9260" w:type="dxa"/>
            <w:vAlign w:val="bottom"/>
          </w:tcPr>
          <w:p>
            <w:pPr>
              <w:ind w:left="80"/>
              <w:spacing w:after="0"/>
              <w:rPr>
                <w:sz w:val="20"/>
                <w:szCs w:val="20"/>
                <w:color w:val="auto"/>
              </w:rPr>
            </w:pPr>
            <w:r>
              <w:rPr>
                <w:rFonts w:ascii="Arial" w:cs="Arial" w:eastAsia="Arial" w:hAnsi="Arial"/>
                <w:sz w:val="18"/>
                <w:szCs w:val="18"/>
                <w:color w:val="auto"/>
              </w:rPr>
              <w:t>Bond, money market, and stable value</w:t>
            </w: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9.7</w:t>
            </w:r>
          </w:p>
        </w:tc>
      </w:tr>
      <w:tr>
        <w:trPr>
          <w:trHeight w:val="27"/>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cash flows</w:t>
            </w: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4.4</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cash inflows into our target date retirement portfolios were $3.1 billion in the second quarter of 2017 and $5.4 billion in the first half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for the impact of the Dell appraisal rights matter, the firm's consolidated sponsored investment portfolios and other non-operating income. We believe the non-GAAP financial measures below provide relevant and meaningful information to investors about our core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0408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166" w:lineRule="exact"/>
        <w:rPr>
          <w:sz w:val="20"/>
          <w:szCs w:val="20"/>
          <w:color w:val="auto"/>
        </w:rPr>
      </w:pPr>
    </w:p>
    <w:p>
      <w:pPr>
        <w:ind w:left="59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23495</wp:posOffset>
            </wp:positionV>
            <wp:extent cx="1903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100" w:type="dxa"/>
            <w:vAlign w:val="bottom"/>
            <w:gridSpan w:val="5"/>
          </w:tcPr>
          <w:p>
            <w:pPr>
              <w:ind w:left="40"/>
              <w:spacing w:after="0"/>
              <w:rPr>
                <w:sz w:val="20"/>
                <w:szCs w:val="20"/>
                <w:color w:val="auto"/>
              </w:rPr>
            </w:pPr>
            <w:r>
              <w:rPr>
                <w:rFonts w:ascii="Arial" w:cs="Arial" w:eastAsia="Arial" w:hAnsi="Arial"/>
                <w:sz w:val="18"/>
                <w:szCs w:val="18"/>
                <w:color w:val="auto"/>
              </w:rPr>
              <w:t>(in millions, except per-share data)</w:t>
            </w:r>
          </w:p>
        </w:tc>
        <w:tc>
          <w:tcPr>
            <w:tcW w:w="240" w:type="dxa"/>
            <w:vAlign w:val="bottom"/>
          </w:tcPr>
          <w:p>
            <w:pPr>
              <w:spacing w:after="0"/>
              <w:rPr>
                <w:sz w:val="21"/>
                <w:szCs w:val="21"/>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6/30/2016</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6/30/2017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Dollar change</w:t>
            </w:r>
          </w:p>
        </w:tc>
        <w:tc>
          <w:tcPr>
            <w:tcW w:w="1460" w:type="dxa"/>
            <w:vAlign w:val="bottom"/>
          </w:tcPr>
          <w:p>
            <w:pPr>
              <w:jc w:val="right"/>
              <w:ind w:right="71"/>
              <w:spacing w:after="0"/>
              <w:rPr>
                <w:sz w:val="20"/>
                <w:szCs w:val="20"/>
                <w:color w:val="auto"/>
              </w:rPr>
            </w:pPr>
            <w:r>
              <w:rPr>
                <w:rFonts w:ascii="Arial" w:cs="Arial" w:eastAsia="Arial" w:hAnsi="Arial"/>
                <w:sz w:val="14"/>
                <w:szCs w:val="14"/>
                <w:b w:val="1"/>
                <w:bCs w:val="1"/>
                <w:color w:val="auto"/>
                <w:w w:val="99"/>
              </w:rPr>
              <w:t>Percentage change</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CCEEFF"/>
            </w:tcBorders>
            <w:shd w:val="clear" w:color="auto" w:fill="CCEEFF"/>
          </w:tcPr>
          <w:p>
            <w:pPr>
              <w:spacing w:after="0"/>
              <w:rPr>
                <w:sz w:val="24"/>
                <w:szCs w:val="24"/>
                <w:color w:val="auto"/>
              </w:rPr>
            </w:pPr>
          </w:p>
        </w:tc>
        <w:tc>
          <w:tcPr>
            <w:tcW w:w="1620" w:type="dxa"/>
            <w:vAlign w:val="bottom"/>
            <w:tcBorders>
              <w:top w:val="single" w:sz="8" w:color="CCEEFF"/>
            </w:tcBorders>
            <w:shd w:val="clear" w:color="auto" w:fill="CCEEFF"/>
          </w:tcPr>
          <w:p>
            <w:pPr>
              <w:spacing w:after="0"/>
              <w:rPr>
                <w:sz w:val="24"/>
                <w:szCs w:val="24"/>
                <w:color w:val="auto"/>
              </w:rPr>
            </w:pPr>
          </w:p>
        </w:tc>
        <w:tc>
          <w:tcPr>
            <w:tcW w:w="2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r>
      <w:tr>
        <w:trPr>
          <w:trHeight w:val="203"/>
        </w:trPr>
        <w:tc>
          <w:tcPr>
            <w:tcW w:w="51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Investment advisory fees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43"/>
        </w:trPr>
        <w:tc>
          <w:tcPr>
            <w:tcW w:w="5100" w:type="dxa"/>
            <w:vAlign w:val="bottom"/>
            <w:gridSpan w:val="5"/>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1,044.7</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761.2</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5100" w:type="dxa"/>
            <w:vAlign w:val="bottom"/>
            <w:gridSpan w:val="5"/>
          </w:tcPr>
          <w:p>
            <w:pPr>
              <w:ind w:left="40"/>
              <w:spacing w:after="0"/>
              <w:rPr>
                <w:sz w:val="20"/>
                <w:szCs w:val="20"/>
                <w:color w:val="auto"/>
              </w:rPr>
            </w:pPr>
            <w:r>
              <w:rPr>
                <w:rFonts w:ascii="Arial" w:cs="Arial" w:eastAsia="Arial" w:hAnsi="Arial"/>
                <w:sz w:val="18"/>
                <w:szCs w:val="18"/>
                <w:color w:val="auto"/>
              </w:rPr>
              <w:t>Net 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283.5</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507.6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79.0 %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169.9 %</w:t>
            </w:r>
          </w:p>
        </w:tc>
      </w:tr>
      <w:tr>
        <w:trPr>
          <w:trHeight w:val="243"/>
        </w:trPr>
        <w:tc>
          <w:tcPr>
            <w:tcW w:w="510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203.3</w:t>
            </w:r>
          </w:p>
        </w:tc>
        <w:tc>
          <w:tcPr>
            <w:tcW w:w="320" w:type="dxa"/>
            <w:vAlign w:val="bottom"/>
          </w:tcPr>
          <w:p>
            <w:pPr>
              <w:jc w:val="right"/>
              <w:ind w:right="155"/>
              <w:spacing w:after="0"/>
              <w:rPr>
                <w:sz w:val="20"/>
                <w:szCs w:val="20"/>
                <w:color w:val="auto"/>
              </w:rPr>
            </w:pPr>
            <w:r>
              <w:rPr>
                <w:rFonts w:ascii="Arial" w:cs="Arial" w:eastAsia="Arial" w:hAnsi="Arial"/>
                <w:sz w:val="9"/>
                <w:szCs w:val="9"/>
                <w:b w:val="1"/>
                <w:bCs w:val="1"/>
                <w:color w:val="auto"/>
                <w:w w:val="90"/>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83.9 %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1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 Rowe Price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Group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3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9"/>
                <w:szCs w:val="9"/>
                <w:b w:val="1"/>
                <w:bCs w:val="1"/>
                <w:color w:val="auto"/>
                <w:w w:val="90"/>
              </w:rPr>
              <w:t>(1)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89.9 %</w:t>
            </w:r>
          </w:p>
        </w:tc>
      </w:tr>
      <w:tr>
        <w:trPr>
          <w:trHeight w:val="243"/>
        </w:trPr>
        <w:tc>
          <w:tcPr>
            <w:tcW w:w="5100" w:type="dxa"/>
            <w:vAlign w:val="bottom"/>
            <w:gridSpan w:val="5"/>
          </w:tcPr>
          <w:p>
            <w:pPr>
              <w:ind w:left="40"/>
              <w:spacing w:after="0"/>
              <w:rPr>
                <w:sz w:val="20"/>
                <w:szCs w:val="20"/>
                <w:color w:val="auto"/>
              </w:rPr>
            </w:pPr>
            <w:r>
              <w:rPr>
                <w:rFonts w:ascii="Arial" w:cs="Arial" w:eastAsia="Arial" w:hAnsi="Arial"/>
                <w:sz w:val="18"/>
                <w:szCs w:val="18"/>
                <w:color w:val="auto"/>
                <w:w w:val="96"/>
              </w:rPr>
              <w:t>Weighted average common shares outstanding assuming dilution</w:t>
            </w: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252.6</w:t>
            </w:r>
          </w:p>
        </w:tc>
        <w:tc>
          <w:tcPr>
            <w:tcW w:w="320" w:type="dxa"/>
            <w:vAlign w:val="bottom"/>
          </w:tcPr>
          <w:p>
            <w:pPr>
              <w:jc w:val="right"/>
              <w:ind w:right="155"/>
              <w:spacing w:after="0"/>
              <w:rPr>
                <w:sz w:val="20"/>
                <w:szCs w:val="20"/>
                <w:color w:val="auto"/>
              </w:rPr>
            </w:pPr>
            <w:r>
              <w:rPr>
                <w:rFonts w:ascii="Arial" w:cs="Arial" w:eastAsia="Arial" w:hAnsi="Arial"/>
                <w:sz w:val="9"/>
                <w:szCs w:val="9"/>
                <w:b w:val="1"/>
                <w:bCs w:val="1"/>
                <w:color w:val="auto"/>
                <w:w w:val="90"/>
              </w:rPr>
              <w:t>(1)</w:t>
            </w: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03"/>
        </w:trPr>
        <w:tc>
          <w:tcPr>
            <w:tcW w:w="510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23"/>
                <w:szCs w:val="23"/>
                <w:b w:val="1"/>
                <w:bCs w:val="1"/>
                <w:color w:val="auto"/>
                <w:vertAlign w:val="superscript"/>
              </w:rPr>
              <w:t>(2)</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0"/>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43"/>
        </w:trPr>
        <w:tc>
          <w:tcPr>
            <w:tcW w:w="5100" w:type="dxa"/>
            <w:vAlign w:val="bottom"/>
            <w:gridSpan w:val="5"/>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285.6</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1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Diluted earnings per share on common stock of T. Rowe Price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1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Group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32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51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62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r>
      <w:tr>
        <w:trPr>
          <w:trHeight w:val="243"/>
        </w:trPr>
        <w:tc>
          <w:tcPr>
            <w:tcW w:w="5100" w:type="dxa"/>
            <w:vAlign w:val="bottom"/>
            <w:gridSpan w:val="5"/>
          </w:tcPr>
          <w:p>
            <w:pPr>
              <w:ind w:left="40"/>
              <w:spacing w:after="0"/>
              <w:rPr>
                <w:sz w:val="20"/>
                <w:szCs w:val="20"/>
                <w:color w:val="auto"/>
              </w:rPr>
            </w:pPr>
            <w:r>
              <w:rPr>
                <w:rFonts w:ascii="Arial" w:cs="Arial" w:eastAsia="Arial" w:hAnsi="Arial"/>
                <w:sz w:val="18"/>
                <w:szCs w:val="18"/>
                <w:color w:val="auto"/>
              </w:rPr>
              <w:t>Average assets under management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772.7</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885.9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70"/>
        </w:trPr>
        <w:tc>
          <w:tcPr>
            <w:tcW w:w="510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776.6</w:t>
            </w:r>
          </w:p>
        </w:tc>
        <w:tc>
          <w:tcPr>
            <w:tcW w:w="3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408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ind w:right="160" w:firstLine="8"/>
        <w:spacing w:after="0" w:line="250" w:lineRule="auto"/>
        <w:tabs>
          <w:tab w:leader="none" w:pos="127" w:val="left"/>
        </w:tabs>
        <w:numPr>
          <w:ilvl w:val="0"/>
          <w:numId w:val="1"/>
        </w:numPr>
        <w:rPr>
          <w:rFonts w:ascii="Arial" w:cs="Arial" w:eastAsia="Arial" w:hAnsi="Arial"/>
          <w:sz w:val="9"/>
          <w:szCs w:val="9"/>
          <w:i w:val="1"/>
          <w:iCs w:val="1"/>
          <w:color w:val="auto"/>
        </w:rPr>
      </w:pPr>
      <w:r>
        <w:rPr>
          <w:rFonts w:ascii="Arial" w:cs="Arial" w:eastAsia="Arial" w:hAnsi="Arial"/>
          <w:sz w:val="14"/>
          <w:szCs w:val="14"/>
          <w:i w:val="1"/>
          <w:iCs w:val="1"/>
          <w:color w:val="auto"/>
        </w:rPr>
        <w:t>A</w:t>
      </w:r>
      <w:r>
        <w:rPr>
          <w:rFonts w:ascii="Arial" w:cs="Arial" w:eastAsia="Arial" w:hAnsi="Arial"/>
          <w:sz w:val="14"/>
          <w:szCs w:val="14"/>
          <w:color w:val="auto"/>
        </w:rPr>
        <w:t>s</w:t>
      </w:r>
      <w:r>
        <w:rPr>
          <w:rFonts w:ascii="Arial" w:cs="Arial" w:eastAsia="Arial" w:hAnsi="Arial"/>
          <w:sz w:val="14"/>
          <w:szCs w:val="14"/>
          <w:i w:val="1"/>
          <w:iCs w:val="1"/>
          <w:color w:val="auto"/>
        </w:rPr>
        <w:t xml:space="preserve"> discussed in Note 1, The Company and Basis of Preparation, to the condensedconsolidated financial statements, prior year amounts have been adjusted to reflect the impact of implementing new stock-based compensation accounting guidance in the third quarter of 2016.</w:t>
      </w:r>
    </w:p>
    <w:p>
      <w:pPr>
        <w:spacing w:after="0"/>
        <w:rPr>
          <w:rFonts w:ascii="Arial" w:cs="Arial" w:eastAsia="Arial" w:hAnsi="Arial"/>
          <w:sz w:val="9"/>
          <w:szCs w:val="9"/>
          <w:i w:val="1"/>
          <w:iCs w:val="1"/>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See the reconciliation to the comparable U.S. GAAP measures at the end of the results of operations sections of this management discussion and analysis.</w:t>
      </w:r>
    </w:p>
    <w:p>
      <w:pPr>
        <w:spacing w:after="0" w:line="156" w:lineRule="exact"/>
        <w:rPr>
          <w:sz w:val="20"/>
          <w:szCs w:val="20"/>
          <w:color w:val="auto"/>
        </w:rPr>
      </w:pPr>
    </w:p>
    <w:p>
      <w:pPr>
        <w:spacing w:after="0" w:line="340" w:lineRule="auto"/>
        <w:rPr>
          <w:sz w:val="20"/>
          <w:szCs w:val="20"/>
          <w:color w:val="auto"/>
        </w:rPr>
      </w:pPr>
      <w:r>
        <w:rPr>
          <w:rFonts w:ascii="Arial" w:cs="Arial" w:eastAsia="Arial" w:hAnsi="Arial"/>
          <w:sz w:val="15"/>
          <w:szCs w:val="15"/>
          <w:color w:val="auto"/>
        </w:rPr>
        <w:t>Investment advisory fees earned in the second quarter of 2017 increased over the comparable 2016 quarter as average assets under our management increased $113.2 billion, or 14.6%, to $885.9 billion. Recent increases in money market fund yields have resulted in no fee waivers for those portfolios in the second quarter of 2017. Comparably, we waived $3.3 million in advisory fees from certain of our money market mutual funds in the second quarter of 2016 quarter.</w:t>
      </w:r>
    </w:p>
    <w:p>
      <w:pPr>
        <w:spacing w:after="0" w:line="13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average annualized effective fee rate earned on our assets under management during the second quarter of 2017 was 47.3 basis points, compared with 47.9 basis points earned during the second quarter of 2016. Our effective fee rate has declined in part due to fee reductions we made to certain mutual funds and other portfolios since the second quarter of 2016. The impact of the fee reductions was offset in part by higher equity valuations, which resulted in a greater percentage of our assets under management being attributable to higher fee equity portfolios. We regularly assess the competitiveness of our investment advisory fees and will continue to make adjustments as deemed appropriate.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80"/>
          </w:cols>
          <w:pgMar w:left="240" w:top="584" w:right="279" w:bottom="1440" w:gutter="0" w:footer="0" w:header="0"/>
        </w:sectPr>
      </w:pPr>
    </w:p>
    <w:bookmarkStart w:id="24" w:name="page25"/>
    <w:bookmarkEnd w:id="24"/>
    <w:p>
      <w:pPr>
        <w:ind w:right="140"/>
        <w:spacing w:after="0" w:line="259" w:lineRule="auto"/>
        <w:rPr>
          <w:sz w:val="20"/>
          <w:szCs w:val="20"/>
          <w:color w:val="auto"/>
        </w:rPr>
      </w:pPr>
      <w:r>
        <w:rPr>
          <w:rFonts w:ascii="Arial" w:cs="Arial" w:eastAsia="Arial" w:hAnsi="Arial"/>
          <w:sz w:val="18"/>
          <w:szCs w:val="18"/>
          <w:color w:val="auto"/>
        </w:rPr>
        <w:t>The second quarter of 2016 results included a nonrecurring operating charge of $166.2 million related to our decision to compensate certain clients in regard to the Dell appraisal rights matter. This nonrecurring charge reduced net income in the second quarter of 2016 by $100.7 million, or $.39 in diluted earnings per common share. A quarterly summary of the financial impact of the Dell matter on our pre-tax operating expenses and pre-tax operating cash flows (in millions) since the matter arose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vMerge w:val="restart"/>
            <w:shd w:val="clear" w:color="auto" w:fill="CCEEFF"/>
          </w:tcPr>
          <w:p>
            <w:pPr>
              <w:spacing w:after="0"/>
              <w:rPr>
                <w:sz w:val="14"/>
                <w:szCs w:val="14"/>
                <w:color w:val="auto"/>
              </w:rPr>
            </w:pPr>
          </w:p>
        </w:tc>
        <w:tc>
          <w:tcPr>
            <w:tcW w:w="136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rPr>
              <w:t>Pre-tax operating</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Pre-tax operating</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expense</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cash flow</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June 30, 2016</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30, 2016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- 2016</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March 31, 2017</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impact from Dell appraisal rights matter</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operating margin in the second quarter of 2017 was 43.3%, compared to 27.1% earned in the 2016 quarter. Excluding the nonrecurring charge related to the Dell appraisal rights matter, our operating margin in the second quarter of 2016 would have been 43.0%.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Investment advisory revenues earned in the second quarter of 2017 from the T. Rowe Price mutual funds distributed in the U.S. were $754.3 million, an increase of $85.2 million, or 12.7%, from the comparable 2016 quarter. Average mutual fund assets under management in the second quarter of 2017 were $560.2 billion, an increase of 13.8% from the average in the second quarter of 2016.</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Investment advisory revenues earned in the second quarter of 2017 from the other investment portfolios were $289.6 million, an increase of $38.1 million, or 15.1%, from the comparable 2016 quarter. Average assets under management for these portfolios in the second quarter of 2017 were $325.7 billion, an increase of 16.1% from the average in the second quarter of 2016. The second quarter of 2016 and 2017 include the elimination of $2.0 million and $1.1 million, respectively, in advisory fees against the related management fee expense recorded by our consolidated sponsored investment portfolios.</w:t>
      </w:r>
    </w:p>
    <w:p>
      <w:pPr>
        <w:spacing w:after="0" w:line="15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Administrative fee revenues in the second quarter of 2017 were $91.3 million, an increase of $2.8 million from the comparable 2016 quarter. The increase is primarily attributable to the servicing activities we provide to the sponsored U. S. mutual funds and their investors. These changes in administrative fee revenues are generally offset by similar changes in related operating expenses that are incurred to provide such services to the funds and their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Compensation and related costs were $403.8 million in the second quarter of 2017, an increase of $32.8 million, or 8.8%, compared to the second quarter of 2016. Our base salaries and related benefits have increased $26.6 million from the second quarter of 2016 primarily as a result of a 6.8% increase in our average staff size and modest increases in base salaries at the beginning of 2017. Our interim accrual for annual variable compensation increased $9.7 million from the 2016 quarter. Our interim accrual for annual variable compensation program is recognized ratably over the year using the ratio of recognized quarterly net operating income to forecasted annual net operating income. Higher market valuations on a larger supplemental savings plan liability resulted in $4.4 million in additional compensation expense in the second quarter of 2017 compared with the 2016 period. These higher costs were offset, in part, by a $9.1 million increase in labor capitalization related to internally developed software as we continue to invest in technology capabilities. We employed 6,651 associates at June 30, 2017.</w:t>
      </w:r>
    </w:p>
    <w:p>
      <w:pPr>
        <w:spacing w:after="0" w:line="17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Occupancy and facility costs, together with depreciation expense, were $83.1 million in the second quarter of 2017, an increase of $8.5 million, or 11.4%, compared to the second quarter of 2016. The increase is attributable to higher facilities costs as well as the added costs to update and enhance technology capabilities, including related maintenance programs.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584" w:right="239" w:bottom="1440" w:gutter="0" w:footer="0" w:header="0"/>
        </w:sectPr>
      </w:pPr>
    </w:p>
    <w:bookmarkStart w:id="25" w:name="page26"/>
    <w:bookmarkEnd w:id="25"/>
    <w:p>
      <w:pPr>
        <w:ind w:right="20"/>
        <w:spacing w:after="0" w:line="279" w:lineRule="auto"/>
        <w:rPr>
          <w:sz w:val="20"/>
          <w:szCs w:val="20"/>
          <w:color w:val="auto"/>
        </w:rPr>
      </w:pPr>
      <w:r>
        <w:rPr>
          <w:rFonts w:ascii="Arial" w:cs="Arial" w:eastAsia="Arial" w:hAnsi="Arial"/>
          <w:sz w:val="17"/>
          <w:szCs w:val="17"/>
          <w:color w:val="auto"/>
        </w:rPr>
        <w:t>Other operating expenses in the second quarter of 2017 were up $23.2 million from the comparable 2016 quarter. More than half of the increase is attributable to professional fees incurred to support the firm’s continued investment in its operating capabilities. The remainder of the change from the second quarter of 2016 is a result of increases in other operating costs to meet the growing operational and regulatory business demands. These costs include those related to our defined contribution recordkeeping business, third-party service costs, and travel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Net non-operating income in the second quarter of 2017 was $112.0 million, an increase of $70.5 million from the 2016 quarter. The following table details the components of non-operating income (in millions) during the second quarter of 2016 and 2017 and the related dollar change.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00" w:type="dxa"/>
            <w:vAlign w:val="bottom"/>
            <w:gridSpan w:val="5"/>
            <w:shd w:val="clear" w:color="auto" w:fill="CCEEFF"/>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Dollar change</w:t>
            </w:r>
          </w:p>
        </w:tc>
      </w:tr>
      <w:tr>
        <w:trPr>
          <w:trHeight w:val="324"/>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30.3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 distributions from sponsored fund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Unrealized gains on sponsored equity method and trading investments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24.5</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earned from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investment income of consolidated sponsored investment portfolios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13.0</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 income, including net foreign currency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57"/>
        </w:trPr>
        <w:tc>
          <w:tcPr>
            <w:tcW w:w="744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70.5</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Nearly all of the $30.3 million in net realized gains and $23.6 million of the $32.0 million in unrealized gains on sponsored funds recognized during the second quarter of 2017 resulted from our decision to economically hedge the market exposure associated with our supplemental savings plan liability. In order to fund the hedge portfolio, we used the proceeds from the sale of certain available-for-sale sponsored investment holdings as well as designated a sponsored fund that was held as available-for-sale. The designation of the sponsored fund investment resulted in the reclassification of the investment's unrealized holding gain to the income statement from the balance sheet where it was previously recognized as it was transferred from an available-for-sale security to a trading security.</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impact (in millions) of consolidating certain sponsored investment portfolios on the individual lines of our condensed consolidated statements of income for the 2016 and 2017 quarters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39.4</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Group’s interest in the consolidated sponsored investment portfolios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 party investors)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16.1</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36.7</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The effective tax rate for the second quarter of 2017 was 37.1%. We currently estimate our effective tax rate for the full-year 2017 will be 37.4%. We expect there to be volatility in our effective tax rate in future periods as the stock-based compensation benefits now recognized in our tax provision are impacted by market fluctuations in our stock price and the timing of when option holders exercise their awards. Our effective tax rate will also be impacted by changes in our consolidated sponsored investment portfolios that are driven by the market and changes in the non-controlling interest. Our effective income tax rate also reflects the relative contribution of pre-tax income generated by our foreign subsidiaries that are subject to tax rates lower than our U.S. rates. Changes in the relative contribution of pre-tax income from U.S. and foreign sources or changes in tax rates in relevant jurisdictions may affect our effective income tax rate and overall net income in the future.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half of 2016 versus first half of 2017.</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for the impact of the Dell appraisal rights matter, the firm's consolidated sponsored investment portfolios and other non-operating income. We believe the non-GAAP financial measures below provide relevant and meaningful information to investors about our core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73025</wp:posOffset>
            </wp:positionV>
            <wp:extent cx="710057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spacing w:after="0" w:line="166"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23495</wp:posOffset>
            </wp:positionV>
            <wp:extent cx="1903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3" w:lineRule="exact"/>
        <w:rPr>
          <w:sz w:val="20"/>
          <w:szCs w:val="20"/>
          <w:color w:val="auto"/>
        </w:rPr>
      </w:pPr>
    </w:p>
    <w:p>
      <w:pPr>
        <w:ind w:left="140"/>
        <w:spacing w:after="0"/>
        <w:tabs>
          <w:tab w:leader="none" w:pos="5640" w:val="left"/>
          <w:tab w:leader="none" w:pos="7300" w:val="left"/>
          <w:tab w:leader="none" w:pos="8600" w:val="left"/>
          <w:tab w:leader="none" w:pos="9980" w:val="left"/>
        </w:tabs>
        <w:rPr>
          <w:sz w:val="20"/>
          <w:szCs w:val="20"/>
          <w:color w:val="auto"/>
        </w:rPr>
      </w:pPr>
      <w:r>
        <w:rPr>
          <w:rFonts w:ascii="Arial" w:cs="Arial" w:eastAsia="Arial" w:hAnsi="Arial"/>
          <w:sz w:val="18"/>
          <w:szCs w:val="18"/>
          <w:color w:val="auto"/>
        </w:rPr>
        <w:t>(in millions, except per-share data)</w:t>
      </w:r>
      <w:r>
        <w:rPr>
          <w:sz w:val="20"/>
          <w:szCs w:val="20"/>
          <w:color w:val="auto"/>
        </w:rPr>
        <w:tab/>
      </w:r>
      <w:r>
        <w:rPr>
          <w:rFonts w:ascii="Arial" w:cs="Arial" w:eastAsia="Arial" w:hAnsi="Arial"/>
          <w:sz w:val="14"/>
          <w:szCs w:val="14"/>
          <w:b w:val="1"/>
          <w:bCs w:val="1"/>
          <w:color w:val="auto"/>
        </w:rPr>
        <w:t>6/30/2016</w:t>
      </w:r>
      <w:r>
        <w:rPr>
          <w:sz w:val="20"/>
          <w:szCs w:val="20"/>
          <w:color w:val="auto"/>
        </w:rPr>
        <w:tab/>
      </w:r>
      <w:r>
        <w:rPr>
          <w:rFonts w:ascii="Arial" w:cs="Arial" w:eastAsia="Arial" w:hAnsi="Arial"/>
          <w:sz w:val="14"/>
          <w:szCs w:val="14"/>
          <w:b w:val="1"/>
          <w:bCs w:val="1"/>
          <w:color w:val="auto"/>
        </w:rPr>
        <w:t>6/30/2017</w:t>
      </w:r>
      <w:r>
        <w:rPr>
          <w:sz w:val="20"/>
          <w:szCs w:val="20"/>
          <w:color w:val="auto"/>
        </w:rPr>
        <w:tab/>
      </w:r>
      <w:r>
        <w:rPr>
          <w:rFonts w:ascii="Arial" w:cs="Arial" w:eastAsia="Arial" w:hAnsi="Arial"/>
          <w:sz w:val="14"/>
          <w:szCs w:val="14"/>
          <w:b w:val="1"/>
          <w:bCs w:val="1"/>
          <w:color w:val="auto"/>
        </w:rPr>
        <w:t>Dollar change</w:t>
      </w:r>
      <w:r>
        <w:rPr>
          <w:sz w:val="20"/>
          <w:szCs w:val="20"/>
          <w:color w:val="auto"/>
        </w:rPr>
        <w:tab/>
      </w:r>
      <w:r>
        <w:rPr>
          <w:rFonts w:ascii="Arial" w:cs="Arial" w:eastAsia="Arial" w:hAnsi="Arial"/>
          <w:sz w:val="12"/>
          <w:szCs w:val="12"/>
          <w:b w:val="1"/>
          <w:bCs w:val="1"/>
          <w:color w:val="auto"/>
        </w:rPr>
        <w:t>Percentage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31750</wp:posOffset>
            </wp:positionV>
            <wp:extent cx="710057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0570" cy="214630"/>
                    </a:xfrm>
                    <a:prstGeom prst="rect">
                      <a:avLst/>
                    </a:prstGeom>
                    <a:noFill/>
                  </pic:spPr>
                </pic:pic>
              </a:graphicData>
            </a:graphic>
          </wp:anchor>
        </w:drawing>
      </w:r>
    </w:p>
    <w:p>
      <w:pPr>
        <w:spacing w:after="0" w:line="377"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U.S.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34290</wp:posOffset>
            </wp:positionV>
            <wp:extent cx="710057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p>
      <w:pPr>
        <w:spacing w:after="0" w:line="6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Investment advisory fees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1,791.4</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Net revenues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2,038.8</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1,344.4</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Net operating income</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694.4</w:t>
            </w:r>
          </w:p>
        </w:tc>
      </w:tr>
      <w:tr>
        <w:trPr>
          <w:trHeight w:val="310"/>
        </w:trPr>
        <w:tc>
          <w:tcPr>
            <w:tcW w:w="5080" w:type="dxa"/>
            <w:vAlign w:val="bottom"/>
          </w:tcPr>
          <w:p>
            <w:pPr>
              <w:spacing w:after="0"/>
              <w:rPr>
                <w:sz w:val="20"/>
                <w:szCs w:val="20"/>
                <w:color w:val="auto"/>
              </w:rPr>
            </w:pPr>
            <w:r>
              <w:rPr>
                <w:rFonts w:ascii="Arial" w:cs="Arial" w:eastAsia="Arial" w:hAnsi="Arial"/>
                <w:sz w:val="18"/>
                <w:szCs w:val="18"/>
                <w:color w:val="auto"/>
              </w:rPr>
              <w:t>Non-operating income</w:t>
            </w:r>
            <w:r>
              <w:rPr>
                <w:rFonts w:ascii="Arial" w:cs="Arial" w:eastAsia="Arial" w:hAnsi="Arial"/>
                <w:sz w:val="25"/>
                <w:szCs w:val="25"/>
                <w:color w:val="auto"/>
                <w:vertAlign w:val="superscript"/>
              </w:rPr>
              <w:t>(1)</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Net income attributable to T. Rowe Price Group</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507.4</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w w:val="91"/>
              </w:rPr>
              <w:t>Diluted earnings per share on common stock of T. Rowe Price Group</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w w:val="97"/>
              </w:rPr>
              <w:t>Weighted average common shares outstanding assuming dilution</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-1011555</wp:posOffset>
            </wp:positionV>
            <wp:extent cx="71005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71005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-325120</wp:posOffset>
            </wp:positionV>
            <wp:extent cx="71005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17145</wp:posOffset>
            </wp:positionV>
            <wp:extent cx="710057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057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(1)</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(1)</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2,035.0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243.6</w:t>
            </w:r>
          </w:p>
        </w:tc>
        <w:tc>
          <w:tcPr>
            <w:tcW w:w="106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7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2,285.2</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246.4</w:t>
            </w:r>
          </w:p>
        </w:tc>
        <w:tc>
          <w:tcPr>
            <w:tcW w:w="1060" w:type="dxa"/>
            <w:vAlign w:val="bottom"/>
          </w:tcPr>
          <w:p>
            <w:pPr>
              <w:jc w:val="right"/>
              <w:spacing w:after="0"/>
              <w:rPr>
                <w:sz w:val="20"/>
                <w:szCs w:val="20"/>
                <w:color w:val="auto"/>
              </w:rPr>
            </w:pPr>
            <w:r>
              <w:rPr>
                <w:rFonts w:ascii="Arial" w:cs="Arial" w:eastAsia="Arial" w:hAnsi="Arial"/>
                <w:sz w:val="18"/>
                <w:szCs w:val="18"/>
                <w:color w:val="auto"/>
              </w:rPr>
              <w:t>12.1 %</w:t>
            </w:r>
          </w:p>
        </w:tc>
      </w:tr>
      <w:tr>
        <w:trPr>
          <w:trHeight w:val="27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1,255.9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(88.5)</w:t>
            </w: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1,029.3</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334.9</w:t>
            </w:r>
          </w:p>
        </w:tc>
        <w:tc>
          <w:tcPr>
            <w:tcW w:w="1060" w:type="dxa"/>
            <w:vAlign w:val="bottom"/>
          </w:tcPr>
          <w:p>
            <w:pPr>
              <w:jc w:val="right"/>
              <w:spacing w:after="0"/>
              <w:rPr>
                <w:sz w:val="20"/>
                <w:szCs w:val="20"/>
                <w:color w:val="auto"/>
              </w:rPr>
            </w:pPr>
            <w:r>
              <w:rPr>
                <w:rFonts w:ascii="Arial" w:cs="Arial" w:eastAsia="Arial" w:hAnsi="Arial"/>
                <w:sz w:val="18"/>
                <w:szCs w:val="18"/>
                <w:color w:val="auto"/>
              </w:rPr>
              <w:t>48.2 %</w:t>
            </w:r>
          </w:p>
        </w:tc>
      </w:tr>
      <w:tr>
        <w:trPr>
          <w:trHeight w:val="27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227.0</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100.4</w:t>
            </w:r>
          </w:p>
        </w:tc>
        <w:tc>
          <w:tcPr>
            <w:tcW w:w="1060" w:type="dxa"/>
            <w:vAlign w:val="bottom"/>
          </w:tcPr>
          <w:p>
            <w:pPr>
              <w:jc w:val="right"/>
              <w:spacing w:after="0"/>
              <w:rPr>
                <w:sz w:val="20"/>
                <w:szCs w:val="20"/>
                <w:color w:val="auto"/>
              </w:rPr>
            </w:pPr>
            <w:r>
              <w:rPr>
                <w:rFonts w:ascii="Arial" w:cs="Arial" w:eastAsia="Arial" w:hAnsi="Arial"/>
                <w:sz w:val="18"/>
                <w:szCs w:val="18"/>
                <w:color w:val="auto"/>
              </w:rPr>
              <w:t>79.3 %</w:t>
            </w:r>
          </w:p>
        </w:tc>
      </w:tr>
      <w:tr>
        <w:trPr>
          <w:trHeight w:val="27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759.8</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252.4</w:t>
            </w:r>
          </w:p>
        </w:tc>
        <w:tc>
          <w:tcPr>
            <w:tcW w:w="1060" w:type="dxa"/>
            <w:vAlign w:val="bottom"/>
          </w:tcPr>
          <w:p>
            <w:pPr>
              <w:jc w:val="right"/>
              <w:spacing w:after="0"/>
              <w:rPr>
                <w:sz w:val="20"/>
                <w:szCs w:val="20"/>
                <w:color w:val="auto"/>
              </w:rPr>
            </w:pPr>
            <w:r>
              <w:rPr>
                <w:rFonts w:ascii="Arial" w:cs="Arial" w:eastAsia="Arial" w:hAnsi="Arial"/>
                <w:sz w:val="18"/>
                <w:szCs w:val="18"/>
                <w:color w:val="auto"/>
              </w:rPr>
              <w:t>49.7 %</w:t>
            </w:r>
          </w:p>
        </w:tc>
      </w:tr>
      <w:tr>
        <w:trPr>
          <w:trHeight w:val="27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1.07</w:t>
            </w:r>
          </w:p>
        </w:tc>
        <w:tc>
          <w:tcPr>
            <w:tcW w:w="1060" w:type="dxa"/>
            <w:vAlign w:val="bottom"/>
          </w:tcPr>
          <w:p>
            <w:pPr>
              <w:jc w:val="right"/>
              <w:spacing w:after="0"/>
              <w:rPr>
                <w:sz w:val="20"/>
                <w:szCs w:val="20"/>
                <w:color w:val="auto"/>
              </w:rPr>
            </w:pPr>
            <w:r>
              <w:rPr>
                <w:rFonts w:ascii="Arial" w:cs="Arial" w:eastAsia="Arial" w:hAnsi="Arial"/>
                <w:sz w:val="18"/>
                <w:szCs w:val="18"/>
                <w:color w:val="auto"/>
              </w:rPr>
              <w:t>54.3 %</w:t>
            </w:r>
          </w:p>
        </w:tc>
      </w:tr>
      <w:tr>
        <w:trPr>
          <w:trHeight w:val="270"/>
        </w:trPr>
        <w:tc>
          <w:tcPr>
            <w:tcW w:w="3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244.2</w:t>
            </w:r>
          </w:p>
        </w:tc>
        <w:tc>
          <w:tcPr>
            <w:tcW w:w="560" w:type="dxa"/>
            <w:vAlign w:val="bottom"/>
          </w:tcPr>
          <w:p>
            <w:pPr>
              <w:spacing w:after="0"/>
              <w:rPr>
                <w:sz w:val="23"/>
                <w:szCs w:val="23"/>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(8.0)</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ectPr>
          <w:pgSz w:w="11900" w:h="16838" w:orient="portrait"/>
          <w:cols w:equalWidth="0" w:num="3">
            <w:col w:w="6520" w:space="120"/>
            <w:col w:w="120" w:space="220"/>
            <w:col w:w="4380"/>
          </w:cols>
          <w:pgMar w:left="240" w:top="584" w:right="299" w:bottom="1440" w:gutter="0" w:footer="0" w:header="0"/>
          <w:type w:val="continuous"/>
        </w:sectPr>
      </w:pPr>
    </w:p>
    <w:p>
      <w:pPr>
        <w:spacing w:after="0" w:line="134" w:lineRule="exact"/>
        <w:rPr>
          <w:sz w:val="20"/>
          <w:szCs w:val="20"/>
          <w:color w:val="auto"/>
        </w:rPr>
      </w:pPr>
    </w:p>
    <w:p>
      <w:pPr>
        <w:ind w:left="140"/>
        <w:spacing w:after="0"/>
        <w:rPr>
          <w:sz w:val="20"/>
          <w:szCs w:val="20"/>
          <w:color w:val="auto"/>
        </w:rPr>
      </w:pPr>
      <w:r>
        <w:rPr>
          <w:rFonts w:ascii="Arial" w:cs="Arial" w:eastAsia="Arial" w:hAnsi="Arial"/>
          <w:sz w:val="18"/>
          <w:szCs w:val="18"/>
          <w:b w:val="1"/>
          <w:bCs w:val="1"/>
          <w:u w:val="single" w:color="auto"/>
          <w:color w:val="auto"/>
        </w:rPr>
        <w:t>Adjusted</w:t>
      </w:r>
      <w:r>
        <w:rPr>
          <w:rFonts w:ascii="Arial" w:cs="Arial" w:eastAsia="Arial" w:hAnsi="Arial"/>
          <w:sz w:val="25"/>
          <w:szCs w:val="25"/>
          <w:b w:val="1"/>
          <w:bCs w:val="1"/>
          <w:color w:val="auto"/>
          <w:vertAlign w:val="superscript"/>
        </w:rPr>
        <w:t>(1)</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1,175.2</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1,302.4</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127.2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43"/>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545.7</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615.1</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69.4</w:t>
            </w:r>
          </w:p>
        </w:tc>
        <w:tc>
          <w:tcPr>
            <w:tcW w:w="1140" w:type="dxa"/>
            <w:vAlign w:val="bottom"/>
          </w:tcPr>
          <w:p>
            <w:pPr>
              <w:jc w:val="right"/>
              <w:spacing w:after="0"/>
              <w:rPr>
                <w:sz w:val="20"/>
                <w:szCs w:val="20"/>
                <w:color w:val="auto"/>
              </w:rPr>
            </w:pPr>
            <w:r>
              <w:rPr>
                <w:rFonts w:ascii="Arial" w:cs="Arial" w:eastAsia="Arial" w:hAnsi="Arial"/>
                <w:sz w:val="18"/>
                <w:szCs w:val="18"/>
                <w:color w:val="auto"/>
              </w:rPr>
              <w:t>12.7 %</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1"/>
              </w:rPr>
              <w:t>Diluted earnings per share on common stock of T. Rowe Price Group</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2.12</w:t>
            </w:r>
          </w:p>
        </w:tc>
        <w:tc>
          <w:tcPr>
            <w:tcW w:w="6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5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16.0 %</w:t>
            </w:r>
          </w:p>
        </w:tc>
      </w:tr>
      <w:tr>
        <w:trPr>
          <w:trHeight w:val="32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5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Average assets under management</w:t>
            </w:r>
          </w:p>
        </w:tc>
        <w:tc>
          <w:tcPr>
            <w:tcW w:w="21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750.4</w:t>
            </w:r>
          </w:p>
        </w:tc>
        <w:tc>
          <w:tcPr>
            <w:tcW w:w="6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865.6</w:t>
            </w:r>
          </w:p>
        </w:tc>
        <w:tc>
          <w:tcPr>
            <w:tcW w:w="560" w:type="dxa"/>
            <w:vAlign w:val="bottom"/>
            <w:tcBorders>
              <w:top w:val="single" w:sz="8" w:color="CCEEFF"/>
            </w:tcBorders>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tcPr>
          <w:p>
            <w:pPr>
              <w:jc w:val="right"/>
              <w:ind w:right="470"/>
              <w:spacing w:after="0"/>
              <w:rPr>
                <w:sz w:val="20"/>
                <w:szCs w:val="20"/>
                <w:color w:val="auto"/>
              </w:rPr>
            </w:pPr>
            <w:r>
              <w:rPr>
                <w:rFonts w:ascii="Arial" w:cs="Arial" w:eastAsia="Arial" w:hAnsi="Arial"/>
                <w:sz w:val="18"/>
                <w:szCs w:val="18"/>
                <w:color w:val="auto"/>
              </w:rPr>
              <w:t>115.2</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15.4 %</w:t>
            </w:r>
          </w:p>
        </w:tc>
      </w:tr>
      <w:tr>
        <w:trPr>
          <w:trHeight w:val="270"/>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Ending assets under management</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776.6</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903.6</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127.0</w:t>
            </w:r>
          </w:p>
        </w:tc>
        <w:tc>
          <w:tcPr>
            <w:tcW w:w="1140" w:type="dxa"/>
            <w:vAlign w:val="bottom"/>
          </w:tcPr>
          <w:p>
            <w:pPr>
              <w:jc w:val="right"/>
              <w:spacing w:after="0"/>
              <w:rPr>
                <w:sz w:val="20"/>
                <w:szCs w:val="20"/>
                <w:color w:val="auto"/>
              </w:rPr>
            </w:pPr>
            <w:r>
              <w:rPr>
                <w:rFonts w:ascii="Arial" w:cs="Arial" w:eastAsia="Arial" w:hAnsi="Arial"/>
                <w:sz w:val="18"/>
                <w:szCs w:val="18"/>
                <w:color w:val="auto"/>
              </w:rPr>
              <w:t>16.4 %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-153670</wp:posOffset>
            </wp:positionV>
            <wp:extent cx="71005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0570" cy="171450"/>
                    </a:xfrm>
                    <a:prstGeom prst="rect">
                      <a:avLst/>
                    </a:prstGeom>
                    <a:noFill/>
                  </pic:spPr>
                </pic:pic>
              </a:graphicData>
            </a:graphic>
          </wp:anchor>
        </w:drawing>
      </w:r>
    </w:p>
    <w:p>
      <w:pPr>
        <w:ind w:right="100" w:firstLine="8"/>
        <w:spacing w:after="0" w:line="250" w:lineRule="auto"/>
        <w:tabs>
          <w:tab w:leader="none" w:pos="127" w:val="left"/>
        </w:tabs>
        <w:numPr>
          <w:ilvl w:val="0"/>
          <w:numId w:val="2"/>
        </w:numPr>
        <w:rPr>
          <w:rFonts w:ascii="Arial" w:cs="Arial" w:eastAsia="Arial" w:hAnsi="Arial"/>
          <w:sz w:val="9"/>
          <w:szCs w:val="9"/>
          <w:i w:val="1"/>
          <w:iCs w:val="1"/>
          <w:color w:val="auto"/>
        </w:rPr>
      </w:pPr>
      <w:r>
        <w:rPr>
          <w:rFonts w:ascii="Arial" w:cs="Arial" w:eastAsia="Arial" w:hAnsi="Arial"/>
          <w:sz w:val="14"/>
          <w:szCs w:val="14"/>
          <w:i w:val="1"/>
          <w:iCs w:val="1"/>
          <w:color w:val="auto"/>
        </w:rPr>
        <w:t>A</w:t>
      </w:r>
      <w:r>
        <w:rPr>
          <w:rFonts w:ascii="Arial" w:cs="Arial" w:eastAsia="Arial" w:hAnsi="Arial"/>
          <w:sz w:val="14"/>
          <w:szCs w:val="14"/>
          <w:color w:val="auto"/>
        </w:rPr>
        <w:t>s</w:t>
      </w:r>
      <w:r>
        <w:rPr>
          <w:rFonts w:ascii="Arial" w:cs="Arial" w:eastAsia="Arial" w:hAnsi="Arial"/>
          <w:sz w:val="14"/>
          <w:szCs w:val="14"/>
          <w:i w:val="1"/>
          <w:iCs w:val="1"/>
          <w:color w:val="auto"/>
        </w:rPr>
        <w:t xml:space="preserve"> discussed in Note 1, The Company and Basis of Preparation, to the condensed consolidated financial statements, prior year amounts have been adjusted to reflect the impact of implementing new stock-based compensation accounting guidance in the third quarter of 2016.</w:t>
      </w:r>
    </w:p>
    <w:p>
      <w:pPr>
        <w:spacing w:after="0"/>
        <w:rPr>
          <w:rFonts w:ascii="Arial" w:cs="Arial" w:eastAsia="Arial" w:hAnsi="Arial"/>
          <w:sz w:val="9"/>
          <w:szCs w:val="9"/>
          <w:i w:val="1"/>
          <w:iCs w:val="1"/>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See the reconciliation to the comparable U.S. GAAP measures at the end of the results of operations sections of this management discussion and analysis.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advisory revenues earned in the first half of 2017 increased 13.6% over the comparable 2016 period as average assets under our management increased $115.2 billion, or 15.4%, to $865.6 billion. We waived no money market fees in the first half of 2017, compared to $7.3 million in the 2016 period. The average annualized fee rate earned on our assets under management was 47.4 basis points in the first half of 2017, compared with the 48.0 basis points earned in the first half of 2016. Our effective fee rate has declined in part due to fee reductions we made to certain mutual funds and other portfolios since the end of 2015. The impact of the fee reductions was offset in part by higher equity valuations, which resulted in a greater percentage of our assets under management being attributable to higher fee equity portfolios.</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360"/>
          </w:cols>
          <w:pgMar w:left="240" w:top="584" w:right="299" w:bottom="1440" w:gutter="0" w:footer="0" w:header="0"/>
          <w:type w:val="continuous"/>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t>As discussed previously, we recognized in the second quarter of 2016 a nonrecurring operating charge of $166.2 million related to our decision to compensate certain clients in regard to the Dell appraisal rights matter. During the first quarter of 2017, we recognized insurance recoveries totaling $50 million from claims filed in 2016 related to this matter. A summary of the financial impact of the Dell appraisal rights matter on our periodic financial results since the matter arose is summarized in a table on page 25.</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operating margin in the first half of 2017 was 45.0%, compared to 34.1% in the 2016 period. Excluding the impact of the Dell matter, our operating margin was 42.9% in the first six months of 2017, and 42.2% for the comparable 2016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Investment advisory revenues earned from the T. Rowe Price mutual funds distributed in the U.S. increased 13.0%, or $168.9 million, to $1.5 billion. Average mutual fund assets in the first half of 2017 were $548.4 billion, an increase of 14.5% from the average for the comparable 2016 period. The increase in advisory revenues was also due in part to the reduction in money market fee waivers made in the first half of 2017 compared with the 2016 period.</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 advisory revenues earned on the other investment portfolios for the first half of 2017 were $564.9 million, an increase of $74.7 million, or 15.2%, from the $490.2 million earned in the comparable 2016 period. The first half of 2017 includes the elimination of $2.1 million in advisory fees against the related management fee expense recorded by our consolidated sponsored investment portfolios. Average assets in these portfolios were $317.2 billion during the first half of 2017, up 16.8% from the comparable 2016 period.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Distribution and servicing fee revenues earned from 12b-1 plans of the Advisor, R, and Variable Annuity II class shares of our sponsored portfolios were</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$71.6 million in the first half of 2017, an increase of $2.1 million from the comparable 2016 period on higher average assets under management in these share classes. The 12b-1 fees earned are offset entirely by the costs paid to third party intermediaries who source these assets. These costs are reported as distribution and servicing costs in the condensed consolidated income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Compensation and related costs were $801.2 million in the first half of 2017, an increase of $75.0 million, or 10.3%, compared to the 2016 period. The largest part of the increase is attributable to a $47.6 million increase in base salaries and related benefits which resulted from an increase of 5.8% in average headcount from the 2016 period combined with a modest increase in salaries at the beginning of 2017. The interim accrual for our annual variable compensation in the 2017 period rose $28.1 million over the interim accrual in the 2016 period. Increased market values underlying our supplemental savings plan drove costs higher by $11.1 million over the comparable 2016 period. We also experienced an increase in recruiting and other employee-related costs as a result of the increase in headcount from the 2016 year-to-date period. The increases in these compensation and related expenses were offset in part by an increase of $18.5 million in the level of labor capitalized in 2017 compared with the 2016 period.</w:t>
      </w:r>
    </w:p>
    <w:p>
      <w:pPr>
        <w:spacing w:after="0" w:line="17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Advertising and promotion costs were $44.2 million in the second quarter of 2017, compared with $38.0 million in the 2016 period. We currently expect advertising and promotion costs for 2017 will be up to 10% higher than the 2016 year as we execute on a number of strategic initiatives.</w:t>
      </w:r>
    </w:p>
    <w:p>
      <w:pPr>
        <w:spacing w:after="0" w:line="147" w:lineRule="exact"/>
        <w:rPr>
          <w:sz w:val="20"/>
          <w:szCs w:val="20"/>
          <w:color w:val="auto"/>
        </w:rPr>
      </w:pPr>
    </w:p>
    <w:p>
      <w:pPr>
        <w:jc w:val="both"/>
        <w:ind w:right="500"/>
        <w:spacing w:after="0" w:line="342" w:lineRule="auto"/>
        <w:rPr>
          <w:sz w:val="20"/>
          <w:szCs w:val="20"/>
          <w:color w:val="auto"/>
        </w:rPr>
      </w:pPr>
      <w:r>
        <w:rPr>
          <w:rFonts w:ascii="Arial" w:cs="Arial" w:eastAsia="Arial" w:hAnsi="Arial"/>
          <w:sz w:val="16"/>
          <w:szCs w:val="16"/>
          <w:color w:val="auto"/>
        </w:rPr>
        <w:t>Occupancy and facility costs, together with depreciation expense, increased $15.9 million, or 10.7%, compared to the first half of 2016. The increase is attributable to higher facilities costs as well as the added costs to update and enhance technology capabilities, including related maintenance programs.</w:t>
      </w:r>
    </w:p>
    <w:p>
      <w:pPr>
        <w:spacing w:after="0" w:line="12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Other operating expenses were $224.8 million in the first half of 2017, an increase of $28.5 million from the comparable 2016 period. About half of the increase is attributable to professional fees incurred to support the firm’s continued investment in its operating capabilities. The remainder of the change from the first half of 2016 is a result of increases in other operating costs to meet the growing operational and regulatory business demands. These costs include those related to our defined contribution recordkeeping business, information and third-party service costs, and travel costs.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00"/>
          </w:cols>
          <w:pgMar w:left="240" w:top="80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non-operating investment activity during the first half of 2017 resulted in income of $227.0 million, an increase of $100.4 million from the 2016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non-operating income (in millions) during the first half of 2016 and 2017.</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500" w:type="dxa"/>
            <w:vAlign w:val="bottom"/>
            <w:gridSpan w:val="5"/>
            <w:shd w:val="clear" w:color="auto" w:fill="CCEEFF"/>
          </w:tcPr>
          <w:p>
            <w:pPr>
              <w:ind w:left="5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Dollar change</w:t>
            </w:r>
          </w:p>
        </w:tc>
      </w:tr>
      <w:tr>
        <w:trPr>
          <w:trHeight w:val="324"/>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gains realized on dispositions of available-for-sale investments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25.6</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 distributions from sponsored fund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Unrealized gains on sponsored equity method and trading investments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29.5</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income on sponsored fund investments not consolidated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investment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earned from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investment income of consolidated sponsored investment portfolios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expenses, including net foreign currency gains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r>
      <w:tr>
        <w:trPr>
          <w:trHeight w:val="257"/>
        </w:trPr>
        <w:tc>
          <w:tcPr>
            <w:tcW w:w="7440" w:type="dxa"/>
            <w:vAlign w:val="bottom"/>
          </w:tcPr>
          <w:p>
            <w:pPr>
              <w:ind w:left="120"/>
              <w:spacing w:after="0"/>
              <w:rPr>
                <w:sz w:val="20"/>
                <w:szCs w:val="20"/>
                <w:color w:val="auto"/>
              </w:rPr>
            </w:pPr>
            <w:r>
              <w:rPr>
                <w:rFonts w:ascii="Arial" w:cs="Arial" w:eastAsia="Arial" w:hAnsi="Arial"/>
                <w:sz w:val="18"/>
                <w:szCs w:val="18"/>
                <w:color w:val="auto"/>
              </w:rPr>
              <w:t>Non-operating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100.4</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first six months of 2017, non-operating income includes $30.8 million in gains realized from the disposition of certain available-for-sale investments and $23.6 million in unrealized gains recognized on sponsored trading investments as a result of our decision to economically hedge the market exposure associated with our supplemental savings plan liability. In order to fund the hedge portfolio, we used the proceeds from the sale of certain available-for-sale sponsored investment holdings as well as designated a sponsored fund that was held as available-for-sale. The designation of the sponsored fund investment resulted in the reclassification of the investment's unrealized holding gain to the income statement from the balance sheet where it was previously recognized as it was transferred from an available-for-sale security to a trading security.</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impact (in millions) of consolidating certain sponsored investment portfolios on the individual lines of our condensed consolidated statements of income for the first half of 2016 and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2"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23495</wp:posOffset>
            </wp:positionV>
            <wp:extent cx="1663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6/30/2017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88.3</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Group’s interest in the consolidated sponsored investment portfolios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 party investors)</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30.6</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The following schedule reconciles (in millions, except for per-share amounts) U.S. GAAP financial measures to non-GAAP measures for the three- and six-month periods ended June 30, 2016 and 2017.</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320" w:type="dxa"/>
            <w:vAlign w:val="bottom"/>
            <w:gridSpan w:val="5"/>
            <w:shd w:val="clear" w:color="auto" w:fill="CCEEFF"/>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22"/>
                <w:szCs w:val="22"/>
                <w:color w:val="auto"/>
              </w:rPr>
            </w:pPr>
          </w:p>
        </w:tc>
        <w:tc>
          <w:tcPr>
            <w:tcW w:w="2180" w:type="dxa"/>
            <w:vAlign w:val="bottom"/>
            <w:gridSpan w:val="4"/>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6/30/2017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1,255.9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Expenses of consolidated sponsored investment portfolios, net of elimination of its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65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related management fee</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6520" w:type="dxa"/>
            <w:vAlign w:val="bottom"/>
          </w:tcPr>
          <w:p>
            <w:pPr>
              <w:ind w:left="180"/>
              <w:spacing w:after="0" w:line="270" w:lineRule="exact"/>
              <w:rPr>
                <w:sz w:val="20"/>
                <w:szCs w:val="20"/>
                <w:color w:val="auto"/>
              </w:rPr>
            </w:pPr>
            <w:r>
              <w:rPr>
                <w:rFonts w:ascii="Arial" w:cs="Arial" w:eastAsia="Arial" w:hAnsi="Arial"/>
                <w:sz w:val="18"/>
                <w:szCs w:val="18"/>
                <w:color w:val="auto"/>
                <w:w w:val="94"/>
              </w:rPr>
              <w:t xml:space="preserve">Insurance recoveries (nonrecurring charge) related to Dell appraisal rights matter </w:t>
            </w:r>
            <w:r>
              <w:rPr>
                <w:rFonts w:ascii="Arial" w:cs="Arial" w:eastAsia="Arial" w:hAnsi="Arial"/>
                <w:sz w:val="25"/>
                <w:szCs w:val="25"/>
                <w:color w:val="auto"/>
                <w:w w:val="94"/>
                <w:vertAlign w:val="superscript"/>
              </w:rPr>
              <w:t>(3)</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57"/>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expenses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1,175.2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1,302.4</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T. Rowe Price Group,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Net income of consolidated sponsored investment portfolios, net of redeemable non-</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652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controlling interests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Non-operating income, excluding impact of consolidated sponsored investment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6520" w:type="dxa"/>
            <w:vAlign w:val="bottom"/>
          </w:tcPr>
          <w:p>
            <w:pPr>
              <w:ind w:left="120"/>
              <w:spacing w:after="0" w:line="257" w:lineRule="exact"/>
              <w:rPr>
                <w:sz w:val="20"/>
                <w:szCs w:val="20"/>
                <w:color w:val="auto"/>
              </w:rPr>
            </w:pPr>
            <w:r>
              <w:rPr>
                <w:rFonts w:ascii="Arial" w:cs="Arial" w:eastAsia="Arial" w:hAnsi="Arial"/>
                <w:sz w:val="18"/>
                <w:szCs w:val="18"/>
                <w:color w:val="auto"/>
              </w:rPr>
              <w:t>portfolios</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w w:val="94"/>
              </w:rPr>
              <w:t xml:space="preserve">Nonrecurring charge (insurance recoveries) related to Dell appraisal rights matter </w:t>
            </w:r>
            <w:r>
              <w:rPr>
                <w:rFonts w:ascii="Arial" w:cs="Arial" w:eastAsia="Arial" w:hAnsi="Arial"/>
                <w:sz w:val="25"/>
                <w:szCs w:val="25"/>
                <w:color w:val="auto"/>
                <w:w w:val="94"/>
                <w:vertAlign w:val="superscript"/>
              </w:rPr>
              <w:t>(3)</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6520" w:type="dxa"/>
            <w:vAlign w:val="bottom"/>
            <w:tcBorders>
              <w:bottom w:val="single" w:sz="8" w:color="CCEEFF"/>
            </w:tcBorders>
          </w:tcPr>
          <w:p>
            <w:pPr>
              <w:ind w:left="120"/>
              <w:spacing w:after="0" w:line="270" w:lineRule="exact"/>
              <w:rPr>
                <w:sz w:val="20"/>
                <w:szCs w:val="20"/>
                <w:color w:val="auto"/>
              </w:rPr>
            </w:pPr>
            <w:r>
              <w:rPr>
                <w:rFonts w:ascii="Arial" w:cs="Arial" w:eastAsia="Arial" w:hAnsi="Arial"/>
                <w:sz w:val="18"/>
                <w:szCs w:val="18"/>
                <w:color w:val="auto"/>
              </w:rPr>
              <w:t xml:space="preserve">Income tax impacts of non-GAAP adjustments </w:t>
            </w:r>
            <w:r>
              <w:rPr>
                <w:rFonts w:ascii="Arial" w:cs="Arial" w:eastAsia="Arial" w:hAnsi="Arial"/>
                <w:sz w:val="25"/>
                <w:szCs w:val="25"/>
                <w:color w:val="auto"/>
                <w:vertAlign w:val="superscript"/>
              </w:rPr>
              <w:t>(4)</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96.4</w:t>
            </w: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615.1</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Consolidated sponsored investment portfolios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Non-operating income, excluding impact of consolidated sponsored investment</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7"/>
        </w:trPr>
        <w:tc>
          <w:tcPr>
            <w:tcW w:w="6520" w:type="dxa"/>
            <w:vAlign w:val="bottom"/>
          </w:tcPr>
          <w:p>
            <w:pPr>
              <w:ind w:left="120"/>
              <w:spacing w:after="0" w:line="257" w:lineRule="exact"/>
              <w:rPr>
                <w:sz w:val="20"/>
                <w:szCs w:val="20"/>
                <w:color w:val="auto"/>
              </w:rPr>
            </w:pPr>
            <w:r>
              <w:rPr>
                <w:rFonts w:ascii="Arial" w:cs="Arial" w:eastAsia="Arial" w:hAnsi="Arial"/>
                <w:sz w:val="18"/>
                <w:szCs w:val="18"/>
                <w:color w:val="auto"/>
              </w:rPr>
              <w:t>portfolios</w:t>
            </w:r>
            <w:r>
              <w:rPr>
                <w:rFonts w:ascii="Arial" w:cs="Arial" w:eastAsia="Arial" w:hAnsi="Arial"/>
                <w:sz w:val="25"/>
                <w:szCs w:val="25"/>
                <w:color w:val="auto"/>
                <w:vertAlign w:val="superscript"/>
              </w:rPr>
              <w:t>(2)</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652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w w:val="94"/>
              </w:rPr>
              <w:t xml:space="preserve">Nonrecurring charge (insurance recoveries) related to Dell appraisal rights matter </w:t>
            </w:r>
            <w:r>
              <w:rPr>
                <w:rFonts w:ascii="Arial" w:cs="Arial" w:eastAsia="Arial" w:hAnsi="Arial"/>
                <w:sz w:val="25"/>
                <w:szCs w:val="25"/>
                <w:color w:val="auto"/>
                <w:w w:val="94"/>
                <w:vertAlign w:val="superscript"/>
              </w:rPr>
              <w:t>(3)</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652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5"/>
                <w:szCs w:val="25"/>
                <w:b w:val="1"/>
                <w:bCs w:val="1"/>
                <w:color w:val="auto"/>
                <w:vertAlign w:val="superscript"/>
              </w:rPr>
              <w:t>(5)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right="80" w:hanging="91"/>
        <w:spacing w:after="0" w:line="271" w:lineRule="auto"/>
        <w:tabs>
          <w:tab w:leader="none" w:pos="291"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We implemented new consolidation accounting guidance on January 1, 2016, that resulted in a larger number of our sponsored investment portfolios, that we provide seed capital to at formation, to be consolidated in our financial statements as we were deemed to have a controlling financial interest. The non-GAAP adjustments add back the management fees we earn from the consolidated sponsored investment portfolios and remove the investment income and operating expenses of these portfolios that have been included in our U.S. GAAP condensed consolidated statements of income. We believe the consolidated sponsored investment portfolios may impact the reader's ability to understand our core operating results.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gridSpan w:val="4"/>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5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6/30/2017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6/30/2017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 of consolidated sponsored portfolios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 of consolidated sponsored portfolios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of consolidated sponsored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30.6</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Price's portion of 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3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30</w:t>
      </w:r>
    </w:p>
    <w:p>
      <w:pPr>
        <w:sectPr>
          <w:pgSz w:w="11900" w:h="16838" w:orient="portrait"/>
          <w:cols w:equalWidth="0" w:num="1">
            <w:col w:w="11420"/>
          </w:cols>
          <w:pgMar w:left="240" w:top="638" w:right="239" w:bottom="1440" w:gutter="0" w:footer="0" w:header="0"/>
          <w:type w:val="continuous"/>
        </w:sectPr>
      </w:pPr>
    </w:p>
    <w:bookmarkStart w:id="30" w:name="page31"/>
    <w:bookmarkEnd w:id="30"/>
    <w:p>
      <w:pPr>
        <w:jc w:val="both"/>
        <w:ind w:left="180" w:right="80" w:hanging="172"/>
        <w:spacing w:after="0" w:line="262" w:lineRule="auto"/>
        <w:tabs>
          <w:tab w:leader="none" w:pos="196"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non-operating income that remains after backing out the portion related to the consolidated sponsored investment portfolios. We believe excluding non-operating income helps the reader's ability to understand the firm’s core operating results and increases comparability to prior years. Additionally, we do not emphasize the impact of non-operating income when managing our firm and evaluating our performance.</w:t>
      </w:r>
    </w:p>
    <w:p>
      <w:pPr>
        <w:spacing w:after="0" w:line="120"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6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60" w:type="dxa"/>
            <w:vAlign w:val="bottom"/>
            <w:gridSpan w:val="5"/>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22"/>
                <w:szCs w:val="22"/>
                <w:color w:val="auto"/>
              </w:rPr>
            </w:pPr>
          </w:p>
        </w:tc>
        <w:tc>
          <w:tcPr>
            <w:tcW w:w="2160" w:type="dxa"/>
            <w:vAlign w:val="bottom"/>
            <w:gridSpan w:val="4"/>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9"/>
              </w:rPr>
              <w:t>6/30/2016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6/30/2017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6/30/2016</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6/30/2017</w:t>
            </w: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227.0</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Less: net investment income (loss) of consolidated sponsored portfolios</w:t>
            </w: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88.3</w:t>
            </w: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138.7</w:t>
            </w:r>
          </w:p>
        </w:tc>
      </w:tr>
      <w:tr>
        <w:trPr>
          <w:trHeight w:val="20"/>
        </w:trPr>
        <w:tc>
          <w:tcPr>
            <w:tcW w:w="6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right="20" w:hanging="172"/>
        <w:spacing w:after="0" w:line="250" w:lineRule="auto"/>
        <w:tabs>
          <w:tab w:leader="none" w:pos="21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In the second quarter of 2016, we recognized a nonrecurring charge of $166.2 million related to our decision to compensate certain clients in regard to the Dell appraisal rights matter. In the first quarter of 2017, we recognized insurance recoveries of $50 million as a reduction in operating expenses from claims that were filed in relation to the matter. We believe it is useful to readers of our consolidated statements of income to adjust for these non-recurring insurance recoveries in arriving at adjusted operating expenses and net income attributable to T. Rowe Price Group, Inc. and diluted earnings per share, as this will aid with comparability to prior periods and analyzing our core business results.</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(4</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These were calculated using the effective tax rate applicable to the related items.</w:t>
      </w:r>
    </w:p>
    <w:p>
      <w:pPr>
        <w:spacing w:after="0" w:line="145" w:lineRule="exact"/>
        <w:rPr>
          <w:sz w:val="20"/>
          <w:szCs w:val="20"/>
          <w:color w:val="auto"/>
        </w:rPr>
      </w:pPr>
    </w:p>
    <w:p>
      <w:pPr>
        <w:ind w:left="180" w:right="80" w:hanging="172"/>
        <w:spacing w:after="0" w:line="227" w:lineRule="auto"/>
        <w:tabs>
          <w:tab w:leader="none" w:pos="21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Inc. divided by the weighted-average common shares outstanding assuming dilution.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increased our quarterly recurring dividend per share by 5.6% to $.57 per share in the second quarter of 2017. Additionally, we expended $447.0 million to repurchase 6.5 million shares, or 2.6%, of our outstanding common stock in the first half of 2017. These dividends and repurchases were expended using existing cash balances and cash generated from operations. We will generally repurchase our common stock over time to offset the dilution created by our equity-based compensation plans.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Since the end of 2014, we have returned nearly $4.0 billion to stockholders through stock repurchases, our regular quarterly dividends, and a special dividend in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6"/>
              </w:rPr>
              <w:t>Recurring</w:t>
            </w: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w w:val="89"/>
              </w:rPr>
              <w:t>Total cash</w:t>
            </w: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Special dividend</w:t>
            </w:r>
          </w:p>
        </w:tc>
        <w:tc>
          <w:tcPr>
            <w:tcW w:w="16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returned to</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3"/>
              </w:rPr>
              <w:t>dividend</w:t>
            </w:r>
          </w:p>
        </w:tc>
        <w:tc>
          <w:tcPr>
            <w:tcW w:w="124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8"/>
              </w:rPr>
              <w:t>repurchases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right="78"/>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2,046.8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Six months ended 6/30/2017</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447.0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1,355.7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3,991.9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remain debt-free with ample liquidity, including cash and sponsored portfolio investment holdings (in millions)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 billions)</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w w:val="99"/>
              </w:rPr>
              <w:t>12/31/2016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4"/>
                <w:szCs w:val="14"/>
                <w:b w:val="1"/>
                <w:bCs w:val="1"/>
                <w:color w:val="auto"/>
              </w:rPr>
              <w:t>6/30/2017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1,542.2</w:t>
            </w:r>
          </w:p>
        </w:tc>
      </w:tr>
      <w:tr>
        <w:trPr>
          <w:trHeight w:val="27"/>
        </w:trPr>
        <w:tc>
          <w:tcPr>
            <w:tcW w:w="9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Discretionary investments in sponsored investment portfolios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678.7</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 discretionary investments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1,905.5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2,220.9</w:t>
            </w:r>
          </w:p>
        </w:tc>
      </w:tr>
      <w:tr>
        <w:trPr>
          <w:trHeight w:val="27"/>
        </w:trPr>
        <w:tc>
          <w:tcPr>
            <w:tcW w:w="9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seed capital investments in sponsored investment portfolios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1,169.1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Investments in sponsored investment portfolios to hedge supplemental savings plan liability</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172.3</w:t>
            </w:r>
          </w:p>
        </w:tc>
      </w:tr>
      <w:tr>
        <w:trPr>
          <w:trHeight w:val="27"/>
        </w:trPr>
        <w:tc>
          <w:tcPr>
            <w:tcW w:w="9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sponsored investment holdings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3,562.3</w:t>
            </w:r>
          </w:p>
        </w:tc>
      </w:tr>
      <w:tr>
        <w:trPr>
          <w:trHeight w:val="20"/>
        </w:trPr>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cash and discretionary sponsored investment holdings held by our subsidiaries outside the U.S. is $.4 million at June 30,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584" w:right="239" w:bottom="1440" w:gutter="0" w:footer="0" w:header="0"/>
        </w:sectPr>
      </w:pPr>
    </w:p>
    <w:bookmarkStart w:id="31" w:name="page32"/>
    <w:bookmarkEnd w:id="31"/>
    <w:p>
      <w:pPr>
        <w:ind w:right="280"/>
        <w:spacing w:after="0" w:line="286" w:lineRule="auto"/>
        <w:rPr>
          <w:sz w:val="20"/>
          <w:szCs w:val="20"/>
          <w:color w:val="auto"/>
        </w:rPr>
      </w:pPr>
      <w:r>
        <w:rPr>
          <w:rFonts w:ascii="Arial" w:cs="Arial" w:eastAsia="Arial" w:hAnsi="Arial"/>
          <w:sz w:val="17"/>
          <w:szCs w:val="17"/>
          <w:color w:val="auto"/>
        </w:rPr>
        <w:t>The following table details (in millions) the line items of the condensed consolidated balance sheet as of June 30, 2017, where our cash and sponsored portfolio investment holdings are presented as well as the amount of other investments that make up the remainder of the investments line. The investment presentation on the balance sheet is based on the type of investment, as well as how we account for the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Interest Held by 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23495</wp:posOffset>
            </wp:positionV>
            <wp:extent cx="38506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Investments in</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Cash and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Redeemable Seed</w:t>
            </w:r>
          </w:p>
        </w:tc>
        <w:tc>
          <w:tcPr>
            <w:tcW w:w="140" w:type="dxa"/>
            <w:vAlign w:val="bottom"/>
          </w:tcPr>
          <w:p>
            <w:pPr>
              <w:spacing w:after="0"/>
              <w:rPr>
                <w:sz w:val="12"/>
                <w:szCs w:val="12"/>
                <w:color w:val="auto"/>
              </w:rPr>
            </w:pPr>
          </w:p>
        </w:tc>
        <w:tc>
          <w:tcPr>
            <w:tcW w:w="11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6"/>
              </w:rPr>
              <w:t>sponsored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8"/>
              <w:spacing w:after="0"/>
              <w:rPr>
                <w:sz w:val="20"/>
                <w:szCs w:val="20"/>
                <w:color w:val="auto"/>
              </w:rPr>
            </w:pPr>
            <w:r>
              <w:rPr>
                <w:rFonts w:ascii="Arial" w:cs="Arial" w:eastAsia="Arial" w:hAnsi="Arial"/>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discretionary</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capital</w:t>
            </w: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portfolios to hedge</w:t>
            </w: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Investment in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Redeemable non-</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investments in</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investments in</w:t>
            </w:r>
          </w:p>
        </w:tc>
        <w:tc>
          <w:tcPr>
            <w:tcW w:w="140" w:type="dxa"/>
            <w:vAlign w:val="bottom"/>
          </w:tcPr>
          <w:p>
            <w:pPr>
              <w:spacing w:after="0"/>
              <w:rPr>
                <w:sz w:val="12"/>
                <w:szCs w:val="12"/>
                <w:color w:val="auto"/>
              </w:rPr>
            </w:pPr>
          </w:p>
        </w:tc>
        <w:tc>
          <w:tcPr>
            <w:tcW w:w="11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3"/>
              </w:rPr>
              <w:t>supplemental</w:t>
            </w:r>
          </w:p>
        </w:tc>
        <w:tc>
          <w:tcPr>
            <w:tcW w:w="12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sponsored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sponsored</w:t>
            </w:r>
          </w:p>
        </w:tc>
        <w:tc>
          <w:tcPr>
            <w:tcW w:w="140" w:type="dxa"/>
            <w:vAlign w:val="bottom"/>
          </w:tcPr>
          <w:p>
            <w:pPr>
              <w:spacing w:after="0"/>
              <w:rPr>
                <w:sz w:val="12"/>
                <w:szCs w:val="12"/>
                <w:color w:val="auto"/>
              </w:rPr>
            </w:pPr>
          </w:p>
        </w:tc>
        <w:tc>
          <w:tcPr>
            <w:tcW w:w="114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9"/>
              </w:rPr>
              <w:t>savings plan</w:t>
            </w:r>
          </w:p>
        </w:tc>
        <w:tc>
          <w:tcPr>
            <w:tcW w:w="12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UTI and other</w:t>
            </w:r>
          </w:p>
        </w:tc>
        <w:tc>
          <w:tcPr>
            <w:tcW w:w="24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controlling</w:t>
            </w: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balance sheet</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portfolios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portfolios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9"/>
              </w:rPr>
              <w:t>liability</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3"/>
              </w:rPr>
              <w:t>6/30/2017</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1,542.2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61"/>
              <w:spacing w:after="0"/>
              <w:rPr>
                <w:sz w:val="20"/>
                <w:szCs w:val="20"/>
                <w:color w:val="auto"/>
              </w:rPr>
            </w:pPr>
            <w:r>
              <w:rPr>
                <w:rFonts w:ascii="Arial" w:cs="Arial" w:eastAsia="Arial" w:hAnsi="Arial"/>
                <w:sz w:val="18"/>
                <w:szCs w:val="18"/>
                <w:color w:val="auto"/>
              </w:rPr>
              <w:t>172.3</w:t>
            </w:r>
          </w:p>
        </w:tc>
        <w:tc>
          <w:tcPr>
            <w:tcW w:w="2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1,333.7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1,333.7</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assets of consolidated sponsored</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portfolios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917.9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1,548.6</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2,220.9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1,169.1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8"/>
                <w:szCs w:val="18"/>
                <w:color w:val="auto"/>
              </w:rPr>
              <w:t>172.3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3,796.9</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4,424.5</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condensed consolidated balance sheet reflects the cash and cash equivalents, investments, other assets and liabilities of those sponsored portfolios we consolidate, as well as redeemable non-controlling interests for the portion of these sponsored portfolios that are held by unrelated third party investors. Although we can redeem our net interest in these sponsored investment portfolios at any time, we cannot directly access or sell the assets held by the portfolios to obtain cash for general operations. Additionally, the assets of these investment portfolios are not available to our general creditors. Our interest in these sponsored investment portfolios was used as initial seed capital and is recategorized as discretionary when it is determined by management that the seed capital is no longer needed. We assess the discretionary investment portfolio and liquidate our interest, if decided, in a way as to not impact the portfolio and ultimately, the unrelated third party investors.</w:t>
      </w:r>
    </w:p>
    <w:p>
      <w:pPr>
        <w:spacing w:after="0" w:line="178"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We anticipate property and equipment expenditures for the full-year 2017 to be up to $200 million, of which about two-thirds is planned for technology initiatives. Given the availability of our financial resources, we expect to fund our anticipated capital expenditures with operating resources, and do not maintain an available external source of liquidity.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584" w:right="239" w:bottom="1440" w:gutter="0" w:footer="0" w:header="0"/>
        </w:sectPr>
      </w:pPr>
    </w:p>
    <w:bookmarkStart w:id="32" w:name="page33"/>
    <w:bookmarkEnd w:id="32"/>
    <w:p>
      <w:pPr>
        <w:ind w:right="200"/>
        <w:spacing w:after="0" w:line="277" w:lineRule="auto"/>
        <w:rPr>
          <w:sz w:val="20"/>
          <w:szCs w:val="20"/>
          <w:color w:val="auto"/>
        </w:rPr>
      </w:pPr>
      <w:r>
        <w:rPr>
          <w:rFonts w:ascii="Arial" w:cs="Arial" w:eastAsia="Arial" w:hAnsi="Arial"/>
          <w:sz w:val="18"/>
          <w:szCs w:val="18"/>
          <w:color w:val="auto"/>
        </w:rPr>
        <w:t>The following table summarizes the cash flows (in millions) for the six months ended June 30, 2016 and 2017, that are attributable to T. Rowe Price Group, our consolidated sponsored investment portfolios, and the related eliminations required in preparing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7"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23495</wp:posOffset>
            </wp:positionV>
            <wp:extent cx="4836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2"/>
              </w:rPr>
              <w:t>June 30, 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Cash flow</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Cash flow</w:t>
            </w: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Cash flow</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to</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0"/>
              </w:rPr>
              <w:t>Cash flow</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sponsored</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89"/>
              </w:rPr>
              <w:t>As</w:t>
            </w:r>
          </w:p>
        </w:tc>
        <w:tc>
          <w:tcPr>
            <w:tcW w:w="10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sponsored</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12"/>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to T. Rowe</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investment</w:t>
            </w:r>
          </w:p>
        </w:tc>
        <w:tc>
          <w:tcPr>
            <w:tcW w:w="9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to T. Rowe</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investment</w:t>
            </w:r>
          </w:p>
        </w:tc>
        <w:tc>
          <w:tcPr>
            <w:tcW w:w="9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4"/>
              </w:rPr>
              <w:t>Price Group</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9"/>
              </w:rPr>
              <w:t>portfolios</w:t>
            </w:r>
          </w:p>
        </w:tc>
        <w:tc>
          <w:tcPr>
            <w:tcW w:w="96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5"/>
              </w:rPr>
              <w:t>reported</w:t>
            </w:r>
          </w:p>
        </w:tc>
        <w:tc>
          <w:tcPr>
            <w:tcW w:w="102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4"/>
              </w:rPr>
              <w:t>Price Group</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89"/>
              </w:rPr>
              <w:t>portfolios</w:t>
            </w:r>
          </w:p>
        </w:tc>
        <w:tc>
          <w:tcPr>
            <w:tcW w:w="96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1"/>
              </w:rPr>
              <w:t>reported</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29"/>
        </w:trPr>
        <w:tc>
          <w:tcPr>
            <w:tcW w:w="3800" w:type="dxa"/>
            <w:vAlign w:val="bottom"/>
          </w:tcPr>
          <w:p>
            <w:pPr>
              <w:ind w:left="180"/>
              <w:spacing w:after="0"/>
              <w:rPr>
                <w:sz w:val="20"/>
                <w:szCs w:val="20"/>
                <w:color w:val="auto"/>
              </w:rPr>
            </w:pPr>
            <w:r>
              <w:rPr>
                <w:rFonts w:ascii="Arial" w:cs="Arial" w:eastAsia="Arial" w:hAnsi="Arial"/>
                <w:sz w:val="18"/>
                <w:szCs w:val="18"/>
                <w:color w:val="auto"/>
                <w:w w:val="94"/>
              </w:rPr>
              <w:t>Adjustments to reconcile net income to net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Depreciation and amortization of property and</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equipment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Realized gains on dispositions of available-for-</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 sponsored investment portfolios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29"/>
        </w:trPr>
        <w:tc>
          <w:tcPr>
            <w:tcW w:w="3800" w:type="dxa"/>
            <w:vAlign w:val="bottom"/>
          </w:tcPr>
          <w:p>
            <w:pPr>
              <w:ind w:left="280"/>
              <w:spacing w:after="0"/>
              <w:rPr>
                <w:sz w:val="20"/>
                <w:szCs w:val="20"/>
                <w:color w:val="auto"/>
              </w:rPr>
            </w:pPr>
            <w:r>
              <w:rPr>
                <w:rFonts w:ascii="Arial" w:cs="Arial" w:eastAsia="Arial" w:hAnsi="Arial"/>
                <w:sz w:val="18"/>
                <w:szCs w:val="18"/>
                <w:color w:val="auto"/>
                <w:w w:val="92"/>
              </w:rPr>
              <w:t>Gains recognized upon transfer of an available-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Arial" w:cs="Arial" w:eastAsia="Arial" w:hAnsi="Arial"/>
                <w:sz w:val="18"/>
                <w:szCs w:val="18"/>
                <w:color w:val="auto"/>
              </w:rPr>
              <w:t>for-sale sponsored investment portfolio to</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80"/>
              <w:spacing w:after="0"/>
              <w:rPr>
                <w:sz w:val="20"/>
                <w:szCs w:val="20"/>
                <w:color w:val="auto"/>
              </w:rPr>
            </w:pPr>
            <w:r>
              <w:rPr>
                <w:rFonts w:ascii="Arial" w:cs="Arial" w:eastAsia="Arial" w:hAnsi="Arial"/>
                <w:sz w:val="18"/>
                <w:szCs w:val="18"/>
                <w:color w:val="auto"/>
                <w:w w:val="92"/>
              </w:rPr>
              <w:t>sponsored investment portfolios held as trading</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gains recognized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9"/>
        </w:trPr>
        <w:tc>
          <w:tcPr>
            <w:tcW w:w="3800" w:type="dxa"/>
            <w:vAlign w:val="bottom"/>
          </w:tcPr>
          <w:p>
            <w:pPr>
              <w:ind w:left="280"/>
              <w:spacing w:after="0"/>
              <w:rPr>
                <w:sz w:val="20"/>
                <w:szCs w:val="20"/>
                <w:color w:val="auto"/>
              </w:rPr>
            </w:pPr>
            <w:r>
              <w:rPr>
                <w:rFonts w:ascii="Arial" w:cs="Arial" w:eastAsia="Arial" w:hAnsi="Arial"/>
                <w:sz w:val="18"/>
                <w:szCs w:val="18"/>
                <w:color w:val="auto"/>
                <w:w w:val="93"/>
              </w:rPr>
              <w:t>Investments in sponsored investment portfolios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Arial" w:cs="Arial" w:eastAsia="Arial" w:hAnsi="Arial"/>
                <w:sz w:val="18"/>
                <w:szCs w:val="18"/>
                <w:color w:val="auto"/>
              </w:rPr>
              <w:t>held as trading to economically hedge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80"/>
              <w:spacing w:after="0"/>
              <w:rPr>
                <w:sz w:val="20"/>
                <w:szCs w:val="20"/>
                <w:color w:val="auto"/>
              </w:rPr>
            </w:pPr>
            <w:r>
              <w:rPr>
                <w:rFonts w:ascii="Arial" w:cs="Arial" w:eastAsia="Arial" w:hAnsi="Arial"/>
                <w:sz w:val="18"/>
                <w:szCs w:val="18"/>
                <w:color w:val="auto"/>
              </w:rPr>
              <w:t>supplemental savings plan liability</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change in trading securities held by</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consolidated sponsored investment portfolios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Other changes in assets and liabilities</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(used in)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9"/>
        </w:trPr>
        <w:tc>
          <w:tcPr>
            <w:tcW w:w="3800" w:type="dxa"/>
            <w:vAlign w:val="bottom"/>
          </w:tcPr>
          <w:p>
            <w:pPr>
              <w:ind w:left="40"/>
              <w:spacing w:after="0"/>
              <w:rPr>
                <w:sz w:val="20"/>
                <w:szCs w:val="20"/>
                <w:color w:val="auto"/>
              </w:rPr>
            </w:pPr>
            <w:r>
              <w:rPr>
                <w:rFonts w:ascii="Arial" w:cs="Arial" w:eastAsia="Arial" w:hAnsi="Arial"/>
                <w:sz w:val="18"/>
                <w:szCs w:val="18"/>
                <w:color w:val="auto"/>
                <w:w w:val="92"/>
              </w:rPr>
              <w:t>Effect of exchange rate changes on cash and cash</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40"/>
              <w:spacing w:after="0"/>
              <w:rPr>
                <w:sz w:val="20"/>
                <w:szCs w:val="20"/>
                <w:color w:val="auto"/>
              </w:rPr>
            </w:pPr>
            <w:r>
              <w:rPr>
                <w:rFonts w:ascii="Arial" w:cs="Arial" w:eastAsia="Arial" w:hAnsi="Arial"/>
                <w:sz w:val="18"/>
                <w:szCs w:val="18"/>
                <w:color w:val="auto"/>
                <w:w w:val="93"/>
              </w:rPr>
              <w:t>equivalents of consolidated sponsored investment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40"/>
              <w:spacing w:after="0"/>
              <w:rPr>
                <w:sz w:val="20"/>
                <w:szCs w:val="20"/>
                <w:color w:val="auto"/>
              </w:rPr>
            </w:pPr>
            <w:r>
              <w:rPr>
                <w:rFonts w:ascii="Arial" w:cs="Arial" w:eastAsia="Arial" w:hAnsi="Arial"/>
                <w:sz w:val="18"/>
                <w:szCs w:val="18"/>
                <w:color w:val="auto"/>
              </w:rPr>
              <w:t>portfolios</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Net change in cash and cash equivalents during</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w w:val="98"/>
              </w:rPr>
              <w:t>Cash and cash equivalents at beginning of year</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1,172.3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w w:val="86"/>
              </w:rPr>
              <w:t>1,172.3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89"/>
              </w:rPr>
              <w:t>1,270.5</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6"/>
              </w:rPr>
              <w:t>1,382.6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1,542.2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9"/>
              </w:rPr>
              <w:t>1,615.9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584" w:right="239" w:bottom="1440" w:gutter="0" w:footer="0" w:header="0"/>
        </w:sectPr>
      </w:pPr>
    </w:p>
    <w:bookmarkStart w:id="33" w:name="page34"/>
    <w:bookmarkEnd w:id="33"/>
    <w:p>
      <w:pPr>
        <w:spacing w:after="0" w:line="272" w:lineRule="auto"/>
        <w:rPr>
          <w:sz w:val="20"/>
          <w:szCs w:val="20"/>
          <w:color w:val="auto"/>
        </w:rPr>
      </w:pPr>
      <w:r>
        <w:rPr>
          <w:rFonts w:ascii="Arial" w:cs="Arial" w:eastAsia="Arial" w:hAnsi="Arial"/>
          <w:sz w:val="17"/>
          <w:szCs w:val="17"/>
          <w:color w:val="auto"/>
        </w:rPr>
        <w:t>Operating activities attributable to T. Rowe Price Group during the first half of 2017 provided cash flows of 876.1 million, an increase of $213.9 million from the 2016 period. More than half of the increase is attributable to the $150.0 million in insurance proceeds received in the first six months of 2017 from insurance claims filed in 2016 in regard to the Dell appraisal rights matter. The remaining increase in cash flows is primarily related to the timing of settlement of our other assets and liabilities offset by new investments made in sponsored investment portfolios held as trading in order to economically hedge our supplemental savings plan liability. Our interim operating cash flows do not include the cash impact of variable compensation that is accrued throughout the year before being substantially paid out in December. The net cash provided by operating activities attributable to T. Rowe Price Group was offset in part by the net change in trading securities held in our consolidated sponsored investments’ underlying investment portfolios.</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Net cash used in investing activities that are attributable to T. Rowe Price Group totaled $114.1 million in the first half of 2017, an increase of $217.2 million from the comparable 2016 period. During the first half of 2017, we realized $204.5 million more proceeds from the sale of our available-for-sale investments compared with the 2016 period. Additionally, the amount of seed capital investments we provided in the first half of 2017 decreased by $127.4 million compared with the 2016 period. Since we consolidate these sponsored investment portfolios, the seed capital that we provided less any seed capital received back was eliminated in preparing our consolidated condensed statement of cash flow. During the 2016 period we recognized $85 million in proceeds from the sale of equity method investments compared with $1.2 million in 2017 period. The cash flow attributable to consolidated sponsored investment portfolios of $45.9 million represents the net cash removed from our balance sheet from consolidating and deconsolidating portfolios during the first half of 2017. During the 2016 period the equivalent cash flow added $68.3 million to our balance sheet.</w:t>
      </w:r>
    </w:p>
    <w:p>
      <w:pPr>
        <w:spacing w:after="0" w:line="1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cash used in financing activities attributable to T. Rowe Price Group were $652.9 million in the first half of 2017 compared with $456.2 million in the 2016 period. The increase in cash used in financing activities is largely related to the $202.9 million more we expended in common stock purchases in the first half of 2017 compared to the 2016 period. This increase was offset by higher cash proceeds of $15.0 million received from stock option exercises in the first half of 2017 compared with the 2016 period. The increase in net cash used in financing activities attributable to T. Rowe Price Group was largely offset by the $177.7 million increase in cash provided by consolidated sponsored investment portfolios from the net subscriptions received from redeemable non-controlling interest 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2016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May 2014, the FASB issued Accounting Standards Update No. 2014-09 — Revenue from Contracts with Customers, and subsequently has issued five related accounting standard updates clarifying several aspects of ASU 2014-09, including technical corrections and improvements. The overall objective of the new standards updates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We anticipate adopting the new standard on its effective date, January 1, 2018, though we have not yet selected whether we would adopt using the retrospective approach with adjustments to each prior period or the retrospective method with the cumulative effect of initial application recognized at the date of initial application. Our implementation efforts include a detailed review of revenue contracts within the scope of the guidance and evaluation of the impact on the Company's revenue recognition policies. While we are continuing to assess all potential impacts these standards will have on our financial position and results of operations, early conclusions indicate that these standards will not have a material impact. While we have not identified material changes in the timing of revenue recognition, we continue to evaluate the presentation of certain revenue-related costs on a gross versus net basis and related disclosures of revenue.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584" w:right="239" w:bottom="1440" w:gutter="0" w:footer="0" w:header="0"/>
        </w:sectPr>
      </w:pPr>
    </w:p>
    <w:bookmarkStart w:id="34" w:name="page35"/>
    <w:bookmarkEnd w:id="34"/>
    <w:p>
      <w:pPr>
        <w:ind w:right="60"/>
        <w:spacing w:after="0" w:line="291" w:lineRule="auto"/>
        <w:rPr>
          <w:sz w:val="20"/>
          <w:szCs w:val="20"/>
          <w:color w:val="auto"/>
        </w:rPr>
      </w:pPr>
      <w:r>
        <w:rPr>
          <w:rFonts w:ascii="Arial" w:cs="Arial" w:eastAsia="Arial" w:hAnsi="Arial"/>
          <w:sz w:val="16"/>
          <w:szCs w:val="16"/>
          <w:color w:val="auto"/>
        </w:rPr>
        <w:t>In January 2016, the FASB issued Accounting Standards Update No. 2016-01 — Financial Instruments — Overall (Subtopic 825-10): Recognition and Measurement of Financial Assets and Financial Liabilities. The amendments in this update address certain aspects of recognition, measurement, presentation, and disclosure of financial instruments. The ASU is effective for fiscal years and interim periods within those years beginning after December 15, 2017, and requires a cumulative-effect adjustment to the balance sheet as of the beginning of the fiscal year of adoption. Early adoption is not permitted. The new guidance will require the change in fair value of equity investments with readily determinable fair values to be recognized through the income statements. We are currently evaluating the full impact of the standard, however, upon adoption the change in the fair value of our available-for-sale investments will be recognized in our consolidated income statement rather than our consolidated statement of comprehensive income.</w:t>
      </w:r>
    </w:p>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February 2016, the FASB issued Accounting Standards Update No. 2016-02 — Leases (Topic 842). The objective of the update is to increase transparency and comparability among organizations by recognizing lease assets and lease liabilities on the balance sheet and disclosing key information about leasing arrangements. The amendments in this update are effective for fiscal years beginning after December 15, 2018, including interim periods within those fiscal years. Early adoption is permitted. We are currently evaluating the impact this standard will have on our financial position and results of operations.</w:t>
      </w:r>
    </w:p>
    <w:p>
      <w:pPr>
        <w:spacing w:after="0" w:line="15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August 2016, the FASB issued Accounting Standards Update No. 2016-15 — Statement of Cash Flows (Topic 230): Classification of Certain Cash Receipts and Cash Payments (a consensus of the Emerging Issues Task Force). The amendments in this update provide guidance on eight specific cash flow issues. The new guidance is intended to reduce diversity in practice in how certain transactions are classified in the statement of cash flows. The amendments in this update are effective for fiscal years beginning after December 15, 2017, and interim periods within those fiscal years. Early adoption is permitted. We evaluated the impact of the standard and believe it will not have a material impact on our consolidated statements of cash flows.</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and strategic initiatives, dividends, investments, capital expenditures, stock repurchases,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2016.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products, including mutual funds and investment portfolios, and services;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income will also fluctuate as a result of the consolidation of certain of our investment portfolios as well as the size of our investments, changes in their market valuations, and any other-than-temporary impairments that may arise, or in the case of our equity method investments, our proportionate share of the investees net income.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584" w:right="239" w:bottom="1440" w:gutter="0" w:footer="0" w:header="0"/>
        </w:sectPr>
      </w:pPr>
    </w:p>
    <w:bookmarkStart w:id="35" w:name="page36"/>
    <w:bookmarkEnd w:id="35"/>
    <w:p>
      <w:pPr>
        <w:ind w:right="80"/>
        <w:spacing w:after="0" w:line="288"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the pace and level of our planned increase in spending to support key strategic priorities; variations in the level of total compensation expense due to, among other things, bonuses, restricted stock units and other equity grants, other incentive awards, fluctuations in our supplemental savings plan liability due to changes in market valuations,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accounting and other recordkeeping services, facilities, communications, power, and the mutual fund transfer agent and accounting systems.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June 30, 2017. Based on that evaluation, our principal executive and principal financial officers have concluded that our disclosure controls and procedures as of June 30, 2017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2017, and has concluded that there was no change during the second quarter of 2017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400"/>
          </w:cols>
          <w:pgMar w:left="240" w:top="584" w:right="25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plaintiff is a former employee who alleges breaches of ERISA’s fiduciary duty and prohibited transaction provisions on behalf of a class of all participants and beneficiaries of the T. Rowe Price 401(k) Plan from February 14, 2011, to the time of judgment. The plaintiff is seeking certification of the complaint as a class action. T. Rowe Price believes the claims are without merit and intends to vigorously defend the action.</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intends to vigorously defend the action.</w:t>
      </w:r>
    </w:p>
    <w:p>
      <w:pPr>
        <w:spacing w:after="0" w:line="166"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With the exception of the following additions or updates to the Legal and Regulatory Risks discussed in Item 1A of our Form 10-K Annual Report for 2016, there have been no material changes in the risk factors previously provided.</w:t>
      </w:r>
    </w:p>
    <w:p>
      <w:pPr>
        <w:spacing w:after="0" w:line="180"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laws and regulations. New laws and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laws and regulations may not directly apply to our business but may impact the capital markets, service providers or have other indirect effects on our ability to provide services to our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revised Markets in Financial Instruments Directive (MiFID II Directive) and Regulation (MiFIR) (together “MiFID II”) will apply across the European Union (“EU”) and member states of the European Economic Area beginning on January 3, 2018, unless this date is extended. Implementation of MiFID II will significantly impact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Compliance with MiFID II may materially impact the manner in which we obtain research and increase our costs.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37</w:t>
      </w:r>
    </w:p>
    <w:p>
      <w:pPr>
        <w:sectPr>
          <w:pgSz w:w="11900" w:h="16838" w:orient="portrait"/>
          <w:cols w:equalWidth="0" w:num="1">
            <w:col w:w="11340"/>
          </w:cols>
          <w:pgMar w:left="240" w:top="364" w:right="319" w:bottom="1440" w:gutter="0" w:footer="0" w:header="0"/>
        </w:sectPr>
      </w:pPr>
    </w:p>
    <w:bookmarkStart w:id="37" w:name="page38"/>
    <w:bookmarkEnd w:id="37"/>
    <w:p>
      <w:pPr>
        <w:ind w:right="12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 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The compensation to Clients was intended to make them whole for the voting discrepancy that resulted in the denial of their appraisal rights. On December 30, 2016, we signed a settlement agreement with our insurance carrier for insurance proceeds totaling $100.0 million related to this matter. We received the settlement in the first quarter of 2017. Additionally, we signed settlement agreements totaling $50 million in the first quarter of 2017. As of June 30, 2017, we have received the entire $150 million in related proceeds.</w:t>
      </w:r>
    </w:p>
    <w:p>
      <w:pPr>
        <w:spacing w:after="0" w:line="180"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accordance with the compensation payment, the Clients agreed that in the event the findings made by the Court regarding the fair value of Dell or the amount of interest to be applied were modified by the Supreme Court of Delaware on appeal,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Chancery Court’s valuation ruling. Our settlement agreements with our insurance carriers provide that if the fair value of Dell is reduced, we would work together to make appropriate adjustments.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second quarter of 2017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6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shd w:val="clear" w:color="auto" w:fill="CCEEFF"/>
          </w:tcPr>
          <w:p>
            <w:pPr>
              <w:spacing w:after="0"/>
              <w:rPr>
                <w:sz w:val="12"/>
                <w:szCs w:val="12"/>
                <w:color w:val="auto"/>
              </w:rPr>
            </w:pPr>
          </w:p>
        </w:tc>
        <w:tc>
          <w:tcPr>
            <w:tcW w:w="166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6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Month</w:t>
            </w:r>
          </w:p>
        </w:tc>
        <w:tc>
          <w:tcPr>
            <w:tcW w:w="120" w:type="dxa"/>
            <w:vAlign w:val="bottom"/>
            <w:vMerge w:val="restart"/>
            <w:shd w:val="clear" w:color="auto" w:fill="CCEEFF"/>
          </w:tcPr>
          <w:p>
            <w:pPr>
              <w:spacing w:after="0"/>
              <w:rPr>
                <w:sz w:val="12"/>
                <w:szCs w:val="12"/>
                <w:color w:val="auto"/>
              </w:rPr>
            </w:pPr>
          </w:p>
        </w:tc>
        <w:tc>
          <w:tcPr>
            <w:tcW w:w="1960" w:type="dxa"/>
            <w:vAlign w:val="bottom"/>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60" w:type="dxa"/>
            <w:vAlign w:val="bottom"/>
            <w:gridSpan w:val="2"/>
            <w:vMerge w:val="continue"/>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shd w:val="clear" w:color="auto" w:fill="CCEEFF"/>
          </w:tcPr>
          <w:p>
            <w:pPr>
              <w:spacing w:after="0"/>
              <w:rPr>
                <w:sz w:val="12"/>
                <w:szCs w:val="12"/>
                <w:color w:val="auto"/>
              </w:rPr>
            </w:pPr>
          </w:p>
        </w:tc>
        <w:tc>
          <w:tcPr>
            <w:tcW w:w="1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20" w:type="dxa"/>
            <w:vAlign w:val="bottom"/>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43"/>
        </w:trPr>
        <w:tc>
          <w:tcPr>
            <w:tcW w:w="3780" w:type="dxa"/>
            <w:vAlign w:val="bottom"/>
            <w:gridSpan w:val="2"/>
          </w:tcPr>
          <w:p>
            <w:pPr>
              <w:jc w:val="center"/>
              <w:ind w:right="120"/>
              <w:spacing w:after="0"/>
              <w:rPr>
                <w:sz w:val="20"/>
                <w:szCs w:val="20"/>
                <w:color w:val="auto"/>
              </w:rPr>
            </w:pPr>
            <w:r>
              <w:rPr>
                <w:rFonts w:ascii="Arial" w:cs="Arial" w:eastAsia="Arial" w:hAnsi="Arial"/>
                <w:sz w:val="18"/>
                <w:szCs w:val="18"/>
                <w:color w:val="auto"/>
              </w:rPr>
              <w:t>April</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238,175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184,049</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16,990,153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May</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1,469,175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69.91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1,406,705</w:t>
            </w:r>
          </w:p>
        </w:tc>
        <w:tc>
          <w:tcPr>
            <w:tcW w:w="1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15,583,448</w:t>
            </w:r>
          </w:p>
        </w:tc>
        <w:tc>
          <w:tcPr>
            <w:tcW w:w="0" w:type="dxa"/>
            <w:vAlign w:val="bottom"/>
          </w:tcPr>
          <w:p>
            <w:pPr>
              <w:spacing w:after="0"/>
              <w:rPr>
                <w:sz w:val="1"/>
                <w:szCs w:val="1"/>
                <w:color w:val="auto"/>
              </w:rPr>
            </w:pPr>
          </w:p>
        </w:tc>
      </w:tr>
      <w:tr>
        <w:trPr>
          <w:trHeight w:val="243"/>
        </w:trPr>
        <w:tc>
          <w:tcPr>
            <w:tcW w:w="3780" w:type="dxa"/>
            <w:vAlign w:val="bottom"/>
            <w:gridSpan w:val="2"/>
          </w:tcPr>
          <w:p>
            <w:pPr>
              <w:jc w:val="center"/>
              <w:ind w:right="100"/>
              <w:spacing w:after="0"/>
              <w:rPr>
                <w:sz w:val="20"/>
                <w:szCs w:val="20"/>
                <w:color w:val="auto"/>
              </w:rPr>
            </w:pPr>
            <w:r>
              <w:rPr>
                <w:rFonts w:ascii="Arial" w:cs="Arial" w:eastAsia="Arial" w:hAnsi="Arial"/>
                <w:sz w:val="18"/>
                <w:szCs w:val="18"/>
                <w:color w:val="auto"/>
                <w:w w:val="81"/>
              </w:rPr>
              <w:t>June</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372,104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73.38</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267,655</w:t>
            </w:r>
          </w:p>
        </w:tc>
        <w:tc>
          <w:tcPr>
            <w:tcW w:w="1920" w:type="dxa"/>
            <w:vAlign w:val="bottom"/>
            <w:gridSpan w:val="2"/>
          </w:tcPr>
          <w:p>
            <w:pPr>
              <w:jc w:val="right"/>
              <w:ind w:right="28"/>
              <w:spacing w:after="0"/>
              <w:rPr>
                <w:sz w:val="20"/>
                <w:szCs w:val="20"/>
                <w:color w:val="auto"/>
              </w:rPr>
            </w:pPr>
            <w:r>
              <w:rPr>
                <w:rFonts w:ascii="Arial" w:cs="Arial" w:eastAsia="Arial" w:hAnsi="Arial"/>
                <w:sz w:val="18"/>
                <w:szCs w:val="18"/>
                <w:color w:val="auto"/>
              </w:rPr>
              <w:t>15,315,793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1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2,079,454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70.56</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1,858,409</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584" w:right="239" w:bottom="1440" w:gutter="0" w:footer="0" w:header="0"/>
        </w:sectPr>
      </w:pPr>
    </w:p>
    <w:bookmarkStart w:id="38" w:name="page39"/>
    <w:bookmarkEnd w:id="38"/>
    <w:p>
      <w:pPr>
        <w:ind w:right="120"/>
        <w:spacing w:after="0" w:line="342" w:lineRule="auto"/>
        <w:rPr>
          <w:sz w:val="20"/>
          <w:szCs w:val="20"/>
          <w:color w:val="auto"/>
        </w:rPr>
      </w:pPr>
      <w:r>
        <w:rPr>
          <w:rFonts w:ascii="Arial" w:cs="Arial" w:eastAsia="Arial" w:hAnsi="Arial"/>
          <w:sz w:val="16"/>
          <w:szCs w:val="16"/>
          <w:color w:val="auto"/>
        </w:rPr>
        <w:t>awards. Of the total number of shares purchased during the second quarter of 2017, 220,203 were related to shares surrendered in connection with employee stock option exercises and 842 were related to shares withheld to cover tax withholdings associated with the vesting of restricted stock awards.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1,858,409 shares of our common stock were repurchased pursuant to the Board of Directors’ December 10, 2015, publicly announced authorization. The maximum number of shares that may yet be purchased as of June 30, 2017, under the Board of Directors’ December 10, 2015, and December 6, 2016, publicly announced authorizations is 15,315,793.</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July 25, 2017, we issued an earnings release reporting our results of operations for the second quarter of 2017 and first six months of 2017. A copy of that earnings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 including our monthly disclosure of preliminary assets under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3(i).1</w:t>
            </w:r>
          </w:p>
        </w:tc>
        <w:tc>
          <w:tcPr>
            <w:tcW w:w="9560" w:type="dxa"/>
            <w:vAlign w:val="bottom"/>
            <w:tcBorders>
              <w:bottom w:val="single" w:sz="8" w:color="auto"/>
            </w:tcBorders>
            <w:gridSpan w:val="14"/>
          </w:tcPr>
          <w:p>
            <w:pPr>
              <w:spacing w:after="0"/>
              <w:rPr>
                <w:rFonts w:ascii="Arial" w:cs="Arial" w:eastAsia="Arial" w:hAnsi="Arial"/>
                <w:sz w:val="18"/>
                <w:szCs w:val="18"/>
                <w:color w:val="auto"/>
                <w:w w:val="91"/>
              </w:rPr>
            </w:pPr>
            <w:hyperlink r:id="rId44">
              <w:r>
                <w:rPr>
                  <w:rFonts w:ascii="Arial" w:cs="Arial" w:eastAsia="Arial" w:hAnsi="Arial"/>
                  <w:sz w:val="18"/>
                  <w:szCs w:val="18"/>
                  <w:color w:val="auto"/>
                  <w:w w:val="91"/>
                </w:rPr>
                <w:t>Charter of T. Rowe Price Group, Inc., as Amended by Articles of Amendment dated April 10, 2008. (Incorporated by reference from</w:t>
              </w:r>
            </w:hyperlink>
          </w:p>
        </w:tc>
      </w:tr>
      <w:tr>
        <w:trPr>
          <w:trHeight w:val="196"/>
        </w:trPr>
        <w:tc>
          <w:tcPr>
            <w:tcW w:w="1720" w:type="dxa"/>
            <w:vAlign w:val="bottom"/>
          </w:tcPr>
          <w:p>
            <w:pPr>
              <w:spacing w:after="0"/>
              <w:rPr>
                <w:sz w:val="17"/>
                <w:szCs w:val="17"/>
                <w:color w:val="auto"/>
              </w:rPr>
            </w:pPr>
          </w:p>
        </w:tc>
        <w:tc>
          <w:tcPr>
            <w:tcW w:w="6520" w:type="dxa"/>
            <w:vAlign w:val="bottom"/>
            <w:tcBorders>
              <w:bottom w:val="single" w:sz="8" w:color="auto"/>
            </w:tcBorders>
            <w:gridSpan w:val="7"/>
          </w:tcPr>
          <w:p>
            <w:pPr>
              <w:spacing w:after="0" w:line="196" w:lineRule="exact"/>
              <w:rPr>
                <w:rFonts w:ascii="Arial" w:cs="Arial" w:eastAsia="Arial" w:hAnsi="Arial"/>
                <w:sz w:val="18"/>
                <w:szCs w:val="18"/>
                <w:color w:val="auto"/>
                <w:w w:val="91"/>
              </w:rPr>
            </w:pPr>
            <w:hyperlink r:id="rId44">
              <w:r>
                <w:rPr>
                  <w:rFonts w:ascii="Arial" w:cs="Arial" w:eastAsia="Arial" w:hAnsi="Arial"/>
                  <w:sz w:val="18"/>
                  <w:szCs w:val="18"/>
                  <w:color w:val="auto"/>
                  <w:w w:val="91"/>
                </w:rPr>
                <w:t>Form 10-Q Report for the quarterly period ended March 31, 2008 filed on April 24, 2008.)</w:t>
              </w:r>
            </w:hyperlink>
          </w:p>
        </w:tc>
        <w:tc>
          <w:tcPr>
            <w:tcW w:w="3040" w:type="dxa"/>
            <w:vAlign w:val="bottom"/>
            <w:gridSpan w:val="7"/>
          </w:tcPr>
          <w:p>
            <w:pPr>
              <w:spacing w:after="0"/>
              <w:rPr>
                <w:sz w:val="17"/>
                <w:szCs w:val="17"/>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3(ii)</w:t>
            </w:r>
          </w:p>
        </w:tc>
        <w:tc>
          <w:tcPr>
            <w:tcW w:w="9520" w:type="dxa"/>
            <w:vAlign w:val="bottom"/>
            <w:tcBorders>
              <w:bottom w:val="single" w:sz="8" w:color="auto"/>
            </w:tcBorders>
            <w:gridSpan w:val="13"/>
          </w:tcPr>
          <w:p>
            <w:pPr>
              <w:spacing w:after="0"/>
              <w:rPr>
                <w:rFonts w:ascii="Arial" w:cs="Arial" w:eastAsia="Arial" w:hAnsi="Arial"/>
                <w:sz w:val="18"/>
                <w:szCs w:val="18"/>
                <w:color w:val="auto"/>
                <w:w w:val="90"/>
              </w:rPr>
            </w:pPr>
            <w:hyperlink r:id="rId45">
              <w:r>
                <w:rPr>
                  <w:rFonts w:ascii="Arial" w:cs="Arial" w:eastAsia="Arial" w:hAnsi="Arial"/>
                  <w:sz w:val="18"/>
                  <w:szCs w:val="18"/>
                  <w:color w:val="auto"/>
                  <w:w w:val="90"/>
                </w:rPr>
                <w:t>Amended and Restated By-Laws of T. Rowe Price Group, Inc. as of December 10, 2015. (Incorporated by reference from Form 8-K</w:t>
              </w:r>
            </w:hyperlink>
          </w:p>
        </w:tc>
        <w:tc>
          <w:tcPr>
            <w:tcW w:w="4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3240" w:type="dxa"/>
            <w:vAlign w:val="bottom"/>
            <w:tcBorders>
              <w:bottom w:val="single" w:sz="8" w:color="auto"/>
            </w:tcBorders>
            <w:gridSpan w:val="2"/>
          </w:tcPr>
          <w:p>
            <w:pPr>
              <w:spacing w:after="0" w:line="196" w:lineRule="exact"/>
              <w:rPr>
                <w:rFonts w:ascii="Arial" w:cs="Arial" w:eastAsia="Arial" w:hAnsi="Arial"/>
                <w:sz w:val="18"/>
                <w:szCs w:val="18"/>
                <w:color w:val="auto"/>
                <w:w w:val="90"/>
              </w:rPr>
            </w:pPr>
            <w:hyperlink r:id="rId45">
              <w:r>
                <w:rPr>
                  <w:rFonts w:ascii="Arial" w:cs="Arial" w:eastAsia="Arial" w:hAnsi="Arial"/>
                  <w:sz w:val="18"/>
                  <w:szCs w:val="18"/>
                  <w:color w:val="auto"/>
                  <w:w w:val="90"/>
                </w:rPr>
                <w:t>Current Report filed on December 10, 2015.)</w:t>
              </w:r>
            </w:hyperlink>
          </w:p>
        </w:tc>
        <w:tc>
          <w:tcPr>
            <w:tcW w:w="6320" w:type="dxa"/>
            <w:vAlign w:val="bottom"/>
            <w:gridSpan w:val="12"/>
          </w:tcPr>
          <w:p>
            <w:pPr>
              <w:spacing w:after="0"/>
              <w:rPr>
                <w:sz w:val="17"/>
                <w:szCs w:val="17"/>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10.03</w:t>
            </w:r>
          </w:p>
        </w:tc>
        <w:tc>
          <w:tcPr>
            <w:tcW w:w="9460" w:type="dxa"/>
            <w:vAlign w:val="bottom"/>
            <w:tcBorders>
              <w:bottom w:val="single" w:sz="8" w:color="auto"/>
            </w:tcBorders>
            <w:gridSpan w:val="11"/>
          </w:tcPr>
          <w:p>
            <w:pPr>
              <w:spacing w:after="0"/>
              <w:rPr>
                <w:rFonts w:ascii="Arial" w:cs="Arial" w:eastAsia="Arial" w:hAnsi="Arial"/>
                <w:sz w:val="18"/>
                <w:szCs w:val="18"/>
                <w:color w:val="auto"/>
                <w:w w:val="89"/>
              </w:rPr>
            </w:pPr>
            <w:hyperlink r:id="rId46">
              <w:r>
                <w:rPr>
                  <w:rFonts w:ascii="Arial" w:cs="Arial" w:eastAsia="Arial" w:hAnsi="Arial"/>
                  <w:sz w:val="18"/>
                  <w:szCs w:val="18"/>
                  <w:color w:val="auto"/>
                  <w:w w:val="89"/>
                </w:rPr>
                <w:t>Transfer Agency and Service Agreement as of January 1, 2017, between T. Rowe Price Services, Inc. and the T. Rowe Price Funds.</w:t>
              </w:r>
            </w:hyperlink>
          </w:p>
        </w:tc>
        <w:tc>
          <w:tcPr>
            <w:tcW w:w="100" w:type="dxa"/>
            <w:vAlign w:val="bottom"/>
            <w:gridSpan w:val="3"/>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560" w:type="dxa"/>
            <w:vAlign w:val="bottom"/>
            <w:gridSpan w:val="14"/>
          </w:tcPr>
          <w:p>
            <w:pPr>
              <w:spacing w:after="0" w:line="196" w:lineRule="exact"/>
              <w:rPr>
                <w:rFonts w:ascii="Arial" w:cs="Arial" w:eastAsia="Arial" w:hAnsi="Arial"/>
                <w:sz w:val="18"/>
                <w:szCs w:val="18"/>
                <w:color w:val="auto"/>
              </w:rPr>
            </w:pPr>
            <w:hyperlink r:id="rId46">
              <w:r>
                <w:rPr>
                  <w:rFonts w:ascii="Arial" w:cs="Arial" w:eastAsia="Arial" w:hAnsi="Arial"/>
                  <w:sz w:val="18"/>
                  <w:szCs w:val="18"/>
                  <w:color w:val="auto"/>
                </w:rPr>
                <w:t>(Incorporated by reference from Form 485BPOS filed on April 27, 2017.)</w:t>
              </w:r>
            </w:hyperlink>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10.04</w:t>
            </w:r>
          </w:p>
        </w:tc>
        <w:tc>
          <w:tcPr>
            <w:tcW w:w="9260" w:type="dxa"/>
            <w:vAlign w:val="bottom"/>
            <w:tcBorders>
              <w:bottom w:val="single" w:sz="8" w:color="auto"/>
            </w:tcBorders>
            <w:gridSpan w:val="9"/>
          </w:tcPr>
          <w:p>
            <w:pPr>
              <w:spacing w:after="0"/>
              <w:rPr>
                <w:rFonts w:ascii="Arial" w:cs="Arial" w:eastAsia="Arial" w:hAnsi="Arial"/>
                <w:sz w:val="18"/>
                <w:szCs w:val="18"/>
                <w:color w:val="auto"/>
                <w:w w:val="89"/>
              </w:rPr>
            </w:pPr>
            <w:hyperlink r:id="rId47">
              <w:r>
                <w:rPr>
                  <w:rFonts w:ascii="Arial" w:cs="Arial" w:eastAsia="Arial" w:hAnsi="Arial"/>
                  <w:sz w:val="18"/>
                  <w:szCs w:val="18"/>
                  <w:color w:val="auto"/>
                  <w:w w:val="89"/>
                </w:rPr>
                <w:t>Agreement as of January 1, 2017, between T. Rowe Price Retirement Plan Services, Inc. and certain of the T. Rowe Price Funds.</w:t>
              </w:r>
            </w:hyperlink>
          </w:p>
        </w:tc>
        <w:tc>
          <w:tcPr>
            <w:tcW w:w="300" w:type="dxa"/>
            <w:vAlign w:val="bottom"/>
            <w:gridSpan w:val="5"/>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560" w:type="dxa"/>
            <w:vAlign w:val="bottom"/>
            <w:gridSpan w:val="14"/>
          </w:tcPr>
          <w:p>
            <w:pPr>
              <w:spacing w:after="0" w:line="196" w:lineRule="exact"/>
              <w:rPr>
                <w:rFonts w:ascii="Arial" w:cs="Arial" w:eastAsia="Arial" w:hAnsi="Arial"/>
                <w:sz w:val="18"/>
                <w:szCs w:val="18"/>
                <w:color w:val="auto"/>
              </w:rPr>
            </w:pPr>
            <w:hyperlink r:id="rId47">
              <w:r>
                <w:rPr>
                  <w:rFonts w:ascii="Arial" w:cs="Arial" w:eastAsia="Arial" w:hAnsi="Arial"/>
                  <w:sz w:val="18"/>
                  <w:szCs w:val="18"/>
                  <w:color w:val="auto"/>
                </w:rPr>
                <w:t>(Incorporated by reference from Form 485BPOS filed on April 27, 2017.)</w:t>
              </w:r>
            </w:hyperlink>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10.05</w:t>
            </w:r>
          </w:p>
        </w:tc>
        <w:tc>
          <w:tcPr>
            <w:tcW w:w="9560" w:type="dxa"/>
            <w:vAlign w:val="bottom"/>
            <w:gridSpan w:val="14"/>
          </w:tcPr>
          <w:p>
            <w:pPr>
              <w:spacing w:after="0"/>
              <w:rPr>
                <w:rFonts w:ascii="Arial" w:cs="Arial" w:eastAsia="Arial" w:hAnsi="Arial"/>
                <w:sz w:val="18"/>
                <w:szCs w:val="18"/>
                <w:color w:val="auto"/>
                <w:w w:val="91"/>
              </w:rPr>
            </w:pPr>
            <w:hyperlink r:id="rId48">
              <w:r>
                <w:rPr>
                  <w:rFonts w:ascii="Arial" w:cs="Arial" w:eastAsia="Arial" w:hAnsi="Arial"/>
                  <w:sz w:val="18"/>
                  <w:szCs w:val="18"/>
                  <w:color w:val="auto"/>
                  <w:w w:val="91"/>
                </w:rPr>
                <w:t>Fund Accounting Services Agreement as of August 1, 2015 between T. Rowe Price Associates, Inc. and the T. Rowe Price Funds.</w:t>
              </w:r>
            </w:hyperlink>
          </w:p>
        </w:tc>
      </w:tr>
      <w:tr>
        <w:trPr>
          <w:trHeight w:val="196"/>
        </w:trPr>
        <w:tc>
          <w:tcPr>
            <w:tcW w:w="1720" w:type="dxa"/>
            <w:vAlign w:val="bottom"/>
          </w:tcPr>
          <w:p>
            <w:pPr>
              <w:spacing w:after="0"/>
              <w:rPr>
                <w:sz w:val="17"/>
                <w:szCs w:val="17"/>
                <w:color w:val="auto"/>
              </w:rPr>
            </w:pPr>
          </w:p>
        </w:tc>
        <w:tc>
          <w:tcPr>
            <w:tcW w:w="9340" w:type="dxa"/>
            <w:vAlign w:val="bottom"/>
            <w:tcBorders>
              <w:top w:val="single" w:sz="8" w:color="auto"/>
            </w:tcBorders>
            <w:gridSpan w:val="10"/>
          </w:tcPr>
          <w:p>
            <w:pPr>
              <w:spacing w:after="0" w:line="196" w:lineRule="exact"/>
              <w:rPr>
                <w:rFonts w:ascii="Arial" w:cs="Arial" w:eastAsia="Arial" w:hAnsi="Arial"/>
                <w:sz w:val="18"/>
                <w:szCs w:val="18"/>
                <w:color w:val="auto"/>
              </w:rPr>
            </w:pPr>
            <w:hyperlink r:id="rId48">
              <w:r>
                <w:rPr>
                  <w:rFonts w:ascii="Arial" w:cs="Arial" w:eastAsia="Arial" w:hAnsi="Arial"/>
                  <w:sz w:val="18"/>
                  <w:szCs w:val="18"/>
                  <w:color w:val="auto"/>
                </w:rPr>
                <w:t>(Incorporated by reference from Form 485BPOS filed on April 27, 2017.)</w:t>
              </w:r>
            </w:hyperlink>
          </w:p>
        </w:tc>
        <w:tc>
          <w:tcPr>
            <w:tcW w:w="220" w:type="dxa"/>
            <w:vAlign w:val="bottom"/>
            <w:gridSpan w:val="4"/>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10.23</w:t>
            </w:r>
          </w:p>
        </w:tc>
        <w:tc>
          <w:tcPr>
            <w:tcW w:w="9560" w:type="dxa"/>
            <w:vAlign w:val="bottom"/>
            <w:gridSpan w:val="14"/>
          </w:tcPr>
          <w:p>
            <w:pPr>
              <w:spacing w:after="0"/>
              <w:rPr>
                <w:rFonts w:ascii="Arial" w:cs="Arial" w:eastAsia="Arial" w:hAnsi="Arial"/>
                <w:sz w:val="18"/>
                <w:szCs w:val="18"/>
                <w:color w:val="auto"/>
                <w:w w:val="92"/>
              </w:rPr>
            </w:pPr>
            <w:hyperlink r:id="rId49">
              <w:r>
                <w:rPr>
                  <w:rFonts w:ascii="Arial" w:cs="Arial" w:eastAsia="Arial" w:hAnsi="Arial"/>
                  <w:sz w:val="18"/>
                  <w:szCs w:val="18"/>
                  <w:color w:val="auto"/>
                  <w:w w:val="92"/>
                </w:rPr>
                <w:t>2017 Non-Employee Director Equity Plan (Incorporated by reference from Form S-8 registration statement filed on April 27, 2017.)</w:t>
              </w:r>
            </w:hyperlink>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10.23.1</w:t>
            </w:r>
          </w:p>
        </w:tc>
        <w:tc>
          <w:tcPr>
            <w:tcW w:w="9520" w:type="dxa"/>
            <w:vAlign w:val="bottom"/>
            <w:tcBorders>
              <w:top w:val="single" w:sz="8" w:color="auto"/>
            </w:tcBorders>
            <w:gridSpan w:val="13"/>
          </w:tcPr>
          <w:p>
            <w:pPr>
              <w:spacing w:after="0"/>
              <w:rPr>
                <w:rFonts w:ascii="Arial" w:cs="Arial" w:eastAsia="Arial" w:hAnsi="Arial"/>
                <w:sz w:val="18"/>
                <w:szCs w:val="18"/>
                <w:color w:val="auto"/>
                <w:w w:val="90"/>
              </w:rPr>
            </w:pPr>
            <w:hyperlink r:id="rId50">
              <w:r>
                <w:rPr>
                  <w:rFonts w:ascii="Arial" w:cs="Arial" w:eastAsia="Arial" w:hAnsi="Arial"/>
                  <w:sz w:val="18"/>
                  <w:szCs w:val="18"/>
                  <w:color w:val="auto"/>
                  <w:w w:val="90"/>
                </w:rPr>
                <w:t>Statements of additional terms and conditions for awards granted under the 2017 Non-Employee Director Equity Plan (Incorporated</w:t>
              </w:r>
            </w:hyperlink>
          </w:p>
        </w:tc>
        <w:tc>
          <w:tcPr>
            <w:tcW w:w="40" w:type="dxa"/>
            <w:vAlign w:val="bottom"/>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5420" w:type="dxa"/>
            <w:vAlign w:val="bottom"/>
            <w:tcBorders>
              <w:top w:val="single" w:sz="8" w:color="auto"/>
              <w:bottom w:val="single" w:sz="8" w:color="auto"/>
            </w:tcBorders>
            <w:gridSpan w:val="6"/>
          </w:tcPr>
          <w:p>
            <w:pPr>
              <w:spacing w:after="0" w:line="196" w:lineRule="exact"/>
              <w:rPr>
                <w:rFonts w:ascii="Arial" w:cs="Arial" w:eastAsia="Arial" w:hAnsi="Arial"/>
                <w:sz w:val="18"/>
                <w:szCs w:val="18"/>
                <w:color w:val="auto"/>
                <w:w w:val="91"/>
              </w:rPr>
            </w:pPr>
            <w:hyperlink r:id="rId50">
              <w:r>
                <w:rPr>
                  <w:rFonts w:ascii="Arial" w:cs="Arial" w:eastAsia="Arial" w:hAnsi="Arial"/>
                  <w:sz w:val="18"/>
                  <w:szCs w:val="18"/>
                  <w:color w:val="auto"/>
                  <w:w w:val="91"/>
                </w:rPr>
                <w:t>by reference from Form S-8 registration statement filed on April 27, 2017.)</w:t>
              </w:r>
            </w:hyperlink>
          </w:p>
        </w:tc>
        <w:tc>
          <w:tcPr>
            <w:tcW w:w="4080" w:type="dxa"/>
            <w:vAlign w:val="bottom"/>
            <w:tcBorders>
              <w:top w:val="single" w:sz="8" w:color="auto"/>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15</w:t>
            </w:r>
          </w:p>
        </w:tc>
        <w:tc>
          <w:tcPr>
            <w:tcW w:w="8300" w:type="dxa"/>
            <w:vAlign w:val="bottom"/>
            <w:tcBorders>
              <w:bottom w:val="single" w:sz="8" w:color="auto"/>
            </w:tcBorders>
            <w:gridSpan w:val="8"/>
          </w:tcPr>
          <w:p>
            <w:pPr>
              <w:spacing w:after="0"/>
              <w:rPr>
                <w:rFonts w:ascii="Arial" w:cs="Arial" w:eastAsia="Arial" w:hAnsi="Arial"/>
                <w:sz w:val="18"/>
                <w:szCs w:val="18"/>
                <w:color w:val="auto"/>
                <w:w w:val="92"/>
              </w:rPr>
            </w:pPr>
            <w:hyperlink w:anchor="page41">
              <w:r>
                <w:rPr>
                  <w:rFonts w:ascii="Arial" w:cs="Arial" w:eastAsia="Arial" w:hAnsi="Arial"/>
                  <w:sz w:val="18"/>
                  <w:szCs w:val="18"/>
                  <w:color w:val="auto"/>
                  <w:w w:val="92"/>
                </w:rPr>
                <w:t>Letter from KPMG LLP, independent registered public accounting firm, re unaudited interim financial information.</w:t>
              </w:r>
            </w:hyperlink>
          </w:p>
        </w:tc>
        <w:tc>
          <w:tcPr>
            <w:tcW w:w="1260" w:type="dxa"/>
            <w:vAlign w:val="bottom"/>
            <w:gridSpan w:val="6"/>
          </w:tcPr>
          <w:p>
            <w:pPr>
              <w:spacing w:after="0"/>
              <w:rPr>
                <w:sz w:val="24"/>
                <w:szCs w:val="24"/>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31(i).1</w:t>
            </w:r>
          </w:p>
        </w:tc>
        <w:tc>
          <w:tcPr>
            <w:tcW w:w="9560" w:type="dxa"/>
            <w:vAlign w:val="bottom"/>
            <w:gridSpan w:val="14"/>
          </w:tcPr>
          <w:p>
            <w:pPr>
              <w:spacing w:after="0"/>
              <w:rPr>
                <w:rFonts w:ascii="Arial" w:cs="Arial" w:eastAsia="Arial" w:hAnsi="Arial"/>
                <w:sz w:val="18"/>
                <w:szCs w:val="18"/>
                <w:color w:val="auto"/>
              </w:rPr>
            </w:pPr>
            <w:hyperlink w:anchor="page42">
              <w:r>
                <w:rPr>
                  <w:rFonts w:ascii="Arial" w:cs="Arial" w:eastAsia="Arial" w:hAnsi="Arial"/>
                  <w:sz w:val="18"/>
                  <w:szCs w:val="18"/>
                  <w:color w:val="auto"/>
                </w:rPr>
                <w:t>Rule 13a-14(a) Certification of Principal Executive Officer.</w:t>
              </w:r>
            </w:hyperlink>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31(i).2</w:t>
            </w:r>
          </w:p>
        </w:tc>
        <w:tc>
          <w:tcPr>
            <w:tcW w:w="4240" w:type="dxa"/>
            <w:vAlign w:val="bottom"/>
            <w:tcBorders>
              <w:top w:val="single" w:sz="8" w:color="auto"/>
              <w:bottom w:val="single" w:sz="8" w:color="auto"/>
            </w:tcBorders>
            <w:gridSpan w:val="3"/>
          </w:tcPr>
          <w:p>
            <w:pPr>
              <w:spacing w:after="0"/>
              <w:rPr>
                <w:rFonts w:ascii="Arial" w:cs="Arial" w:eastAsia="Arial" w:hAnsi="Arial"/>
                <w:sz w:val="18"/>
                <w:szCs w:val="18"/>
                <w:color w:val="auto"/>
                <w:w w:val="92"/>
              </w:rPr>
            </w:pPr>
            <w:hyperlink w:anchor="page43">
              <w:r>
                <w:rPr>
                  <w:rFonts w:ascii="Arial" w:cs="Arial" w:eastAsia="Arial" w:hAnsi="Arial"/>
                  <w:sz w:val="18"/>
                  <w:szCs w:val="18"/>
                  <w:color w:val="auto"/>
                  <w:w w:val="92"/>
                </w:rPr>
                <w:t>Rule 13a-14(a) Certification of Principal Financial Officer.</w:t>
              </w:r>
            </w:hyperlink>
          </w:p>
        </w:tc>
        <w:tc>
          <w:tcPr>
            <w:tcW w:w="40" w:type="dxa"/>
            <w:vAlign w:val="bottom"/>
            <w:tcBorders>
              <w:top w:val="single" w:sz="8" w:color="auto"/>
            </w:tcBorders>
          </w:tcPr>
          <w:p>
            <w:pPr>
              <w:spacing w:after="0"/>
              <w:rPr>
                <w:sz w:val="24"/>
                <w:szCs w:val="24"/>
                <w:color w:val="auto"/>
              </w:rPr>
            </w:pPr>
          </w:p>
        </w:tc>
        <w:tc>
          <w:tcPr>
            <w:tcW w:w="5280" w:type="dxa"/>
            <w:vAlign w:val="bottom"/>
            <w:gridSpan w:val="10"/>
          </w:tcPr>
          <w:p>
            <w:pPr>
              <w:spacing w:after="0"/>
              <w:rPr>
                <w:sz w:val="24"/>
                <w:szCs w:val="24"/>
                <w:color w:val="auto"/>
              </w:rPr>
            </w:pP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32</w:t>
            </w:r>
          </w:p>
        </w:tc>
        <w:tc>
          <w:tcPr>
            <w:tcW w:w="9560" w:type="dxa"/>
            <w:vAlign w:val="bottom"/>
            <w:gridSpan w:val="14"/>
          </w:tcPr>
          <w:p>
            <w:pPr>
              <w:spacing w:after="0"/>
              <w:rPr>
                <w:rFonts w:ascii="Arial" w:cs="Arial" w:eastAsia="Arial" w:hAnsi="Arial"/>
                <w:sz w:val="18"/>
                <w:szCs w:val="18"/>
                <w:color w:val="auto"/>
              </w:rPr>
            </w:pPr>
            <w:hyperlink w:anchor="page44">
              <w:r>
                <w:rPr>
                  <w:rFonts w:ascii="Arial" w:cs="Arial" w:eastAsia="Arial" w:hAnsi="Arial"/>
                  <w:sz w:val="18"/>
                  <w:szCs w:val="18"/>
                  <w:color w:val="auto"/>
                </w:rPr>
                <w:t>Section 1350 Certifications.</w:t>
              </w:r>
            </w:hyperlink>
          </w:p>
        </w:tc>
      </w:tr>
      <w:tr>
        <w:trPr>
          <w:trHeight w:val="20"/>
        </w:trPr>
        <w:tc>
          <w:tcPr>
            <w:tcW w:w="17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00"/>
          </w:cols>
          <w:pgMar w:left="240" w:top="584" w:right="259" w:bottom="1440" w:gutter="0" w:footer="0" w:header="0"/>
        </w:sectPr>
      </w:pPr>
    </w:p>
    <w:bookmarkStart w:id="39" w:name="page40"/>
    <w:bookmarkEnd w:id="39"/>
    <w:tbl>
      <w:tblPr>
        <w:tblLayout w:type="fixed"/>
        <w:tblInd w:w="4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8460" w:type="dxa"/>
            <w:vAlign w:val="bottom"/>
            <w:tcBorders>
              <w:bottom w:val="single" w:sz="8" w:color="auto"/>
            </w:tcBorders>
          </w:tcPr>
          <w:p>
            <w:pPr>
              <w:spacing w:after="0"/>
              <w:rPr>
                <w:rFonts w:ascii="Arial" w:cs="Arial" w:eastAsia="Arial" w:hAnsi="Arial"/>
                <w:sz w:val="18"/>
                <w:szCs w:val="18"/>
                <w:color w:val="auto"/>
                <w:w w:val="90"/>
              </w:rPr>
            </w:pPr>
            <w:hyperlink w:anchor="page45">
              <w:r>
                <w:rPr>
                  <w:rFonts w:ascii="Arial" w:cs="Arial" w:eastAsia="Arial" w:hAnsi="Arial"/>
                  <w:sz w:val="18"/>
                  <w:szCs w:val="18"/>
                  <w:color w:val="auto"/>
                  <w:w w:val="90"/>
                </w:rPr>
                <w:t>Earnings release issued July 25, 2017, reporting our results of operations for the second quarter and first half of 2017.</w:t>
              </w:r>
            </w:hyperlink>
          </w:p>
        </w:tc>
        <w:tc>
          <w:tcPr>
            <w:tcW w:w="680" w:type="dxa"/>
            <w:vAlign w:val="bottom"/>
          </w:tcPr>
          <w:p>
            <w:pPr>
              <w:spacing w:after="0"/>
              <w:rPr>
                <w:sz w:val="17"/>
                <w:szCs w:val="17"/>
                <w:color w:val="auto"/>
              </w:rPr>
            </w:pPr>
          </w:p>
        </w:tc>
      </w:tr>
      <w:tr>
        <w:trPr>
          <w:trHeight w:val="426"/>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9140" w:type="dxa"/>
            <w:vAlign w:val="bottom"/>
            <w:gridSpan w:val="2"/>
          </w:tcPr>
          <w:p>
            <w:pPr>
              <w:spacing w:after="0"/>
              <w:rPr>
                <w:sz w:val="20"/>
                <w:szCs w:val="20"/>
                <w:color w:val="auto"/>
              </w:rPr>
            </w:pPr>
            <w:r>
              <w:rPr>
                <w:rFonts w:ascii="Arial" w:cs="Arial" w:eastAsia="Arial" w:hAnsi="Arial"/>
                <w:sz w:val="18"/>
                <w:szCs w:val="18"/>
                <w:color w:val="auto"/>
                <w:w w:val="92"/>
              </w:rPr>
              <w:t>The following series of unaudited XBRL-formatted documents are collectively included herewith as Exhibit 101. The financial</w:t>
            </w:r>
          </w:p>
        </w:tc>
      </w:tr>
    </w:tbl>
    <w:p>
      <w:pPr>
        <w:ind w:left="1760" w:right="60"/>
        <w:spacing w:after="0" w:line="261" w:lineRule="auto"/>
        <w:rPr>
          <w:sz w:val="20"/>
          <w:szCs w:val="20"/>
          <w:color w:val="auto"/>
        </w:rPr>
      </w:pPr>
      <w:r>
        <w:rPr>
          <w:rFonts w:ascii="Arial" w:cs="Arial" w:eastAsia="Arial" w:hAnsi="Arial"/>
          <w:sz w:val="18"/>
          <w:szCs w:val="18"/>
          <w:color w:val="auto"/>
        </w:rPr>
        <w:t>information is extracted from T. Rowe Price Group’s unaudited condensed consolidated interim financial statements and notes that are included in this Form 10-Q Report.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trow-20170630.xml).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trow-20170630.xsd).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trow-20170630_cal.xml).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trow-20170630_lab.xml).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trow-20170630_pre.xml).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trow-20170630_def.xml).</w:t>
      </w: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25,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220"/>
          </w:cols>
          <w:pgMar w:left="240" w:top="729" w:right="439" w:bottom="1440" w:gutter="0" w:footer="0" w:header="0"/>
        </w:sectPr>
      </w:pPr>
    </w:p>
    <w:bookmarkStart w:id="40" w:name="page41"/>
    <w:bookmarkEnd w:id="40"/>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Re: Registration Statements on Form S-8: No. </w:t>
      </w:r>
      <w:r>
        <w:rPr>
          <w:rFonts w:ascii="Arial" w:cs="Arial" w:eastAsia="Arial" w:hAnsi="Arial"/>
          <w:sz w:val="18"/>
          <w:szCs w:val="18"/>
          <w:b w:val="1"/>
          <w:bCs w:val="1"/>
          <w:color w:val="auto"/>
        </w:rPr>
        <w:t>33-7012</w:t>
      </w:r>
      <w:r>
        <w:rPr>
          <w:rFonts w:ascii="Arial" w:cs="Arial" w:eastAsia="Arial" w:hAnsi="Arial"/>
          <w:sz w:val="18"/>
          <w:szCs w:val="18"/>
          <w:color w:val="auto"/>
        </w:rPr>
        <w:t xml:space="preserve">, No. </w:t>
      </w:r>
      <w:r>
        <w:rPr>
          <w:rFonts w:ascii="Arial" w:cs="Arial" w:eastAsia="Arial" w:hAnsi="Arial"/>
          <w:sz w:val="18"/>
          <w:szCs w:val="18"/>
          <w:b w:val="1"/>
          <w:bCs w:val="1"/>
          <w:color w:val="auto"/>
        </w:rPr>
        <w:t>333-59714</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333-120883</w:t>
      </w:r>
      <w:r>
        <w:rPr>
          <w:rFonts w:ascii="Arial" w:cs="Arial" w:eastAsia="Arial" w:hAnsi="Arial"/>
          <w:sz w:val="18"/>
          <w:szCs w:val="18"/>
          <w:color w:val="auto"/>
        </w:rPr>
        <w:t xml:space="preserve">, No. </w:t>
      </w:r>
      <w:r>
        <w:rPr>
          <w:rFonts w:ascii="Arial" w:cs="Arial" w:eastAsia="Arial" w:hAnsi="Arial"/>
          <w:sz w:val="18"/>
          <w:szCs w:val="18"/>
          <w:b w:val="1"/>
          <w:bCs w:val="1"/>
          <w:color w:val="auto"/>
        </w:rPr>
        <w:t>333-142092</w:t>
      </w:r>
      <w:r>
        <w:rPr>
          <w:rFonts w:ascii="Arial" w:cs="Arial" w:eastAsia="Arial" w:hAnsi="Arial"/>
          <w:sz w:val="18"/>
          <w:szCs w:val="18"/>
          <w:color w:val="auto"/>
        </w:rPr>
        <w:t xml:space="preserve">, No. </w:t>
      </w:r>
      <w:r>
        <w:rPr>
          <w:rFonts w:ascii="Arial" w:cs="Arial" w:eastAsia="Arial" w:hAnsi="Arial"/>
          <w:sz w:val="18"/>
          <w:szCs w:val="18"/>
          <w:b w:val="1"/>
          <w:bCs w:val="1"/>
          <w:color w:val="auto"/>
        </w:rPr>
        <w:t>333-167317</w:t>
      </w:r>
      <w:r>
        <w:rPr>
          <w:rFonts w:ascii="Arial" w:cs="Arial" w:eastAsia="Arial" w:hAnsi="Arial"/>
          <w:sz w:val="18"/>
          <w:szCs w:val="18"/>
          <w:color w:val="auto"/>
        </w:rPr>
        <w:t xml:space="preserve">, No. </w:t>
      </w:r>
      <w:r>
        <w:rPr>
          <w:rFonts w:ascii="Arial" w:cs="Arial" w:eastAsia="Arial" w:hAnsi="Arial"/>
          <w:sz w:val="18"/>
          <w:szCs w:val="18"/>
          <w:b w:val="1"/>
          <w:bCs w:val="1"/>
          <w:color w:val="auto"/>
        </w:rPr>
        <w:t>333-180904</w:t>
      </w:r>
      <w:r>
        <w:rPr>
          <w:rFonts w:ascii="Arial" w:cs="Arial" w:eastAsia="Arial" w:hAnsi="Arial"/>
          <w:sz w:val="18"/>
          <w:szCs w:val="18"/>
          <w:color w:val="auto"/>
        </w:rPr>
        <w:t>, No.</w:t>
      </w:r>
      <w:r>
        <w:rPr>
          <w:rFonts w:ascii="Arial" w:cs="Arial" w:eastAsia="Arial" w:hAnsi="Arial"/>
          <w:sz w:val="18"/>
          <w:szCs w:val="18"/>
          <w:b w:val="1"/>
          <w:bCs w:val="1"/>
          <w:color w:val="auto"/>
        </w:rPr>
        <w:t xml:space="preserve"> 333-199560</w:t>
      </w:r>
      <w:r>
        <w:rPr>
          <w:rFonts w:ascii="Arial" w:cs="Arial" w:eastAsia="Arial" w:hAnsi="Arial"/>
          <w:sz w:val="18"/>
          <w:szCs w:val="18"/>
          <w:color w:val="auto"/>
        </w:rPr>
        <w:t>, No.</w:t>
      </w:r>
      <w:r>
        <w:rPr>
          <w:rFonts w:ascii="Arial" w:cs="Arial" w:eastAsia="Arial" w:hAnsi="Arial"/>
          <w:sz w:val="18"/>
          <w:szCs w:val="18"/>
          <w:b w:val="1"/>
          <w:bCs w:val="1"/>
          <w:color w:val="auto"/>
        </w:rPr>
        <w:t xml:space="preserve"> 333-212705 </w:t>
      </w:r>
      <w:r>
        <w:rPr>
          <w:rFonts w:ascii="Arial" w:cs="Arial" w:eastAsia="Arial" w:hAnsi="Arial"/>
          <w:sz w:val="18"/>
          <w:szCs w:val="18"/>
          <w:color w:val="auto"/>
        </w:rPr>
        <w:t>, and</w:t>
      </w:r>
      <w:r>
        <w:rPr>
          <w:rFonts w:ascii="Arial" w:cs="Arial" w:eastAsia="Arial" w:hAnsi="Arial"/>
          <w:sz w:val="18"/>
          <w:szCs w:val="18"/>
          <w:b w:val="1"/>
          <w:bCs w:val="1"/>
          <w:color w:val="auto"/>
        </w:rPr>
        <w:t xml:space="preserve"> 333-217483</w:t>
      </w:r>
      <w:r>
        <w:rPr>
          <w:rFonts w:ascii="Arial" w:cs="Arial" w:eastAsia="Arial" w:hAnsi="Arial"/>
          <w:sz w:val="18"/>
          <w:szCs w:val="18"/>
          <w:color w:val="auto"/>
        </w:rPr>
        <w:t>.</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25, 2017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25, 2017</w:t>
      </w:r>
    </w:p>
    <w:p>
      <w:pPr>
        <w:sectPr>
          <w:pgSz w:w="11900" w:h="16838" w:orient="portrait"/>
          <w:cols w:equalWidth="0" w:num="1">
            <w:col w:w="11420"/>
          </w:cols>
          <w:pgMar w:left="240" w:top="584" w:right="239" w:bottom="1440" w:gutter="0" w:footer="0" w:header="0"/>
          <w:type w:val="continuous"/>
        </w:sectPr>
      </w:pPr>
    </w:p>
    <w:bookmarkStart w:id="41" w:name="page42"/>
    <w:bookmarkEnd w:id="41"/>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2017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July 25,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42" w:name="page43"/>
    <w:bookmarkEnd w:id="42"/>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2017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July 25,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43" w:name="page44"/>
    <w:bookmarkEnd w:id="43"/>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2017 of T. Rowe Price Group, Inc., that:</w:t>
      </w:r>
    </w:p>
    <w:p>
      <w:pPr>
        <w:spacing w:after="0" w:line="11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July 25,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44" w:name="page45"/>
    <w:bookmarkEnd w:id="4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9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32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85609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44" Type="http://schemas.openxmlformats.org/officeDocument/2006/relationships/hyperlink" Target="http://www.sec.gov/Archives/edgar/data/1113169/000095013308001597/w55353exv3wxiyw1.htm" TargetMode="External"/><Relationship Id="rId45" Type="http://schemas.openxmlformats.org/officeDocument/2006/relationships/hyperlink" Target="http://www.sec.gov/Archives/edgar/data/1113169/000111316915000029/trow-amendedandrestatedbyl.htm" TargetMode="External"/><Relationship Id="rId46" Type="http://schemas.openxmlformats.org/officeDocument/2006/relationships/hyperlink" Target="http://www.sec.gov/Archives/edgar/data/819930/000081993017000005/c2017transferagencyagr-20162.htm" TargetMode="External"/><Relationship Id="rId47" Type="http://schemas.openxmlformats.org/officeDocument/2006/relationships/hyperlink" Target="http://www.sec.gov/Archives/edgar/data/819930/000081993017000005/c2017rpsagreement-20174.htm" TargetMode="External"/><Relationship Id="rId48" Type="http://schemas.openxmlformats.org/officeDocument/2006/relationships/hyperlink" Target="http://www.sec.gov/Archives/edgar/data/819930/000081993017000005/retainedfaagmtre-foraugtoaug.htm" TargetMode="External"/><Relationship Id="rId49" Type="http://schemas.openxmlformats.org/officeDocument/2006/relationships/hyperlink" Target="http://www.sec.gov/Archives/edgar/data/1113169/000111316917000029/exhibit992a2017nedequityplan.htm" TargetMode="External"/><Relationship Id="rId50" Type="http://schemas.openxmlformats.org/officeDocument/2006/relationships/hyperlink" Target="http://www.sec.gov/Archives/edgar/data/1113169/000111316917000029/exhibit993statementofadd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2019-12-29T04:58:58Z</dcterms:created>
  <dcterms:modified xsi:type="dcterms:W3CDTF">2019-12-29T04:58:58Z</dcterms:modified>
</cp:coreProperties>
</file>