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REPORT PURSUANT TO SECTION 13 OF THE SECURITIES EXCHANGE ACT OF 1934</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March 31,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100 East Pratt Street, Baltimore, Maryland 21202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(410) 345-2000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(based on definitions in Rule 12b-2 of the Exchange Act).</w:t>
      </w:r>
    </w:p>
    <w:p>
      <w:pPr>
        <w:spacing w:after="0" w:line="30" w:lineRule="exact"/>
        <w:rPr>
          <w:sz w:val="20"/>
          <w:szCs w:val="20"/>
          <w:color w:val="auto"/>
        </w:rPr>
      </w:pPr>
    </w:p>
    <w:p>
      <w:pPr>
        <w:ind w:right="2280" w:firstLine="2289"/>
        <w:spacing w:after="0" w:line="304" w:lineRule="exact"/>
        <w:rPr>
          <w:sz w:val="20"/>
          <w:szCs w:val="20"/>
          <w:color w:val="auto"/>
        </w:rPr>
      </w:pPr>
      <w:r>
        <w:rPr>
          <w:rFonts w:ascii="Arial" w:cs="Arial" w:eastAsia="Arial" w:hAnsi="Arial"/>
          <w:sz w:val="18"/>
          <w:szCs w:val="18"/>
          <w:b w:val="1"/>
          <w:bCs w:val="1"/>
          <w:color w:val="auto"/>
        </w:rPr>
        <w:t xml:space="preserve">Large accelerated filer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Accelerated filer o Non-accelerated filer 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Indicate by check mark whether the registrant is a shell company (as defined in Rule 12b-2 of the Exchange Act). o Yes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number of shares outstanding of the issuer’s common stock ($.20 par value), as of the latest practicable date, April 23, 2007, is </w:t>
      </w:r>
      <w:r>
        <w:rPr>
          <w:rFonts w:ascii="Arial" w:cs="Arial" w:eastAsia="Arial" w:hAnsi="Arial"/>
          <w:sz w:val="17"/>
          <w:szCs w:val="17"/>
          <w:b w:val="1"/>
          <w:bCs w:val="1"/>
          <w:u w:val="single" w:color="auto"/>
          <w:color w:val="auto"/>
        </w:rPr>
        <w:t>265,619,772</w:t>
      </w:r>
      <w:r>
        <w:rPr>
          <w:rFonts w:ascii="Arial" w:cs="Arial" w:eastAsia="Arial" w:hAnsi="Arial"/>
          <w:sz w:val="17"/>
          <w:szCs w:val="17"/>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at Item 6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12/31/2006</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3/31/2007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773.0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554.4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Other investments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8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2,765.3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Liabilities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5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$.20 par value — authorized 500,000,000 shares; issued 264,959,903 shares in 2006 and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265,649,353 shares in 2007</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2,057.1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7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2,426.9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2,548.8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2,765.3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2,957.4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3/31/2006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26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353.9</w:t>
            </w:r>
          </w:p>
        </w:tc>
        <w:tc>
          <w:tcPr>
            <w:tcW w:w="320" w:type="dxa"/>
            <w:vAlign w:val="bottom"/>
          </w:tcPr>
          <w:p>
            <w:pPr>
              <w:spacing w:after="0"/>
              <w:rPr>
                <w:sz w:val="18"/>
                <w:szCs w:val="18"/>
                <w:color w:val="auto"/>
              </w:rPr>
            </w:pP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2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508.4</w:t>
            </w:r>
          </w:p>
        </w:tc>
        <w:tc>
          <w:tcPr>
            <w:tcW w:w="0" w:type="dxa"/>
            <w:vAlign w:val="bottom"/>
          </w:tcPr>
          <w:p>
            <w:pPr>
              <w:spacing w:after="0"/>
              <w:rPr>
                <w:sz w:val="1"/>
                <w:szCs w:val="1"/>
                <w:color w:val="auto"/>
              </w:rPr>
            </w:pPr>
          </w:p>
        </w:tc>
      </w:tr>
      <w:tr>
        <w:trPr>
          <w:trHeight w:val="439"/>
        </w:trPr>
        <w:tc>
          <w:tcPr>
            <w:tcW w:w="6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82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2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80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69.4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116.7</w:t>
            </w: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142.9</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26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2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2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2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6"/>
              </w:rPr>
              <w:t>3/31/2006</w:t>
            </w:r>
          </w:p>
        </w:tc>
        <w:tc>
          <w:tcPr>
            <w:tcW w:w="3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116.7</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1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Net investments in sponsored mutual funds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(60.8)</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Stock options exercised</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(42.8)</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 during period</w:t>
            </w:r>
          </w:p>
        </w:tc>
        <w:tc>
          <w:tcPr>
            <w:tcW w:w="1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At beginning of year</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803.6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773.0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end of period</w:t>
            </w:r>
          </w:p>
        </w:tc>
        <w:tc>
          <w:tcPr>
            <w:tcW w:w="18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933.3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100"/>
        <w:spacing w:after="0" w:line="277" w:lineRule="auto"/>
        <w:rPr>
          <w:sz w:val="20"/>
          <w:szCs w:val="20"/>
          <w:color w:val="auto"/>
        </w:rPr>
      </w:pPr>
      <w:r>
        <w:rPr>
          <w:rFonts w:ascii="Arial" w:cs="Arial" w:eastAsia="Arial" w:hAnsi="Arial"/>
          <w:sz w:val="18"/>
          <w:szCs w:val="18"/>
          <w:color w:val="auto"/>
        </w:rPr>
        <w:t>UNAUDITED CONDENSED CONSOLIDATED STATEMENTS OF STOCKHOLDERS’ EQUITY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ind w:left="240"/>
              <w:spacing w:after="0"/>
              <w:rPr>
                <w:sz w:val="20"/>
                <w:szCs w:val="20"/>
                <w:color w:val="auto"/>
              </w:rPr>
            </w:pPr>
            <w:r>
              <w:rPr>
                <w:rFonts w:ascii="Arial" w:cs="Arial" w:eastAsia="Arial" w:hAnsi="Arial"/>
                <w:sz w:val="14"/>
                <w:szCs w:val="14"/>
                <w:color w:val="auto"/>
              </w:rPr>
              <w:t>Additional capital</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4"/>
          </w:tcPr>
          <w:p>
            <w:pPr>
              <w:ind w:left="240"/>
              <w:spacing w:after="0"/>
              <w:rPr>
                <w:sz w:val="20"/>
                <w:szCs w:val="20"/>
                <w:color w:val="auto"/>
              </w:rPr>
            </w:pPr>
            <w:r>
              <w:rPr>
                <w:rFonts w:ascii="Arial" w:cs="Arial" w:eastAsia="Arial" w:hAnsi="Arial"/>
                <w:sz w:val="14"/>
                <w:szCs w:val="14"/>
                <w:color w:val="auto"/>
              </w:rPr>
              <w:t>Accumulated other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w w:val="95"/>
              </w:rPr>
              <w:t>in excess of par</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comprehensive</w:t>
            </w:r>
          </w:p>
        </w:tc>
        <w:tc>
          <w:tcPr>
            <w:tcW w:w="1440" w:type="dxa"/>
            <w:vAlign w:val="bottom"/>
            <w:gridSpan w:val="4"/>
          </w:tcPr>
          <w:p>
            <w:pPr>
              <w:ind w:left="260"/>
              <w:spacing w:after="0" w:line="149" w:lineRule="exact"/>
              <w:rPr>
                <w:sz w:val="20"/>
                <w:szCs w:val="20"/>
                <w:color w:val="auto"/>
              </w:rPr>
            </w:pPr>
            <w:r>
              <w:rPr>
                <w:rFonts w:ascii="Arial" w:cs="Arial" w:eastAsia="Arial" w:hAnsi="Arial"/>
                <w:sz w:val="14"/>
                <w:szCs w:val="14"/>
                <w:color w:val="auto"/>
                <w:w w:val="99"/>
              </w:rPr>
              <w:t>Total stockholders'</w:t>
            </w:r>
          </w:p>
        </w:tc>
      </w:tr>
      <w:tr>
        <w:trPr>
          <w:trHeight w:val="167"/>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80" w:type="dxa"/>
            <w:vAlign w:val="bottom"/>
            <w:gridSpan w:val="4"/>
          </w:tcPr>
          <w:p>
            <w:pPr>
              <w:ind w:left="320"/>
              <w:spacing w:after="0"/>
              <w:rPr>
                <w:sz w:val="20"/>
                <w:szCs w:val="20"/>
                <w:color w:val="auto"/>
              </w:rPr>
            </w:pPr>
            <w:r>
              <w:rPr>
                <w:rFonts w:ascii="Arial" w:cs="Arial" w:eastAsia="Arial" w:hAnsi="Arial"/>
                <w:sz w:val="14"/>
                <w:szCs w:val="14"/>
                <w:color w:val="auto"/>
              </w:rPr>
              <w:t>Common stock</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color w:val="auto"/>
              </w:rPr>
              <w:t>value</w:t>
            </w:r>
          </w:p>
        </w:tc>
        <w:tc>
          <w:tcPr>
            <w:tcW w:w="1580" w:type="dxa"/>
            <w:vAlign w:val="bottom"/>
            <w:gridSpan w:val="4"/>
          </w:tcPr>
          <w:p>
            <w:pPr>
              <w:ind w:left="24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color w:val="auto"/>
              </w:rPr>
              <w:t>equity</w:t>
            </w:r>
          </w:p>
        </w:tc>
      </w:tr>
      <w:tr>
        <w:trPr>
          <w:trHeight w:val="195"/>
        </w:trPr>
        <w:tc>
          <w:tcPr>
            <w:tcW w:w="20" w:type="dxa"/>
            <w:vAlign w:val="bottom"/>
          </w:tcPr>
          <w:p>
            <w:pPr>
              <w:spacing w:after="0"/>
              <w:rPr>
                <w:sz w:val="16"/>
                <w:szCs w:val="16"/>
                <w:color w:val="auto"/>
              </w:rPr>
            </w:pPr>
          </w:p>
        </w:tc>
        <w:tc>
          <w:tcPr>
            <w:tcW w:w="37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Balances at December 31, 2006, 264,959,903</w:t>
            </w:r>
          </w:p>
        </w:tc>
        <w:tc>
          <w:tcPr>
            <w:tcW w:w="3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53.0</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247.5</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2,057.1</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2,426.9</w:t>
            </w:r>
          </w:p>
        </w:tc>
      </w:tr>
      <w:tr>
        <w:trPr>
          <w:trHeight w:val="202"/>
        </w:trPr>
        <w:tc>
          <w:tcPr>
            <w:tcW w:w="20" w:type="dxa"/>
            <w:vAlign w:val="bottom"/>
          </w:tcPr>
          <w:p>
            <w:pPr>
              <w:spacing w:after="0"/>
              <w:rPr>
                <w:sz w:val="17"/>
                <w:szCs w:val="17"/>
                <w:color w:val="auto"/>
              </w:rPr>
            </w:pPr>
          </w:p>
        </w:tc>
        <w:tc>
          <w:tcPr>
            <w:tcW w:w="3740" w:type="dxa"/>
            <w:vAlign w:val="bottom"/>
          </w:tcPr>
          <w:p>
            <w:pPr>
              <w:spacing w:after="0" w:line="201" w:lineRule="exact"/>
              <w:rPr>
                <w:sz w:val="20"/>
                <w:szCs w:val="20"/>
                <w:color w:val="auto"/>
              </w:rPr>
            </w:pPr>
            <w:r>
              <w:rPr>
                <w:rFonts w:ascii="Arial" w:cs="Arial" w:eastAsia="Arial" w:hAnsi="Arial"/>
                <w:sz w:val="18"/>
                <w:szCs w:val="18"/>
                <w:color w:val="auto"/>
              </w:rPr>
              <w:t>Common shares issued under stock-based</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compensation plans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1,000 restricted common shares issued</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02"/>
        </w:trPr>
        <w:tc>
          <w:tcPr>
            <w:tcW w:w="20" w:type="dxa"/>
            <w:vAlign w:val="bottom"/>
          </w:tcPr>
          <w:p>
            <w:pPr>
              <w:spacing w:after="0"/>
              <w:rPr>
                <w:sz w:val="17"/>
                <w:szCs w:val="17"/>
                <w:color w:val="auto"/>
              </w:rPr>
            </w:pPr>
          </w:p>
        </w:tc>
        <w:tc>
          <w:tcPr>
            <w:tcW w:w="3740" w:type="dxa"/>
            <w:vAlign w:val="bottom"/>
          </w:tcPr>
          <w:p>
            <w:pPr>
              <w:ind w:left="200"/>
              <w:spacing w:after="0" w:line="201" w:lineRule="exact"/>
              <w:rPr>
                <w:sz w:val="20"/>
                <w:szCs w:val="20"/>
                <w:color w:val="auto"/>
              </w:rPr>
            </w:pPr>
            <w:r>
              <w:rPr>
                <w:rFonts w:ascii="Arial" w:cs="Arial" w:eastAsia="Arial" w:hAnsi="Arial"/>
                <w:sz w:val="18"/>
                <w:szCs w:val="18"/>
                <w:color w:val="auto"/>
              </w:rPr>
              <w:t>1,245,932 common shares upon option</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400"/>
              <w:spacing w:after="0"/>
              <w:rPr>
                <w:sz w:val="20"/>
                <w:szCs w:val="20"/>
                <w:color w:val="auto"/>
              </w:rPr>
            </w:pPr>
            <w:r>
              <w:rPr>
                <w:rFonts w:ascii="Arial" w:cs="Arial" w:eastAsia="Arial" w:hAnsi="Arial"/>
                <w:sz w:val="18"/>
                <w:szCs w:val="18"/>
                <w:color w:val="auto"/>
              </w:rPr>
              <w:t>exercises</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4,000 restricted common shares forfeited</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553,482 common shares repurchased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(26.0)</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142.9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Change in unrealized security holding gains,</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of taxes</w:t>
            </w: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Total comprehensive income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149.1</w:t>
            </w: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Dividends declared</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(45.2)</w:t>
            </w:r>
          </w:p>
        </w:tc>
      </w:tr>
      <w:tr>
        <w:trPr>
          <w:trHeight w:val="202"/>
        </w:trPr>
        <w:tc>
          <w:tcPr>
            <w:tcW w:w="20" w:type="dxa"/>
            <w:vAlign w:val="bottom"/>
          </w:tcPr>
          <w:p>
            <w:pPr>
              <w:spacing w:after="0"/>
              <w:rPr>
                <w:sz w:val="17"/>
                <w:szCs w:val="17"/>
                <w:color w:val="auto"/>
              </w:rPr>
            </w:pPr>
          </w:p>
        </w:tc>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March 31, 2007, 265,649,353</w:t>
            </w:r>
          </w:p>
        </w:tc>
        <w:tc>
          <w:tcPr>
            <w:tcW w:w="3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w:t>
            </w:r>
          </w:p>
        </w:tc>
        <w:tc>
          <w:tcPr>
            <w:tcW w:w="4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265.4</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2,154.8</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2,548.8</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more than 7% of our assets under management at March 31, 2007.</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which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2006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$122.9 million at December 31, 2006 and $128.1 million at March 31, 2007.</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3/31/2006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3/31/2007</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8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222.9</w:t>
            </w:r>
          </w:p>
        </w:tc>
        <w:tc>
          <w:tcPr>
            <w:tcW w:w="320" w:type="dxa"/>
            <w:vAlign w:val="bottom"/>
          </w:tcPr>
          <w:p>
            <w:pPr>
              <w:spacing w:after="0"/>
              <w:rPr>
                <w:sz w:val="18"/>
                <w:szCs w:val="18"/>
                <w:color w:val="auto"/>
              </w:rPr>
            </w:pP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263.2</w:t>
            </w:r>
          </w:p>
        </w:tc>
      </w:tr>
      <w:tr>
        <w:trPr>
          <w:trHeight w:val="216"/>
        </w:trPr>
        <w:tc>
          <w:tcPr>
            <w:tcW w:w="9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r>
      <w:tr>
        <w:trPr>
          <w:trHeight w:val="223"/>
        </w:trPr>
        <w:tc>
          <w:tcPr>
            <w:tcW w:w="9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259.1</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305.8</w:t>
            </w:r>
          </w:p>
        </w:tc>
        <w:tc>
          <w:tcPr>
            <w:tcW w:w="10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94.8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119.2</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425.0</w:t>
            </w:r>
          </w:p>
        </w:tc>
        <w:tc>
          <w:tcPr>
            <w:tcW w:w="10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various investment portfolios and assets under management (in billions) on which advisory fees are earned.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5"/>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color w:val="auto"/>
                <w:w w:val="91"/>
              </w:rPr>
              <w:t>12/31/2006</w:t>
            </w:r>
          </w:p>
        </w:tc>
        <w:tc>
          <w:tcPr>
            <w:tcW w:w="340" w:type="dxa"/>
            <w:vAlign w:val="bottom"/>
          </w:tcPr>
          <w:p>
            <w:pPr>
              <w:spacing w:after="0"/>
              <w:rPr>
                <w:sz w:val="14"/>
                <w:szCs w:val="14"/>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2006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6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174.6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168.5</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w:t>
            </w:r>
          </w:p>
        </w:tc>
        <w:tc>
          <w:tcPr>
            <w:tcW w:w="0" w:type="dxa"/>
            <w:vAlign w:val="bottom"/>
          </w:tcPr>
          <w:p>
            <w:pPr>
              <w:spacing w:after="0"/>
              <w:rPr>
                <w:sz w:val="1"/>
                <w:szCs w:val="1"/>
                <w:color w:val="auto"/>
              </w:rPr>
            </w:pPr>
          </w:p>
        </w:tc>
      </w:tr>
      <w:tr>
        <w:trPr>
          <w:trHeight w:val="223"/>
        </w:trPr>
        <w:tc>
          <w:tcPr>
            <w:tcW w:w="6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First quarter fees for advisory-related administrative services provided to our sponsored mutual funds were $58.5 million in 2006 and $66.0 million in 2007.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3 —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quarter of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8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r>
      <w:tr>
        <w:trPr>
          <w:trHeight w:val="167"/>
        </w:trPr>
        <w:tc>
          <w:tcPr>
            <w:tcW w:w="83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2007</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43,770,758</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$25.97</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New hire grants</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28,000</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$46.84</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198,411</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$47.17</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(1,748,037)</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$21.07</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Forfeited or cancelled</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(330,600)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$32.23</w:t>
            </w:r>
          </w:p>
        </w:tc>
      </w:tr>
      <w:tr>
        <w:trPr>
          <w:trHeight w:val="223"/>
        </w:trPr>
        <w:tc>
          <w:tcPr>
            <w:tcW w:w="8380" w:type="dxa"/>
            <w:vAlign w:val="bottom"/>
          </w:tcPr>
          <w:p>
            <w:pPr>
              <w:spacing w:after="0"/>
              <w:rPr>
                <w:sz w:val="20"/>
                <w:szCs w:val="20"/>
                <w:color w:val="auto"/>
              </w:rPr>
            </w:pPr>
            <w:r>
              <w:rPr>
                <w:rFonts w:ascii="Arial" w:cs="Arial" w:eastAsia="Arial" w:hAnsi="Arial"/>
                <w:sz w:val="18"/>
                <w:szCs w:val="18"/>
                <w:color w:val="auto"/>
              </w:rPr>
              <w:t>Outstanding at March 31, 2007</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41,918,532</w:t>
            </w:r>
          </w:p>
        </w:tc>
        <w:tc>
          <w:tcPr>
            <w:tcW w:w="32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$26.24</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2007</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24,303,012</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$20.79</w:t>
            </w:r>
          </w:p>
        </w:tc>
      </w:tr>
      <w:tr>
        <w:trPr>
          <w:trHeight w:val="20"/>
        </w:trPr>
        <w:tc>
          <w:tcPr>
            <w:tcW w:w="8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nonvested restricted shares and restricted stock units during the first quarter of 2007.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49"/>
        </w:trPr>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Restricted</w:t>
            </w: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r>
      <w:tr>
        <w:trPr>
          <w:trHeight w:val="149"/>
        </w:trPr>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1"/>
              </w:rPr>
              <w:t>Restricted</w:t>
            </w: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stock</w:t>
            </w:r>
          </w:p>
        </w:tc>
        <w:tc>
          <w:tcPr>
            <w:tcW w:w="52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grant-date</w:t>
            </w:r>
          </w:p>
        </w:tc>
      </w:tr>
      <w:tr>
        <w:trPr>
          <w:trHeight w:val="167"/>
        </w:trPr>
        <w:tc>
          <w:tcPr>
            <w:tcW w:w="69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color w:val="auto"/>
              </w:rPr>
              <w:t>shares</w:t>
            </w: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units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fair value</w:t>
            </w: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2007</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104,500</w:t>
            </w:r>
          </w:p>
        </w:tc>
        <w:tc>
          <w:tcPr>
            <w:tcW w:w="300" w:type="dxa"/>
            <w:vAlign w:val="bottom"/>
            <w:shd w:val="clear" w:color="auto" w:fill="CCEEFF"/>
          </w:tcPr>
          <w:p>
            <w:pPr>
              <w:spacing w:after="0"/>
              <w:rPr>
                <w:sz w:val="18"/>
                <w:szCs w:val="18"/>
                <w:color w:val="auto"/>
              </w:rPr>
            </w:pPr>
          </w:p>
        </w:tc>
        <w:tc>
          <w:tcPr>
            <w:tcW w:w="16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36,000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$43.01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1620" w:type="dxa"/>
            <w:vAlign w:val="bottom"/>
            <w:gridSpan w:val="4"/>
          </w:tcPr>
          <w:p>
            <w:pPr>
              <w:jc w:val="right"/>
              <w:ind w:right="300"/>
              <w:spacing w:after="0"/>
              <w:rPr>
                <w:sz w:val="20"/>
                <w:szCs w:val="20"/>
                <w:color w:val="auto"/>
              </w:rPr>
            </w:pPr>
            <w:r>
              <w:rPr>
                <w:rFonts w:ascii="Arial" w:cs="Arial" w:eastAsia="Arial" w:hAnsi="Arial"/>
                <w:sz w:val="18"/>
                <w:szCs w:val="18"/>
                <w:color w:val="auto"/>
              </w:rPr>
              <w:t>25,000</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$48.26</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$42.80</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Nonvested at March 31, 2007</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101,500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61,000</w:t>
            </w:r>
          </w:p>
        </w:tc>
        <w:tc>
          <w:tcPr>
            <w:tcW w:w="300" w:type="dxa"/>
            <w:vAlign w:val="bottom"/>
          </w:tcPr>
          <w:p>
            <w:pPr>
              <w:spacing w:after="0"/>
              <w:rPr>
                <w:sz w:val="19"/>
                <w:szCs w:val="19"/>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$43.86</w:t>
            </w:r>
          </w:p>
        </w:tc>
      </w:tr>
      <w:tr>
        <w:trPr>
          <w:trHeight w:val="20"/>
        </w:trPr>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following table (in millions) presents the compensation expense to be recognized over the separate vesting periods of the 17,615,520 nonvested options and 162,500 restricted shares and restricted stock units outstanding at March 31, 2007.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2007</w:t>
            </w:r>
          </w:p>
        </w:tc>
        <w:tc>
          <w:tcPr>
            <w:tcW w:w="4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Third quarter 2007</w:t>
            </w: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2007</w:t>
            </w:r>
          </w:p>
        </w:tc>
        <w:tc>
          <w:tcPr>
            <w:tcW w:w="4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2008 through 2011</w:t>
            </w:r>
          </w:p>
        </w:tc>
        <w:tc>
          <w:tcPr>
            <w:tcW w:w="4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NOTE 4 — INCOME TAXES.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January 1, 2007 adoption of FASB Interpretation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did not affect our financial position. Our liability at the date of adoption for unrecognized tax benefits was $3.0 million. If recognized, this amount would affect our effective tax rate; however, we do not expect that these unrecognized tax benefits will significantly change this year. Our United States federal tax obligations have been settled through the year 2000. Our accounting policy with respect to interest and penalties arising from income tax settlements is to recognize them as part of our provision for income taxes. Net interest recoverable of $1.8 million was accrued as of January 1,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5 — COMMON SHARE REPURCHASES.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At March 31, 2007, accounts payable and accrued expenses includes $2.8 million representing the unsettled liability for common stock repurchases made on the last three business days of March.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five business days of April 2007, we repurchased 130,000 common shares for $6.3 million.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as of March 31, 2007, the related condensed consolidated statements of income and cash flows for the three-month periods ended March 31, 2006 and 2007, and the related condensed consolidated statement of stockholders’ equity for the three-month period ended March 31, 2007. These condensed consolidated financial statements are the responsibility of the Company’s management.</w:t>
      </w:r>
    </w:p>
    <w:p>
      <w:pPr>
        <w:spacing w:after="0" w:line="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2006, and the related consolidated statements of income, cash flows, and stockholders’ equity for the year then ended (not presented herein); and in our report dated February 7, 2007, we expressed an unqualified opinion on those consolidated financial statements. In our opinion, the information set forth in the accompanying condensed consolidated balance sheet as of December 31, 2006,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2007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more than 7% of our assets under management at March 31, 2007.</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equity markets in the United States began 2007 by continuing their upward trend that had started in August 2006 when the Federal Reserve discontinued its series of interest rate increases. In February, weak economic data and a sharp decline in the values of Chinese equities turned the year’s early market gains to losses. The markets rebounded slightly before falling off again at the end of the quarter. Uncertainty about the U.S. economy — including concerns about rising energy costs, effects of the continuing housing market downturn, and sub-prime mortgage defaults - led investors to be cautious about corporate earnings growth and near-term financial market prospects. Overall, the broad financial market results for the first quarter of 2007 were modest — total return for the NASDAQ was .3% and for the S&amp;P 500 was .6%.</w:t>
      </w:r>
    </w:p>
    <w:p>
      <w:pPr>
        <w:spacing w:after="0" w:line="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Outside the U.S., stocks in several European markets helped the markets in developed countries outperform those of the emerging world markets where Latin America performed much better than other developing regions. On a broad basis, the MSCI EAFE (Europe, Australasia and Far East) Index returned 4.15%.</w:t>
      </w:r>
    </w:p>
    <w:p>
      <w:pPr>
        <w:spacing w:after="0" w:line="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yield for 10-year U.S. Treasuries was 4.65% at the end of the first quarter of 2007, down from 4.71% at the end of 2006. The yield curve remained inverted at the end of March 2007 with the six-month and one-year maturities yielding 41 and 25 basis points more, respectively, than the 10-year Treasuries. The Federal Reserve target short-term rate of 5.25% remained unchanged from June 2006, and expectations of a near-term easing of monetary policy diminished as the inflation outlook deteriorated somewhat.</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this financial environment, total assets under our management ended the first quarter of 2007 at a record $349.9 billion, up 4.5% or $15.2 billion during the quarter. Our strong relative investment performance and brand awareness contributed significantly to investors entrusting net inflows of $9.6 billion to our management. Higher market valuations and income added $5.6 billion to our assets under management in 2007.</w:t>
      </w:r>
    </w:p>
    <w:p>
      <w:pPr>
        <w:spacing w:after="0" w:line="73"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Assets under management at March 31, 2007, include $279.8 billion in equity and blended asset investment portfolios and $70.1 billion in fixed income investment portfolios. The underlying investment portfolios consist of $218.8 billion in the T. Rowe Price mutual funds distributed in the United States and $131.1 billion in other investment portfolios that we manage, including separately managed accounts, sub-advised funds, and other sponsored investment funds offered to investors outside the U.S. and through variable annuity life insurance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Three months ended March 31, 2007 versus 2006.</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advisory revenues were up 20%, or $71.1 million, to $425.0 million because our average assets under our management increased $61.6 billion to $343.6 billion. The average fee rate earned on our assets under management was 50.2 basis points in the 2007 quarter, virtually unchanged from the 50.3 basis points earned during the year 2006. Assets under our management are $349.9 billion at March 31, 2007, up nearly 2% from the average during the 2007 first quarter.</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revenues increased 18%, or $79.1 million, to $508.4 million. Operating expenses were $289.5 million in the first quarter of 2007, up $38.7 million from the 2006 first quarter. Overall, net operating income for the first quarter of 2007 increased $40.4 million, or nearly 23%, to $218.9 million. Our operating margin was 43.1%, down slightly from 43.4% for the 2006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Net income increased $26.2 million, or 22%, to $142.9 million for the 2007 quarter, driving diluted earnings per share up 21% from $.42 to $.51.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18%, or $46.7 million, to $305.8 million. Average mutual fund assets were $213.6 billion in the first quarter of 2007, an increase of 19% over the 2006 first quarter average. Mutual fund assets at March 31, 2007 were $218.8 billion, up $12.3 billion during the first three months of 2007. Fund assets increased across all distribution channels, with the largest increase sourced from third-party financial intermediaries.</w:t>
      </w:r>
    </w:p>
    <w:p>
      <w:pPr>
        <w:spacing w:after="0" w:line="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Net inflows to the mutual funds were nearly $8.4 billion during the first quarter of 2007, including $2.8 billion that originated in our target-date Retirement Funds. Our U.S. stock and blended asset funds had net inflows of $5.7 billion, our bond funds added $1.3 billion, our international stock funds added $1.0 billion, and our money market funds added $.4 billion. The Growth Stock Fund added $2.3 billion of net investments while the Value, Capital Appreciation, Equity Index 500, and New Income funds combined to also account for net inflows of $2.3 billion. Each of these funds added more than $.5 billion. Higher market valuations and income increased fund assets by $3.9 billion.</w:t>
      </w:r>
    </w:p>
    <w:p>
      <w:pPr>
        <w:spacing w:after="0" w:line="8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increased $24.4 million, or nearly 26%, to $119.2 million. Average assets in these portfolios were $130.0 billion the first quarter of 2007, up 27% from the comparable first quarter 2006 average. Quarter-end assets totaled $131.1 billion, an increase of $2.9 billion during the first three months of 2007. Net inflows, primarily from U.S. and international institutional investors, were $1.2 billion and market gains and income added $1.7 billion.</w:t>
      </w:r>
    </w:p>
    <w:p>
      <w:pPr>
        <w:spacing w:after="0" w:line="7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Administrative fees increased $7.9 million to $83.1 million. The change in these revenues includes $1.9 million from 12b-1 distribution fees received on greater assets under management in the Advisor and R classes of our sponsored mutual fund shares. The balance of the increase is primarily attributable to our mutual fund servicing activities and defined contribution plan recordkeeping services for the mutual funds and their investors. The change in administrative fees is generally offset by similar changes in related operating expenses that we incur to distribute the Advisor and R classes of mutual fund shares through third party financial intermediaries and to provide the services to the funds and their investors.</w:t>
      </w:r>
    </w:p>
    <w:p>
      <w:pPr>
        <w:spacing w:after="0" w:line="6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Our largest expense, compensation and related costs, increased $24.2 million or 15% over the comparable 2006 quarter. The largest part of the increase is attributable to nearly $9 million of salary expense that results from an increase in our average staff size by nearly 7% coupled with an increase of our associates’ base salaries. At March 31, 2007, we employed 4,765 associates, up 3.5% from the beginning of 2007, primarily to handle increased volume-related activities and other growth. The 2007 results also include an $8 million increase to our interim bonus compensation accrual, which is based on projected operating results for 2007 that consider our strong relative and risk-adjusted investment performance, our growth in assets under management including new investor inflows, and the high quality of our investor services. Other employee benefits and employment expenses, including $1.9 million of higher stock-based compensation, account for the remainder of the increase in our compensation and related costs in the 2007 quarter.</w:t>
      </w:r>
    </w:p>
    <w:p>
      <w:pPr>
        <w:spacing w:after="0" w:line="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Advertising and promotion expenditures increased $3.8 million in response to investor interest. We expect our advertising and promotion expenditures for the second quarter and full year 2007 will each be up about 10% versus comparable 2006 spending.</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operating expenses were up $6.3 million, including $1.9 million of higher distribution expenses recognized on greater assets under management sourced from financial intermediaries that distribute our Advisor and R classes of mutual fund shares. These distribution costs are offset by an equal increase in our administrative revenues recognized from the 12b-1 fees discussed above.</w:t>
      </w:r>
    </w:p>
    <w:p>
      <w:pPr>
        <w:spacing w:after="0" w:line="73"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Our net non-operating income, which includes interest income as well as the recognition of investment gains and losses, increased $4.2 million to $11.8 million. Larger money market mutual fund balances at higher interest rates added $2.5 million of the increase.</w:t>
      </w:r>
    </w:p>
    <w:p>
      <w:pPr>
        <w:spacing w:after="0" w:line="62"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first quarter 2007 provision for income taxes as a percentage of pretax income has been recognized using an estimated 38.1% rate, down slightly from 38.3% for the year 2006 when our provision included additional amounts for the anticipated settlement of prior years’ taxes. A higher anticipated effective state income tax rate has pushed our current estimate for the full year 2007 to 38.0%, up from our prior estimate of 37.7%.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Operating activities during the first quarter of 2006 provided cash flows of $241.7 million, up $60.5 million from the 2006 period, including increased net income of $26.2 million and non-cash depreciation, amortization and stock-based compensation expense of $4.7 million.</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Increased timing differences in the cash settlements of our assets and liabilities added $29.6 million, including $14.1 million of larger estimated income tax payments for the first quarter not payable until April. Our interim operating cash outflows do not include 2007 bonus compensation that is accrued throughout the year before being substantially paid out in December.</w:t>
      </w:r>
    </w:p>
    <w:p>
      <w:pPr>
        <w:spacing w:after="0" w:line="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Net cash used in investing activities totaled $60.8 million, up $11.0 million from the 2006 period. Our investments in mutual funds and other holdings made from our larger available cash balances were $5.7 million more than in the 2006 quarter. Capital spending for property and equipment was $5.3 million more than in the 2006 period. Our anticipated capital expenditures for property and equipment in 2007 are expected to be about $145 million, down from our prior estimate of $170 million, but up $50 million from 2006.</w:t>
      </w:r>
    </w:p>
    <w:p>
      <w:pPr>
        <w:spacing w:after="0" w:line="7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Net cash used in financing activities was $42.8 million in the 2007 quarter, up $41.1 million from the comparable 2006 period. During the first quarter of 2007, we expended $23.2 million for common stock repurchases whereas no repurchases were made during the 2006 first quarter. Our increased quarterly dividend to stockholders resulted in additional outflows of $8.2 million in the 2007 quarter.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of our 2006 Form 10-K Annual Report under the caption Risk Factors.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March 31, 2007. Based on that evaluation, our principal executive and principal financial officers have concluded that our disclosure controls and procedures as of March 31, 2007, are effective at the reasonable assurance level to ensure that the information required to be disclosed by us in the reports that we file or submit under the Securities Exchange Act of 1934, including this Form 10-Q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2007, and has concluded that there was no change during the first quarter of 2007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September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were that the T. Rowe Price defendants did not make appropriate price adjustments to the foreign securities owned by the T. Rowe Price International Stock Fund prior to calculating the Fund’s daily share prices, thereby allegedly enabling market timing traders to trade the Fund’s shares in such a way as to disadvantage long-term investors. Following three years of procedural litigation in State and Federal courts, this case is currently lodged in Federal court, where a motion to remand to State court is pending. As a result of the Supreme Court’s ruling in the Dabit case holding that actions such as this one are barred by a federal preemption statute and may not be maintained as class actions under state law, it seems clear that, substantively, class actions such as this one may not be maintained in either federal court or state court. In the opinion of management, after consultation with counsel, the likelihood of an adverse determination in this matter that would have a material adverse effect on our financial position or results of operations is remote.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20" w:right="240" w:hanging="312"/>
        <w:spacing w:after="0" w:line="277" w:lineRule="auto"/>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Recent repurchase activity conducted pursuant to the Board of Director’s 2003 authorization (as increased by 15,000,000 shares on February 15, 2007)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Total Number of</w:t>
            </w:r>
          </w:p>
        </w:tc>
        <w:tc>
          <w:tcPr>
            <w:tcW w:w="1620" w:type="dxa"/>
            <w:vAlign w:val="bottom"/>
            <w:gridSpan w:val="3"/>
          </w:tcPr>
          <w:p>
            <w:pPr>
              <w:jc w:val="center"/>
              <w:ind w:left="96"/>
              <w:spacing w:after="0"/>
              <w:rPr>
                <w:sz w:val="20"/>
                <w:szCs w:val="20"/>
                <w:color w:val="auto"/>
              </w:rPr>
            </w:pPr>
            <w:r>
              <w:rPr>
                <w:rFonts w:ascii="Arial" w:cs="Arial" w:eastAsia="Arial" w:hAnsi="Arial"/>
                <w:sz w:val="14"/>
                <w:szCs w:val="14"/>
                <w:color w:val="auto"/>
                <w:w w:val="98"/>
              </w:rPr>
              <w:t>Maximum Number of</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8"/>
              </w:rPr>
              <w:t>Shares Purchased as</w:t>
            </w:r>
          </w:p>
        </w:tc>
        <w:tc>
          <w:tcPr>
            <w:tcW w:w="260" w:type="dxa"/>
            <w:vAlign w:val="bottom"/>
          </w:tcPr>
          <w:p>
            <w:pPr>
              <w:spacing w:after="0"/>
              <w:rPr>
                <w:sz w:val="12"/>
                <w:szCs w:val="12"/>
                <w:color w:val="auto"/>
              </w:rPr>
            </w:pP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Shares that May Yet</w:t>
            </w: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1900" w:type="dxa"/>
            <w:vAlign w:val="bottom"/>
            <w:gridSpan w:val="4"/>
          </w:tcPr>
          <w:p>
            <w:pPr>
              <w:jc w:val="right"/>
              <w:ind w:right="520"/>
              <w:spacing w:after="0" w:line="149" w:lineRule="exact"/>
              <w:rPr>
                <w:sz w:val="20"/>
                <w:szCs w:val="20"/>
                <w:color w:val="auto"/>
              </w:rPr>
            </w:pPr>
            <w:r>
              <w:rPr>
                <w:rFonts w:ascii="Arial" w:cs="Arial" w:eastAsia="Arial" w:hAnsi="Arial"/>
                <w:sz w:val="14"/>
                <w:szCs w:val="14"/>
                <w:color w:val="auto"/>
              </w:rPr>
              <w:t>Average Price Paid</w:t>
            </w: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Part of Publicly</w:t>
            </w:r>
          </w:p>
        </w:tc>
        <w:tc>
          <w:tcPr>
            <w:tcW w:w="26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Be Purchased Under</w:t>
            </w:r>
          </w:p>
        </w:tc>
      </w:tr>
      <w:tr>
        <w:trPr>
          <w:trHeight w:val="167"/>
        </w:trPr>
        <w:tc>
          <w:tcPr>
            <w:tcW w:w="20" w:type="dxa"/>
            <w:vAlign w:val="bottom"/>
          </w:tcPr>
          <w:p>
            <w:pPr>
              <w:spacing w:after="0"/>
              <w:rPr>
                <w:sz w:val="14"/>
                <w:szCs w:val="14"/>
                <w:color w:val="auto"/>
              </w:rPr>
            </w:pPr>
          </w:p>
        </w:tc>
        <w:tc>
          <w:tcPr>
            <w:tcW w:w="4640" w:type="dxa"/>
            <w:vAlign w:val="bottom"/>
          </w:tcPr>
          <w:p>
            <w:pPr>
              <w:ind w:left="2120"/>
              <w:spacing w:after="0"/>
              <w:rPr>
                <w:sz w:val="20"/>
                <w:szCs w:val="20"/>
                <w:color w:val="auto"/>
              </w:rPr>
            </w:pPr>
            <w:r>
              <w:rPr>
                <w:rFonts w:ascii="Arial" w:cs="Arial" w:eastAsia="Arial" w:hAnsi="Arial"/>
                <w:sz w:val="14"/>
                <w:szCs w:val="14"/>
                <w:color w:val="auto"/>
              </w:rPr>
              <w:t>Period</w:t>
            </w:r>
          </w:p>
        </w:tc>
        <w:tc>
          <w:tcPr>
            <w:tcW w:w="1720" w:type="dxa"/>
            <w:vAlign w:val="bottom"/>
            <w:gridSpan w:val="3"/>
          </w:tcPr>
          <w:p>
            <w:pPr>
              <w:ind w:left="460"/>
              <w:spacing w:after="0"/>
              <w:rPr>
                <w:sz w:val="20"/>
                <w:szCs w:val="20"/>
                <w:color w:val="auto"/>
              </w:rPr>
            </w:pPr>
            <w:r>
              <w:rPr>
                <w:rFonts w:ascii="Arial" w:cs="Arial" w:eastAsia="Arial" w:hAnsi="Arial"/>
                <w:sz w:val="14"/>
                <w:szCs w:val="14"/>
                <w:color w:val="auto"/>
              </w:rPr>
              <w:t>Shares Purchased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4"/>
                <w:szCs w:val="14"/>
                <w:color w:val="auto"/>
              </w:rPr>
              <w:t>per Share</w:t>
            </w: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Announced Programs</w:t>
            </w:r>
          </w:p>
        </w:tc>
        <w:tc>
          <w:tcPr>
            <w:tcW w:w="260" w:type="dxa"/>
            <w:vAlign w:val="bottom"/>
          </w:tcPr>
          <w:p>
            <w:pPr>
              <w:spacing w:after="0"/>
              <w:rPr>
                <w:sz w:val="14"/>
                <w:szCs w:val="14"/>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the Programs</w:t>
            </w:r>
          </w:p>
        </w:tc>
      </w:tr>
      <w:tr>
        <w:trPr>
          <w:trHeight w:val="210"/>
        </w:trPr>
        <w:tc>
          <w:tcPr>
            <w:tcW w:w="20" w:type="dxa"/>
            <w:vAlign w:val="bottom"/>
          </w:tcPr>
          <w:p>
            <w:pPr>
              <w:spacing w:after="0"/>
              <w:rPr>
                <w:sz w:val="18"/>
                <w:szCs w:val="18"/>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2007</w:t>
            </w:r>
          </w:p>
        </w:tc>
        <w:tc>
          <w:tcPr>
            <w:tcW w:w="4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3,790,868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February 2007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8"/>
                <w:szCs w:val="18"/>
                <w:color w:val="auto"/>
              </w:rPr>
            </w:pP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48.09</w:t>
            </w:r>
          </w:p>
        </w:tc>
        <w:tc>
          <w:tcPr>
            <w:tcW w:w="124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18,690,868</w:t>
            </w: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March 2007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453,482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46.67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453,482</w:t>
            </w:r>
          </w:p>
        </w:tc>
        <w:tc>
          <w:tcPr>
            <w:tcW w:w="2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18,237,386</w:t>
            </w:r>
          </w:p>
        </w:tc>
      </w:tr>
      <w:tr>
        <w:trPr>
          <w:trHeight w:val="223"/>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553,482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46.93</w:t>
            </w:r>
          </w:p>
        </w:tc>
        <w:tc>
          <w:tcPr>
            <w:tcW w:w="5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553,482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annual meeting of our stockholders was held on April 12, 2007. The proxy statement and solicitation pertaining to this meeting were previously filed with the Commission. Shares eligible to vote were 265,650,486 at the record date of February 12, 2007.</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nine nominees for the Board of Directors were elected to serve until the next annual meeting of directors or until their respective successors are elected and qualify. The tabulation of votes was: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500" w:type="dxa"/>
            <w:vAlign w:val="bottom"/>
            <w:tcBorders>
              <w:bottom w:val="single" w:sz="8" w:color="auto"/>
            </w:tcBorders>
          </w:tcPr>
          <w:p>
            <w:pPr>
              <w:ind w:left="3480"/>
              <w:spacing w:after="0"/>
              <w:rPr>
                <w:sz w:val="20"/>
                <w:szCs w:val="20"/>
                <w:color w:val="auto"/>
              </w:rPr>
            </w:pPr>
            <w:r>
              <w:rPr>
                <w:rFonts w:ascii="Arial" w:cs="Arial" w:eastAsia="Arial" w:hAnsi="Arial"/>
                <w:sz w:val="14"/>
                <w:szCs w:val="14"/>
                <w:color w:val="auto"/>
              </w:rPr>
              <w:t>Nominee</w:t>
            </w:r>
          </w:p>
        </w:tc>
        <w:tc>
          <w:tcPr>
            <w:tcW w:w="50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500" w:type="dxa"/>
            <w:vAlign w:val="bottom"/>
          </w:tcPr>
          <w:p>
            <w:pPr>
              <w:spacing w:after="0"/>
              <w:rPr>
                <w:sz w:val="14"/>
                <w:szCs w:val="14"/>
                <w:color w:val="auto"/>
              </w:rPr>
            </w:pPr>
          </w:p>
        </w:tc>
        <w:tc>
          <w:tcPr>
            <w:tcW w:w="14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Withheld</w:t>
            </w: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Edward C. Bernard</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235,138,923</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9,178,642</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James T. Brady</w:t>
            </w:r>
          </w:p>
        </w:tc>
        <w:tc>
          <w:tcPr>
            <w:tcW w:w="20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240,174,323</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4,143,242</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J. Alfred Broaddus, Jr.</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240,584,303</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3,733,262</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Donald B. Hebb, Jr.</w:t>
            </w:r>
          </w:p>
        </w:tc>
        <w:tc>
          <w:tcPr>
            <w:tcW w:w="20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225,728,149</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18,589,416</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James A.C. Kennedy</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236,418,869</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7,898,696</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Brian C. Rogers</w:t>
            </w:r>
          </w:p>
        </w:tc>
        <w:tc>
          <w:tcPr>
            <w:tcW w:w="20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235,154,669</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9,162,896</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Dr. Alfred Sommer</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240,582,737</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3,734,828</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Dwight S. Taylor</w:t>
            </w:r>
          </w:p>
        </w:tc>
        <w:tc>
          <w:tcPr>
            <w:tcW w:w="200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240,599,099</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3,718,466</w:t>
            </w: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Anne Marie Whittemore</w:t>
            </w:r>
          </w:p>
        </w:tc>
        <w:tc>
          <w:tcPr>
            <w:tcW w:w="2000" w:type="dxa"/>
            <w:vAlign w:val="bottom"/>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89"/>
              </w:rPr>
              <w:t>223,169,900</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21,147,665</w:t>
            </w:r>
          </w:p>
        </w:tc>
      </w:tr>
    </w:tbl>
    <w:p>
      <w:pPr>
        <w:spacing w:after="0" w:line="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2007 Non-Employee Director Equity Plan was approved by a vote of 157,422,331 for; 43,823,553 against; and 2,636,794 abstentions. Broker non-votes were 40,434,887. The appointment of KPMG LLP as the company’s independent registered public accounting firm for 2007 was approved by a vote of 237,010,060 for; 5,541,209 against; and 1,766,296 abstentions.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2007, we issued a press release reporting our results of operations for the first quarter of 2007. A copy of this press release is furnished herewith as Exhibit 99. The information in this Item 5 and in Exhibit 99 shall not be deemed “filed” for purposes of Section 18 of the Securities Exchange Act of 1934, nor shall it be deemed incorporated by reference in any filing under the Securities Act of 1933.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3(i)</w:t>
            </w:r>
          </w:p>
        </w:tc>
        <w:tc>
          <w:tcPr>
            <w:tcW w:w="10580" w:type="dxa"/>
            <w:vAlign w:val="bottom"/>
          </w:tcPr>
          <w:p>
            <w:pPr>
              <w:ind w:left="260"/>
              <w:spacing w:after="0"/>
              <w:rPr>
                <w:sz w:val="20"/>
                <w:szCs w:val="20"/>
                <w:color w:val="auto"/>
              </w:rPr>
            </w:pPr>
            <w:r>
              <w:rPr>
                <w:rFonts w:ascii="Arial" w:cs="Arial" w:eastAsia="Arial" w:hAnsi="Arial"/>
                <w:sz w:val="18"/>
                <w:szCs w:val="18"/>
                <w:color w:val="auto"/>
                <w:w w:val="95"/>
              </w:rPr>
              <w:t>Amended and Restated Charter of T. Rowe Price Group, Inc. as of March 9, 2001. (Incorporated by reference from Form 10-K for 2000;</w:t>
            </w:r>
          </w:p>
        </w:tc>
      </w:tr>
      <w:tr>
        <w:trPr>
          <w:trHeight w:val="230"/>
        </w:trPr>
        <w:tc>
          <w:tcPr>
            <w:tcW w:w="660" w:type="dxa"/>
            <w:vAlign w:val="bottom"/>
          </w:tcPr>
          <w:p>
            <w:pPr>
              <w:spacing w:after="0"/>
              <w:rPr>
                <w:sz w:val="20"/>
                <w:szCs w:val="20"/>
                <w:color w:val="auto"/>
              </w:rPr>
            </w:pPr>
          </w:p>
        </w:tc>
        <w:tc>
          <w:tcPr>
            <w:tcW w:w="10580" w:type="dxa"/>
            <w:vAlign w:val="bottom"/>
          </w:tcPr>
          <w:p>
            <w:pPr>
              <w:ind w:left="260"/>
              <w:spacing w:after="0"/>
              <w:rPr>
                <w:sz w:val="20"/>
                <w:szCs w:val="20"/>
                <w:color w:val="auto"/>
              </w:rPr>
            </w:pPr>
            <w:r>
              <w:rPr>
                <w:rFonts w:ascii="Arial" w:cs="Arial" w:eastAsia="Arial" w:hAnsi="Arial"/>
                <w:sz w:val="18"/>
                <w:szCs w:val="18"/>
                <w:color w:val="auto"/>
              </w:rPr>
              <w:t>Accession No. 0001113169-01-000003.)</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3(ii)</w:t>
            </w:r>
          </w:p>
        </w:tc>
        <w:tc>
          <w:tcPr>
            <w:tcW w:w="10580" w:type="dxa"/>
            <w:vAlign w:val="bottom"/>
          </w:tcPr>
          <w:p>
            <w:pPr>
              <w:ind w:left="260"/>
              <w:spacing w:after="0"/>
              <w:rPr>
                <w:sz w:val="20"/>
                <w:szCs w:val="20"/>
                <w:color w:val="auto"/>
              </w:rPr>
            </w:pPr>
            <w:r>
              <w:rPr>
                <w:rFonts w:ascii="Arial" w:cs="Arial" w:eastAsia="Arial" w:hAnsi="Arial"/>
                <w:sz w:val="18"/>
                <w:szCs w:val="18"/>
                <w:color w:val="auto"/>
                <w:w w:val="91"/>
              </w:rPr>
              <w:t>Amended and Restated By-Laws of T. Rowe Price Group, Inc. as of December 12, 2002. (Incorporated by reference from Form 10-K for 2002;</w:t>
            </w:r>
          </w:p>
        </w:tc>
      </w:tr>
      <w:tr>
        <w:trPr>
          <w:trHeight w:val="230"/>
        </w:trPr>
        <w:tc>
          <w:tcPr>
            <w:tcW w:w="660" w:type="dxa"/>
            <w:vAlign w:val="bottom"/>
          </w:tcPr>
          <w:p>
            <w:pPr>
              <w:spacing w:after="0"/>
              <w:rPr>
                <w:sz w:val="20"/>
                <w:szCs w:val="20"/>
                <w:color w:val="auto"/>
              </w:rPr>
            </w:pPr>
          </w:p>
        </w:tc>
        <w:tc>
          <w:tcPr>
            <w:tcW w:w="10580" w:type="dxa"/>
            <w:vAlign w:val="bottom"/>
          </w:tcPr>
          <w:p>
            <w:pPr>
              <w:ind w:left="260"/>
              <w:spacing w:after="0"/>
              <w:rPr>
                <w:sz w:val="20"/>
                <w:szCs w:val="20"/>
                <w:color w:val="auto"/>
              </w:rPr>
            </w:pPr>
            <w:r>
              <w:rPr>
                <w:rFonts w:ascii="Arial" w:cs="Arial" w:eastAsia="Arial" w:hAnsi="Arial"/>
                <w:sz w:val="18"/>
                <w:szCs w:val="18"/>
                <w:color w:val="auto"/>
              </w:rPr>
              <w:t>Accession No. 0000950133-03-000699.)</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10.03</w:t>
            </w:r>
          </w:p>
        </w:tc>
        <w:tc>
          <w:tcPr>
            <w:tcW w:w="10580" w:type="dxa"/>
            <w:vAlign w:val="bottom"/>
          </w:tcPr>
          <w:p>
            <w:pPr>
              <w:ind w:left="260"/>
              <w:spacing w:after="0"/>
              <w:rPr>
                <w:sz w:val="20"/>
                <w:szCs w:val="20"/>
                <w:color w:val="auto"/>
              </w:rPr>
            </w:pPr>
            <w:r>
              <w:rPr>
                <w:rFonts w:ascii="Arial" w:cs="Arial" w:eastAsia="Arial" w:hAnsi="Arial"/>
                <w:sz w:val="18"/>
                <w:szCs w:val="18"/>
                <w:color w:val="auto"/>
                <w:w w:val="93"/>
              </w:rPr>
              <w:t>Transfer Agency and Service Agreement dated as of January 1, 2007, between T. Rowe Price Services, Inc. and the T. Rowe Price Funds.</w:t>
            </w:r>
          </w:p>
        </w:tc>
      </w:tr>
      <w:tr>
        <w:trPr>
          <w:trHeight w:val="230"/>
        </w:trPr>
        <w:tc>
          <w:tcPr>
            <w:tcW w:w="660" w:type="dxa"/>
            <w:vAlign w:val="bottom"/>
          </w:tcPr>
          <w:p>
            <w:pPr>
              <w:spacing w:after="0"/>
              <w:rPr>
                <w:sz w:val="20"/>
                <w:szCs w:val="20"/>
                <w:color w:val="auto"/>
              </w:rPr>
            </w:pPr>
          </w:p>
        </w:tc>
        <w:tc>
          <w:tcPr>
            <w:tcW w:w="10580" w:type="dxa"/>
            <w:vAlign w:val="bottom"/>
          </w:tcPr>
          <w:p>
            <w:pPr>
              <w:ind w:left="260"/>
              <w:spacing w:after="0"/>
              <w:rPr>
                <w:sz w:val="20"/>
                <w:szCs w:val="20"/>
                <w:color w:val="auto"/>
              </w:rPr>
            </w:pPr>
            <w:r>
              <w:rPr>
                <w:rFonts w:ascii="Arial" w:cs="Arial" w:eastAsia="Arial" w:hAnsi="Arial"/>
                <w:sz w:val="18"/>
                <w:szCs w:val="18"/>
                <w:color w:val="auto"/>
              </w:rPr>
              <w:t>(Incorporated by reference from Form 485BPOS; Accession No. 0000871839-07-000078.)</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10.04</w:t>
            </w:r>
          </w:p>
        </w:tc>
        <w:tc>
          <w:tcPr>
            <w:tcW w:w="10580" w:type="dxa"/>
            <w:vAlign w:val="bottom"/>
          </w:tcPr>
          <w:p>
            <w:pPr>
              <w:ind w:left="260"/>
              <w:spacing w:after="0"/>
              <w:rPr>
                <w:sz w:val="20"/>
                <w:szCs w:val="20"/>
                <w:color w:val="auto"/>
              </w:rPr>
            </w:pPr>
            <w:r>
              <w:rPr>
                <w:rFonts w:ascii="Arial" w:cs="Arial" w:eastAsia="Arial" w:hAnsi="Arial"/>
                <w:sz w:val="18"/>
                <w:szCs w:val="18"/>
                <w:color w:val="auto"/>
                <w:w w:val="89"/>
              </w:rPr>
              <w:t>Agreement dated January 1, 2007, between T. Rowe Price Retirement Plan Services, Inc. and certain of the T. Rowe Price Funds. (Incorporated</w:t>
            </w:r>
          </w:p>
        </w:tc>
      </w:tr>
      <w:tr>
        <w:trPr>
          <w:trHeight w:val="230"/>
        </w:trPr>
        <w:tc>
          <w:tcPr>
            <w:tcW w:w="660" w:type="dxa"/>
            <w:vAlign w:val="bottom"/>
          </w:tcPr>
          <w:p>
            <w:pPr>
              <w:spacing w:after="0"/>
              <w:rPr>
                <w:sz w:val="20"/>
                <w:szCs w:val="20"/>
                <w:color w:val="auto"/>
              </w:rPr>
            </w:pPr>
          </w:p>
        </w:tc>
        <w:tc>
          <w:tcPr>
            <w:tcW w:w="10580" w:type="dxa"/>
            <w:vAlign w:val="bottom"/>
          </w:tcPr>
          <w:p>
            <w:pPr>
              <w:ind w:left="260"/>
              <w:spacing w:after="0"/>
              <w:rPr>
                <w:sz w:val="20"/>
                <w:szCs w:val="20"/>
                <w:color w:val="auto"/>
              </w:rPr>
            </w:pPr>
            <w:r>
              <w:rPr>
                <w:rFonts w:ascii="Arial" w:cs="Arial" w:eastAsia="Arial" w:hAnsi="Arial"/>
                <w:sz w:val="18"/>
                <w:szCs w:val="18"/>
                <w:color w:val="auto"/>
              </w:rPr>
              <w:t>by reference from Form 485BPOS; Accession No. 0000871839-07-000078.)</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10.08</w:t>
            </w:r>
          </w:p>
        </w:tc>
        <w:tc>
          <w:tcPr>
            <w:tcW w:w="10580" w:type="dxa"/>
            <w:vAlign w:val="bottom"/>
          </w:tcPr>
          <w:p>
            <w:pPr>
              <w:ind w:left="260"/>
              <w:spacing w:after="0"/>
              <w:rPr>
                <w:sz w:val="20"/>
                <w:szCs w:val="20"/>
                <w:color w:val="auto"/>
              </w:rPr>
            </w:pPr>
            <w:r>
              <w:rPr>
                <w:rFonts w:ascii="Arial" w:cs="Arial" w:eastAsia="Arial" w:hAnsi="Arial"/>
                <w:sz w:val="18"/>
                <w:szCs w:val="18"/>
                <w:color w:val="auto"/>
              </w:rPr>
              <w:t>Schedule of Non-Employee Director Compensation.</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tcPr>
          <w:p>
            <w:pPr>
              <w:ind w:left="260"/>
              <w:spacing w:after="0"/>
              <w:rPr>
                <w:sz w:val="20"/>
                <w:szCs w:val="20"/>
                <w:color w:val="auto"/>
              </w:rPr>
            </w:pPr>
            <w:r>
              <w:rPr>
                <w:rFonts w:ascii="Arial" w:cs="Arial" w:eastAsia="Arial" w:hAnsi="Arial"/>
                <w:sz w:val="18"/>
                <w:szCs w:val="18"/>
                <w:color w:val="auto"/>
                <w:w w:val="98"/>
              </w:rPr>
              <w:t>2007 Non-Employee Director Equity Plan. (Incorporated by reference from Form DEF 14A; Accession No. 0001113169-07-000018.)</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580" w:type="dxa"/>
            <w:vAlign w:val="bottom"/>
          </w:tcPr>
          <w:p>
            <w:pPr>
              <w:ind w:left="260"/>
              <w:spacing w:after="0"/>
              <w:rPr>
                <w:sz w:val="20"/>
                <w:szCs w:val="20"/>
                <w:color w:val="auto"/>
              </w:rPr>
            </w:pPr>
            <w:r>
              <w:rPr>
                <w:rFonts w:ascii="Arial" w:cs="Arial" w:eastAsia="Arial" w:hAnsi="Arial"/>
                <w:sz w:val="18"/>
                <w:szCs w:val="18"/>
                <w:color w:val="auto"/>
                <w:w w:val="93"/>
              </w:rPr>
              <w:t>Form of option agreement available for awards issued under the 2007 Non-Employee Director Equity Plan (Incorporated by reference from</w:t>
            </w:r>
          </w:p>
        </w:tc>
      </w:tr>
      <w:tr>
        <w:trPr>
          <w:trHeight w:val="230"/>
        </w:trPr>
        <w:tc>
          <w:tcPr>
            <w:tcW w:w="660" w:type="dxa"/>
            <w:vAlign w:val="bottom"/>
          </w:tcPr>
          <w:p>
            <w:pPr>
              <w:spacing w:after="0"/>
              <w:rPr>
                <w:sz w:val="20"/>
                <w:szCs w:val="20"/>
                <w:color w:val="auto"/>
              </w:rPr>
            </w:pPr>
          </w:p>
        </w:tc>
        <w:tc>
          <w:tcPr>
            <w:tcW w:w="10580" w:type="dxa"/>
            <w:vAlign w:val="bottom"/>
          </w:tcPr>
          <w:p>
            <w:pPr>
              <w:ind w:left="260"/>
              <w:spacing w:after="0"/>
              <w:rPr>
                <w:sz w:val="20"/>
                <w:szCs w:val="20"/>
                <w:color w:val="auto"/>
              </w:rPr>
            </w:pPr>
            <w:r>
              <w:rPr>
                <w:rFonts w:ascii="Arial" w:cs="Arial" w:eastAsia="Arial" w:hAnsi="Arial"/>
                <w:sz w:val="18"/>
                <w:szCs w:val="18"/>
                <w:color w:val="auto"/>
              </w:rPr>
              <w:t>Form S-8; Accession No. 0000950133-07-001664.)</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580" w:type="dxa"/>
            <w:vAlign w:val="bottom"/>
          </w:tcPr>
          <w:p>
            <w:pPr>
              <w:ind w:left="260"/>
              <w:spacing w:after="0"/>
              <w:rPr>
                <w:sz w:val="20"/>
                <w:szCs w:val="20"/>
                <w:color w:val="auto"/>
              </w:rPr>
            </w:pPr>
            <w:r>
              <w:rPr>
                <w:rFonts w:ascii="Arial" w:cs="Arial" w:eastAsia="Arial" w:hAnsi="Arial"/>
                <w:sz w:val="18"/>
                <w:szCs w:val="18"/>
                <w:color w:val="auto"/>
                <w:w w:val="90"/>
              </w:rPr>
              <w:t>Form of restricted stock agreement available for awards issued under the 2007 Non-Employee Director Equity Plan (Incorporated by reference</w:t>
            </w:r>
          </w:p>
        </w:tc>
      </w:tr>
      <w:tr>
        <w:trPr>
          <w:trHeight w:val="230"/>
        </w:trPr>
        <w:tc>
          <w:tcPr>
            <w:tcW w:w="660" w:type="dxa"/>
            <w:vAlign w:val="bottom"/>
          </w:tcPr>
          <w:p>
            <w:pPr>
              <w:spacing w:after="0"/>
              <w:rPr>
                <w:sz w:val="20"/>
                <w:szCs w:val="20"/>
                <w:color w:val="auto"/>
              </w:rPr>
            </w:pPr>
          </w:p>
        </w:tc>
        <w:tc>
          <w:tcPr>
            <w:tcW w:w="10580" w:type="dxa"/>
            <w:vAlign w:val="bottom"/>
          </w:tcPr>
          <w:p>
            <w:pPr>
              <w:ind w:left="260"/>
              <w:spacing w:after="0"/>
              <w:rPr>
                <w:sz w:val="20"/>
                <w:szCs w:val="20"/>
                <w:color w:val="auto"/>
              </w:rPr>
            </w:pPr>
            <w:r>
              <w:rPr>
                <w:rFonts w:ascii="Arial" w:cs="Arial" w:eastAsia="Arial" w:hAnsi="Arial"/>
                <w:sz w:val="18"/>
                <w:szCs w:val="18"/>
                <w:color w:val="auto"/>
              </w:rPr>
              <w:t>from Form S-8; Accession No. 0000950133-07-001664.)</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580" w:type="dxa"/>
            <w:vAlign w:val="bottom"/>
          </w:tcPr>
          <w:p>
            <w:pPr>
              <w:ind w:left="260"/>
              <w:spacing w:after="0"/>
              <w:rPr>
                <w:sz w:val="20"/>
                <w:szCs w:val="20"/>
                <w:color w:val="auto"/>
              </w:rPr>
            </w:pPr>
            <w:r>
              <w:rPr>
                <w:rFonts w:ascii="Arial" w:cs="Arial" w:eastAsia="Arial" w:hAnsi="Arial"/>
                <w:sz w:val="18"/>
                <w:szCs w:val="18"/>
                <w:color w:val="auto"/>
                <w:w w:val="94"/>
              </w:rPr>
              <w:t>Form of restricted stock units agreement available for awards issued under the 2007 Non-Employee Director Equity Plan (Incorporated by</w:t>
            </w:r>
          </w:p>
        </w:tc>
      </w:tr>
      <w:tr>
        <w:trPr>
          <w:trHeight w:val="230"/>
        </w:trPr>
        <w:tc>
          <w:tcPr>
            <w:tcW w:w="660" w:type="dxa"/>
            <w:vAlign w:val="bottom"/>
          </w:tcPr>
          <w:p>
            <w:pPr>
              <w:spacing w:after="0"/>
              <w:rPr>
                <w:sz w:val="20"/>
                <w:szCs w:val="20"/>
                <w:color w:val="auto"/>
              </w:rPr>
            </w:pPr>
          </w:p>
        </w:tc>
        <w:tc>
          <w:tcPr>
            <w:tcW w:w="10580" w:type="dxa"/>
            <w:vAlign w:val="bottom"/>
          </w:tcPr>
          <w:p>
            <w:pPr>
              <w:ind w:left="260"/>
              <w:spacing w:after="0"/>
              <w:rPr>
                <w:sz w:val="20"/>
                <w:szCs w:val="20"/>
                <w:color w:val="auto"/>
              </w:rPr>
            </w:pPr>
            <w:r>
              <w:rPr>
                <w:rFonts w:ascii="Arial" w:cs="Arial" w:eastAsia="Arial" w:hAnsi="Arial"/>
                <w:sz w:val="18"/>
                <w:szCs w:val="18"/>
                <w:color w:val="auto"/>
              </w:rPr>
              <w:t>reference from Form S-8; Accession No. 0000950133-07-001664.)</w:t>
            </w:r>
          </w:p>
        </w:tc>
      </w:tr>
    </w:tbl>
    <w:p>
      <w:pPr>
        <w:spacing w:after="0" w:line="202"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31(i).1</w:t>
      </w:r>
      <w:r>
        <w:rPr>
          <w:rFonts w:ascii="Arial" w:cs="Arial" w:eastAsia="Arial" w:hAnsi="Arial"/>
          <w:sz w:val="16"/>
          <w:szCs w:val="16"/>
          <w:color w:val="auto"/>
        </w:rPr>
        <w:t>Rule 13a-14(a) Certification of Principal Executive Officer.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31(i).2</w:t>
      </w:r>
      <w:r>
        <w:rPr>
          <w:rFonts w:ascii="Arial" w:cs="Arial" w:eastAsia="Arial" w:hAnsi="Arial"/>
          <w:sz w:val="16"/>
          <w:szCs w:val="16"/>
          <w:color w:val="auto"/>
        </w:rPr>
        <w:t>Rule 13a-14(a) Certification of Principal Financial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32</w:t>
            </w:r>
          </w:p>
        </w:tc>
        <w:tc>
          <w:tcPr>
            <w:tcW w:w="7420" w:type="dxa"/>
            <w:vAlign w:val="bottom"/>
          </w:tcPr>
          <w:p>
            <w:pPr>
              <w:ind w:left="360"/>
              <w:spacing w:after="0"/>
              <w:rPr>
                <w:sz w:val="20"/>
                <w:szCs w:val="20"/>
                <w:color w:val="auto"/>
              </w:rPr>
            </w:pPr>
            <w:r>
              <w:rPr>
                <w:rFonts w:ascii="Arial" w:cs="Arial" w:eastAsia="Arial" w:hAnsi="Arial"/>
                <w:sz w:val="18"/>
                <w:szCs w:val="18"/>
                <w:color w:val="auto"/>
              </w:rPr>
              <w:t>Section 1350 Certifications.</w:t>
            </w:r>
          </w:p>
        </w:tc>
      </w:tr>
      <w:tr>
        <w:trPr>
          <w:trHeight w:val="432"/>
        </w:trPr>
        <w:tc>
          <w:tcPr>
            <w:tcW w:w="560" w:type="dxa"/>
            <w:vAlign w:val="bottom"/>
          </w:tcPr>
          <w:p>
            <w:pPr>
              <w:jc w:val="right"/>
              <w:ind w:right="290"/>
              <w:spacing w:after="0"/>
              <w:rPr>
                <w:sz w:val="20"/>
                <w:szCs w:val="20"/>
                <w:color w:val="auto"/>
              </w:rPr>
            </w:pPr>
            <w:r>
              <w:rPr>
                <w:rFonts w:ascii="Arial" w:cs="Arial" w:eastAsia="Arial" w:hAnsi="Arial"/>
                <w:sz w:val="18"/>
                <w:szCs w:val="18"/>
                <w:color w:val="auto"/>
                <w:w w:val="79"/>
              </w:rPr>
              <w:t>99</w:t>
            </w:r>
          </w:p>
        </w:tc>
        <w:tc>
          <w:tcPr>
            <w:tcW w:w="7420" w:type="dxa"/>
            <w:vAlign w:val="bottom"/>
          </w:tcPr>
          <w:p>
            <w:pPr>
              <w:ind w:left="360"/>
              <w:spacing w:after="0"/>
              <w:rPr>
                <w:sz w:val="20"/>
                <w:szCs w:val="20"/>
                <w:color w:val="auto"/>
              </w:rPr>
            </w:pPr>
            <w:r>
              <w:rPr>
                <w:rFonts w:ascii="Arial" w:cs="Arial" w:eastAsia="Arial" w:hAnsi="Arial"/>
                <w:sz w:val="18"/>
                <w:szCs w:val="18"/>
                <w:color w:val="auto"/>
                <w:w w:val="90"/>
              </w:rPr>
              <w:t>Press release issued April 25, 2007 reporting our results of operations for the first quarter of 2007.</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April 25,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00"/>
          </w:cols>
          <w:pgMar w:left="240" w:top="931"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Exhibit 10.08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 Rowe Price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Non-Employee Director Compensation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April 12, 2007</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fees are paid semiannually, on the last business days of June and December, or at the beginning of the following year if payment is deferred pursuant to the Outside Directors Deferred Compensation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Fee</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75,000</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Committee Meeting Fees, per meeting</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1,500</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Committee Annual Retainer Fees:</w:t>
            </w:r>
          </w:p>
        </w:tc>
        <w:tc>
          <w:tcPr>
            <w:tcW w:w="29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Audit Committee Chairperson</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w w:val="87"/>
              </w:rPr>
              <w:t>10,000</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Audit Committee Member</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5,000</w:t>
            </w: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Executive Compensation Committee Chairperson</w:t>
            </w:r>
          </w:p>
        </w:tc>
        <w:tc>
          <w:tcPr>
            <w:tcW w:w="29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5,000</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Nominating and Corporate Governance Committee Chairperson</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5,000</w:t>
            </w: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our 2007 Non-Employee Director Equity Plan, each non-employee director is entitled to make certain elections regarding the form of his or her equity compensation.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60" w:type="dxa"/>
            <w:vAlign w:val="bottom"/>
            <w:tcBorders>
              <w:bottom w:val="single" w:sz="8" w:color="auto"/>
            </w:tcBorders>
          </w:tcPr>
          <w:p>
            <w:pPr>
              <w:ind w:left="2500"/>
              <w:spacing w:after="0"/>
              <w:rPr>
                <w:sz w:val="20"/>
                <w:szCs w:val="20"/>
                <w:color w:val="auto"/>
              </w:rPr>
            </w:pPr>
            <w:r>
              <w:rPr>
                <w:rFonts w:ascii="Arial" w:cs="Arial" w:eastAsia="Arial" w:hAnsi="Arial"/>
                <w:sz w:val="14"/>
                <w:szCs w:val="14"/>
                <w:color w:val="auto"/>
              </w:rPr>
              <w:t>Event</w:t>
            </w:r>
          </w:p>
        </w:tc>
        <w:tc>
          <w:tcPr>
            <w:tcW w:w="340" w:type="dxa"/>
            <w:vAlign w:val="bottom"/>
          </w:tcPr>
          <w:p>
            <w:pPr>
              <w:spacing w:after="0"/>
              <w:rPr>
                <w:sz w:val="14"/>
                <w:szCs w:val="1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Non-Employee Director’s Alternatives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Initial election or appointment to the Board</w:t>
            </w:r>
          </w:p>
        </w:tc>
        <w:tc>
          <w:tcPr>
            <w:tcW w:w="340" w:type="dxa"/>
            <w:vAlign w:val="bottom"/>
            <w:shd w:val="clear" w:color="auto" w:fill="CCEEFF"/>
          </w:tcPr>
          <w:p>
            <w:pPr>
              <w:spacing w:after="0"/>
              <w:rPr>
                <w:sz w:val="17"/>
                <w:szCs w:val="17"/>
                <w:color w:val="auto"/>
              </w:rPr>
            </w:pPr>
          </w:p>
        </w:tc>
        <w:tc>
          <w:tcPr>
            <w:tcW w:w="5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4,000 restricted shares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4,000 stock units</w:t>
            </w:r>
          </w:p>
        </w:tc>
        <w:tc>
          <w:tcPr>
            <w:tcW w:w="0" w:type="dxa"/>
            <w:vAlign w:val="bottom"/>
          </w:tcPr>
          <w:p>
            <w:pPr>
              <w:spacing w:after="0"/>
              <w:rPr>
                <w:sz w:val="1"/>
                <w:szCs w:val="1"/>
                <w:color w:val="auto"/>
              </w:rPr>
            </w:pPr>
          </w:p>
        </w:tc>
      </w:tr>
      <w:tr>
        <w:trPr>
          <w:trHeight w:val="418"/>
        </w:trPr>
        <w:tc>
          <w:tcPr>
            <w:tcW w:w="5380" w:type="dxa"/>
            <w:vAlign w:val="bottom"/>
            <w:gridSpan w:val="2"/>
          </w:tcPr>
          <w:p>
            <w:pPr>
              <w:spacing w:after="0"/>
              <w:rPr>
                <w:sz w:val="20"/>
                <w:szCs w:val="20"/>
                <w:color w:val="auto"/>
              </w:rPr>
            </w:pPr>
            <w:r>
              <w:rPr>
                <w:rFonts w:ascii="Arial" w:cs="Arial" w:eastAsia="Arial" w:hAnsi="Arial"/>
                <w:sz w:val="18"/>
                <w:szCs w:val="18"/>
                <w:color w:val="auto"/>
              </w:rPr>
              <w:t>Semiannual grants</w:t>
            </w:r>
          </w:p>
        </w:tc>
        <w:tc>
          <w:tcPr>
            <w:tcW w:w="34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1"/>
              </w:rPr>
              <w:t>4,000 options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89"/>
              </w:rPr>
              <w:t>1,200 restricted shares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1,200 stock units</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initial grant will be made at the close of business on the first business day after the first regular meeting of our Board of Directors held on or after that director’s election or appointment. Semiannual grants will be made as of the close of business on the third business day after our earnings release for the first and third fiscal quarters of each year. Non-employee directors will not be entitled to semiannual grants in the calendar year in which they receive an initial grant. All awards will be subject to adjustment by our Nominating and Corporate Governance Committee and upon certain capitalization and change-in-control events.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Options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All options will have an exercise price per share equal to the fair market value per share of our common stock on the grant date, and will vest one year after the grant date or, if earlier, upon the director’s death. Unvested options will terminate when the non-employee director ceases to be a member of the Board for any reason other than death. Vested options will terminate 10 years after the grant date or, if earlier, five years after the director leaves the Board for any reason.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Shares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Restricted shares vest and generally become transferable one year after the grant date if the non-employee director is then a member of our Board or, if earlier, upon the director’s death. All regular cash dividends payable with respect to restricted shares will be paid in cash directly to the non-employee director even if the restricted shares remain unvested. If and when a non-employee director ceases to be a member of the Board for any reason other than death, all unvested restricted shares will be forfeited to the company without consideration.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Units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Stock units vest one year after the grant date if the non-employee director is then a member of the Board or, if earlier, upon the director’s death. If and when the non-employee director ceases to be a member of the Board for any reason other than death, all unvested stock units will be forfeited to the company without consideration. All vested stock units will be settled upon separation from service, as defined by Section 409A of the Internal Revenue Code. If and when we declare a cash dividend payable to our common stockholders, non-employee directors holding stock units will be credited with additional, vested stock units equal to the number of shares of our common stock that could be purchased on the dividend payment date with the aggregate amount of dividends that would have been received if the stock units had been outstanding shares.</w:t>
      </w:r>
    </w:p>
    <w:p>
      <w:pPr>
        <w:sectPr>
          <w:pgSz w:w="11900" w:h="16838" w:orient="portrait"/>
          <w:cols w:equalWidth="0" w:num="1">
            <w:col w:w="11420"/>
          </w:cols>
          <w:pgMar w:left="240" w:top="93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Exhibit 15</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Letter from KPMG LLP, independent registered public accounting firm,</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 unaudited interim financial information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No. 333-120883 and No. 333-142092</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April 24, 2007 related to our review of interim financial information.</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2007</w:t>
      </w:r>
    </w:p>
    <w:p>
      <w:pPr>
        <w:sectPr>
          <w:pgSz w:w="11900" w:h="16838" w:orient="portrait"/>
          <w:cols w:equalWidth="0" w:num="1">
            <w:col w:w="11280"/>
          </w:cols>
          <w:pgMar w:left="240" w:top="931"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Exhibit 31(i).1</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2007 of T. Rowe Price Group, Inc.;</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24,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136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Exhibit 31(i).2</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March 31, 2007 of T. Rowe Price Group, Inc.;</w:t>
      </w:r>
    </w:p>
    <w:p>
      <w:pPr>
        <w:spacing w:after="0" w:line="117" w:lineRule="exact"/>
        <w:rPr>
          <w:rFonts w:ascii="Arial" w:cs="Arial" w:eastAsia="Arial" w:hAnsi="Arial"/>
          <w:sz w:val="18"/>
          <w:szCs w:val="18"/>
          <w:color w:val="auto"/>
        </w:rPr>
      </w:pPr>
    </w:p>
    <w:p>
      <w:pPr>
        <w:ind w:left="260" w:right="180" w:hanging="252"/>
        <w:spacing w:after="0" w:line="342"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4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20" w:hanging="252"/>
        <w:spacing w:after="0" w:line="264"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20" w:firstLine="221"/>
        <w:spacing w:after="0" w:line="264"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40" w:firstLine="221"/>
        <w:spacing w:after="0" w:line="264"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firstLine="221"/>
        <w:spacing w:after="0" w:line="277"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40" w:firstLine="221"/>
        <w:spacing w:after="0" w:line="308" w:lineRule="auto"/>
        <w:tabs>
          <w:tab w:leader="none" w:pos="7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60" w:hanging="252"/>
        <w:spacing w:after="0" w:line="308" w:lineRule="auto"/>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380" w:firstLine="221"/>
        <w:spacing w:after="0" w:line="277" w:lineRule="auto"/>
        <w:tabs>
          <w:tab w:leader="none" w:pos="71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40" w:firstLine="221"/>
        <w:spacing w:after="0" w:line="277"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24,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136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1350 Certifications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2007 of T. Rowe Price Group, Inc., that:</w:t>
      </w:r>
    </w:p>
    <w:p>
      <w:pPr>
        <w:spacing w:after="0" w:line="6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20" w:firstLine="8"/>
        <w:spacing w:after="0" w:line="277" w:lineRule="auto"/>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April 24, 2007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1364" w:right="2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423025" cy="1089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2302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680"/>
        <w:spacing w:after="0" w:line="400" w:lineRule="auto"/>
        <w:rPr>
          <w:sz w:val="20"/>
          <w:szCs w:val="20"/>
          <w:color w:val="auto"/>
        </w:rPr>
      </w:pPr>
      <w:r>
        <w:rPr>
          <w:rFonts w:ascii="Arial" w:cs="Arial" w:eastAsia="Arial" w:hAnsi="Arial"/>
          <w:sz w:val="17"/>
          <w:szCs w:val="17"/>
          <w:b w:val="1"/>
          <w:bCs w:val="1"/>
          <w:color w:val="auto"/>
        </w:rPr>
        <w:t xml:space="preserve">T. ROWE PRICE GROUP REPORTS FIRST QUARTER 2007 RESULTS </w:t>
      </w:r>
      <w:r>
        <w:rPr>
          <w:rFonts w:ascii="Arial" w:cs="Arial" w:eastAsia="Arial" w:hAnsi="Arial"/>
          <w:sz w:val="17"/>
          <w:szCs w:val="17"/>
          <w:b w:val="1"/>
          <w:bCs w:val="1"/>
          <w:i w:val="1"/>
          <w:iCs w:val="1"/>
          <w:color w:val="auto"/>
        </w:rPr>
        <w:t>Assets Under Management at March 31 Reach Record $349.9 Billion</w:t>
      </w:r>
    </w:p>
    <w:p>
      <w:pPr>
        <w:spacing w:after="0" w:line="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BALTIMORE (April 25, 2007) — T. Rowe Price Group, Inc. (Nasdaq-GS: TROW) today reported its quarterly results for the first quarter of 2007 that include net revenues of $508 million, net income of nearly $143 million, and diluted earnings per share of $.51, an increase of 21% from $.42 per share in the comparable 2006 quarter. Net revenues in the first quarter of 2006 were $429 million, and net income was nearly $117 million.</w:t>
      </w:r>
    </w:p>
    <w:p>
      <w:pPr>
        <w:spacing w:after="0" w:line="5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Investment advisory revenues were up $71 million or 20% from the 2006 first quarter. Assets under management increased to a record $349.9 billion at March 31, 2007, up 4.5% or $15.2 billion since the end of 2006. Net cash inflows from investors were $9.6 billion during the first quarter of 2007. Net market appreciation and income added $5.6 billion.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 split its common shares two-for-one in June 2006, and data for the first quarter of 2006 has been adjusted to reflect this split.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to $306 million for the first quarter of 2007, up $47 million from the 2006 first quarter. Mutual fund assets increased $12.3 billion across all distribution channels during the first quarter of 2007 and ended the quarter at $218.8 billion. Investors added net inflows of $8.4 billion to the mutual funds during the quarter while market appreciation and income added $3.9 billion. Net cash inflows were spread among the funds, with the U.S. stock and blended asset funds adding nearly $5.7 billion, the bond and money market funds adding $1.7 billion and the international stock funds adding $1.0 billion. The Growth Stock Fund added $2.3 billion of net investments during the quarter.</w:t>
      </w:r>
    </w:p>
    <w:p>
      <w:pPr>
        <w:spacing w:after="0" w:line="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series of target-date Retirement Funds, which provide fund shareholders with single, diversified portfolios that invest in underlying T. Rowe Price funds and automatically adjust fund asset allocations as investors age, continue to be a significant source of mutual fund asset growth. Net inflows of $2.8 billion originated in the Retirement Funds during the first quarter of 2007, the largest quarterly amount since this series of funds was launched in September 2002. Total fund assets in the Retirement Funds were $20.5 billion at March 31, 2007.</w:t>
      </w:r>
    </w:p>
    <w:p>
      <w:pPr>
        <w:spacing w:after="0" w:line="7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Investment advisory revenues earned from other managed investment portfolios, consisting of institutional separate accounts, sub-advised funds, sponsored mutual funds which are offered to non-U.S. investors, and variable insurance portfolios, were $119 million in the 2007 quarter, an increase of $24 million from the 2006 first quarter. Ending assets in these portfolios were $131.1 billion, up $2.9 billion since the beginning of the year. Market value appreciation added $1.7 billion and net cash inflows, primarily from institutional investors in the U.S. and other countries, were $1.2 billion during the first quarter. Investors outside the United States now account for more than 7% of our assets under management.</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expenses were $289.5 million in the first quarter of 2007, up $38.7 million from the 2006 first quarter. The largest expense, compensation and related costs, increased $24.2 million or 15% over the comparable 2006 quarter, primarily due to higher salary and bonus compensation expense. The firm has increased its average staff size by nearly 7% since the first quarter of 2006. At March 31, 2007, the firm employed 4,765 associates, up 3.5% from the beginning of 2007, primarily to handle increased volume-related activities and other growth.</w:t>
      </w:r>
    </w:p>
    <w:p>
      <w:pPr>
        <w:spacing w:after="0" w:line="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Advertising and promotion expenditures increased $3.8 million in response to investor interest. Advertising and promotion expenditures for the second quarter and full year 2007 are expected to each be up about 10% versus comparable 2006 spending.</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operating expenses were up $6.3 million, including $1.9 million of higher distribution expenses recognized on greater assets under management sourced from financial intermediaries that distribute the Advisor and R classes of mutual fund shares. These distribution costs are offset by an equal increase in administrative revenues recognized from the 12b-1 fees.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non-operating income, which includes interest income as well as the recognition of investment gains and losses, increased $4.2 million to $11.8 million, due primarily to larger money market mutual fund balances at higher interest rates.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jc w:val="both"/>
        <w:ind w:right="280"/>
        <w:spacing w:after="0" w:line="286" w:lineRule="auto"/>
        <w:rPr>
          <w:sz w:val="20"/>
          <w:szCs w:val="20"/>
          <w:color w:val="auto"/>
        </w:rPr>
      </w:pPr>
      <w:r>
        <w:rPr>
          <w:rFonts w:ascii="Arial" w:cs="Arial" w:eastAsia="Arial" w:hAnsi="Arial"/>
          <w:sz w:val="17"/>
          <w:szCs w:val="17"/>
          <w:color w:val="auto"/>
        </w:rPr>
        <w:t>The first quarter 2007 provision for income taxes as a percentage of pretax income has been recognized using an estimated 38.1% rate, down slightly from 38.3% for the year 2006 when the provision included additional amounts for the anticipated settlement of prior years’ taxes. A higher anticipated effective state income tax rate has pushed the current estimate for the full year 2007 to 38.0%, up from the prior estimate of 37.7%.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James A.C. Kennedy, the company’s Chief Executive Officer and President, commented: “The firm’s investment advisory results relative to our peers remain strong, with at least 77% of the T. Rowe Price funds across their share classes surpassing their comparable Lipper averages on a total return basis for the one-, three-, and five-year periods ended March 31, 2007, and 71% outperforming the average for the 10-year period. In addition, 77 of the T. Rowe Price stock and bond funds across their share classes, which account for more than 73% of stock and bond fund assets under management, ended the first quarter with an overall rating of four or five stars from Morningstar. These four- and five-star rated investments represent 63% of our rated funds and share classes, compared with 32.5% for the overall industry.</w:t>
      </w:r>
    </w:p>
    <w:p>
      <w:pPr>
        <w:spacing w:after="0" w:line="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strong first quarter performance was achieved during a period in which fixed-income markets performed reasonably well while global equity markets on an overall basis produced modest returns. A major mid-quarter Asian market sell-off and subprime mortgage concerns in the U.S. led to steep market declines from February highs. As they did last year, though, global markets showed resilience, with the S&amp;P 500, for example, reaching a six-and-a-half-year high in April. Looking ahead, our outlook for the financial markets remains positive; however, market volatility has increased and corporate earnings growth in the U.S. will likely moderate as we proceed through the year. We believe the global economy will continue to expand, albeit at a slower pace from the rapid growth of recent years. Prospects for relatively stable interest rates are favorable, and we continue to be encouraged by strong corporate balance sheets and investor liquidity. While valuations are not as supportive as they once were, they still seem reasonable.</w:t>
      </w:r>
    </w:p>
    <w:p>
      <w:pPr>
        <w:spacing w:after="0" w:line="5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 Rowe Price’s strong capital position gives us substantial financial flexibility,” Mr. Kennedy added. “As a result, we continue to invest in our business and to position our firm for growth opportunities. Along with a modest increase in the size of our staff, we are planning $145 million of capital expenditures this year. Our directors increased our quarterly corporate dividend by 21% to $.17 per share versus $.14 per share at this time last year. We have also repurchased more than 683,000 common shares for $32.3 million thus far in 2007. T. Rowe Price Group remains debt free and we have cash and corporate investment holdings of $1.6 billion at March 31, 2007.”</w:t>
      </w:r>
    </w:p>
    <w:p>
      <w:pPr>
        <w:spacing w:after="0" w:line="8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closing, Mr. Kennedy said: “The outlook for our company remains strong. We have an outstanding pool of employees who are focused on our clients, a healthy balance sheet, a brand that is increasingly respected around the globe, and a business model that is diversified across distribution channels and investment portfolios. Despite the ebbs and flows of the markets, we believe investors will continue to be well served over the long term by our disciplined investment approach and culture.”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financial results presented in this release are unaudited. The company expects that it will file its Form 10-Q Quarterly Report for the first quarter of 2007 with the U.S. Securities and Exchange Commission later today. The Form 10-Q will include more complete information on the company’s unaudited financial results.</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statements in this press release may represent “forward-looking information,” including information relating to anticipated growth in revenues, net income and earnings per share, anticipated changes in the amount and composition of assets under management, anticipated expense levels, and expectations regarding financial and other market conditions. For a discussion concerning risks and other factors that could affect future results, see the company’s Form 10-K and Form 10-Q reports.</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Unaudited Condensed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4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353.9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430.3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429.3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28.0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8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4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186.1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69.4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vMerge w:val="continue"/>
          </w:tcPr>
          <w:p>
            <w:pPr>
              <w:spacing w:after="0"/>
              <w:rPr>
                <w:sz w:val="24"/>
                <w:szCs w:val="24"/>
                <w:color w:val="auto"/>
              </w:rPr>
            </w:pP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vMerge w:val="continue"/>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4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49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4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264.0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assuming dilution</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4300" w:type="dxa"/>
            <w:vAlign w:val="bottom"/>
            <w:vMerge w:val="restart"/>
          </w:tcPr>
          <w:p>
            <w:pPr>
              <w:jc w:val="right"/>
              <w:ind w:right="3370"/>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Borders>
              <w:bottom w:val="single" w:sz="8" w:color="808080"/>
            </w:tcBorders>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Investment Advisory Revenues (in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93"/>
              </w:rPr>
              <w:t>3/31/2006</w:t>
            </w:r>
          </w:p>
        </w:tc>
        <w:tc>
          <w:tcPr>
            <w:tcW w:w="36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3/31/2007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222.9</w:t>
            </w:r>
          </w:p>
        </w:tc>
        <w:tc>
          <w:tcPr>
            <w:tcW w:w="5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259.1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353.9</w:t>
            </w:r>
          </w:p>
        </w:tc>
        <w:tc>
          <w:tcPr>
            <w:tcW w:w="5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425.0</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color w:val="auto"/>
              </w:rPr>
              <w:t>Average during</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the first quarter</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12/31/2006</w:t>
            </w:r>
          </w:p>
        </w:tc>
        <w:tc>
          <w:tcPr>
            <w:tcW w:w="360" w:type="dxa"/>
            <w:vAlign w:val="bottom"/>
          </w:tcPr>
          <w:p>
            <w:pPr>
              <w:spacing w:after="0"/>
              <w:rPr>
                <w:sz w:val="14"/>
                <w:szCs w:val="14"/>
                <w:color w:val="auto"/>
              </w:rPr>
            </w:pPr>
          </w:p>
        </w:tc>
        <w:tc>
          <w:tcPr>
            <w:tcW w:w="1000" w:type="dxa"/>
            <w:vAlign w:val="bottom"/>
            <w:gridSpan w:val="3"/>
            <w:vMerge w:val="restart"/>
          </w:tcPr>
          <w:p>
            <w:pPr>
              <w:jc w:val="right"/>
              <w:spacing w:after="0"/>
              <w:rPr>
                <w:sz w:val="20"/>
                <w:szCs w:val="20"/>
                <w:color w:val="auto"/>
              </w:rPr>
            </w:pPr>
            <w:r>
              <w:rPr>
                <w:rFonts w:ascii="Arial" w:cs="Arial" w:eastAsia="Arial" w:hAnsi="Arial"/>
                <w:sz w:val="14"/>
                <w:szCs w:val="14"/>
                <w:color w:val="auto"/>
              </w:rPr>
              <w:t>3/31/2007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2006</w:t>
            </w: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2007</w:t>
            </w:r>
          </w:p>
        </w:tc>
        <w:tc>
          <w:tcPr>
            <w:tcW w:w="3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146.4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174.6</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168.5</w:t>
            </w:r>
          </w:p>
        </w:tc>
        <w:tc>
          <w:tcPr>
            <w:tcW w:w="5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130.0</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267.0</w:t>
            </w:r>
          </w:p>
        </w:tc>
        <w:tc>
          <w:tcPr>
            <w:tcW w:w="5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Debt securities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67.7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334.7</w:t>
            </w:r>
          </w:p>
        </w:tc>
        <w:tc>
          <w:tcPr>
            <w:tcW w:w="5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349.9</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Condensed Consolidated Cash Flows Information (in millions)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Three months ended</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3/31/2006</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3/31/2007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181.2</w:t>
            </w:r>
          </w:p>
        </w:tc>
        <w:tc>
          <w:tcPr>
            <w:tcW w:w="5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40" w:type="dxa"/>
            <w:vAlign w:val="bottom"/>
            <w:gridSpan w:val="9"/>
          </w:tcPr>
          <w:p>
            <w:pPr>
              <w:spacing w:after="0" w:line="201" w:lineRule="exact"/>
              <w:rPr>
                <w:sz w:val="20"/>
                <w:szCs w:val="20"/>
                <w:color w:val="auto"/>
              </w:rPr>
            </w:pPr>
            <w:r>
              <w:rPr>
                <w:rFonts w:ascii="Arial" w:cs="Arial" w:eastAsia="Arial" w:hAnsi="Arial"/>
                <w:sz w:val="18"/>
                <w:szCs w:val="18"/>
                <w:color w:val="auto"/>
                <w:w w:val="94"/>
              </w:rPr>
              <w:t>Cash used in investing activities, including ($26.9) for additions to property and equipment and ($29.5) for investments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in sponsored mutual funds in 2007</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(49.8)</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gridSpan w:val="9"/>
            <w:shd w:val="clear" w:color="auto" w:fill="CCEEFF"/>
          </w:tcPr>
          <w:p>
            <w:pPr>
              <w:spacing w:after="0"/>
              <w:rPr>
                <w:sz w:val="20"/>
                <w:szCs w:val="20"/>
                <w:color w:val="auto"/>
              </w:rPr>
            </w:pPr>
            <w:r>
              <w:rPr>
                <w:rFonts w:ascii="Arial" w:cs="Arial" w:eastAsia="Arial" w:hAnsi="Arial"/>
                <w:sz w:val="18"/>
                <w:szCs w:val="18"/>
                <w:color w:val="auto"/>
                <w:w w:val="94"/>
              </w:rPr>
              <w:t>Cash used in financing activities, including common stock repurchases of ($23.2) and dividends paid of ($45.1) in 2007</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(42.8)</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Net increase in cash during the period</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Condensed Consolidated Balance Sheet Information (in millions)</w:t>
            </w: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1"/>
              </w:rPr>
              <w:t>12/31/2006</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3/31/2007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773.0</w:t>
            </w:r>
          </w:p>
        </w:tc>
        <w:tc>
          <w:tcPr>
            <w:tcW w:w="5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554.4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264.9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669.4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Receivables and other assets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505.2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2,765.3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2,957.4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408.6</w:t>
            </w:r>
          </w:p>
        </w:tc>
        <w:tc>
          <w:tcPr>
            <w:tcW w:w="0" w:type="dxa"/>
            <w:vAlign w:val="bottom"/>
          </w:tcPr>
          <w:p>
            <w:pPr>
              <w:spacing w:after="0"/>
              <w:rPr>
                <w:sz w:val="1"/>
                <w:szCs w:val="1"/>
                <w:color w:val="auto"/>
              </w:rPr>
            </w:pPr>
          </w:p>
        </w:tc>
      </w:tr>
      <w:tr>
        <w:trPr>
          <w:trHeight w:val="209"/>
        </w:trPr>
        <w:tc>
          <w:tcPr>
            <w:tcW w:w="8960" w:type="dxa"/>
            <w:vAlign w:val="bottom"/>
            <w:gridSpan w:val="10"/>
          </w:tcPr>
          <w:p>
            <w:pPr>
              <w:spacing w:after="0"/>
              <w:rPr>
                <w:sz w:val="20"/>
                <w:szCs w:val="20"/>
                <w:color w:val="auto"/>
              </w:rPr>
            </w:pPr>
            <w:r>
              <w:rPr>
                <w:rFonts w:ascii="Arial" w:cs="Arial" w:eastAsia="Arial" w:hAnsi="Arial"/>
                <w:sz w:val="18"/>
                <w:szCs w:val="18"/>
                <w:color w:val="auto"/>
                <w:w w:val="98"/>
              </w:rPr>
              <w:t>Stockholders’ equity, 265.6 common shares outstanding in 2007, including net unrealized holding gains of $75.5 in</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4"/>
          </w:tcPr>
          <w:p>
            <w:pPr>
              <w:jc w:val="right"/>
              <w:ind w:right="360"/>
              <w:spacing w:after="0"/>
              <w:rPr>
                <w:sz w:val="20"/>
                <w:szCs w:val="20"/>
                <w:color w:val="auto"/>
              </w:rPr>
            </w:pPr>
            <w:r>
              <w:rPr>
                <w:rFonts w:ascii="Arial" w:cs="Arial" w:eastAsia="Arial" w:hAnsi="Arial"/>
                <w:sz w:val="18"/>
                <w:szCs w:val="18"/>
                <w:color w:val="auto"/>
              </w:rPr>
              <w:t>$ 2,426.9</w:t>
            </w:r>
          </w:p>
        </w:tc>
        <w:tc>
          <w:tcPr>
            <w:tcW w:w="1100" w:type="dxa"/>
            <w:vAlign w:val="bottom"/>
            <w:gridSpan w:val="4"/>
          </w:tcPr>
          <w:p>
            <w:pPr>
              <w:jc w:val="right"/>
              <w:ind w:right="100"/>
              <w:spacing w:after="0"/>
              <w:rPr>
                <w:sz w:val="20"/>
                <w:szCs w:val="20"/>
                <w:color w:val="auto"/>
              </w:rPr>
            </w:pPr>
            <w:r>
              <w:rPr>
                <w:rFonts w:ascii="Arial" w:cs="Arial" w:eastAsia="Arial" w:hAnsi="Arial"/>
                <w:sz w:val="18"/>
                <w:szCs w:val="18"/>
                <w:color w:val="auto"/>
              </w:rPr>
              <w:t>$ 2,548.8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40" w:type="dxa"/>
            <w:vAlign w:val="bottom"/>
            <w:vMerge w:val="restart"/>
          </w:tcPr>
          <w:p>
            <w:pPr>
              <w:jc w:val="right"/>
              <w:ind w:right="6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1"/>
      <w:numFmt w:val="decimal"/>
      <w:start w:val="15"/>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2019-12-15T01:15:15Z</dcterms:created>
  <dcterms:modified xsi:type="dcterms:W3CDTF">2019-12-15T01:15:15Z</dcterms:modified>
</cp:coreProperties>
</file>