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80"/>
        <w:spacing w:after="0"/>
        <w:rPr>
          <w:sz w:val="20"/>
          <w:szCs w:val="20"/>
          <w:color w:val="auto"/>
        </w:rPr>
      </w:pPr>
      <w:r>
        <w:rPr>
          <w:rFonts w:ascii="Arial" w:cs="Arial" w:eastAsia="Arial" w:hAnsi="Arial"/>
          <w:sz w:val="22"/>
          <w:szCs w:val="22"/>
          <w:b w:val="1"/>
          <w:bCs w:val="1"/>
          <w:color w:val="auto"/>
        </w:rPr>
        <w:t>QUARTERLY REPORT PURSUANT TO SECTION 13 OF THE SECURITIES EXCHANGE ACT OF 1934</w:t>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u w:val="single" w:color="auto"/>
          <w:color w:val="auto"/>
        </w:rPr>
        <w:t>September 30, 2008</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000-32191</w:t>
      </w:r>
    </w:p>
    <w:p>
      <w:pPr>
        <w:spacing w:after="0" w:line="200"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u w:val="single" w:color="auto"/>
          <w:color w:val="auto"/>
        </w:rPr>
        <w:t>T. ROWE PRICE GROUP, INC.</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88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3140" w:type="dxa"/>
            <w:vAlign w:val="bottom"/>
            <w:gridSpan w:val="2"/>
          </w:tcPr>
          <w:p>
            <w:pPr>
              <w:jc w:val="center"/>
              <w:ind w:right="2380"/>
              <w:spacing w:after="0"/>
              <w:rPr>
                <w:sz w:val="20"/>
                <w:szCs w:val="20"/>
                <w:color w:val="auto"/>
              </w:rPr>
            </w:pPr>
            <w:r>
              <w:rPr>
                <w:rFonts w:ascii="Arial" w:cs="Arial" w:eastAsia="Arial" w:hAnsi="Arial"/>
                <w:sz w:val="18"/>
                <w:szCs w:val="18"/>
                <w:b w:val="1"/>
                <w:bCs w:val="1"/>
                <w:color w:val="auto"/>
                <w:w w:val="96"/>
              </w:rPr>
              <w:t>Maryland</w:t>
            </w:r>
          </w:p>
        </w:tc>
        <w:tc>
          <w:tcPr>
            <w:tcW w:w="4540" w:type="dxa"/>
            <w:vAlign w:val="bottom"/>
            <w:gridSpan w:val="3"/>
          </w:tcPr>
          <w:p>
            <w:pPr>
              <w:jc w:val="right"/>
              <w:ind w:right="880"/>
              <w:spacing w:after="0"/>
              <w:rPr>
                <w:sz w:val="20"/>
                <w:szCs w:val="20"/>
                <w:color w:val="auto"/>
              </w:rPr>
            </w:pPr>
            <w:r>
              <w:rPr>
                <w:rFonts w:ascii="Arial" w:cs="Arial" w:eastAsia="Arial" w:hAnsi="Arial"/>
                <w:sz w:val="18"/>
                <w:szCs w:val="18"/>
                <w:b w:val="1"/>
                <w:bCs w:val="1"/>
                <w:color w:val="auto"/>
              </w:rPr>
              <w:t>52-2264646</w:t>
            </w:r>
          </w:p>
        </w:tc>
      </w:tr>
      <w:tr>
        <w:trPr>
          <w:trHeight w:val="20"/>
        </w:trPr>
        <w:tc>
          <w:tcPr>
            <w:tcW w:w="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3600" w:type="dxa"/>
            <w:vAlign w:val="bottom"/>
            <w:gridSpan w:val="3"/>
          </w:tcPr>
          <w:p>
            <w:pPr>
              <w:jc w:val="center"/>
              <w:ind w:right="1920"/>
              <w:spacing w:after="0"/>
              <w:rPr>
                <w:sz w:val="20"/>
                <w:szCs w:val="20"/>
                <w:color w:val="auto"/>
              </w:rPr>
            </w:pPr>
            <w:r>
              <w:rPr>
                <w:rFonts w:ascii="Arial" w:cs="Arial" w:eastAsia="Arial" w:hAnsi="Arial"/>
                <w:sz w:val="18"/>
                <w:szCs w:val="18"/>
                <w:color w:val="auto"/>
                <w:w w:val="91"/>
              </w:rPr>
              <w:t>(State of incorporation)</w:t>
            </w:r>
          </w:p>
        </w:tc>
        <w:tc>
          <w:tcPr>
            <w:tcW w:w="4540" w:type="dxa"/>
            <w:vAlign w:val="bottom"/>
            <w:gridSpan w:val="3"/>
          </w:tcPr>
          <w:p>
            <w:pPr>
              <w:jc w:val="center"/>
              <w:ind w:left="1830"/>
              <w:spacing w:after="0"/>
              <w:rPr>
                <w:sz w:val="20"/>
                <w:szCs w:val="20"/>
                <w:color w:val="auto"/>
              </w:rPr>
            </w:pPr>
            <w:r>
              <w:rPr>
                <w:rFonts w:ascii="Arial" w:cs="Arial" w:eastAsia="Arial" w:hAnsi="Arial"/>
                <w:sz w:val="18"/>
                <w:szCs w:val="18"/>
                <w:color w:val="auto"/>
                <w:w w:val="94"/>
              </w:rPr>
              <w:t>(I.R.S. Employer Identification No.)</w:t>
            </w:r>
          </w:p>
        </w:tc>
      </w:tr>
    </w:tbl>
    <w:p>
      <w:pPr>
        <w:spacing w:after="0" w:line="306"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100 East Pratt Street, Baltimore, Maryland 21202</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31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(410) 345-2000</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b w:val="1"/>
          <w:bCs w:val="1"/>
          <w:color w:val="auto"/>
        </w:rPr>
        <w:t>Yes</w:t>
      </w:r>
      <w:r>
        <w:rPr>
          <w:rFonts w:ascii="Arial" w:cs="Arial" w:eastAsia="Arial" w:hAnsi="Arial"/>
          <w:sz w:val="18"/>
          <w:szCs w:val="18"/>
          <w:color w:val="auto"/>
        </w:rPr>
        <w:t xml:space="preserve"> oNo</w:t>
      </w:r>
    </w:p>
    <w:p>
      <w:pPr>
        <w:spacing w:after="0" w:line="74"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Rule 12b-2 of the Exchange Act):</w:t>
      </w:r>
    </w:p>
    <w:p>
      <w:pPr>
        <w:sectPr>
          <w:pgSz w:w="11900" w:h="16838" w:orient="portrait"/>
          <w:cols w:equalWidth="0" w:num="1">
            <w:col w:w="11180"/>
          </w:cols>
          <w:pgMar w:left="240" w:top="333" w:right="479" w:bottom="1440" w:gutter="0" w:footer="0" w:header="0"/>
        </w:sectPr>
      </w:pPr>
    </w:p>
    <w:p>
      <w:pPr>
        <w:spacing w:after="0" w:line="166" w:lineRule="exact"/>
        <w:rPr>
          <w:sz w:val="24"/>
          <w:szCs w:val="24"/>
          <w:color w:val="auto"/>
        </w:rPr>
      </w:pPr>
    </w:p>
    <w:p>
      <w:pPr>
        <w:ind w:left="1800"/>
        <w:spacing w:after="0"/>
        <w:rPr>
          <w:sz w:val="20"/>
          <w:szCs w:val="20"/>
          <w:color w:val="auto"/>
        </w:rPr>
      </w:pPr>
      <w:r>
        <w:rPr>
          <w:rFonts w:ascii="Arial" w:cs="Arial" w:eastAsia="Arial" w:hAnsi="Arial"/>
          <w:sz w:val="16"/>
          <w:szCs w:val="16"/>
          <w:b w:val="1"/>
          <w:bCs w:val="1"/>
          <w:color w:val="auto"/>
        </w:rPr>
        <w:t>Large accelerated filer</w:t>
      </w:r>
    </w:p>
    <w:p>
      <w:pPr>
        <w:spacing w:after="0" w:line="50" w:lineRule="exact"/>
        <w:rPr>
          <w:sz w:val="24"/>
          <w:szCs w:val="24"/>
          <w:color w:val="auto"/>
        </w:rPr>
      </w:pPr>
    </w:p>
    <w:p>
      <w:pPr>
        <w:ind w:left="1800"/>
        <w:spacing w:after="0"/>
        <w:rPr>
          <w:sz w:val="20"/>
          <w:szCs w:val="20"/>
          <w:color w:val="auto"/>
        </w:rPr>
      </w:pPr>
      <w:r>
        <w:rPr>
          <w:rFonts w:ascii="Arial" w:cs="Arial" w:eastAsia="Arial" w:hAnsi="Arial"/>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5" w:lineRule="exact"/>
        <w:rPr>
          <w:sz w:val="24"/>
          <w:szCs w:val="24"/>
          <w:color w:val="auto"/>
        </w:rPr>
      </w:pPr>
    </w:p>
    <w:p>
      <w:pPr>
        <w:spacing w:after="0"/>
        <w:rPr>
          <w:sz w:val="20"/>
          <w:szCs w:val="20"/>
          <w:color w:val="auto"/>
        </w:rPr>
      </w:pP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81" w:lineRule="exact"/>
        <w:rPr>
          <w:sz w:val="24"/>
          <w:szCs w:val="24"/>
          <w:color w:val="auto"/>
        </w:rPr>
      </w:pPr>
    </w:p>
    <w:p>
      <w:pPr>
        <w:sectPr>
          <w:pgSz w:w="11900" w:h="16838" w:orient="portrait"/>
          <w:cols w:equalWidth="0" w:num="4">
            <w:col w:w="4820" w:space="720"/>
            <w:col w:w="1080" w:space="720"/>
            <w:col w:w="3020" w:space="720"/>
            <w:col w:w="100"/>
          </w:cols>
          <w:pgMar w:left="240" w:top="333" w:right="479" w:bottom="1440" w:gutter="0" w:footer="0" w:header="0"/>
          <w:type w:val="continuous"/>
        </w:sectPr>
      </w:pPr>
    </w:p>
    <w:p>
      <w:pPr>
        <w:spacing w:after="0" w:line="207" w:lineRule="exact"/>
        <w:tabs>
          <w:tab w:leader="none" w:pos="8400" w:val="left"/>
          <w:tab w:leader="none" w:pos="89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o</w:t>
      </w:r>
      <w:r>
        <w:rPr>
          <w:rFonts w:ascii="Arial" w:cs="Arial" w:eastAsia="Arial" w:hAnsi="Arial"/>
          <w:sz w:val="18"/>
          <w:szCs w:val="18"/>
          <w:b w:val="1"/>
          <w:bCs w:val="1"/>
          <w:color w:val="auto"/>
        </w:rPr>
        <w:t>Yes</w:t>
      </w:r>
      <w:r>
        <w:rPr>
          <w:sz w:val="20"/>
          <w:szCs w:val="20"/>
          <w:color w:val="auto"/>
        </w:rPr>
        <w:tab/>
      </w:r>
      <w:r>
        <w:rPr>
          <w:rFonts w:ascii="MS PGothic" w:cs="MS PGothic" w:eastAsia="MS PGothic" w:hAnsi="MS PGothic"/>
          <w:sz w:val="16"/>
          <w:szCs w:val="16"/>
          <w:color w:val="auto"/>
        </w:rPr>
        <w:t>☑</w:t>
      </w:r>
      <w:r>
        <w:rPr>
          <w:rFonts w:ascii="Arial" w:cs="Arial" w:eastAsia="Arial" w:hAnsi="Arial"/>
          <w:sz w:val="16"/>
          <w:szCs w:val="16"/>
          <w:color w:val="auto"/>
        </w:rPr>
        <w:t>No</w:t>
      </w:r>
    </w:p>
    <w:p>
      <w:pPr>
        <w:spacing w:after="0" w:line="146"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($.20 par value), as of the latest practicable date, October 22, 2008, is 258,395,927</w:t>
      </w:r>
      <w:r>
        <w:rPr>
          <w:rFonts w:ascii="Arial" w:cs="Arial" w:eastAsia="Arial" w:hAnsi="Arial"/>
          <w:sz w:val="16"/>
          <w:szCs w:val="16"/>
          <w:b w:val="1"/>
          <w:bCs w:val="1"/>
          <w:color w:val="auto"/>
        </w:rPr>
        <w:t>.</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The exhibit index is at Item 6 on page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333" w:right="4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UNAUDITED CONDENSED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12/31/2007</w:t>
            </w:r>
          </w:p>
        </w:tc>
        <w:tc>
          <w:tcPr>
            <w:tcW w:w="34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9/30/2008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785.1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and accrued revenue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265.3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Investments in sponsored mutual funds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773.0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investments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102.3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358.3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668.8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3,177.3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3,122.5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Liabilities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Accrued compensation and related costs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81.1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Dividends payable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63.6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deposits at savings bank subsidiary</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ind w:left="200"/>
              <w:spacing w:after="0" w:line="201" w:lineRule="exact"/>
              <w:rPr>
                <w:sz w:val="20"/>
                <w:szCs w:val="20"/>
                <w:color w:val="auto"/>
              </w:rPr>
            </w:pPr>
            <w:r>
              <w:rPr>
                <w:rFonts w:ascii="Arial" w:cs="Arial" w:eastAsia="Arial" w:hAnsi="Arial"/>
                <w:sz w:val="18"/>
                <w:szCs w:val="18"/>
                <w:color w:val="auto"/>
                <w:w w:val="94"/>
              </w:rPr>
              <w:t>Common stock, $.20 par value — authorized 500,000,000 shares in 2007 and 750,000,000 shares in 2008; issued</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264,605,000 shares in 2007 and 260,109,000 shares in 2008</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52.9</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capital in excess of par value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295.8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2,333.4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2,245.7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Total stockholders’ equity</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2,777.1</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2,656.5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3,177.3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3,122.5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 w:name="page3"/>
    <w:bookmarkEnd w:id="2"/>
    <w:p>
      <w:pPr>
        <w:ind w:right="5600"/>
        <w:spacing w:after="0" w:line="277" w:lineRule="auto"/>
        <w:rPr>
          <w:sz w:val="20"/>
          <w:szCs w:val="20"/>
          <w:color w:val="auto"/>
        </w:rPr>
      </w:pPr>
      <w:r>
        <w:rPr>
          <w:rFonts w:ascii="Arial" w:cs="Arial" w:eastAsia="Arial" w:hAnsi="Arial"/>
          <w:sz w:val="18"/>
          <w:szCs w:val="18"/>
          <w:color w:val="auto"/>
        </w:rPr>
        <w:t>UNAUDITED CONDENSED CONSOLIDATED STATEMENTS OF INCOME (in millions, except per-share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5"/>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ind w:left="34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9/30/2007</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9/30/2008</w:t>
            </w:r>
          </w:p>
        </w:tc>
        <w:tc>
          <w:tcPr>
            <w:tcW w:w="66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9/30/2007</w:t>
            </w:r>
          </w:p>
        </w:tc>
        <w:tc>
          <w:tcPr>
            <w:tcW w:w="3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1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483.4</w:t>
            </w:r>
          </w:p>
        </w:tc>
        <w:tc>
          <w:tcPr>
            <w:tcW w:w="320" w:type="dxa"/>
            <w:vAlign w:val="bottom"/>
          </w:tcPr>
          <w:p>
            <w:pPr>
              <w:spacing w:after="0"/>
              <w:rPr>
                <w:sz w:val="18"/>
                <w:szCs w:val="18"/>
                <w:color w:val="auto"/>
              </w:rPr>
            </w:pP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465.7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1,372.5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1,431.1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87.4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257.2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555.9</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1,634.1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554.8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1,630.5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1,700.4</w:t>
            </w:r>
          </w:p>
        </w:tc>
        <w:tc>
          <w:tcPr>
            <w:tcW w:w="0" w:type="dxa"/>
            <w:vAlign w:val="bottom"/>
          </w:tcPr>
          <w:p>
            <w:pPr>
              <w:spacing w:after="0"/>
              <w:rPr>
                <w:sz w:val="1"/>
                <w:szCs w:val="1"/>
                <w:color w:val="auto"/>
              </w:rPr>
            </w:pPr>
          </w:p>
        </w:tc>
      </w:tr>
      <w:tr>
        <w:trPr>
          <w:trHeight w:val="439"/>
        </w:trPr>
        <w:tc>
          <w:tcPr>
            <w:tcW w:w="54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208.8</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210.9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18.4</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72.1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Occupancy and facility costs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24.8</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68.9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43.2</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316.0</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263.8</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238.8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733.8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727.5</w:t>
            </w:r>
          </w:p>
        </w:tc>
        <w:tc>
          <w:tcPr>
            <w:tcW w:w="0" w:type="dxa"/>
            <w:vAlign w:val="bottom"/>
          </w:tcPr>
          <w:p>
            <w:pPr>
              <w:spacing w:after="0"/>
              <w:rPr>
                <w:sz w:val="1"/>
                <w:szCs w:val="1"/>
                <w:color w:val="auto"/>
              </w:rPr>
            </w:pPr>
          </w:p>
        </w:tc>
      </w:tr>
      <w:tr>
        <w:trPr>
          <w:trHeight w:val="432"/>
        </w:trPr>
        <w:tc>
          <w:tcPr>
            <w:tcW w:w="5440" w:type="dxa"/>
            <w:vAlign w:val="bottom"/>
            <w:gridSpan w:val="2"/>
          </w:tcPr>
          <w:p>
            <w:pPr>
              <w:spacing w:after="0"/>
              <w:rPr>
                <w:sz w:val="20"/>
                <w:szCs w:val="20"/>
                <w:color w:val="auto"/>
              </w:rPr>
            </w:pPr>
            <w:r>
              <w:rPr>
                <w:rFonts w:ascii="Arial" w:cs="Arial" w:eastAsia="Arial" w:hAnsi="Arial"/>
                <w:sz w:val="18"/>
                <w:szCs w:val="18"/>
                <w:color w:val="auto"/>
              </w:rPr>
              <w:t>Non-operating investment income</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17.9</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41.4</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281.7</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244.5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775.2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106.9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91.7</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295.3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174.8</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152.8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479.9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466.5</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4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6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1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w:t>
            </w: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4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258.7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265.1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tcPr>
          <w:p>
            <w:pPr>
              <w:ind w:left="200"/>
              <w:spacing w:after="0"/>
              <w:rPr>
                <w:sz w:val="20"/>
                <w:szCs w:val="20"/>
                <w:color w:val="auto"/>
              </w:rPr>
            </w:pPr>
            <w:r>
              <w:rPr>
                <w:rFonts w:ascii="Arial" w:cs="Arial" w:eastAsia="Arial" w:hAnsi="Arial"/>
                <w:sz w:val="18"/>
                <w:szCs w:val="18"/>
                <w:color w:val="auto"/>
              </w:rPr>
              <w:t>Outstanding assuming dilution</w:t>
            </w: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270.8</w:t>
            </w: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ind w:right="5160"/>
        <w:spacing w:after="0" w:line="277" w:lineRule="auto"/>
        <w:rPr>
          <w:sz w:val="20"/>
          <w:szCs w:val="20"/>
          <w:color w:val="auto"/>
        </w:rPr>
      </w:pPr>
      <w:r>
        <w:rPr>
          <w:rFonts w:ascii="Arial" w:cs="Arial" w:eastAsia="Arial" w:hAnsi="Arial"/>
          <w:sz w:val="18"/>
          <w:szCs w:val="18"/>
          <w:color w:val="auto"/>
        </w:rPr>
        <w:t>UNAUDITED CONDENSED CONSOLIDATED STATEMENTS OF CASH FLOWS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5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9/30/2007</w:t>
            </w:r>
          </w:p>
        </w:tc>
        <w:tc>
          <w:tcPr>
            <w:tcW w:w="3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479.9</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00"/>
              <w:spacing w:after="0"/>
              <w:rPr>
                <w:sz w:val="20"/>
                <w:szCs w:val="20"/>
                <w:color w:val="auto"/>
              </w:rPr>
            </w:pPr>
            <w:r>
              <w:rPr>
                <w:rFonts w:ascii="Arial" w:cs="Arial" w:eastAsia="Arial" w:hAnsi="Arial"/>
                <w:sz w:val="18"/>
                <w:szCs w:val="18"/>
                <w:color w:val="auto"/>
              </w:rPr>
              <w:t>Depreciation and amortization of property and equipment</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39.7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00"/>
              <w:spacing w:after="0"/>
              <w:rPr>
                <w:sz w:val="20"/>
                <w:szCs w:val="20"/>
                <w:color w:val="auto"/>
              </w:rPr>
            </w:pPr>
            <w:r>
              <w:rPr>
                <w:rFonts w:ascii="Arial" w:cs="Arial" w:eastAsia="Arial" w:hAnsi="Arial"/>
                <w:sz w:val="18"/>
                <w:szCs w:val="18"/>
                <w:color w:val="auto"/>
              </w:rPr>
              <w:t>Intangible asset amortization</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changes in assets and liabilities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1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Investments in sponsored mutual funds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(162.0)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property and equipment</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Other investing activity</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investing activities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(274.5)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439"/>
        </w:trPr>
        <w:tc>
          <w:tcPr>
            <w:tcW w:w="76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6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Repurchases of common stock</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(256.0)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Common share issuances under stock-based compensation plans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59.2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paid to stockholders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Change in savings bank subsidiary deposits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financing activities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(338.0)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(612.4)</w:t>
            </w:r>
          </w:p>
        </w:tc>
        <w:tc>
          <w:tcPr>
            <w:tcW w:w="0" w:type="dxa"/>
            <w:vAlign w:val="bottom"/>
          </w:tcPr>
          <w:p>
            <w:pPr>
              <w:spacing w:after="0"/>
              <w:rPr>
                <w:sz w:val="1"/>
                <w:szCs w:val="1"/>
                <w:color w:val="auto"/>
              </w:rPr>
            </w:pPr>
          </w:p>
        </w:tc>
      </w:tr>
      <w:tr>
        <w:trPr>
          <w:trHeight w:val="439"/>
        </w:trPr>
        <w:tc>
          <w:tcPr>
            <w:tcW w:w="76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6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during period</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At beginning of year</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773.0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785.1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end of period</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847.7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ind w:right="4200"/>
        <w:spacing w:after="0" w:line="277" w:lineRule="auto"/>
        <w:rPr>
          <w:sz w:val="20"/>
          <w:szCs w:val="20"/>
          <w:color w:val="auto"/>
        </w:rPr>
      </w:pPr>
      <w:r>
        <w:rPr>
          <w:rFonts w:ascii="Arial" w:cs="Arial" w:eastAsia="Arial" w:hAnsi="Arial"/>
          <w:sz w:val="18"/>
          <w:szCs w:val="18"/>
          <w:color w:val="auto"/>
        </w:rPr>
        <w:t>UNAUDITED CONDENSED CONSOLIDATED STATEMENT OF STOCKHOLDERS’ EQUITY (shares in thousands; dollars in 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4"/>
                <w:szCs w:val="14"/>
                <w:color w:val="auto"/>
              </w:rPr>
              <w:t>Additional</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3"/>
          </w:tcPr>
          <w:p>
            <w:pPr>
              <w:jc w:val="center"/>
              <w:ind w:right="640"/>
              <w:spacing w:after="0"/>
              <w:rPr>
                <w:sz w:val="20"/>
                <w:szCs w:val="20"/>
                <w:color w:val="auto"/>
              </w:rPr>
            </w:pPr>
            <w:r>
              <w:rPr>
                <w:rFonts w:ascii="Arial" w:cs="Arial" w:eastAsia="Arial" w:hAnsi="Arial"/>
                <w:sz w:val="14"/>
                <w:szCs w:val="14"/>
                <w:color w:val="auto"/>
                <w:w w:val="93"/>
              </w:rPr>
              <w:t>Accumulated</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340" w:type="dxa"/>
            <w:vAlign w:val="bottom"/>
            <w:gridSpan w:val="3"/>
          </w:tcPr>
          <w:p>
            <w:pPr>
              <w:jc w:val="center"/>
              <w:ind w:right="640"/>
              <w:spacing w:after="0" w:line="149" w:lineRule="exact"/>
              <w:rPr>
                <w:sz w:val="20"/>
                <w:szCs w:val="20"/>
                <w:color w:val="auto"/>
              </w:rPr>
            </w:pPr>
            <w:r>
              <w:rPr>
                <w:rFonts w:ascii="Arial" w:cs="Arial" w:eastAsia="Arial" w:hAnsi="Arial"/>
                <w:sz w:val="14"/>
                <w:szCs w:val="14"/>
                <w:color w:val="auto"/>
                <w:w w:val="95"/>
              </w:rPr>
              <w:t>Common</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4"/>
              </w:rPr>
              <w:t>capital in</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840"/>
              <w:spacing w:after="0" w:line="149" w:lineRule="exact"/>
              <w:rPr>
                <w:sz w:val="20"/>
                <w:szCs w:val="20"/>
                <w:color w:val="auto"/>
              </w:rPr>
            </w:pPr>
            <w:r>
              <w:rPr>
                <w:rFonts w:ascii="Arial" w:cs="Arial" w:eastAsia="Arial" w:hAnsi="Arial"/>
                <w:sz w:val="14"/>
                <w:szCs w:val="14"/>
                <w:color w:val="auto"/>
                <w:w w:val="93"/>
              </w:rPr>
              <w:t>other</w:t>
            </w:r>
          </w:p>
        </w:tc>
        <w:tc>
          <w:tcPr>
            <w:tcW w:w="14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34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85"/>
              </w:rPr>
              <w:t>shares</w:t>
            </w:r>
          </w:p>
        </w:tc>
        <w:tc>
          <w:tcPr>
            <w:tcW w:w="10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Common</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87"/>
              </w:rPr>
              <w:t>excess of</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89"/>
              </w:rPr>
              <w:t>Retained</w:t>
            </w:r>
          </w:p>
        </w:tc>
        <w:tc>
          <w:tcPr>
            <w:tcW w:w="1820" w:type="dxa"/>
            <w:vAlign w:val="bottom"/>
            <w:gridSpan w:val="4"/>
          </w:tcPr>
          <w:p>
            <w:pPr>
              <w:jc w:val="center"/>
              <w:ind w:right="340"/>
              <w:spacing w:after="0" w:line="149" w:lineRule="exact"/>
              <w:rPr>
                <w:sz w:val="20"/>
                <w:szCs w:val="20"/>
                <w:color w:val="auto"/>
              </w:rPr>
            </w:pPr>
            <w:r>
              <w:rPr>
                <w:rFonts w:ascii="Arial" w:cs="Arial" w:eastAsia="Arial" w:hAnsi="Arial"/>
                <w:sz w:val="14"/>
                <w:szCs w:val="14"/>
                <w:color w:val="auto"/>
                <w:w w:val="92"/>
              </w:rPr>
              <w:t>comprehensive</w:t>
            </w: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67"/>
        </w:trPr>
        <w:tc>
          <w:tcPr>
            <w:tcW w:w="3700" w:type="dxa"/>
            <w:vAlign w:val="bottom"/>
          </w:tcPr>
          <w:p>
            <w:pPr>
              <w:spacing w:after="0"/>
              <w:rPr>
                <w:sz w:val="14"/>
                <w:szCs w:val="14"/>
                <w:color w:val="auto"/>
              </w:rPr>
            </w:pPr>
          </w:p>
        </w:tc>
        <w:tc>
          <w:tcPr>
            <w:tcW w:w="1340" w:type="dxa"/>
            <w:vAlign w:val="bottom"/>
            <w:gridSpan w:val="3"/>
          </w:tcPr>
          <w:p>
            <w:pPr>
              <w:jc w:val="center"/>
              <w:ind w:right="640"/>
              <w:spacing w:after="0"/>
              <w:rPr>
                <w:sz w:val="20"/>
                <w:szCs w:val="20"/>
                <w:color w:val="auto"/>
              </w:rPr>
            </w:pPr>
            <w:r>
              <w:rPr>
                <w:rFonts w:ascii="Arial" w:cs="Arial" w:eastAsia="Arial" w:hAnsi="Arial"/>
                <w:sz w:val="14"/>
                <w:szCs w:val="14"/>
                <w:color w:val="auto"/>
                <w:w w:val="91"/>
              </w:rPr>
              <w:t>outstanding</w:t>
            </w:r>
          </w:p>
        </w:tc>
        <w:tc>
          <w:tcPr>
            <w:tcW w:w="120" w:type="dxa"/>
            <w:vAlign w:val="bottom"/>
          </w:tcPr>
          <w:p>
            <w:pPr>
              <w:spacing w:after="0"/>
              <w:rPr>
                <w:sz w:val="14"/>
                <w:szCs w:val="14"/>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4"/>
                <w:szCs w:val="14"/>
                <w:color w:val="auto"/>
              </w:rPr>
              <w:t>stock</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color w:val="auto"/>
                <w:w w:val="90"/>
              </w:rPr>
              <w:t>par value</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color w:val="auto"/>
                <w:w w:val="89"/>
              </w:rPr>
              <w:t>earnings</w:t>
            </w:r>
          </w:p>
        </w:tc>
        <w:tc>
          <w:tcPr>
            <w:tcW w:w="300" w:type="dxa"/>
            <w:vAlign w:val="bottom"/>
          </w:tcPr>
          <w:p>
            <w:pPr>
              <w:spacing w:after="0"/>
              <w:rPr>
                <w:sz w:val="14"/>
                <w:szCs w:val="14"/>
                <w:color w:val="auto"/>
              </w:rPr>
            </w:pPr>
          </w:p>
        </w:tc>
        <w:tc>
          <w:tcPr>
            <w:tcW w:w="1520" w:type="dxa"/>
            <w:vAlign w:val="bottom"/>
            <w:gridSpan w:val="3"/>
          </w:tcPr>
          <w:p>
            <w:pPr>
              <w:jc w:val="center"/>
              <w:ind w:right="660"/>
              <w:spacing w:after="0"/>
              <w:rPr>
                <w:sz w:val="20"/>
                <w:szCs w:val="20"/>
                <w:color w:val="auto"/>
              </w:rPr>
            </w:pPr>
            <w:r>
              <w:rPr>
                <w:rFonts w:ascii="Arial" w:cs="Arial" w:eastAsia="Arial" w:hAnsi="Arial"/>
                <w:sz w:val="14"/>
                <w:szCs w:val="14"/>
                <w:color w:val="auto"/>
                <w:w w:val="93"/>
              </w:rPr>
              <w:t>income (loss)</w:t>
            </w:r>
          </w:p>
        </w:tc>
        <w:tc>
          <w:tcPr>
            <w:tcW w:w="14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Balances at December 31, 2007</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264,605</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color w:val="auto"/>
              </w:rPr>
              <w:t>52.9</w:t>
            </w:r>
          </w:p>
        </w:tc>
        <w:tc>
          <w:tcPr>
            <w:tcW w:w="3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color w:val="auto"/>
              </w:rPr>
              <w:t>295.8</w:t>
            </w:r>
          </w:p>
        </w:tc>
        <w:tc>
          <w:tcPr>
            <w:tcW w:w="3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color w:val="auto"/>
              </w:rPr>
              <w:t>2,333.4</w:t>
            </w:r>
          </w:p>
        </w:tc>
        <w:tc>
          <w:tcPr>
            <w:tcW w:w="48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660"/>
              <w:spacing w:after="0" w:line="142" w:lineRule="exact"/>
              <w:rPr>
                <w:sz w:val="20"/>
                <w:szCs w:val="20"/>
                <w:color w:val="auto"/>
              </w:rPr>
            </w:pPr>
            <w:r>
              <w:rPr>
                <w:rFonts w:ascii="Arial" w:cs="Arial" w:eastAsia="Arial" w:hAnsi="Arial"/>
                <w:sz w:val="14"/>
                <w:szCs w:val="14"/>
                <w:color w:val="auto"/>
              </w:rPr>
              <w:t>95.0</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2,777.1</w:t>
            </w:r>
          </w:p>
        </w:tc>
        <w:tc>
          <w:tcPr>
            <w:tcW w:w="0" w:type="dxa"/>
            <w:vAlign w:val="bottom"/>
          </w:tcPr>
          <w:p>
            <w:pPr>
              <w:spacing w:after="0"/>
              <w:rPr>
                <w:sz w:val="1"/>
                <w:szCs w:val="1"/>
                <w:color w:val="auto"/>
              </w:rPr>
            </w:pPr>
          </w:p>
        </w:tc>
      </w:tr>
      <w:tr>
        <w:trPr>
          <w:trHeight w:val="149"/>
        </w:trPr>
        <w:tc>
          <w:tcPr>
            <w:tcW w:w="3700" w:type="dxa"/>
            <w:vAlign w:val="bottom"/>
          </w:tcPr>
          <w:p>
            <w:pPr>
              <w:spacing w:after="0" w:line="149" w:lineRule="exact"/>
              <w:rPr>
                <w:sz w:val="20"/>
                <w:szCs w:val="20"/>
                <w:color w:val="auto"/>
              </w:rPr>
            </w:pPr>
            <w:r>
              <w:rPr>
                <w:rFonts w:ascii="Arial" w:cs="Arial" w:eastAsia="Arial" w:hAnsi="Arial"/>
                <w:sz w:val="14"/>
                <w:szCs w:val="14"/>
                <w:color w:val="auto"/>
              </w:rPr>
              <w:t>Common stock-based compensation plans activity</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Shares issued upon option exercises</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3,988</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86.0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86.8</w:t>
            </w:r>
          </w:p>
        </w:tc>
        <w:tc>
          <w:tcPr>
            <w:tcW w:w="0" w:type="dxa"/>
            <w:vAlign w:val="bottom"/>
          </w:tcPr>
          <w:p>
            <w:pPr>
              <w:spacing w:after="0"/>
              <w:rPr>
                <w:sz w:val="1"/>
                <w:szCs w:val="1"/>
                <w:color w:val="auto"/>
              </w:rPr>
            </w:pPr>
          </w:p>
        </w:tc>
      </w:tr>
      <w:tr>
        <w:trPr>
          <w:trHeight w:val="149"/>
        </w:trPr>
        <w:tc>
          <w:tcPr>
            <w:tcW w:w="3700" w:type="dxa"/>
            <w:vAlign w:val="bottom"/>
          </w:tcPr>
          <w:p>
            <w:pPr>
              <w:ind w:left="220"/>
              <w:spacing w:after="0" w:line="149" w:lineRule="exact"/>
              <w:rPr>
                <w:sz w:val="20"/>
                <w:szCs w:val="20"/>
                <w:color w:val="auto"/>
              </w:rPr>
            </w:pPr>
            <w:r>
              <w:rPr>
                <w:rFonts w:ascii="Arial" w:cs="Arial" w:eastAsia="Arial" w:hAnsi="Arial"/>
                <w:sz w:val="14"/>
                <w:szCs w:val="14"/>
                <w:color w:val="auto"/>
              </w:rPr>
              <w:t>Shares issued upon vesting of restricted stock units</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3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Restricted shares issued</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271</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3700" w:type="dxa"/>
            <w:vAlign w:val="bottom"/>
          </w:tcPr>
          <w:p>
            <w:pPr>
              <w:ind w:left="220"/>
              <w:spacing w:after="0" w:line="149" w:lineRule="exact"/>
              <w:rPr>
                <w:sz w:val="20"/>
                <w:szCs w:val="20"/>
                <w:color w:val="auto"/>
              </w:rPr>
            </w:pPr>
            <w:r>
              <w:rPr>
                <w:rFonts w:ascii="Arial" w:cs="Arial" w:eastAsia="Arial" w:hAnsi="Arial"/>
                <w:sz w:val="14"/>
                <w:szCs w:val="14"/>
                <w:color w:val="auto"/>
              </w:rPr>
              <w:t>Restricted shares forfeited</w:t>
            </w:r>
          </w:p>
        </w:tc>
        <w:tc>
          <w:tcPr>
            <w:tcW w:w="1340" w:type="dxa"/>
            <w:vAlign w:val="bottom"/>
            <w:gridSpan w:val="3"/>
          </w:tcPr>
          <w:p>
            <w:pPr>
              <w:jc w:val="right"/>
              <w:ind w:right="600"/>
              <w:spacing w:after="0" w:line="149"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.0</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3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62.8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149"/>
        </w:trPr>
        <w:tc>
          <w:tcPr>
            <w:tcW w:w="3700" w:type="dxa"/>
            <w:vAlign w:val="bottom"/>
          </w:tcPr>
          <w:p>
            <w:pPr>
              <w:spacing w:after="0" w:line="149" w:lineRule="exact"/>
              <w:rPr>
                <w:sz w:val="20"/>
                <w:szCs w:val="20"/>
                <w:color w:val="auto"/>
              </w:rPr>
            </w:pPr>
            <w:r>
              <w:rPr>
                <w:rFonts w:ascii="Arial" w:cs="Arial" w:eastAsia="Arial" w:hAnsi="Arial"/>
                <w:sz w:val="14"/>
                <w:szCs w:val="14"/>
                <w:color w:val="auto"/>
              </w:rPr>
              <w:t>Common shares repurchased</w:t>
            </w:r>
          </w:p>
        </w:tc>
        <w:tc>
          <w:tcPr>
            <w:tcW w:w="1340" w:type="dxa"/>
            <w:vAlign w:val="bottom"/>
            <w:gridSpan w:val="3"/>
          </w:tcPr>
          <w:p>
            <w:pPr>
              <w:jc w:val="right"/>
              <w:ind w:right="600"/>
              <w:spacing w:after="0" w:line="149" w:lineRule="exact"/>
              <w:rPr>
                <w:sz w:val="20"/>
                <w:szCs w:val="20"/>
                <w:color w:val="auto"/>
              </w:rPr>
            </w:pPr>
            <w:r>
              <w:rPr>
                <w:rFonts w:ascii="Arial" w:cs="Arial" w:eastAsia="Arial" w:hAnsi="Arial"/>
                <w:sz w:val="14"/>
                <w:szCs w:val="14"/>
                <w:color w:val="auto"/>
              </w:rPr>
              <w:t>(8,750)</w:t>
            </w:r>
          </w:p>
        </w:tc>
        <w:tc>
          <w:tcPr>
            <w:tcW w:w="12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(1.7)</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(84.8)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(367.0)</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(453.5)</w:t>
            </w:r>
          </w:p>
        </w:tc>
        <w:tc>
          <w:tcPr>
            <w:tcW w:w="0" w:type="dxa"/>
            <w:vAlign w:val="bottom"/>
          </w:tcPr>
          <w:p>
            <w:pPr>
              <w:spacing w:after="0"/>
              <w:rPr>
                <w:sz w:val="1"/>
                <w:szCs w:val="1"/>
                <w:color w:val="auto"/>
              </w:rPr>
            </w:pPr>
          </w:p>
        </w:tc>
      </w:tr>
      <w:tr>
        <w:trPr>
          <w:trHeight w:val="149"/>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ind w:left="220"/>
              <w:spacing w:after="0" w:line="149" w:lineRule="exact"/>
              <w:rPr>
                <w:sz w:val="20"/>
                <w:szCs w:val="20"/>
                <w:color w:val="auto"/>
              </w:rPr>
            </w:pPr>
            <w:r>
              <w:rPr>
                <w:rFonts w:ascii="Arial" w:cs="Arial" w:eastAsia="Arial" w:hAnsi="Arial"/>
                <w:sz w:val="14"/>
                <w:szCs w:val="14"/>
                <w:color w:val="auto"/>
              </w:rPr>
              <w:t>Net income</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466.5</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70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Net unrealized security holding losses, net of</w:t>
            </w: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taxes, including $65.4 million in the third</w:t>
            </w: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quarter</w:t>
            </w: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color w:val="auto"/>
              </w:rPr>
              <w:t>(95.9)</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00" w:type="dxa"/>
            <w:vAlign w:val="bottom"/>
          </w:tcPr>
          <w:p>
            <w:pPr>
              <w:ind w:left="220"/>
              <w:spacing w:after="0" w:line="149" w:lineRule="exact"/>
              <w:rPr>
                <w:sz w:val="20"/>
                <w:szCs w:val="20"/>
                <w:color w:val="auto"/>
              </w:rPr>
            </w:pPr>
            <w:r>
              <w:rPr>
                <w:rFonts w:ascii="Arial" w:cs="Arial" w:eastAsia="Arial" w:hAnsi="Arial"/>
                <w:sz w:val="14"/>
                <w:szCs w:val="14"/>
                <w:color w:val="auto"/>
              </w:rPr>
              <w:t>Total comprehensive income</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370.6</w:t>
            </w:r>
          </w:p>
        </w:tc>
        <w:tc>
          <w:tcPr>
            <w:tcW w:w="0" w:type="dxa"/>
            <w:vAlign w:val="bottom"/>
          </w:tcPr>
          <w:p>
            <w:pPr>
              <w:spacing w:after="0"/>
              <w:rPr>
                <w:sz w:val="1"/>
                <w:szCs w:val="1"/>
                <w:color w:val="auto"/>
              </w:rPr>
            </w:pPr>
          </w:p>
        </w:tc>
      </w:tr>
      <w:tr>
        <w:trPr>
          <w:trHeight w:val="149"/>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and related tax benefits</w:t>
            </w: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(187.2)</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(187.0)</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4"/>
                <w:szCs w:val="14"/>
                <w:color w:val="auto"/>
              </w:rPr>
              <w:t>Balances at September 30, 2008</w:t>
            </w: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00" w:type="dxa"/>
            <w:vAlign w:val="bottom"/>
            <w:vMerge w:val="continue"/>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260,109</w:t>
            </w:r>
          </w:p>
        </w:tc>
        <w:tc>
          <w:tcPr>
            <w:tcW w:w="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52.0</w:t>
            </w:r>
          </w:p>
        </w:tc>
        <w:tc>
          <w:tcPr>
            <w:tcW w:w="36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359.7</w:t>
            </w:r>
          </w:p>
        </w:tc>
        <w:tc>
          <w:tcPr>
            <w:tcW w:w="36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2,245.7</w:t>
            </w:r>
          </w:p>
        </w:tc>
        <w:tc>
          <w:tcPr>
            <w:tcW w:w="36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600"/>
              <w:spacing w:after="0" w:line="155" w:lineRule="exact"/>
              <w:rPr>
                <w:sz w:val="20"/>
                <w:szCs w:val="20"/>
                <w:color w:val="auto"/>
              </w:rPr>
            </w:pPr>
            <w:r>
              <w:rPr>
                <w:rFonts w:ascii="Arial" w:cs="Arial" w:eastAsia="Arial" w:hAnsi="Arial"/>
                <w:sz w:val="14"/>
                <w:szCs w:val="14"/>
                <w:color w:val="auto"/>
              </w:rPr>
              <w:t>(0.9)</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2,656.5</w:t>
            </w: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ind w:right="4700"/>
        <w:spacing w:after="0" w:line="375" w:lineRule="auto"/>
        <w:rPr>
          <w:sz w:val="20"/>
          <w:szCs w:val="20"/>
          <w:color w:val="auto"/>
        </w:rPr>
      </w:pPr>
      <w:r>
        <w:rPr>
          <w:rFonts w:ascii="Arial" w:cs="Arial" w:eastAsia="Arial" w:hAnsi="Arial"/>
          <w:sz w:val="18"/>
          <w:szCs w:val="18"/>
          <w:color w:val="auto"/>
        </w:rPr>
        <w:t>NOTES TO UNAUDITED CONDENSED CONSOLIDATED FINANCIAL STATEMENTS NOTE 1 — THE COMPANY AND BASIS OF PREPARATION.</w:t>
      </w:r>
    </w:p>
    <w:p>
      <w:pPr>
        <w:spacing w:after="0" w:line="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 Rowe Price Group derives its consolidated revenues and net income primarily from investment advisory services that its subsidiaries provide to individual and institutional investors in the sponsored T. Rowe Price mutual funds and other investment portfolios. We also provide our investment advisory clients with related administrative services, including mutual fund transfer agent, accounting and shareholder services; participant recordkeeping and transfer agent services for defined contribution retirement plans; discount brokerage; and trust services. While investors that we serve are primarily domiciled in the United States of America, investment advisory clients outside the United States account for 10% of our assets under management at September 30, 2008.</w:t>
      </w:r>
    </w:p>
    <w:p>
      <w:pPr>
        <w:spacing w:after="0" w:line="5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and reflect all adjustments that are, in the opinion of management, necessary to a fair statement of our results for the interim periods presented. All such adjustments are of a normal recurring nature.</w:t>
      </w:r>
    </w:p>
    <w:p>
      <w:pPr>
        <w:spacing w:after="0" w:line="73"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2007 Annual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2 — INVESTMENTS IN SPONSORED MUTUAL FUNDS.</w:t>
      </w:r>
    </w:p>
    <w:p>
      <w:pPr>
        <w:spacing w:after="0" w:line="117"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Financial market conditions have been extremely volatile in the second half of 2008 and valuations have declined. Similarly, our portfolio of investments in sponsored mutual funds at September 30, 2008, includes a net unrealized loss of $.2 million, down from a net unrealized gain of $100.3 million at June 30, 2008, and $147 million at December 31, 2007. The net unrealized loss at September 30, 2008, includes fund holdings with aggregate unrealized gains of $56.9 million and aggregate unrealized losses of $57.1 million. Seven fund holdings with an aggregate unrealized loss of $36.0 million at September 30, 2008, have had temporary impairments continuously from June 30, 2008, through October 23, 2008.</w:t>
      </w:r>
    </w:p>
    <w:p>
      <w:pPr>
        <w:spacing w:after="0" w:line="6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Because our fund holdings are considered available-for-sale securities, we recognize unrealized losses that are considered temporary in other comprehensive income. In considering whether an unrealized loss is an other-than-temporary impairment, we have historically determined whether an impairment has persisted daily throughout the six months between quarter-end reporting dates. It is possible that we will determine at December 31, 2008, or at a subsequent quarter end, that continuous unrealized losses in one or more of our mutual fund investments have become other-than-temporary impairments. We could also sell our fund positions before a subsequent quarter-end reporting date and recognize previously unrealized losses. In either case, we would include a charge to non-operating income in our statement of income that is offset by a corresponding increase in the other comprehensive income component of stockholders’ equity. The amount and timing of any subsequent charge will be dependent on future market performance.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NOTE 3 — INFORMATION ABOUT RECEIVABLES, REVENUES, AND SERVICES.</w:t>
      </w:r>
    </w:p>
    <w:p>
      <w:pPr>
        <w:spacing w:after="0" w:line="117"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Accounts receivable from our sponsored mutual funds for advisory fees and advisory-related administrative services aggregate $144.6 million at December 31, 2007, and $124.3 million at September 30, 2008.</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Revenues (in millions) from advisory services provided under agreements with our sponsored mutual funds and other investment clients include: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5"/>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ind w:left="34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9/30/2007</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9/30/2008</w:t>
            </w:r>
          </w:p>
        </w:tc>
        <w:tc>
          <w:tcPr>
            <w:tcW w:w="66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9/30/2007</w:t>
            </w:r>
          </w:p>
        </w:tc>
        <w:tc>
          <w:tcPr>
            <w:tcW w:w="3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180" w:type="dxa"/>
            <w:vAlign w:val="bottom"/>
            <w:gridSpan w:val="2"/>
          </w:tcPr>
          <w:p>
            <w:pPr>
              <w:jc w:val="right"/>
              <w:ind w:right="39"/>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301.0</w:t>
            </w:r>
          </w:p>
        </w:tc>
        <w:tc>
          <w:tcPr>
            <w:tcW w:w="320" w:type="dxa"/>
            <w:vAlign w:val="bottom"/>
          </w:tcPr>
          <w:p>
            <w:pPr>
              <w:spacing w:after="0"/>
              <w:rPr>
                <w:sz w:val="18"/>
                <w:szCs w:val="18"/>
                <w:color w:val="auto"/>
              </w:rPr>
            </w:pP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272.9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854.8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47.3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135.2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326.9</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135.1</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138.8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382.5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Total investment advisory fees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465.7</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1,372.5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1,431.1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The following table summarizes the various investment portfolios and assets under management (in billions) on which we earn advisory fees.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color w:val="auto"/>
              </w:rPr>
              <w:t>Average during</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7"/>
          </w:tcPr>
          <w:p>
            <w:pPr>
              <w:ind w:left="320"/>
              <w:spacing w:after="0"/>
              <w:rPr>
                <w:sz w:val="20"/>
                <w:szCs w:val="20"/>
                <w:color w:val="auto"/>
              </w:rPr>
            </w:pPr>
            <w:r>
              <w:rPr>
                <w:rFonts w:ascii="Arial" w:cs="Arial" w:eastAsia="Arial" w:hAnsi="Arial"/>
                <w:sz w:val="14"/>
                <w:szCs w:val="14"/>
                <w:color w:val="auto"/>
              </w:rPr>
              <w:t>Average during the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the third quarter</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first nine months</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color w:val="auto"/>
              </w:rPr>
              <w:t>2007</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2008</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2007</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195.4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177.4</w:t>
            </w:r>
          </w:p>
        </w:tc>
        <w:tc>
          <w:tcPr>
            <w:tcW w:w="140" w:type="dxa"/>
            <w:vAlign w:val="bottom"/>
            <w:gridSpan w:val="3"/>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187.1</w:t>
            </w:r>
          </w:p>
        </w:tc>
        <w:tc>
          <w:tcPr>
            <w:tcW w:w="320" w:type="dxa"/>
            <w:vAlign w:val="bottom"/>
          </w:tcPr>
          <w:p>
            <w:pPr>
              <w:spacing w:after="0"/>
              <w:rPr>
                <w:sz w:val="18"/>
                <w:szCs w:val="18"/>
                <w:color w:val="auto"/>
              </w:rPr>
            </w:pPr>
          </w:p>
        </w:tc>
        <w:tc>
          <w:tcPr>
            <w:tcW w:w="5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40.8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237.9</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226.3</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149.8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137.6</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376.1</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gridSpan w:val="4"/>
          </w:tcPr>
          <w:p>
            <w:pPr>
              <w:spacing w:after="0"/>
              <w:rPr>
                <w:sz w:val="20"/>
                <w:szCs w:val="20"/>
                <w:color w:val="auto"/>
              </w:rPr>
            </w:pPr>
            <w:r>
              <w:rPr>
                <w:rFonts w:ascii="Arial" w:cs="Arial" w:eastAsia="Arial" w:hAnsi="Arial"/>
                <w:sz w:val="14"/>
                <w:szCs w:val="14"/>
                <w:color w:val="auto"/>
                <w:w w:val="94"/>
              </w:rPr>
              <w:t>12/31/2007</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9/30/2008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gridSpan w:val="3"/>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200.6</w:t>
            </w:r>
          </w:p>
        </w:tc>
        <w:tc>
          <w:tcPr>
            <w:tcW w:w="320" w:type="dxa"/>
            <w:vAlign w:val="bottom"/>
          </w:tcPr>
          <w:p>
            <w:pPr>
              <w:spacing w:after="0"/>
              <w:rPr>
                <w:sz w:val="18"/>
                <w:szCs w:val="18"/>
                <w:color w:val="auto"/>
              </w:rPr>
            </w:pPr>
          </w:p>
        </w:tc>
        <w:tc>
          <w:tcPr>
            <w:tcW w:w="5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45.4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246.0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5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154.0</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Fees for advisory-related administrative services provided to our sponsored mutual funds during the first nine months of the year were $203.4 million in 2007 and $215.1 million in 2008. Fees for these services during the third quarter were $69.3 million in 2007 and $70.6 million in 2008.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4 — FAIR VALUE MEASUREMENTS.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The following disclosures are made in conjunction with the initial application of Statement of Financial Accounting Standards (SFAS) No. 157,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w:t>
      </w:r>
      <w:r>
        <w:rPr>
          <w:rFonts w:ascii="Arial" w:cs="Arial" w:eastAsia="Arial" w:hAnsi="Arial"/>
          <w:sz w:val="18"/>
          <w:szCs w:val="18"/>
          <w:color w:val="auto"/>
        </w:rPr>
        <w:t>in 2008.</w:t>
      </w:r>
    </w:p>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value our investments in sponsored mutual funds at the quoted closing net asset values, or NAVs, per share of each mutual fund last reported as of the balance sheet date.</w:t>
      </w:r>
    </w:p>
    <w:p>
      <w:pPr>
        <w:spacing w:after="0" w:line="6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investments in marketable debt securities, including mortgage- and other asset-backed securities held by our savings bank subsidiary, are reported at fair value. These debt securities are generally traded in the over-the-counter market. Securities with original maturities of one year or more are valued by us based on prices furnished by dealers who make markets in such securities or by an independent pricing service, which considers the yield or price of bonds of comparable quality, coupon, maturity, and type, as well as prices quoted by dealers who make markets in such securities. Securities with original maturities of less than one year generally are valued at amortized cost, which approximates fair value; however, if amortized cost is deemed not to reflect fair value, such securities are valued by us based generally on prices furnished by dealers who make markets in such securities or by an independent pricing service.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fair value of our investments using three broad levels of inputs: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117" w:lineRule="exact"/>
        <w:rPr>
          <w:sz w:val="20"/>
          <w:szCs w:val="20"/>
          <w:color w:val="auto"/>
        </w:rPr>
      </w:pPr>
    </w:p>
    <w:p>
      <w:pPr>
        <w:ind w:left="360" w:right="140" w:hanging="110"/>
        <w:spacing w:after="0" w:line="277"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62" w:lineRule="exact"/>
        <w:rPr>
          <w:sz w:val="20"/>
          <w:szCs w:val="20"/>
          <w:color w:val="auto"/>
        </w:rPr>
      </w:pPr>
    </w:p>
    <w:p>
      <w:pPr>
        <w:ind w:left="360" w:right="240" w:hanging="110"/>
        <w:spacing w:after="0" w:line="277"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6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These levels are not necessarily an indication of the risk or liquidity associated with the investments. The following table summarizes our investments (in millions) at September 30, 2008, that are recognized in our balance sheet using fair value measurements determined based on the differing levels of inputs.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Level 1</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w w:val="97"/>
              </w:rPr>
              <w:t>Level 2</w:t>
            </w:r>
          </w:p>
        </w:tc>
        <w:tc>
          <w:tcPr>
            <w:tcW w:w="100" w:type="dxa"/>
            <w:vAlign w:val="bottom"/>
          </w:tcPr>
          <w:p>
            <w:pPr>
              <w:spacing w:after="0"/>
              <w:rPr>
                <w:sz w:val="14"/>
                <w:szCs w:val="14"/>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792.7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Investments in sponsored mutual funds</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599.4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Other investments in marketable equity securities</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1,392.2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w:t>
            </w:r>
          </w:p>
        </w:tc>
      </w:tr>
      <w:tr>
        <w:trPr>
          <w:trHeight w:val="20"/>
        </w:trPr>
        <w:tc>
          <w:tcPr>
            <w:tcW w:w="64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have not applied the provisions of SFAS No. 157 related to disclosures surrounding nonfinancial assets, such as goodwill, and nonfinancial liabilities. In February 2008, the required implementation of these disclosures was deferred until 2009.</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NOTE 5 —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Authorized shares.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our annual meeting on April 10, 2008, our stockholders approved a charter amendment increasing our authorized common shares ($.20 par value) from 500,000,000 to 750,000,000.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declared subsequent to quarter end.</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October 20, 2008, our board of directors declared a quarterly dividend of $.24 per share payable on December 30, 2008 to those stockholders of record as of the close of business on December 18, 2008.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Unsettled liability for common shares repurchased.</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Accounts payable and accrued expenses includes $8.6 million at December 31, 2007, and $2.6 million at September 30, 2008, representing the unsettled liability for common stock repurchases made prior to quarter end.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share repurchases.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Thus far in October 2008, we have repurchased 1.8 million of our common shares for $75.0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 grants during the first nine months of 2008.</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82"/>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3"/>
              </w:rPr>
              <w:t>exercise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Options</w:t>
            </w:r>
          </w:p>
        </w:tc>
        <w:tc>
          <w:tcPr>
            <w:tcW w:w="36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price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2008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41,030,175</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Annual grants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5,153,300</w:t>
            </w:r>
          </w:p>
        </w:tc>
        <w:tc>
          <w:tcPr>
            <w:tcW w:w="340" w:type="dxa"/>
            <w:vAlign w:val="bottom"/>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Reload grants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647,188</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Other grants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340" w:type="dxa"/>
            <w:vAlign w:val="bottom"/>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(5,703,122)</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Forfeited or cancelled</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(733,300)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2008</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40,399,241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36.09</w:t>
            </w: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spacing w:after="0"/>
              <w:rPr>
                <w:sz w:val="20"/>
                <w:szCs w:val="20"/>
                <w:color w:val="auto"/>
              </w:rPr>
            </w:pPr>
            <w:r>
              <w:rPr>
                <w:rFonts w:ascii="Arial" w:cs="Arial" w:eastAsia="Arial" w:hAnsi="Arial"/>
                <w:sz w:val="18"/>
                <w:szCs w:val="18"/>
                <w:color w:val="auto"/>
              </w:rPr>
              <w:t>Exercisable at September 30, 2008</w:t>
            </w:r>
          </w:p>
        </w:tc>
        <w:tc>
          <w:tcPr>
            <w:tcW w:w="9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vMerge w:val="restart"/>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27.85</w:t>
            </w:r>
          </w:p>
        </w:tc>
        <w:tc>
          <w:tcPr>
            <w:tcW w:w="0" w:type="dxa"/>
            <w:vAlign w:val="bottom"/>
          </w:tcPr>
          <w:p>
            <w:pPr>
              <w:spacing w:after="0" w:line="20" w:lineRule="exact"/>
              <w:rPr>
                <w:sz w:val="1"/>
                <w:szCs w:val="1"/>
                <w:color w:val="auto"/>
              </w:rPr>
            </w:pPr>
          </w:p>
        </w:tc>
      </w:tr>
      <w:tr>
        <w:trPr>
          <w:trHeight w:val="210"/>
        </w:trPr>
        <w:tc>
          <w:tcPr>
            <w:tcW w:w="9040" w:type="dxa"/>
            <w:vAlign w:val="bottom"/>
            <w:gridSpan w:val="2"/>
            <w:vMerge w:val="continue"/>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20,321,801</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awards.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status of and changes in our nonvested restricted shares and restricted stock units during the first nine months of 2008.</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Restricted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82"/>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1"/>
              </w:rPr>
              <w:t>Restricted</w:t>
            </w:r>
          </w:p>
        </w:tc>
        <w:tc>
          <w:tcPr>
            <w:tcW w:w="10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stock</w:t>
            </w:r>
          </w:p>
        </w:tc>
        <w:tc>
          <w:tcPr>
            <w:tcW w:w="3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0"/>
              </w:rPr>
              <w:t>grant-date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700" w:type="dxa"/>
            <w:vAlign w:val="bottom"/>
          </w:tcPr>
          <w:p>
            <w:pPr>
              <w:jc w:val="center"/>
              <w:ind w:left="30"/>
              <w:spacing w:after="0"/>
              <w:rPr>
                <w:sz w:val="20"/>
                <w:szCs w:val="20"/>
                <w:color w:val="auto"/>
              </w:rPr>
            </w:pPr>
            <w:r>
              <w:rPr>
                <w:rFonts w:ascii="Arial" w:cs="Arial" w:eastAsia="Arial" w:hAnsi="Arial"/>
                <w:sz w:val="18"/>
                <w:szCs w:val="18"/>
                <w:color w:val="auto"/>
                <w:w w:val="85"/>
              </w:rPr>
              <w:t>shares</w:t>
            </w:r>
          </w:p>
        </w:tc>
        <w:tc>
          <w:tcPr>
            <w:tcW w:w="680" w:type="dxa"/>
            <w:vAlign w:val="bottom"/>
          </w:tcPr>
          <w:p>
            <w:pPr>
              <w:spacing w:after="0"/>
              <w:rPr>
                <w:sz w:val="18"/>
                <w:szCs w:val="18"/>
                <w:color w:val="auto"/>
              </w:rPr>
            </w:pPr>
          </w:p>
        </w:tc>
        <w:tc>
          <w:tcPr>
            <w:tcW w:w="700" w:type="dxa"/>
            <w:vAlign w:val="bottom"/>
          </w:tcPr>
          <w:p>
            <w:pPr>
              <w:jc w:val="center"/>
              <w:ind w:left="10"/>
              <w:spacing w:after="0"/>
              <w:rPr>
                <w:sz w:val="20"/>
                <w:szCs w:val="20"/>
                <w:color w:val="auto"/>
              </w:rPr>
            </w:pPr>
            <w:r>
              <w:rPr>
                <w:rFonts w:ascii="Arial" w:cs="Arial" w:eastAsia="Arial" w:hAnsi="Arial"/>
                <w:sz w:val="18"/>
                <w:szCs w:val="18"/>
                <w:color w:val="auto"/>
                <w:w w:val="94"/>
              </w:rPr>
              <w:t>units</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w w:val="98"/>
              </w:rPr>
              <w:t>fair value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Nonvested at beginning of 2008</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319,300</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140,250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Annual grants to employees</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251,750</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135,000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Other grants to employees and directors</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19,900</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9,100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Dividend equivalents granted to directors</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168</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(3,150)</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(7,768)</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(7,000)</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(2,500)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30, 2008</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580,800</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274,250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stock-based compensation expense.</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following table presents the compensation expense (in millions) to be recognized over the separate vesting periods of the 20,077,440 nonvested options and 855,050 nonvested restricted shares and restricted stock units outstanding at September 30, 2008. Estimated future compensation expense will change to reflect future option grants, including reloads; future awards of unrestricted shares, restricted shares, and restricted stock units; changes in estimated forfeitures; and adjustments for actual forfeitures.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2008</w:t>
            </w:r>
          </w:p>
        </w:tc>
        <w:tc>
          <w:tcPr>
            <w:tcW w:w="4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First quarter 2009</w:t>
            </w:r>
          </w:p>
        </w:tc>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2009</w:t>
            </w:r>
          </w:p>
        </w:tc>
        <w:tc>
          <w:tcPr>
            <w:tcW w:w="4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Third quarter 2009</w:t>
            </w:r>
          </w:p>
        </w:tc>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2009</w:t>
            </w:r>
          </w:p>
        </w:tc>
        <w:tc>
          <w:tcPr>
            <w:tcW w:w="4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2010 through 2013</w:t>
            </w:r>
          </w:p>
        </w:tc>
        <w:tc>
          <w:tcPr>
            <w:tcW w:w="4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w:t>
            </w: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761"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0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have reviewed the condensed consolidated balance sheet of T. Rowe Price Group, Inc. and subsidiaries as of September 30, 2008, the related condensed consolidated statements of income for the three- and nine-month periods ended September 30, 2007 and 2008, the related condensed consolidated statements of cash flows for the nine-month periods ended September 30, 2007 and 2008, and the related condensed consolidated statement of stockholders’ equity for the nine-month period ended September 30, 2008. These condensed consolidated financial statements are the responsibility of the Company’s management.</w:t>
      </w:r>
    </w:p>
    <w:p>
      <w:pPr>
        <w:spacing w:after="0" w:line="4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4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previously audited, in accordance with standards of the Public Company Accounting Oversight Board (United States), the consolidated balance sheet of T. Rowe Price Group, Inc. and subsidiaries as of December 31, 2007, and the related consolidated statements of income, cash flows, and stockholders’ equity for the year then ended (not presented herein); and in our report dated February 6, 2008, we expressed an unqualified opinion on those consolidated financial statements. In our opinion, the information set forth in the accompanying condensed consolidated balance sheet as of December 31, 2007, is fairly stated, in all material respects, in relation to the consolidated balance sheet from which it has been derived.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23, 2008</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11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sponsored mutual funds and other managed investment portfolios. Investment advisory clients outside the United States account for 10% of our assets under management at September 30, 2008.</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manage a broad range of U.S. and international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7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aftermath of the subprime mortgage market implosion in 2007 and the continuing credit crisis have significantly affected financial markets this year. At the beginning of 2008, equities declined dramatically around the world. In the United States, economic growth remained low in the first quarter, and the downside risks in the economic outlook increased. The Federal Reserve responded with a substantial further easing of U.S. monetary policy that reduced the federal funds rate by 225 basis points to 2% by the end of April. The Federal government also acted with a fiscal stimulus package for American households. The collapse of a large investment bank and securities trading firm was narrowly averted late in the first quarter, and the Federal Reserve initiated a series of unprecedented actions intended to increase liquidity, not only among the large commercial banks but also among non-bank securities dealers.</w:t>
      </w:r>
    </w:p>
    <w:p>
      <w:pPr>
        <w:spacing w:after="0" w:line="5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Early July saw further financial market declines as many major indexes fell 20% below their most recent highs in October 2007. As summer progressed, the severe market downturn in the housing sector and the restraining effect of writedowns on bank capital, and in turn on credit availability, further pressured the financial markets. By early September, the U.S. Government acted to take control of the government-sponsored mortgage enterprises Fannie Mae and Freddie Mac. In rapid succession, the Federal Reserve provided loans to a multinational insurance giant, a large investment bank sold out to one of the largest U.S. banks, and another investment bank filed for bankruptcy. A large unrelated institutional money market mutual fund that was holding securities devalued by these events “broke the buck” and went into liquidation. The two remaining major independent investment banks followed with applications to convert to bank holding companies and submit themselves to the more stringent net capital requirements for commercial banks.</w:t>
      </w:r>
    </w:p>
    <w:p>
      <w:pPr>
        <w:spacing w:after="0" w:line="5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commercial banking sector also saw significant changes late in the third quarter. A large bank with extensive mortgage concerns was taken over by the FDIC, and another bank was absorbed into a larger multinational banking concern with government assistance. Still a third troubled financial institution first announced plans to split off its banking operations to be absorbed into another banking giant with government assistance, only to shortly drop those plans in favor of merging the entire organization into still another bank, without any government assistance.</w:t>
      </w:r>
    </w:p>
    <w:p>
      <w:pPr>
        <w:spacing w:after="0" w:line="6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the midst of this, global equity markets fell dramatically and liquidity and other banking constraints spread throughout the world. By mid-October, central banks and governments acted in concert to shore up their financial institutions by injecting liquidity into the global banking system, including by direct government investment in national banks and lowering of interest rates. In the United States, the Federal Reserve reduced the federal funds rate by 50 basis points to 1.5% on October 8. After initially failing to pass legislation, the U.S. government reached a compromise that gives the Treasury Department broad and unprecedented powers to act in the best interests of stabilizing financial institutions and markets. The credit markets are now just beginning to open up and the equity markets are still volatile. Fears of recession and an uncertain timeframe for economic recovery weigh on investors. Given the uncertain outlook and lower demand, energy prices have weakened, with oil falling at one time more than 50% below its record high in July of this year.</w:t>
      </w:r>
    </w:p>
    <w:p>
      <w:pPr>
        <w:spacing w:after="0" w:line="5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this environment of considerable stress on financial markets, U.S. stock indexes produced negative results in the third quarter of 2008. The broad S&amp;P 500 Index of large-cap companies in leading industries of the U.S. economy registered a negative 8.4% return while the NASDAQ Composite Index, which is heavily weighted with technology companies, was down 9.2% (excluding dividends). For the first nine months of 2008, these indexes were down more than 19% and 21%, respectively.</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Performance of stocks outside the United States was generally worse, with a strengthening U.S. dollar increasing the magnitude of losses in dollar terms. The MSCI EAFE Index, which measures the performance of mostly large-cap stocks in Europe, Australasia and the Far East, produced a negative 20.5% return while the MSCI Emerging Markets Index had a negative 26.9% return for the third quarter of 2008. For the first nine months of 2008, these indexes were down more than 28% and 35%, respectively.</w:t>
      </w:r>
    </w:p>
    <w:p>
      <w:pPr>
        <w:spacing w:after="0" w:line="79"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U.S. Treasury yields declined across the maturity spectrum, with shorter maturities experiencing the greatest movement as investors sought the safest short-term instruments. The yield on the benchmark 10-year U.S. Treasuries was 3.85% at September 30, 2008, down 14 basis points from June 30, 2008, and 19 basis points from the end of 2007. Most other debt securities categories saw steep declines in price as rates moved higher. High-yield issues were the worst performers, but even investment-grade corporate securities experienced large declines. Municipal bonds fared poorly as liquidity problems returned to the sector. Bonds from both developed and emerging markets overseas also lost ground.</w:t>
      </w:r>
    </w:p>
    <w:p>
      <w:pPr>
        <w:spacing w:after="0" w:line="6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this unsettled financial environment, investors have entrusted net inflows of $19.5 billion to our management thus far in 2008, including $1.7 billion in the third quarter. Total assets under our management ended September 2008 at $345.0 billion, down 11% from June 30, 2008 and 13.8% from the beginning of the year. The change (in billions) thus far in 2008 occurred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600"/>
              <w:spacing w:after="0"/>
              <w:rPr>
                <w:sz w:val="20"/>
                <w:szCs w:val="20"/>
                <w:color w:val="auto"/>
              </w:rPr>
            </w:pPr>
            <w:r>
              <w:rPr>
                <w:rFonts w:ascii="Arial" w:cs="Arial" w:eastAsia="Arial" w:hAnsi="Arial"/>
                <w:sz w:val="14"/>
                <w:szCs w:val="14"/>
                <w:color w:val="auto"/>
              </w:rPr>
              <w:t>First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Second</w:t>
            </w:r>
          </w:p>
        </w:tc>
        <w:tc>
          <w:tcPr>
            <w:tcW w:w="120" w:type="dxa"/>
            <w:vAlign w:val="bottom"/>
          </w:tcPr>
          <w:p>
            <w:pPr>
              <w:spacing w:after="0"/>
              <w:rPr>
                <w:sz w:val="14"/>
                <w:szCs w:val="14"/>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4"/>
                <w:szCs w:val="14"/>
                <w:color w:val="auto"/>
              </w:rPr>
              <w:t>Third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w w:val="86"/>
              </w:rPr>
              <w:t>Year-to-</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w w:val="92"/>
              </w:rPr>
              <w:t>Quarter</w:t>
            </w:r>
          </w:p>
        </w:tc>
        <w:tc>
          <w:tcPr>
            <w:tcW w:w="38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92"/>
              </w:rPr>
              <w:t>Quarter</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88"/>
              </w:rPr>
              <w:t>Quarter</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date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Assets under management at beginning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387.7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Net cash inflows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Sponsored mutual funds in the 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Other portfolios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432"/>
        </w:trPr>
        <w:tc>
          <w:tcPr>
            <w:tcW w:w="6540" w:type="dxa"/>
            <w:vAlign w:val="bottom"/>
            <w:gridSpan w:val="2"/>
          </w:tcPr>
          <w:p>
            <w:pPr>
              <w:spacing w:after="0"/>
              <w:rPr>
                <w:sz w:val="20"/>
                <w:szCs w:val="20"/>
                <w:color w:val="auto"/>
              </w:rPr>
            </w:pPr>
            <w:r>
              <w:rPr>
                <w:rFonts w:ascii="Arial" w:cs="Arial" w:eastAsia="Arial" w:hAnsi="Arial"/>
                <w:sz w:val="18"/>
                <w:szCs w:val="18"/>
                <w:color w:val="auto"/>
              </w:rPr>
              <w:t>Market valuation changes and income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(44.4)</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Change during the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Assets under management at end of period</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387.7</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532" w:gutter="0" w:footer="0" w:header="0"/>
        </w:sectPr>
      </w:pPr>
    </w:p>
    <w:bookmarkStart w:id="10" w:name="page11"/>
    <w:bookmarkEnd w:id="10"/>
    <w:p>
      <w:pPr>
        <w:ind w:right="60"/>
        <w:spacing w:after="0" w:line="276" w:lineRule="auto"/>
        <w:rPr>
          <w:sz w:val="20"/>
          <w:szCs w:val="20"/>
          <w:color w:val="auto"/>
        </w:rPr>
      </w:pPr>
      <w:r>
        <w:rPr>
          <w:rFonts w:ascii="Arial" w:cs="Arial" w:eastAsia="Arial" w:hAnsi="Arial"/>
          <w:sz w:val="17"/>
          <w:szCs w:val="17"/>
          <w:color w:val="auto"/>
        </w:rPr>
        <w:t>Assets under management at September 30, 2008, include $263.1 billion in stock and blended asset investment portfolios and $81.9 billion in fixed income investment portfolios. Stock and blended assets are 76% of our assets under management at September 30, 2008, down from 80% at December 31, 2007. The investment portfolios that we manage consist of $207.4 billion in the T. Rowe Price mutual funds distributed in the United States and $137.6 billion in other investment portfolios, including separately managed accounts, sub-advised funds, and other sponsored investment portfolios including common trust funds and mutual funds offered to investors outside the U.S. and through variable annuity life insurance plans.</w:t>
      </w:r>
    </w:p>
    <w:p>
      <w:pPr>
        <w:spacing w:after="0" w:line="64"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Our portfolio of investments in sponsored mutual funds at September 30, 2008, includes a net unrealized loss of $.2 million, including fund holdings with aggregate unrealized gains of $56.9 million and aggregate unrealized losses of $57.1 million. Seven fund holdings with an aggregate unrealized loss of $36.0 million at September 30, 2008, have had temporary impairments continuously from June 30, 2008, through October 23, 2008. See Note 2 to the accompanying unaudited condensed consolidated financial statements and Item 3, Quantitative and Qualitative Disclosures About Market Risk, in Part II of this report for further discussion about the possible recognition of impairments to our investments in sponsored mutual funds.</w:t>
      </w:r>
    </w:p>
    <w:p>
      <w:pPr>
        <w:spacing w:after="0" w:line="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incur significant expenditures to attract new investment advisory clients and additional investments from our existing clients. These efforts involve costs that generally precede any future revenues that we might recognize from additions to our assets under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quarter 2008 versus third quarter 2007.</w:t>
      </w:r>
    </w:p>
    <w:p>
      <w:pPr>
        <w:spacing w:after="0" w:line="11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Investment advisory revenues decreased 3.7%, or $17.7 million, to $465.7 million in the third quarter of 2008 as average assets under our management decreased $5.8 billion to $376.1 billion. The average annualized fee rate earned on our assets under management was 49.3 basis points during the third quarter of 2008, down from the 50.2 basis points earned in the year 2007, as lower equity market valuations resulted in a greater percentage of our assets under management being attributable to lower fee bond and money fund securities. Prolonged stress on the financial markets and resulting lower equity valuations in subsequent quarters will most likely result in lower average assets under our management and lower investment advisory fees as compared to prior quarters.</w:t>
      </w:r>
    </w:p>
    <w:p>
      <w:pPr>
        <w:spacing w:after="0" w:line="8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Net revenues decreased 3%, or $16.2 million, to $554.8 million. Operating expenses were $316.0 million in the third quarter of 2008, up 3% or $8.8 million from the comparable 2007 quarter. Overall, net operating income for the third quarter of 2008 decreased $25.0 million, or 9.5%, to $238.8 million. Higher operating expenses in 2008 and continued decreases in market valuations during the third quarter of this year, which lowered our assets under management and advisory revenues, resulted in our operating margin declining to 43.0%. Net income fell 12.6% or $22.0 million in the third quarter of 2008 versus the comparable 2007 quarter. Diluted earnings per share also decreased to $.56, down $.07 or 11% from the third quarter last year.</w:t>
      </w:r>
    </w:p>
    <w:p>
      <w:pPr>
        <w:spacing w:after="0" w:line="5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Investment advisory revenues earned from the T. Rowe Price mutual funds distributed in the United States decreased 6%, or $21.4 million, to $326.9 million. Third quarter average mutual fund assets were $226.3 billion, a decline of nearly 5% from the average for the comparable 2007 quarter. Mutual fund assets at September 30, 2008 were $207.4 billion, down $25.9 billion from the end of June 2008, and down $18.9 billion from the third quarter 2008 average.</w:t>
      </w:r>
    </w:p>
    <w:p>
      <w:pPr>
        <w:spacing w:after="0" w:line="3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Overall, net flows to the mutual funds were flat during the third quarter of 2008 as net inflows from bond and money funds of $1.3 billion were offset by net outflows from the stock funds. Our U.S. Treasury and Summit Cash Reserves money market funds combined to add $.8 billion of net inflows. During the 2008 quarter, net fund inflows of more than $1.5 billion originated in our target-date Retirement Funds, which in turn invest in other T. Rowe Price funds. Decreases in market valuations, net of income, lowered our mutual fund assets under management by $25.9 billion during the 2008 quarter.</w:t>
      </w:r>
    </w:p>
    <w:p>
      <w:pPr>
        <w:spacing w:after="0" w:line="4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Investment advisory revenues earned on the other investment portfolios that we manage increased $3.7 million, or 3%, to $138.8 million. Average assets in these portfolios were $149.8 billion during the third quarter of 2008, up $5.8 billion or 4% from the third quarter of 2007. Net inflows from U.S. and international institutional investors during the 2008 quarter were $1.7 billion. Decreases in market valuations, net of income, lowered our assets under management in these portfolios by $18.5 billion during the 2008 quarter.</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largest expense, compensation and related costs, increased $2.1 million compared to the 2007 quarter. This increase includes $10.3 million in salaries resulting from an 8.1% increase in our average staff count and an increase of our associates’ base salaries at the beginning of the year. At September 30, 2008, we employed 5,364 associates, up 5.6% from the end of 2007, primarily to support increased volume-related activities and other growth. We reduced our interim accrual for annual bonuses $9.8 million versus the 2007 quarter because of recent and ongoing unfavorable financial market conditions that negatively impact our operating results. Higher non-cash stock-based compensation of $2.6 million was partially offset by lower costs of other employee benefits and employment-related expenses.</w:t>
      </w:r>
    </w:p>
    <w:p>
      <w:pPr>
        <w:spacing w:after="0" w:line="8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Advertising and promotion expenditures were down $1.7 million compared to the third quarter of 2007. Investor sentiment in this uncertain and volatile market environment has caused us to reduce our spending in this area, and we now expect spending on advertising and promotion for fourth quarter of 2008 to be about $35 million. We vary our level of spending based on market conditions and investor demand as well as our efforts to expand our investor base in the United States and abroad.</w:t>
      </w:r>
    </w:p>
    <w:p>
      <w:pPr>
        <w:spacing w:after="0" w:line="7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Occupancy and facility costs together with depreciation expense increased $4.2 million, or 11% versus the 2007 quarter. We have been expanding and renovating our facilities to accommodate the growth in the number of our associates to meet business demands.</w:t>
      </w:r>
    </w:p>
    <w:p>
      <w:pPr>
        <w:spacing w:after="0" w:line="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Other operating expenses were also up $4.2 million, or nearly 10%, due to increases in a variety of costs to support our associates in meeting our greater business demands.</w:t>
      </w:r>
    </w:p>
    <w:p>
      <w:pPr>
        <w:spacing w:after="0" w:line="6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non-operating investment income, which includes interest income as well as the recognition of investment gains and losses, decreased $12.2 million from the 2007 quarter to $5.7 million. This change resulted from lower interest rates and reduced investment income in 2008, together with a swing in the effect of changes in foreign currency exchange rates from gains in the 2007 quarter to losses in the 2008 quarter.</w:t>
      </w:r>
    </w:p>
    <w:p>
      <w:pPr>
        <w:spacing w:after="0" w:line="7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third quarter 2008 provision for income taxes results from adjusting the provision for the first nine months of 2008 as a percentage of pre-tax income to 38.2%. This estimate of our effective tax rate for 2008 considers adjustments made after the filing of our annual income tax returns for 2007.</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Nine months 2008 versus nine months 2007.</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Investment advisory revenues were up 4.3%, or $58.6 million, to more than $1.4 billion in the first nine months of 2008 as average assets under our management increased $19.5 billion to $385.0 billion. The average annualized fee rate earned on our assets under management was 49.7 basis points during the nine months of 2008, as compared to the 50.2 basis points earned during the year 2007.</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Net revenues increased 4.3%, or $69.9 million, to $1.7 billion. Operating expenses were $972.9 million in the first nine months of 2008, up 8.5% or</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$76.2 million from the 2007 period. Overall, net operating income for the 2008 period decreased $6.3 million to $727.5 million. Higher operating expenses in 2008 period resulted in our operating margin declining to 42.8% in the first nine months of 2008 from 45.0% in the comparable 2007 period. Net income decreased $13.4 million, or 3%, to $466.5 million and diluted earnings per share decreased $.01 to $1.71.</w:t>
      </w:r>
    </w:p>
    <w:p>
      <w:pPr>
        <w:spacing w:after="0" w:line="82" w:lineRule="exact"/>
        <w:rPr>
          <w:sz w:val="20"/>
          <w:szCs w:val="20"/>
          <w:color w:val="auto"/>
        </w:rPr>
      </w:pPr>
    </w:p>
    <w:p>
      <w:pPr>
        <w:ind w:right="880"/>
        <w:spacing w:after="0" w:line="342" w:lineRule="auto"/>
        <w:rPr>
          <w:sz w:val="20"/>
          <w:szCs w:val="20"/>
          <w:color w:val="auto"/>
        </w:rPr>
      </w:pPr>
      <w:r>
        <w:rPr>
          <w:rFonts w:ascii="Arial" w:cs="Arial" w:eastAsia="Arial" w:hAnsi="Arial"/>
          <w:sz w:val="16"/>
          <w:szCs w:val="16"/>
          <w:color w:val="auto"/>
        </w:rPr>
        <w:t>Investment advisory revenues earned from the T. Rowe Price mutual funds distributed in the United States increased 2%, or $20.0 million, to over $1.0 billion. Average mutual fund assets were $233.3 billion in the first nine months of 2008, up $5.4 billion from the comparable 2008 period.</w:t>
      </w:r>
    </w:p>
    <w:p>
      <w:pPr>
        <w:spacing w:after="0" w:line="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Net inflows to the mutual funds during the first nine months of 2008 were $6.1 billion, including $2.6 billion to the bond funds, $2.3 billion to the stock funds, and $1.2 billion to the money funds. Among bond and money market funds, the Institutional Floating Rate and U.S. Treasury Money funds combined to add $1.3 billion. Among stock funds, the Equity Index 500, Emerging Markets Stock, and Value funds combined to add $3.2 billion, while the Mid-Cap Growth and Equity Income funds had net redemptions of $1.8 billion. During the 2008 period, net fund inflows of more than $5.4 billion originated in our target-date Retirement Funds. Decreases in market valuations, net of income, lowered our mutual fund assets under management by $44.7 billion during the first nine months of 2008.</w:t>
      </w:r>
    </w:p>
    <w:p>
      <w:pPr>
        <w:spacing w:after="0" w:line="8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Investment advisory revenues earned on the other investment portfolios that we manage increased $38.6 million, or 10%, to $421.1 million. Average assets in these portfolios were $151.7 billion during the first nine months of 2008, up $14.1 billion from the comparable 2007 period. Net inflows primarily from institutional investors were $13.4 billion during the 2008 period, including $1.2 billion transferred from the target-date Retirement Funds in the second quarter. Decreases in market valuations, net of income, lowered our assets under management in these portfolios by $29.8 billion during the 2008 period.</w:t>
      </w:r>
    </w:p>
    <w:p>
      <w:pPr>
        <w:spacing w:after="0" w:line="46"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Administrative fees increased $11.2 million to $268.4 million, primarily from servicing activities for the mutual funds and their investors. Changes in administrative fees are generally offset by similar changes in related operating expenses to provide services to the funds and their investors.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Our largest expense, compensation and related costs, increased $46.3 million, or 8%, versus the first nine months of 2007. This increase includes</w:t>
      </w:r>
    </w:p>
    <w:p>
      <w:pPr>
        <w:spacing w:after="0" w:line="3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$30.4 million in salaries resulting from an 8.9% increase in our average staff count and an increase of our associates’ base salaries at the beginning of the year. The balance of the increase is attributable to higher employee benefits and employment-related expenses, including an increase of $5.7 million in non-cash stock-based compensation.</w:t>
      </w:r>
    </w:p>
    <w:p>
      <w:pPr>
        <w:spacing w:after="0" w:line="8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Other operating expenses were up $15.6 million, or 12%, due to increases in consulting and professional fees, information services, and other costs to meet increased business demands.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Operating activities during the first nine months of 2008 provided cash flows of $736 million, up $49 million from the 2007 period. Timing differences, primarily in the cash settlements of our accounts receivable, added nearly $51 million versus the comparable period in 2007. Our interim operating cash outflows do not include bonus compensation that is accrued throughout the year before being substantially paid out in December. These accruals for the first nine months of 2007 and 2008 were similar.</w:t>
      </w:r>
    </w:p>
    <w:p>
      <w:pPr>
        <w:spacing w:after="0" w:line="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cash used in investing activities totaled $56 million, down $218 million from the 2007 period. In the first nine months of 2007, we invested $152 million more of our available cash resources in our sponsored mutual funds than in the comparable 2008 period.</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Net cash used in financing activities was $612 million in the first nine months of 2008, up $274 million from the 2007 period. Our strong cash position allowed us to increase our common stock repurchases by almost $204 million through the first nine months of 2008 versus 2007. Our cash outflows for dividends paid increased $115 million. During the first quarter of 2008, we changed our policy regarding the timing of dividend payments such that our quarterly dividends are now declared and paid in the same quarter. As such, our cash flows for the first nine months of 2008 include the payout of dividends for the fourth quarter 2007 and the first three quarters of 2008. Additionally, we increased the quarterly dividend payment from $.17 per share made in each of the four 2007 quarters to $.24 per share beginning with the payment made in January 2008.</w:t>
      </w:r>
    </w:p>
    <w:p>
      <w:pPr>
        <w:spacing w:after="0" w:line="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cash and cash equivalent balances at September 30, 2008 were more than $850 million and we have no debt. Given the availability of these funds and our $600 million of investments in sponsored mutual funds, we do not maintain an available external source of liquidity.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From time to time, information or statements provided by or on behalf of T. Rowe Price, including those within this report, may contain certain forward-looking information, including information or anticipated information relating to changes in: our revenues, net income and earnings per share; changes in the amount and composition of our assets under management; our expense levels; our estimated effective income tax rate; and our expectations regarding financial markets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our Form 10-K Annual Report for 2007.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ind w:right="20"/>
        <w:spacing w:after="0" w:line="287" w:lineRule="auto"/>
        <w:rPr>
          <w:sz w:val="20"/>
          <w:szCs w:val="20"/>
          <w:color w:val="auto"/>
        </w:rPr>
      </w:pPr>
      <w:r>
        <w:rPr>
          <w:rFonts w:ascii="Arial" w:cs="Arial" w:eastAsia="Arial" w:hAnsi="Arial"/>
          <w:sz w:val="16"/>
          <w:szCs w:val="16"/>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mutual funds and other managed investment portfolios; fluctuations in the financial markets around the world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(loss) will also fluctuate primarily due to the size of our investments and changes in their market valuations.</w:t>
      </w:r>
    </w:p>
    <w:p>
      <w:pPr>
        <w:spacing w:after="0" w:line="6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United States and to further penetrate our distribution channels within the United States; variations in the level of total compensation expense due to, among other things, bonuses, stock option grants, stock awards, changes in our employee count and mix, and competitive factors; any goodwill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5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revenues and net income are based primarily on the value of assets under our management. Accordingly, declines in financial market values like those experienced in September through October to-date directly and negatively impact our investment advisory revenues, as well as our investment income and net income.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Financial market conditions have been extremely volatile in the second half of 2008 and financial security valuations have declined. Similarly, our portfolio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investments in sponsored mutual funds at September 30, 2008, includes a net unrealized loss of $.2 million, down from a net unrealized gain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$100.3 million at June 30, 2008, and $147 million at December 31, 2007. The net unrealized loss at September 30, 2008, includes fund holdings with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aggregate unrealized gains of $56.9 million and aggregate unrealized losses of $57.1 million. Seven fund holdings with an aggregate unrealized loss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$36.0 million at September 30, 2008, have had temporary impairments continuously from June 30, 2008, through October 23, 2008.</w:t>
      </w:r>
    </w:p>
    <w:p>
      <w:pPr>
        <w:spacing w:after="0" w:line="10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Because our fund holdings are considered available-for-sale securities, we recognize unrealized losses that are considered temporary in other comprehensive income. In considering whether an unrealized loss is an other-than-temporary impairment, we have historically determined whether an impairment has persisted daily throughout the six months between quarter-end reporting dates. It is possible that we will determine at December 31, 2008, or at a subsequent quarter end, that continuous unrealized losses in one or more of our mutual fund investments have become other-than-temporary impairments. We could also sell our fund positions before a subsequent quarter-end reporting date and recognize previously unrealized losses. In either case, we would include a charge to non-operating income in our statement of income that is offset by a corresponding increase in the other comprehensive income component of stockholders’ equity. The amount and timing of any subsequent charge will be dependent on future market performance.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other material change in the information provided in Item 1A of our Form 10-K Annual Report for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September 30, 2008. Based on that evaluation, our principal executive and principal financial officers have concluded that our disclosure controls and procedures as of September 30, 2008,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5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third quarter of 2008, and has concluded that there was no change during the third quarter of 2008 that has materially affected, or is reasonably likely to materially affect, our internal control over financial reporting.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discussed in our Form 10-Q report for the first quarter of 2008, the purported class action (T.K. Parthasarathy, et al., including Woodbury, v. T. Rowe Price International Funds, Inc., et al.) was resolved and dismissed with prejudice, without a material adverse effect on our financial position or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1A of our Form 10-K Annual Report for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20" w:right="160" w:hanging="312"/>
        <w:spacing w:after="0" w:line="277" w:lineRule="auto"/>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Repurchase activity during the third quarter of 2008 conducted pursuant to the Board of Directors’ February 15, 2007, and June 5, 2008, authorizations,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900" w:type="dxa"/>
            <w:vAlign w:val="bottom"/>
            <w:gridSpan w:val="2"/>
          </w:tcPr>
          <w:p>
            <w:pPr>
              <w:jc w:val="center"/>
              <w:ind w:right="1100"/>
              <w:spacing w:after="0"/>
              <w:rPr>
                <w:sz w:val="20"/>
                <w:szCs w:val="20"/>
                <w:color w:val="auto"/>
              </w:rPr>
            </w:pPr>
            <w:r>
              <w:rPr>
                <w:rFonts w:ascii="Arial" w:cs="Arial" w:eastAsia="Arial" w:hAnsi="Arial"/>
                <w:sz w:val="14"/>
                <w:szCs w:val="14"/>
                <w:color w:val="auto"/>
                <w:w w:val="95"/>
              </w:rPr>
              <w:t>Total Number of</w:t>
            </w:r>
          </w:p>
        </w:tc>
        <w:tc>
          <w:tcPr>
            <w:tcW w:w="2560" w:type="dxa"/>
            <w:vAlign w:val="bottom"/>
            <w:gridSpan w:val="2"/>
          </w:tcPr>
          <w:p>
            <w:pPr>
              <w:jc w:val="center"/>
              <w:ind w:right="700"/>
              <w:spacing w:after="0"/>
              <w:rPr>
                <w:sz w:val="20"/>
                <w:szCs w:val="20"/>
                <w:color w:val="auto"/>
              </w:rPr>
            </w:pPr>
            <w:r>
              <w:rPr>
                <w:rFonts w:ascii="Arial" w:cs="Arial" w:eastAsia="Arial" w:hAnsi="Arial"/>
                <w:sz w:val="14"/>
                <w:szCs w:val="14"/>
                <w:color w:val="auto"/>
                <w:w w:val="96"/>
              </w:rPr>
              <w:t>Maximum Number of</w:t>
            </w:r>
          </w:p>
        </w:tc>
      </w:tr>
      <w:tr>
        <w:trPr>
          <w:trHeight w:val="149"/>
        </w:trPr>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00" w:type="dxa"/>
            <w:vAlign w:val="bottom"/>
            <w:gridSpan w:val="2"/>
          </w:tcPr>
          <w:p>
            <w:pPr>
              <w:jc w:val="center"/>
              <w:ind w:right="1100"/>
              <w:spacing w:after="0" w:line="149" w:lineRule="exact"/>
              <w:rPr>
                <w:sz w:val="20"/>
                <w:szCs w:val="20"/>
                <w:color w:val="auto"/>
              </w:rPr>
            </w:pPr>
            <w:r>
              <w:rPr>
                <w:rFonts w:ascii="Arial" w:cs="Arial" w:eastAsia="Arial" w:hAnsi="Arial"/>
                <w:sz w:val="14"/>
                <w:szCs w:val="14"/>
                <w:color w:val="auto"/>
                <w:w w:val="86"/>
              </w:rPr>
              <w:t>Shares Purchased as</w:t>
            </w:r>
          </w:p>
        </w:tc>
        <w:tc>
          <w:tcPr>
            <w:tcW w:w="25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1"/>
              </w:rPr>
              <w:t>Shares that May Yet</w:t>
            </w:r>
          </w:p>
        </w:tc>
      </w:tr>
      <w:tr>
        <w:trPr>
          <w:trHeight w:val="149"/>
        </w:trPr>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Total Number of</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2"/>
          </w:tcPr>
          <w:p>
            <w:pPr>
              <w:jc w:val="right"/>
              <w:ind w:right="1040"/>
              <w:spacing w:after="0" w:line="149" w:lineRule="exact"/>
              <w:rPr>
                <w:sz w:val="20"/>
                <w:szCs w:val="20"/>
                <w:color w:val="auto"/>
              </w:rPr>
            </w:pPr>
            <w:r>
              <w:rPr>
                <w:rFonts w:ascii="Arial" w:cs="Arial" w:eastAsia="Arial" w:hAnsi="Arial"/>
                <w:sz w:val="14"/>
                <w:szCs w:val="14"/>
                <w:color w:val="auto"/>
                <w:w w:val="91"/>
              </w:rPr>
              <w:t>Average Price Paid</w:t>
            </w:r>
          </w:p>
        </w:tc>
        <w:tc>
          <w:tcPr>
            <w:tcW w:w="2900" w:type="dxa"/>
            <w:vAlign w:val="bottom"/>
            <w:gridSpan w:val="2"/>
          </w:tcPr>
          <w:p>
            <w:pPr>
              <w:jc w:val="center"/>
              <w:ind w:right="1120"/>
              <w:spacing w:after="0" w:line="149" w:lineRule="exact"/>
              <w:rPr>
                <w:sz w:val="20"/>
                <w:szCs w:val="20"/>
                <w:color w:val="auto"/>
              </w:rPr>
            </w:pPr>
            <w:r>
              <w:rPr>
                <w:rFonts w:ascii="Arial" w:cs="Arial" w:eastAsia="Arial" w:hAnsi="Arial"/>
                <w:sz w:val="14"/>
                <w:szCs w:val="14"/>
                <w:color w:val="auto"/>
                <w:w w:val="96"/>
              </w:rPr>
              <w:t>Part of Publicly</w:t>
            </w:r>
          </w:p>
        </w:tc>
        <w:tc>
          <w:tcPr>
            <w:tcW w:w="25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0"/>
              </w:rPr>
              <w:t>Be Purchased Under</w:t>
            </w:r>
          </w:p>
        </w:tc>
      </w:tr>
      <w:tr>
        <w:trPr>
          <w:trHeight w:val="167"/>
        </w:trPr>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w w:val="97"/>
              </w:rPr>
              <w:t>Month</w:t>
            </w:r>
          </w:p>
        </w:tc>
        <w:tc>
          <w:tcPr>
            <w:tcW w:w="380" w:type="dxa"/>
            <w:vAlign w:val="bottom"/>
          </w:tcPr>
          <w:p>
            <w:pPr>
              <w:spacing w:after="0"/>
              <w:rPr>
                <w:sz w:val="14"/>
                <w:szCs w:val="14"/>
                <w:color w:val="auto"/>
              </w:rPr>
            </w:pPr>
          </w:p>
        </w:tc>
        <w:tc>
          <w:tcPr>
            <w:tcW w:w="16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Shares Purchased</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rPr>
              <w:t>per Share</w:t>
            </w:r>
          </w:p>
        </w:tc>
        <w:tc>
          <w:tcPr>
            <w:tcW w:w="920" w:type="dxa"/>
            <w:vAlign w:val="bottom"/>
          </w:tcPr>
          <w:p>
            <w:pPr>
              <w:spacing w:after="0"/>
              <w:rPr>
                <w:sz w:val="14"/>
                <w:szCs w:val="1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Announced Program</w:t>
            </w:r>
          </w:p>
        </w:tc>
        <w:tc>
          <w:tcPr>
            <w:tcW w:w="1100" w:type="dxa"/>
            <w:vAlign w:val="bottom"/>
          </w:tcPr>
          <w:p>
            <w:pPr>
              <w:spacing w:after="0"/>
              <w:rPr>
                <w:sz w:val="14"/>
                <w:szCs w:val="1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the Program</w:t>
            </w:r>
          </w:p>
        </w:tc>
        <w:tc>
          <w:tcPr>
            <w:tcW w:w="680" w:type="dxa"/>
            <w:vAlign w:val="bottom"/>
          </w:tcPr>
          <w:p>
            <w:pPr>
              <w:spacing w:after="0"/>
              <w:rPr>
                <w:sz w:val="14"/>
                <w:szCs w:val="14"/>
                <w:color w:val="auto"/>
              </w:rPr>
            </w:pPr>
          </w:p>
        </w:tc>
      </w:tr>
      <w:tr>
        <w:trPr>
          <w:trHeight w:val="210"/>
        </w:trPr>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w:t>
            </w: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1,055,511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52.50</w:t>
            </w:r>
          </w:p>
        </w:tc>
        <w:tc>
          <w:tcPr>
            <w:tcW w:w="290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1,055,511</w:t>
            </w:r>
          </w:p>
        </w:tc>
        <w:tc>
          <w:tcPr>
            <w:tcW w:w="2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19,397,163</w:t>
            </w:r>
          </w:p>
        </w:tc>
      </w:tr>
      <w:tr>
        <w:trPr>
          <w:trHeight w:val="216"/>
        </w:trPr>
        <w:tc>
          <w:tcPr>
            <w:tcW w:w="800" w:type="dxa"/>
            <w:vAlign w:val="bottom"/>
          </w:tcPr>
          <w:p>
            <w:pPr>
              <w:jc w:val="right"/>
              <w:spacing w:after="0"/>
              <w:rPr>
                <w:sz w:val="20"/>
                <w:szCs w:val="20"/>
                <w:color w:val="auto"/>
              </w:rPr>
            </w:pPr>
            <w:r>
              <w:rPr>
                <w:rFonts w:ascii="Arial" w:cs="Arial" w:eastAsia="Arial" w:hAnsi="Arial"/>
                <w:sz w:val="18"/>
                <w:szCs w:val="18"/>
                <w:color w:val="auto"/>
              </w:rPr>
              <w:t>August</w:t>
            </w: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150,000</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right"/>
              <w:ind w:right="920"/>
              <w:spacing w:after="0"/>
              <w:rPr>
                <w:sz w:val="20"/>
                <w:szCs w:val="20"/>
                <w:color w:val="auto"/>
              </w:rPr>
            </w:pPr>
            <w:r>
              <w:rPr>
                <w:rFonts w:ascii="Arial" w:cs="Arial" w:eastAsia="Arial" w:hAnsi="Arial"/>
                <w:sz w:val="18"/>
                <w:szCs w:val="18"/>
                <w:color w:val="auto"/>
              </w:rPr>
              <w:t>57.00</w:t>
            </w:r>
          </w:p>
        </w:tc>
        <w:tc>
          <w:tcPr>
            <w:tcW w:w="2900" w:type="dxa"/>
            <w:vAlign w:val="bottom"/>
            <w:gridSpan w:val="2"/>
          </w:tcPr>
          <w:p>
            <w:pPr>
              <w:jc w:val="right"/>
              <w:ind w:right="1100"/>
              <w:spacing w:after="0"/>
              <w:rPr>
                <w:sz w:val="20"/>
                <w:szCs w:val="20"/>
                <w:color w:val="auto"/>
              </w:rPr>
            </w:pPr>
            <w:r>
              <w:rPr>
                <w:rFonts w:ascii="Arial" w:cs="Arial" w:eastAsia="Arial" w:hAnsi="Arial"/>
                <w:sz w:val="18"/>
                <w:szCs w:val="18"/>
                <w:color w:val="auto"/>
              </w:rPr>
              <w:t>150,000</w:t>
            </w:r>
          </w:p>
        </w:tc>
        <w:tc>
          <w:tcPr>
            <w:tcW w:w="2560" w:type="dxa"/>
            <w:vAlign w:val="bottom"/>
            <w:gridSpan w:val="2"/>
          </w:tcPr>
          <w:p>
            <w:pPr>
              <w:jc w:val="right"/>
              <w:ind w:right="680"/>
              <w:spacing w:after="0"/>
              <w:rPr>
                <w:sz w:val="20"/>
                <w:szCs w:val="20"/>
                <w:color w:val="auto"/>
              </w:rPr>
            </w:pPr>
            <w:r>
              <w:rPr>
                <w:rFonts w:ascii="Arial" w:cs="Arial" w:eastAsia="Arial" w:hAnsi="Arial"/>
                <w:sz w:val="18"/>
                <w:szCs w:val="18"/>
                <w:color w:val="auto"/>
              </w:rPr>
              <w:t>19,247,163</w:t>
            </w:r>
          </w:p>
        </w:tc>
      </w:tr>
      <w:tr>
        <w:trPr>
          <w:trHeight w:val="216"/>
        </w:trPr>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September</w:t>
            </w: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369,801</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53.81</w:t>
            </w:r>
          </w:p>
        </w:tc>
        <w:tc>
          <w:tcPr>
            <w:tcW w:w="290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369,801</w:t>
            </w:r>
          </w:p>
        </w:tc>
        <w:tc>
          <w:tcPr>
            <w:tcW w:w="2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18,877,362</w:t>
            </w:r>
          </w:p>
        </w:tc>
      </w:tr>
      <w:tr>
        <w:trPr>
          <w:trHeight w:val="223"/>
        </w:trPr>
        <w:tc>
          <w:tcPr>
            <w:tcW w:w="800" w:type="dxa"/>
            <w:vAlign w:val="bottom"/>
          </w:tcPr>
          <w:p>
            <w:pPr>
              <w:jc w:val="right"/>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1,575,312</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53.24</w:t>
            </w:r>
          </w:p>
        </w:tc>
        <w:tc>
          <w:tcPr>
            <w:tcW w:w="92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1,575,312</w:t>
            </w:r>
          </w:p>
        </w:tc>
        <w:tc>
          <w:tcPr>
            <w:tcW w:w="1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On October 24, 2008, we issued a press release reporting our results of operations for the third quarter and first nine months of 2008. A copy of that press release is furnished herewith as Exhibit 99. The information in this Item 5 and in Exhibit 99 shall not be deemed filed for purposes of Section 18 of the Securities Exchange Act of 1934, nor shall it be deemed incorporated by reference in any filing under the Securities Act of 1933.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3(i).1</w:t>
            </w:r>
          </w:p>
        </w:tc>
        <w:tc>
          <w:tcPr>
            <w:tcW w:w="10000" w:type="dxa"/>
            <w:vAlign w:val="bottom"/>
          </w:tcPr>
          <w:p>
            <w:pPr>
              <w:ind w:left="440"/>
              <w:spacing w:after="0"/>
              <w:rPr>
                <w:sz w:val="20"/>
                <w:szCs w:val="20"/>
                <w:color w:val="auto"/>
              </w:rPr>
            </w:pPr>
            <w:r>
              <w:rPr>
                <w:rFonts w:ascii="Arial" w:cs="Arial" w:eastAsia="Arial" w:hAnsi="Arial"/>
                <w:sz w:val="18"/>
                <w:szCs w:val="18"/>
                <w:color w:val="auto"/>
                <w:w w:val="91"/>
              </w:rPr>
              <w:t>Charter of T. Rowe Price Group, Inc., as Amended by Articles of Amendment dated April 10, 2008. (Incorporated by reference from</w:t>
            </w:r>
          </w:p>
        </w:tc>
      </w:tr>
      <w:tr>
        <w:trPr>
          <w:trHeight w:val="230"/>
        </w:trPr>
        <w:tc>
          <w:tcPr>
            <w:tcW w:w="940" w:type="dxa"/>
            <w:vAlign w:val="bottom"/>
          </w:tcPr>
          <w:p>
            <w:pPr>
              <w:spacing w:after="0"/>
              <w:rPr>
                <w:sz w:val="20"/>
                <w:szCs w:val="20"/>
                <w:color w:val="auto"/>
              </w:rPr>
            </w:pPr>
          </w:p>
        </w:tc>
        <w:tc>
          <w:tcPr>
            <w:tcW w:w="10000" w:type="dxa"/>
            <w:vAlign w:val="bottom"/>
          </w:tcPr>
          <w:p>
            <w:pPr>
              <w:ind w:left="440"/>
              <w:spacing w:after="0"/>
              <w:rPr>
                <w:sz w:val="20"/>
                <w:szCs w:val="20"/>
                <w:color w:val="auto"/>
              </w:rPr>
            </w:pPr>
            <w:r>
              <w:rPr>
                <w:rFonts w:ascii="Arial" w:cs="Arial" w:eastAsia="Arial" w:hAnsi="Arial"/>
                <w:sz w:val="18"/>
                <w:szCs w:val="18"/>
                <w:color w:val="auto"/>
              </w:rPr>
              <w:t>Form 10-Q Report for the quarterly period ended March 31, 2008; Accession No. 0000950133-08-001597.)</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3(ii)</w:t>
            </w:r>
          </w:p>
        </w:tc>
        <w:tc>
          <w:tcPr>
            <w:tcW w:w="10000" w:type="dxa"/>
            <w:vAlign w:val="bottom"/>
          </w:tcPr>
          <w:p>
            <w:pPr>
              <w:ind w:left="440"/>
              <w:spacing w:after="0"/>
              <w:rPr>
                <w:sz w:val="20"/>
                <w:szCs w:val="20"/>
                <w:color w:val="auto"/>
              </w:rPr>
            </w:pPr>
            <w:r>
              <w:rPr>
                <w:rFonts w:ascii="Arial" w:cs="Arial" w:eastAsia="Arial" w:hAnsi="Arial"/>
                <w:sz w:val="18"/>
                <w:szCs w:val="18"/>
                <w:color w:val="auto"/>
                <w:w w:val="91"/>
              </w:rPr>
              <w:t>Amended and Restated By-Laws of T. Rowe Price Group, Inc. as of December 13, 2007. (Incorporated by reference from Form 8-K</w:t>
            </w:r>
          </w:p>
        </w:tc>
      </w:tr>
      <w:tr>
        <w:trPr>
          <w:trHeight w:val="230"/>
        </w:trPr>
        <w:tc>
          <w:tcPr>
            <w:tcW w:w="940" w:type="dxa"/>
            <w:vAlign w:val="bottom"/>
          </w:tcPr>
          <w:p>
            <w:pPr>
              <w:spacing w:after="0"/>
              <w:rPr>
                <w:sz w:val="20"/>
                <w:szCs w:val="20"/>
                <w:color w:val="auto"/>
              </w:rPr>
            </w:pPr>
          </w:p>
        </w:tc>
        <w:tc>
          <w:tcPr>
            <w:tcW w:w="10000" w:type="dxa"/>
            <w:vAlign w:val="bottom"/>
          </w:tcPr>
          <w:p>
            <w:pPr>
              <w:ind w:left="440"/>
              <w:spacing w:after="0"/>
              <w:rPr>
                <w:sz w:val="20"/>
                <w:szCs w:val="20"/>
                <w:color w:val="auto"/>
              </w:rPr>
            </w:pPr>
            <w:r>
              <w:rPr>
                <w:rFonts w:ascii="Arial" w:cs="Arial" w:eastAsia="Arial" w:hAnsi="Arial"/>
                <w:sz w:val="18"/>
                <w:szCs w:val="18"/>
                <w:color w:val="auto"/>
              </w:rPr>
              <w:t>Current Report as of December 13, 2007; Accession No. 0000950133-07-005002.)</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10.03</w:t>
            </w:r>
          </w:p>
        </w:tc>
        <w:tc>
          <w:tcPr>
            <w:tcW w:w="10000" w:type="dxa"/>
            <w:vAlign w:val="bottom"/>
          </w:tcPr>
          <w:p>
            <w:pPr>
              <w:ind w:left="440"/>
              <w:spacing w:after="0"/>
              <w:rPr>
                <w:sz w:val="20"/>
                <w:szCs w:val="20"/>
                <w:color w:val="auto"/>
              </w:rPr>
            </w:pPr>
            <w:r>
              <w:rPr>
                <w:rFonts w:ascii="Arial" w:cs="Arial" w:eastAsia="Arial" w:hAnsi="Arial"/>
                <w:sz w:val="18"/>
                <w:szCs w:val="18"/>
                <w:color w:val="auto"/>
                <w:w w:val="90"/>
              </w:rPr>
              <w:t>Transfer Agency and Service Agreement as of January 1, 2008, between T. Rowe Price Services, Inc. and the T. Rowe Price Funds.</w:t>
            </w:r>
          </w:p>
        </w:tc>
      </w:tr>
      <w:tr>
        <w:trPr>
          <w:trHeight w:val="230"/>
        </w:trPr>
        <w:tc>
          <w:tcPr>
            <w:tcW w:w="940" w:type="dxa"/>
            <w:vAlign w:val="bottom"/>
          </w:tcPr>
          <w:p>
            <w:pPr>
              <w:spacing w:after="0"/>
              <w:rPr>
                <w:sz w:val="20"/>
                <w:szCs w:val="20"/>
                <w:color w:val="auto"/>
              </w:rPr>
            </w:pPr>
          </w:p>
        </w:tc>
        <w:tc>
          <w:tcPr>
            <w:tcW w:w="10000" w:type="dxa"/>
            <w:vAlign w:val="bottom"/>
          </w:tcPr>
          <w:p>
            <w:pPr>
              <w:ind w:left="440"/>
              <w:spacing w:after="0"/>
              <w:rPr>
                <w:sz w:val="20"/>
                <w:szCs w:val="20"/>
                <w:color w:val="auto"/>
              </w:rPr>
            </w:pPr>
            <w:r>
              <w:rPr>
                <w:rFonts w:ascii="Arial" w:cs="Arial" w:eastAsia="Arial" w:hAnsi="Arial"/>
                <w:sz w:val="18"/>
                <w:szCs w:val="18"/>
                <w:color w:val="auto"/>
              </w:rPr>
              <w:t>(Incorporated by reference from Form 485BPOS; Accession No. 0000871839-08-000081.)</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10.04</w:t>
            </w:r>
          </w:p>
        </w:tc>
        <w:tc>
          <w:tcPr>
            <w:tcW w:w="10000" w:type="dxa"/>
            <w:vAlign w:val="bottom"/>
          </w:tcPr>
          <w:p>
            <w:pPr>
              <w:ind w:left="440"/>
              <w:spacing w:after="0"/>
              <w:rPr>
                <w:sz w:val="20"/>
                <w:szCs w:val="20"/>
                <w:color w:val="auto"/>
              </w:rPr>
            </w:pPr>
            <w:r>
              <w:rPr>
                <w:rFonts w:ascii="Arial" w:cs="Arial" w:eastAsia="Arial" w:hAnsi="Arial"/>
                <w:sz w:val="18"/>
                <w:szCs w:val="18"/>
                <w:color w:val="auto"/>
                <w:w w:val="92"/>
              </w:rPr>
              <w:t>Agreement as of January 1, 2008, between T. Rowe Price Retirement Plan Services, Inc. and certain of the T. Rowe Price Funds.</w:t>
            </w:r>
          </w:p>
        </w:tc>
      </w:tr>
      <w:tr>
        <w:trPr>
          <w:trHeight w:val="230"/>
        </w:trPr>
        <w:tc>
          <w:tcPr>
            <w:tcW w:w="940" w:type="dxa"/>
            <w:vAlign w:val="bottom"/>
          </w:tcPr>
          <w:p>
            <w:pPr>
              <w:spacing w:after="0"/>
              <w:rPr>
                <w:sz w:val="20"/>
                <w:szCs w:val="20"/>
                <w:color w:val="auto"/>
              </w:rPr>
            </w:pPr>
          </w:p>
        </w:tc>
        <w:tc>
          <w:tcPr>
            <w:tcW w:w="10000" w:type="dxa"/>
            <w:vAlign w:val="bottom"/>
          </w:tcPr>
          <w:p>
            <w:pPr>
              <w:ind w:left="440"/>
              <w:spacing w:after="0"/>
              <w:rPr>
                <w:sz w:val="20"/>
                <w:szCs w:val="20"/>
                <w:color w:val="auto"/>
              </w:rPr>
            </w:pPr>
            <w:r>
              <w:rPr>
                <w:rFonts w:ascii="Arial" w:cs="Arial" w:eastAsia="Arial" w:hAnsi="Arial"/>
                <w:sz w:val="18"/>
                <w:szCs w:val="18"/>
                <w:color w:val="auto"/>
              </w:rPr>
              <w:t>(Incorporated by reference from Form 485BPOS; Accession No. 0000871839-08-000081.)</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15</w:t>
            </w:r>
          </w:p>
        </w:tc>
        <w:tc>
          <w:tcPr>
            <w:tcW w:w="10000" w:type="dxa"/>
            <w:vAlign w:val="bottom"/>
          </w:tcPr>
          <w:p>
            <w:pPr>
              <w:ind w:left="440"/>
              <w:spacing w:after="0"/>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31(i).1</w:t>
            </w:r>
          </w:p>
        </w:tc>
        <w:tc>
          <w:tcPr>
            <w:tcW w:w="10000" w:type="dxa"/>
            <w:vAlign w:val="bottom"/>
          </w:tcPr>
          <w:p>
            <w:pPr>
              <w:ind w:left="440"/>
              <w:spacing w:after="0"/>
              <w:rPr>
                <w:sz w:val="20"/>
                <w:szCs w:val="20"/>
                <w:color w:val="auto"/>
              </w:rPr>
            </w:pPr>
            <w:r>
              <w:rPr>
                <w:rFonts w:ascii="Arial" w:cs="Arial" w:eastAsia="Arial" w:hAnsi="Arial"/>
                <w:sz w:val="18"/>
                <w:szCs w:val="18"/>
                <w:color w:val="auto"/>
              </w:rPr>
              <w:t>Rule 13a-14(a) Certification of Principal Executive Officer.</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31(i).2</w:t>
            </w:r>
          </w:p>
        </w:tc>
        <w:tc>
          <w:tcPr>
            <w:tcW w:w="10000" w:type="dxa"/>
            <w:vAlign w:val="bottom"/>
          </w:tcPr>
          <w:p>
            <w:pPr>
              <w:ind w:left="440"/>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32</w:t>
            </w:r>
          </w:p>
        </w:tc>
        <w:tc>
          <w:tcPr>
            <w:tcW w:w="10000" w:type="dxa"/>
            <w:vAlign w:val="bottom"/>
          </w:tcPr>
          <w:p>
            <w:pPr>
              <w:ind w:left="440"/>
              <w:spacing w:after="0"/>
              <w:rPr>
                <w:sz w:val="20"/>
                <w:szCs w:val="20"/>
                <w:color w:val="auto"/>
              </w:rPr>
            </w:pPr>
            <w:r>
              <w:rPr>
                <w:rFonts w:ascii="Arial" w:cs="Arial" w:eastAsia="Arial" w:hAnsi="Arial"/>
                <w:sz w:val="18"/>
                <w:szCs w:val="18"/>
                <w:color w:val="auto"/>
              </w:rPr>
              <w:t>Section 1350 Certifications.</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99</w:t>
            </w:r>
          </w:p>
        </w:tc>
        <w:tc>
          <w:tcPr>
            <w:tcW w:w="10000" w:type="dxa"/>
            <w:vAlign w:val="bottom"/>
          </w:tcPr>
          <w:p>
            <w:pPr>
              <w:ind w:left="440"/>
              <w:spacing w:after="0"/>
              <w:rPr>
                <w:sz w:val="20"/>
                <w:szCs w:val="20"/>
                <w:color w:val="auto"/>
              </w:rPr>
            </w:pPr>
            <w:r>
              <w:rPr>
                <w:rFonts w:ascii="Arial" w:cs="Arial" w:eastAsia="Arial" w:hAnsi="Arial"/>
                <w:sz w:val="18"/>
                <w:szCs w:val="18"/>
                <w:color w:val="auto"/>
                <w:w w:val="96"/>
              </w:rPr>
              <w:t>Press release issued October 24, 2008, reporting our results of operations for the third quarter and first nine months of 2008.</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October 24, 2008.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by: /s/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95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Exhibit 15 Letter from KPMG LLP, independent registered public accounting firm, re unaudited interim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1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 Registration Statements on Form S-8: No. 33-7012, No. 33-72568, No. 33-58749, No. 333-20333, No. 333-90967, No. 333-59714, No. 333-120882, No. 333-120883 and No. 333-142092</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October 23, 2008 related to our review of interim financial information.</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23, 2008</w:t>
      </w:r>
    </w:p>
    <w:p>
      <w:pPr>
        <w:sectPr>
          <w:pgSz w:w="11900" w:h="16838" w:orient="portrait"/>
          <w:cols w:equalWidth="0" w:num="1">
            <w:col w:w="11120"/>
          </w:cols>
          <w:pgMar w:left="240" w:top="121" w:right="5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Exhibit 31(i).1 Rule 13a-14(a) 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A. C. Kennedy, certify that:</w:t>
      </w:r>
    </w:p>
    <w:p>
      <w:pPr>
        <w:spacing w:after="0" w:line="117"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September 30, 2008, of T. Rowe Price Group, Inc.;</w:t>
      </w:r>
    </w:p>
    <w:p>
      <w:pPr>
        <w:spacing w:after="0" w:line="130" w:lineRule="exact"/>
        <w:rPr>
          <w:rFonts w:ascii="Arial" w:cs="Arial" w:eastAsia="Arial" w:hAnsi="Arial"/>
          <w:sz w:val="18"/>
          <w:szCs w:val="18"/>
          <w:color w:val="auto"/>
        </w:rPr>
      </w:pPr>
    </w:p>
    <w:p>
      <w:pPr>
        <w:ind w:left="260" w:right="60" w:hanging="252"/>
        <w:spacing w:after="0" w:line="342" w:lineRule="auto"/>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520" w:hanging="252"/>
        <w:spacing w:after="0" w:line="308" w:lineRule="auto"/>
        <w:tabs>
          <w:tab w:leader="none" w:pos="260" w:val="left"/>
        </w:tabs>
        <w:numPr>
          <w:ilvl w:val="0"/>
          <w:numId w:val="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hanging="252"/>
        <w:spacing w:after="0" w:line="264" w:lineRule="auto"/>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140" w:firstLine="445"/>
        <w:spacing w:after="0" w:line="264" w:lineRule="auto"/>
        <w:tabs>
          <w:tab w:leader="none" w:pos="933"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240" w:right="520" w:firstLine="445"/>
        <w:spacing w:after="0" w:line="264" w:lineRule="auto"/>
        <w:tabs>
          <w:tab w:leader="none" w:pos="943"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640" w:firstLine="445"/>
        <w:spacing w:after="0" w:line="342" w:lineRule="auto"/>
        <w:tabs>
          <w:tab w:leader="none" w:pos="933" w:val="left"/>
        </w:tabs>
        <w:numPr>
          <w:ilvl w:val="1"/>
          <w:numId w:val="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240" w:right="120" w:firstLine="445"/>
        <w:spacing w:after="0" w:line="342" w:lineRule="auto"/>
        <w:tabs>
          <w:tab w:leader="none" w:pos="943" w:val="left"/>
        </w:tabs>
        <w:numPr>
          <w:ilvl w:val="1"/>
          <w:numId w:val="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260" w:right="440" w:hanging="252"/>
        <w:spacing w:after="0" w:line="308" w:lineRule="auto"/>
        <w:tabs>
          <w:tab w:leader="none" w:pos="2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 w:firstLine="445"/>
        <w:spacing w:after="0" w:line="277" w:lineRule="auto"/>
        <w:tabs>
          <w:tab w:leader="none" w:pos="923" w:val="left"/>
        </w:tabs>
        <w:numPr>
          <w:ilvl w:val="1"/>
          <w:numId w:val="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firstLine="445"/>
        <w:spacing w:after="0" w:line="277" w:lineRule="auto"/>
        <w:tabs>
          <w:tab w:leader="none" w:pos="933"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October 23,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80"/>
          </w:cols>
          <w:pgMar w:left="240" w:top="121"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Exhibit 31(i).2 Rule 13a-14(a) 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17"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September 30, 2008, of T. Rowe Price Group, Inc.;</w:t>
      </w:r>
    </w:p>
    <w:p>
      <w:pPr>
        <w:spacing w:after="0" w:line="130" w:lineRule="exact"/>
        <w:rPr>
          <w:rFonts w:ascii="Arial" w:cs="Arial" w:eastAsia="Arial" w:hAnsi="Arial"/>
          <w:sz w:val="18"/>
          <w:szCs w:val="18"/>
          <w:color w:val="auto"/>
        </w:rPr>
      </w:pPr>
    </w:p>
    <w:p>
      <w:pPr>
        <w:ind w:left="260" w:right="60" w:hanging="252"/>
        <w:spacing w:after="0" w:line="342" w:lineRule="auto"/>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520" w:hanging="252"/>
        <w:spacing w:after="0" w:line="308" w:lineRule="auto"/>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hanging="252"/>
        <w:spacing w:after="0" w:line="264"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140" w:firstLine="445"/>
        <w:spacing w:after="0" w:line="264" w:lineRule="auto"/>
        <w:tabs>
          <w:tab w:leader="none" w:pos="933"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240" w:right="520" w:firstLine="445"/>
        <w:spacing w:after="0" w:line="264" w:lineRule="auto"/>
        <w:tabs>
          <w:tab w:leader="none" w:pos="943"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640" w:firstLine="445"/>
        <w:spacing w:after="0" w:line="342" w:lineRule="auto"/>
        <w:tabs>
          <w:tab w:leader="none" w:pos="933" w:val="left"/>
        </w:tabs>
        <w:numPr>
          <w:ilvl w:val="1"/>
          <w:numId w:val="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240" w:right="120" w:firstLine="445"/>
        <w:spacing w:after="0" w:line="342" w:lineRule="auto"/>
        <w:tabs>
          <w:tab w:leader="none" w:pos="943" w:val="left"/>
        </w:tabs>
        <w:numPr>
          <w:ilvl w:val="1"/>
          <w:numId w:val="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260" w:right="440" w:hanging="252"/>
        <w:spacing w:after="0" w:line="308" w:lineRule="auto"/>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 w:firstLine="445"/>
        <w:spacing w:after="0" w:line="277" w:lineRule="auto"/>
        <w:tabs>
          <w:tab w:leader="none" w:pos="923"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firstLine="445"/>
        <w:spacing w:after="0" w:line="277" w:lineRule="auto"/>
        <w:tabs>
          <w:tab w:leader="none" w:pos="933"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October 23,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280"/>
          </w:cols>
          <w:pgMar w:left="240" w:top="121"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Exhibit 32 Section 1350 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certify, to the best of our knowledge, based upon a review of the Form 10-Q Quarterly Report for the quarterly period ended September 30, 2008, of 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Rowe Price Group, Inc., that:</w:t>
      </w:r>
    </w:p>
    <w:p>
      <w:pPr>
        <w:spacing w:after="0" w:line="103"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Form 10-Q Quarterly Report fully complies with the requirements of Section 13(a) of the Securities Exchange Act of 1934, as amended; and</w:t>
      </w:r>
    </w:p>
    <w:p>
      <w:pPr>
        <w:spacing w:after="0" w:line="128" w:lineRule="exact"/>
        <w:rPr>
          <w:rFonts w:ascii="Arial" w:cs="Arial" w:eastAsia="Arial" w:hAnsi="Arial"/>
          <w:sz w:val="17"/>
          <w:szCs w:val="17"/>
          <w:color w:val="auto"/>
        </w:rPr>
      </w:pPr>
    </w:p>
    <w:p>
      <w:pPr>
        <w:ind w:right="120" w:firstLine="8"/>
        <w:spacing w:after="0" w:line="277" w:lineRule="auto"/>
        <w:tabs>
          <w:tab w:leader="none" w:pos="25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October 23,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360"/>
          </w:cols>
          <w:pgMar w:left="240" w:top="121" w:right="29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6174740" cy="7543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474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ROWE PRICE GROUP REPORTS THIRD QUARTER 2008 RESULTS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BALTIMORE (October 24, 2008) — T. Rowe Price Group, Inc. (NASDAQ-GS: TROW) today reported its third quarter 2008 results, including net revenues of $555 million, net income of $153 million, and diluted earnings per share of $.56, a decrease of 11% from $.63 per share in the comparable 2007 quarter. Net revenues were $571 million in the third quarter of 2007 when net income was $175 million. Weighted average shares outstanding have decreased from the 2007 period due to the firm’s common share repurchase program. Over the twelve month period ended September 30, 2008, the firm has repurchased 3.6%, or 9.8 million, of its outstanding common shares.</w:t>
      </w:r>
    </w:p>
    <w:p>
      <w:pPr>
        <w:spacing w:after="0" w:line="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Investment advisory revenues were down 4%, or $17.7 million, from the comparable 2007 quarter. Assets under management decreased 11% since June 30, 2008, to $345 billion at September 30, including $207.4 billion in the T. Rowe Price mutual funds distributed in the United States and $137.6 billion in other managed investment portfolios. Net cash inflows from investors in the third quarter of 2008 totaled $1.7 billion. Lower market valuations, net of portfolio income, reduced assets under management by $44.4 billion in the third quarter of 2008.</w:t>
      </w:r>
    </w:p>
    <w:p>
      <w:pPr>
        <w:spacing w:after="0" w:line="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Results for the first nine months of 2008 include net revenues of $1.7 billion, net income of more than $466 million, and diluted earnings per share of $1.71, down $.01 per share from the comparable 2007 period. Assets under management are down 13.8% from the beginning of 2008 as cash inflows from investors of $19.5 billion have been more than offset by market valuation declines of $74.5 billion during the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Investment advisory revenues earned from the T. Rowe Price mutual funds distributed in the United States decreased 6%, or $21.4 million, to $326.9 million in the third quarter of 2008. Average mutual fund assets were $226.3 billion in the 2008 quarter, a decrease of nearly 5% from the average for the comparable 2007 quarter. Mutual fund assets at September 30, 2008, were down $25.9 billion or 11% from the end of June 2008 and 15.7% from the beginning of the year. Net flows to the mutual funds were flat during the third quarter of 2008 as net inflows from bond and money funds of $1.3 billion were offset by net outflows from the stock funds. The U.S. Treasury and Summit Cash Reserves money market funds combined to add $.8 billion of net inflows. Decreases in market valuations, net of income, lowered mutual fund assets under management by $25.9 billion during the 2008 quarter.</w:t>
      </w:r>
    </w:p>
    <w:p>
      <w:pPr>
        <w:spacing w:after="0" w:line="57"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The target-date retirement investment portfolios continue to be a significant source of assets under management. During the 2008 quarter, net inflows of $1.5 billion originated in target-date retirement portfolios. Assets in target-date investment portfolios were $31.1 billion at September 30, 2008, and now account for 9% of the firm’s assets under management and 14.5% of its mutual fund assets.</w:t>
      </w:r>
    </w:p>
    <w:p>
      <w:pPr>
        <w:spacing w:after="0" w:line="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Investment advisory revenues earned from other managed investment portfolios, consisting of institutional separate accounts, sub-advised funds, sponsored investment funds which are offered to investors outside the U.S., and variable annuity insurance portfolios, were $138.8 million in the 2008 quarter, an increase of $3.7 million from the comparable period last year. These portfolio assets were down $16.8 billion or 11% from the end of June 2008. Net inflows for the 2008 quarter were $1.7 billion from U.S. and international institutional investors. Decreases in market valuations, net of income, lowered assets under management in these portfolios by $18.5 billion during the 2008 quarter. Investors outside the United States now account for 10% of assets under management.</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expenses were $316 million in the third quarter of 2008, up $8.8 million from the 2007 quarter. Compensation and related costs increased</w:t>
      </w:r>
    </w:p>
    <w:p>
      <w:pPr>
        <w:spacing w:after="0" w:line="3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$2.1 million over the comparable 2007 quarter, primarily due to increased staff size and higher salaries. The firm has increased its staff to support increased volume-related activities and other business opportunities, and at September 30, 2008, employed 5,364 associates.</w:t>
      </w:r>
    </w:p>
    <w:p>
      <w:pPr>
        <w:spacing w:after="0" w:line="7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Advertising and promotion expenditures in the third quarter were down $1.7 million from the 2007 quarter. Investor sentiment in this volatile and uncertain market environment has caused the firm to reduce its spending on advertising and promotion, which varies period-to-period in response to market conditions and investor demand, as well as efforts to expand the firm’s investor base in the United States and abroad. Spending in the fourth quarter of 2008 is now expected to be about $35 million.</w:t>
      </w:r>
    </w:p>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provision for income taxes as a percentage of pretax income for the first nine months of 2008 is 38.2%. The third quarter and nine-month provisions include adjustments resulting from the filing of the firm’s 2007 income tax returns. The firm’s estimated effective tax rate for the full-year 2008 has decreased to 38.2% to reflect these changes.</w:t>
      </w:r>
    </w:p>
    <w:p>
      <w:pPr>
        <w:spacing w:after="0" w:line="7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Financial market conditions have been extremely volatile in the second half of 2008 and valuations have declined, including the firm’s investments in its sponsored mutual funds. At September 30, 2008, a net unrealized loss of $.2 million was recognized in stockholders’ equity. This net unrealized loss comprises fund holdings with aggregate unrealized gains of $56.9 million and aggregate unrealized losses of $57.1 million, which may give rise to charges in future income statements. The net unrealized loss compares to a net unrealized gain of $100.3 million at 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364490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Management Commentary</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James A.C. Kennedy, the company’s Chief Executive Officer and President, commented: “The firm’s investment advisory results relative to our peers remain strong, with at least 84% of the T. Rowe Price funds across their share classes surpassing their comparable Lipper averages on a total return basis for the three- and five-year periods ended September 30, 2008, 79% outperforming for the 10-year period, and 64% outperforming for the one-year period. In addition, 78 of the T. Rowe Price stock, bond and blended asset funds across their share classes, which account for 68% of our rated funds’ assets under management, ended the quarter with an overall rating of four or five stars from Morningstar. These four- and five-star-rated portfolios represent 54.9% of our rated funds and share classes, compared with 32.5% for the overall industry.</w:t>
      </w:r>
    </w:p>
    <w:p>
      <w:pPr>
        <w:spacing w:after="0" w:line="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“Our third quarter results were achieved during a difficult period in which global equity markets fell dramatically and liquidity and other banking constraints spread throughout the world. The start of the fourth quarter has seen further market declines. Concerns about the health of the U.S. and most other economies have certainly clouded the global outlook.</w:t>
      </w:r>
    </w:p>
    <w:p>
      <w:pPr>
        <w:spacing w:after="0" w:line="7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“Looking ahead, the bold actions recently taken by central banks and governments to inject liquidity and capital, and to restore confidence are encouraging. However, we anticipate that heightened volatility will continue in the near term. We remain concerned about consumer confidence and slower corporate earnings growth in coming months. We expect world economic growth to slow and many developed economies will likely experience a recession. Moreover, recent sharp declines in many commodity prices will probably restrain growth in a number of emerging economies.</w:t>
      </w:r>
    </w:p>
    <w:p>
      <w:pPr>
        <w:spacing w:after="0" w:line="6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“Nevertheless, periods of severe market dislocation have historically proven to be good times to invest in quality companies. We believe that this time will be no different. The markets are currently offering compelling valuations and attractive prices, conditions which in the long term provide the opportunity for future strong performance.</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“Despite an environment that has placed considerable stress on financial markets, we remain encouraged by our relative investment results and the confidence clients continue to place in us. While we have been prudently managing our resources and paying careful attention to our expenses, our strong capital position enables us to weather these volatile periods and continue investing in our business for the future.</w:t>
      </w:r>
    </w:p>
    <w:p>
      <w:pPr>
        <w:spacing w:after="0" w:line="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have expended $454 million during the first nine months of 2008 to repurchase 8.75 million of our common shares, compared to share repurchases totaling $321 million for all of 2007. These expenditures are being funded from our available cash positions. We remain debt-free with substantial liquidity, including cash and investment holdings of $1.5 billion.”</w:t>
      </w:r>
    </w:p>
    <w:p>
      <w:pPr>
        <w:spacing w:after="0" w:line="73"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In closing, Mr. Kennedy said: “We are very pleased that our financial stability has enabled us to stay focused on our clients and to continue investing in our capabilities. We are very proud of our dedicated associates and our disciplined investment process. To be sure, the dramatically lower valuations have diminished the value of our clients’ assets, as well as our own investments in sponsored mutual funds. Further, cash inflows from investors have slowed considerably from the pace of the first half of the year. As a result, our near term outlook for the firm is for lower earnings in the fourth quarter of this year and into 2009. Despite the short-term market uncertainties, however, with our strong long-term performance record and diversified investment and distribution capabilities, the long-term outlook for T. Rowe Price remains strong.”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financial results presented in this release are unaudited. The company expects that it will file its Form 10-Q Quarterly Report for the third quarter of 2008 with the U.S. Securities and Exchange Commission later today. The Form 10-Q will include more information on the company’s unaudited financial results and sponsored fund investments.</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Certain statements in this press release may represent “forward-looking information,” including information relating to anticipated growth in revenues, net income and earnings per share, anticipated changes in the amount and composition of assets under management, anticipated expense levels, estimated tax rates, and expectations regarding financial and other market conditions. For a discussion concerning risks and other factors that could affect future results, see the company’s Form 10-K and Form 10-Q reports.</w:t>
      </w:r>
    </w:p>
    <w:p>
      <w:pPr>
        <w:spacing w:after="0" w:line="7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 xml:space="preserve">Founded in 1937, Baltimore-based T. Rowe Price is a global investment management organization that provides a broad array of mutual funds, subadvisory services, and separate account management for individual and institutional investors, retirement plans, and financial intermediaries. The organization also offers a variety of sophisticated investment planning and guidance tools. T. Rowe Price’s disciplined, risk-aware investment approach focuses on diversification, style consistency, and fundamental research. More information is available at </w:t>
      </w:r>
      <w:r>
        <w:rPr>
          <w:rFonts w:ascii="Arial" w:cs="Arial" w:eastAsia="Arial" w:hAnsi="Arial"/>
          <w:sz w:val="17"/>
          <w:szCs w:val="17"/>
          <w:u w:val="single" w:color="auto"/>
          <w:color w:val="auto"/>
        </w:rPr>
        <w:t>www.troweprice.com</w:t>
      </w:r>
      <w:r>
        <w:rPr>
          <w:rFonts w:ascii="Arial" w:cs="Arial" w:eastAsia="Arial" w:hAnsi="Arial"/>
          <w:sz w:val="17"/>
          <w:szCs w:val="17"/>
          <w:color w:val="auto"/>
        </w:rPr>
        <w: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0" w:name="page21"/>
    <w:bookmarkEnd w:id="20"/>
    <w:p>
      <w:pPr>
        <w:ind w:right="5600"/>
        <w:spacing w:after="0" w:line="277" w:lineRule="auto"/>
        <w:rPr>
          <w:sz w:val="20"/>
          <w:szCs w:val="20"/>
          <w:color w:val="auto"/>
        </w:rPr>
      </w:pPr>
      <w:r>
        <w:rPr>
          <w:rFonts w:ascii="Arial" w:cs="Arial" w:eastAsia="Arial" w:hAnsi="Arial"/>
          <w:sz w:val="18"/>
          <w:szCs w:val="18"/>
          <w:color w:val="auto"/>
        </w:rPr>
        <w:t>UNAUDITED CONDENSED CONSOLIDATED STATEMENTS OF INCOME (in millions, except per-share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ind w:left="34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9/30/2007</w:t>
            </w:r>
          </w:p>
        </w:tc>
        <w:tc>
          <w:tcPr>
            <w:tcW w:w="3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9/30/2008</w:t>
            </w:r>
          </w:p>
        </w:tc>
        <w:tc>
          <w:tcPr>
            <w:tcW w:w="66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9/30/2007</w:t>
            </w:r>
          </w:p>
        </w:tc>
        <w:tc>
          <w:tcPr>
            <w:tcW w:w="3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17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483.4</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465.7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1,372.5</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1,431.1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257.2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572.2</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555.9</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1,634.1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554.8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1,630.5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1,700.4</w:t>
            </w:r>
          </w:p>
        </w:tc>
        <w:tc>
          <w:tcPr>
            <w:tcW w:w="0" w:type="dxa"/>
            <w:vAlign w:val="bottom"/>
          </w:tcPr>
          <w:p>
            <w:pPr>
              <w:spacing w:after="0"/>
              <w:rPr>
                <w:sz w:val="1"/>
                <w:szCs w:val="1"/>
                <w:color w:val="auto"/>
              </w:rPr>
            </w:pPr>
          </w:p>
        </w:tc>
      </w:tr>
      <w:tr>
        <w:trPr>
          <w:trHeight w:val="20"/>
        </w:trPr>
        <w:tc>
          <w:tcPr>
            <w:tcW w:w="49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960" w:type="dxa"/>
            <w:vAlign w:val="bottom"/>
            <w:gridSpan w:val="2"/>
          </w:tcPr>
          <w:p>
            <w:pPr>
              <w:spacing w:after="0"/>
              <w:rPr>
                <w:sz w:val="20"/>
                <w:szCs w:val="20"/>
                <w:color w:val="auto"/>
              </w:rPr>
            </w:pPr>
            <w:r>
              <w:rPr>
                <w:rFonts w:ascii="Arial" w:cs="Arial" w:eastAsia="Arial" w:hAnsi="Arial"/>
                <w:sz w:val="18"/>
                <w:szCs w:val="18"/>
                <w:color w:val="auto"/>
              </w:rPr>
              <w:t>Operating expenses Compensation and related costs</w:t>
            </w: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208.8</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210.9</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590.0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Advertising and promotion</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12.0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39.7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Occupancy and facility costs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24.8</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Other operating expenses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43.2</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47.4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126.0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316.0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896.7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972.9</w:t>
            </w:r>
          </w:p>
        </w:tc>
        <w:tc>
          <w:tcPr>
            <w:tcW w:w="0" w:type="dxa"/>
            <w:vAlign w:val="bottom"/>
          </w:tcPr>
          <w:p>
            <w:pPr>
              <w:spacing w:after="0"/>
              <w:rPr>
                <w:sz w:val="1"/>
                <w:szCs w:val="1"/>
                <w:color w:val="auto"/>
              </w:rPr>
            </w:pPr>
          </w:p>
        </w:tc>
      </w:tr>
      <w:tr>
        <w:trPr>
          <w:trHeight w:val="20"/>
        </w:trPr>
        <w:tc>
          <w:tcPr>
            <w:tcW w:w="49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960" w:type="dxa"/>
            <w:vAlign w:val="bottom"/>
            <w:gridSpan w:val="2"/>
          </w:tcPr>
          <w:p>
            <w:pPr>
              <w:spacing w:after="0"/>
              <w:rPr>
                <w:sz w:val="20"/>
                <w:szCs w:val="20"/>
                <w:color w:val="auto"/>
              </w:rPr>
            </w:pPr>
            <w:r>
              <w:rPr>
                <w:rFonts w:ascii="Arial" w:cs="Arial" w:eastAsia="Arial" w:hAnsi="Arial"/>
                <w:sz w:val="18"/>
                <w:szCs w:val="18"/>
                <w:color w:val="auto"/>
              </w:rPr>
              <w:t>Net operating income</w:t>
            </w: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263.8</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238.8</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733.8</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investment income</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17.9</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281.7</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244.5</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106.9</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295.3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152.8</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Basic</w:t>
            </w:r>
          </w:p>
        </w:tc>
        <w:tc>
          <w:tcPr>
            <w:tcW w:w="17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.66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.59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1.81</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7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49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60" w:type="dxa"/>
            <w:vAlign w:val="bottom"/>
            <w:gridSpan w:val="2"/>
          </w:tcPr>
          <w:p>
            <w:pPr>
              <w:spacing w:after="0"/>
              <w:rPr>
                <w:sz w:val="20"/>
                <w:szCs w:val="20"/>
                <w:color w:val="auto"/>
              </w:rPr>
            </w:pPr>
            <w:r>
              <w:rPr>
                <w:rFonts w:ascii="Arial" w:cs="Arial" w:eastAsia="Arial" w:hAnsi="Arial"/>
                <w:sz w:val="18"/>
                <w:szCs w:val="18"/>
                <w:color w:val="auto"/>
              </w:rPr>
              <w:t>Dividends declared per share</w:t>
            </w:r>
          </w:p>
        </w:tc>
        <w:tc>
          <w:tcPr>
            <w:tcW w:w="17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.51</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264.2</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258.7</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265.1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assuming dilution</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278.2</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270.8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279.4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580" w:type="dxa"/>
            <w:vAlign w:val="bottom"/>
            <w:vMerge w:val="restart"/>
          </w:tcPr>
          <w:p>
            <w:pPr>
              <w:jc w:val="right"/>
              <w:ind w:right="590"/>
              <w:spacing w:after="0"/>
              <w:rPr>
                <w:sz w:val="20"/>
                <w:szCs w:val="20"/>
                <w:color w:val="auto"/>
              </w:rPr>
            </w:pPr>
            <w:r>
              <w:rPr>
                <w:rFonts w:ascii="Arial" w:cs="Arial" w:eastAsia="Arial" w:hAnsi="Arial"/>
                <w:sz w:val="18"/>
                <w:szCs w:val="18"/>
                <w:color w:val="auto"/>
              </w:rPr>
              <w:t>- 3 -</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4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7"/>
          </w:tcPr>
          <w:p>
            <w:pPr>
              <w:jc w:val="right"/>
              <w:ind w:right="5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9/30/2007</w:t>
            </w:r>
          </w:p>
        </w:tc>
        <w:tc>
          <w:tcPr>
            <w:tcW w:w="3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9/30/2008</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9/30/2007</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Advisory Revenues (in millions)</w:t>
            </w:r>
          </w:p>
        </w:tc>
        <w:tc>
          <w:tcPr>
            <w:tcW w:w="7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Sponsored mutual funds in the U.S.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and blended asset</w:t>
            </w:r>
          </w:p>
        </w:tc>
        <w:tc>
          <w:tcPr>
            <w:tcW w:w="9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301.0</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272.9</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854.8</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Bond and money market</w:t>
            </w:r>
          </w:p>
        </w:tc>
        <w:tc>
          <w:tcPr>
            <w:tcW w:w="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348.3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326.9</w:t>
            </w: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990.0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1,010.0</w:t>
            </w:r>
          </w:p>
        </w:tc>
        <w:tc>
          <w:tcPr>
            <w:tcW w:w="0" w:type="dxa"/>
            <w:vAlign w:val="bottom"/>
          </w:tcPr>
          <w:p>
            <w:pPr>
              <w:spacing w:after="0"/>
              <w:rPr>
                <w:sz w:val="1"/>
                <w:szCs w:val="1"/>
                <w:color w:val="auto"/>
              </w:rPr>
            </w:pPr>
          </w:p>
        </w:tc>
      </w:tr>
      <w:tr>
        <w:trPr>
          <w:trHeight w:val="439"/>
        </w:trPr>
        <w:tc>
          <w:tcPr>
            <w:tcW w:w="5760" w:type="dxa"/>
            <w:vAlign w:val="bottom"/>
            <w:gridSpan w:val="2"/>
          </w:tcPr>
          <w:p>
            <w:pPr>
              <w:spacing w:after="0"/>
              <w:rPr>
                <w:sz w:val="20"/>
                <w:szCs w:val="20"/>
                <w:color w:val="auto"/>
              </w:rPr>
            </w:pPr>
            <w:r>
              <w:rPr>
                <w:rFonts w:ascii="Arial" w:cs="Arial" w:eastAsia="Arial" w:hAnsi="Arial"/>
                <w:sz w:val="18"/>
                <w:szCs w:val="18"/>
                <w:color w:val="auto"/>
              </w:rPr>
              <w:t>Other portfolios</w:t>
            </w:r>
          </w:p>
        </w:tc>
        <w:tc>
          <w:tcPr>
            <w:tcW w:w="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138.8</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382.5</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advisory fees</w:t>
            </w:r>
          </w:p>
        </w:tc>
        <w:tc>
          <w:tcPr>
            <w:tcW w:w="9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483.4</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465.7</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$ 1,372.5</w:t>
            </w:r>
          </w:p>
        </w:tc>
        <w:tc>
          <w:tcPr>
            <w:tcW w:w="3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$ 1,431.1</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Average Assets Under Management (in billions)</w:t>
            </w: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6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9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195.4</w:t>
            </w: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177.4</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187.1</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48.9</w:t>
            </w: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237.9</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226.3</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149.8</w:t>
            </w: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376.1</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3"/>
          </w:tcPr>
          <w:p>
            <w:pPr>
              <w:ind w:left="340"/>
              <w:spacing w:after="0"/>
              <w:rPr>
                <w:sz w:val="20"/>
                <w:szCs w:val="20"/>
                <w:color w:val="auto"/>
              </w:rPr>
            </w:pPr>
            <w:r>
              <w:rPr>
                <w:rFonts w:ascii="Arial" w:cs="Arial" w:eastAsia="Arial" w:hAnsi="Arial"/>
                <w:sz w:val="14"/>
                <w:szCs w:val="14"/>
                <w:color w:val="auto"/>
                <w:w w:val="94"/>
              </w:rPr>
              <w:t>12/31/2007</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9/30/2008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Under Management (in billions)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Sponsored mutual funds in the U.S.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and blended asset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200.6</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Bond and money market</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45.4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Other portfolios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345.0</w:t>
            </w:r>
          </w:p>
        </w:tc>
        <w:tc>
          <w:tcPr>
            <w:tcW w:w="0" w:type="dxa"/>
            <w:vAlign w:val="bottom"/>
          </w:tcPr>
          <w:p>
            <w:pPr>
              <w:spacing w:after="0"/>
              <w:rPr>
                <w:sz w:val="1"/>
                <w:szCs w:val="1"/>
                <w:color w:val="auto"/>
              </w:rPr>
            </w:pPr>
          </w:p>
        </w:tc>
      </w:tr>
      <w:tr>
        <w:trPr>
          <w:trHeight w:val="20"/>
        </w:trPr>
        <w:tc>
          <w:tcPr>
            <w:tcW w:w="5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6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321.6</w:t>
            </w:r>
          </w:p>
        </w:tc>
        <w:tc>
          <w:tcPr>
            <w:tcW w:w="3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7"/>
          </w:tcPr>
          <w:p>
            <w:pPr>
              <w:jc w:val="right"/>
              <w:ind w:right="5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3"/>
              </w:rPr>
              <w:t>9/30/2007</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Cash Flows Information (in millions)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Cash provided by operating activities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687.2</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6"/>
              </w:rPr>
              <w:t>Cash used in investing activities, including ($96.5) for additions to property and equipment in 2008</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(274.5)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gridSpan w:val="9"/>
          </w:tcPr>
          <w:p>
            <w:pPr>
              <w:spacing w:after="0" w:line="201" w:lineRule="exact"/>
              <w:rPr>
                <w:sz w:val="20"/>
                <w:szCs w:val="20"/>
                <w:color w:val="auto"/>
              </w:rPr>
            </w:pPr>
            <w:r>
              <w:rPr>
                <w:rFonts w:ascii="Arial" w:cs="Arial" w:eastAsia="Arial" w:hAnsi="Arial"/>
                <w:sz w:val="18"/>
                <w:szCs w:val="18"/>
                <w:color w:val="auto"/>
                <w:w w:val="96"/>
              </w:rPr>
              <w:t>Cash used in financing activities, including common stock repurchases of ($459.5) and dividends paid of ($250.6) in</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ind w:left="220"/>
              <w:spacing w:after="0"/>
              <w:rPr>
                <w:sz w:val="20"/>
                <w:szCs w:val="20"/>
                <w:color w:val="auto"/>
              </w:rPr>
            </w:pPr>
            <w:r>
              <w:rPr>
                <w:rFonts w:ascii="Arial" w:cs="Arial" w:eastAsia="Arial" w:hAnsi="Arial"/>
                <w:sz w:val="18"/>
                <w:szCs w:val="18"/>
                <w:color w:val="auto"/>
              </w:rPr>
              <w:t>2008</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(338.0)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(612.4)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during the period</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74.7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3"/>
          </w:tcPr>
          <w:p>
            <w:pPr>
              <w:ind w:left="340"/>
              <w:spacing w:after="0"/>
              <w:rPr>
                <w:sz w:val="20"/>
                <w:szCs w:val="20"/>
                <w:color w:val="auto"/>
              </w:rPr>
            </w:pPr>
            <w:r>
              <w:rPr>
                <w:rFonts w:ascii="Arial" w:cs="Arial" w:eastAsia="Arial" w:hAnsi="Arial"/>
                <w:sz w:val="14"/>
                <w:szCs w:val="14"/>
                <w:color w:val="auto"/>
                <w:w w:val="94"/>
              </w:rPr>
              <w:t>12/31/2007</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9/30/2008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Balance Sheet Information (in millions)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785.1</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sponsored mutual funds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773.0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358.3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Accounts receivable and other assets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3,177.3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Total liabilities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400.2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466.0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80" w:type="dxa"/>
            <w:vAlign w:val="bottom"/>
            <w:tcBorders>
              <w:top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0"/>
              </w:rPr>
              <w:t>Stockholders’ equity, 260.1 common shares outstanding in 2008, including net unrealized holding losses of ($.9) in</w:t>
            </w:r>
          </w:p>
        </w:tc>
        <w:tc>
          <w:tcPr>
            <w:tcW w:w="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80" w:type="dxa"/>
            <w:vAlign w:val="bottom"/>
            <w:shd w:val="clear" w:color="auto" w:fill="CCEEFF"/>
          </w:tcPr>
          <w:p>
            <w:pPr>
              <w:jc w:val="right"/>
              <w:ind w:right="8110"/>
              <w:spacing w:after="0"/>
              <w:rPr>
                <w:sz w:val="20"/>
                <w:szCs w:val="20"/>
                <w:color w:val="auto"/>
              </w:rPr>
            </w:pPr>
            <w:r>
              <w:rPr>
                <w:rFonts w:ascii="Arial" w:cs="Arial" w:eastAsia="Arial" w:hAnsi="Arial"/>
                <w:sz w:val="18"/>
                <w:szCs w:val="18"/>
                <w:color w:val="auto"/>
              </w:rPr>
              <w:t>2008</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$ 2,777.1</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$ 2,656.5</w:t>
            </w:r>
          </w:p>
        </w:tc>
        <w:tc>
          <w:tcPr>
            <w:tcW w:w="0" w:type="dxa"/>
            <w:vAlign w:val="bottom"/>
          </w:tcPr>
          <w:p>
            <w:pPr>
              <w:spacing w:after="0"/>
              <w:rPr>
                <w:sz w:val="1"/>
                <w:szCs w:val="1"/>
                <w:color w:val="auto"/>
              </w:rPr>
            </w:pPr>
          </w:p>
        </w:tc>
      </w:tr>
      <w:tr>
        <w:trPr>
          <w:trHeight w:val="20"/>
        </w:trPr>
        <w:tc>
          <w:tcPr>
            <w:tcW w:w="8780" w:type="dxa"/>
            <w:vAlign w:val="bottom"/>
            <w:vMerge w:val="restart"/>
          </w:tcPr>
          <w:p>
            <w:pPr>
              <w:jc w:val="right"/>
              <w:ind w:right="2830"/>
              <w:spacing w:after="0"/>
              <w:rPr>
                <w:sz w:val="20"/>
                <w:szCs w:val="20"/>
                <w:color w:val="auto"/>
              </w:rPr>
            </w:pPr>
            <w:r>
              <w:rPr>
                <w:rFonts w:ascii="Arial" w:cs="Arial" w:eastAsia="Arial" w:hAnsi="Arial"/>
                <w:sz w:val="18"/>
                <w:szCs w:val="18"/>
                <w:color w:val="auto"/>
              </w:rPr>
              <w:t>- 4 -</w:t>
            </w: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7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1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decimal"/>
      <w:start w:val="1"/>
    </w:lvl>
    <w:lvl w:ilvl="1">
      <w:lvlJc w:val="left"/>
      <w:lvlText w:val="(%2)"/>
      <w:numFmt w:val="lowerLetter"/>
      <w:start w:val="1"/>
    </w:lvl>
  </w:abstractNum>
  <w:abstractNum w:abstractNumId="2">
    <w:nsid w:val="2AE8944A"/>
    <w:multiLevelType w:val="hybridMultilevel"/>
    <w:lvl w:ilvl="0">
      <w:lvlJc w:val="left"/>
      <w:lvlText w:val="%1."/>
      <w:numFmt w:val="decimal"/>
      <w:start w:val="1"/>
    </w:lvl>
    <w:lvl w:ilvl="1">
      <w:lvlJc w:val="left"/>
      <w:lvlText w:val="(%2)"/>
      <w:numFmt w:val="lowerLetter"/>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2019-12-15T01:53:18Z</dcterms:created>
  <dcterms:modified xsi:type="dcterms:W3CDTF">2019-12-15T01:53:18Z</dcterms:modified>
</cp:coreProperties>
</file>